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6"/>
          <w:szCs w:val="26"/>
        </w:rPr>
      </w:pPr>
    </w:p>
    <w:p>
      <w:pPr>
        <w:spacing w:line="460" w:lineRule="exact" w:before="0"/>
        <w:ind w:left="455" w:right="1473" w:firstLine="0"/>
        <w:jc w:val="center"/>
        <w:rPr>
          <w:rFonts w:ascii="宋体" w:hAnsi="宋体" w:cs="宋体" w:eastAsia="宋体" w:hint="default"/>
          <w:sz w:val="36"/>
          <w:szCs w:val="36"/>
        </w:rPr>
      </w:pPr>
      <w:r>
        <w:rPr>
          <w:rFonts w:ascii="宋体" w:hAnsi="宋体" w:cs="宋体" w:eastAsia="宋体" w:hint="default"/>
          <w:b/>
          <w:bCs/>
          <w:sz w:val="36"/>
          <w:szCs w:val="36"/>
        </w:rPr>
        <w:t>安徽中电兴发与鑫龙科技股份有限公司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1"/>
          <w:szCs w:val="31"/>
        </w:rPr>
      </w:pPr>
    </w:p>
    <w:p>
      <w:pPr>
        <w:spacing w:before="0"/>
        <w:ind w:left="455" w:right="147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29"/>
          <w:szCs w:val="29"/>
        </w:rPr>
      </w:pPr>
    </w:p>
    <w:p>
      <w:pPr>
        <w:pStyle w:val="Heading3"/>
        <w:spacing w:line="240" w:lineRule="auto"/>
        <w:ind w:left="455" w:right="1468"/>
        <w:jc w:val="center"/>
        <w:rPr>
          <w:rFonts w:ascii="宋体" w:hAnsi="宋体" w:cs="宋体" w:eastAsia="宋体" w:hint="default"/>
        </w:rPr>
      </w:pPr>
      <w:r>
        <w:rPr>
          <w:rFonts w:ascii="宋体"/>
        </w:rPr>
        <w:t>2020-028</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5"/>
          <w:szCs w:val="25"/>
        </w:rPr>
      </w:pPr>
    </w:p>
    <w:p>
      <w:pPr>
        <w:spacing w:before="0"/>
        <w:ind w:left="455" w:right="146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4"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1"/>
        <w:spacing w:line="240" w:lineRule="auto"/>
        <w:ind w:left="2845" w:right="1002"/>
        <w:jc w:val="left"/>
        <w:rPr>
          <w:b w:val="0"/>
          <w:bCs w:val="0"/>
        </w:rPr>
      </w:pPr>
      <w:bookmarkStart w:name="第一节重要提示、目录和释义" w:id="1"/>
      <w:bookmarkEnd w:id="1"/>
      <w:r>
        <w:rPr>
          <w:b w:val="0"/>
          <w:bCs w:val="0"/>
        </w:rPr>
      </w:r>
      <w:r>
        <w:rPr/>
        <w:t>第一节重要提示、目录和释义</w:t>
      </w:r>
      <w:r>
        <w:rPr>
          <w:b w:val="0"/>
          <w:bCs w:val="0"/>
        </w:rPr>
      </w:r>
    </w:p>
    <w:p>
      <w:pPr>
        <w:spacing w:line="240" w:lineRule="auto" w:before="7"/>
        <w:rPr>
          <w:rFonts w:ascii="宋体" w:hAnsi="宋体" w:cs="宋体" w:eastAsia="宋体" w:hint="default"/>
          <w:b/>
          <w:bCs/>
          <w:sz w:val="44"/>
          <w:szCs w:val="44"/>
        </w:rPr>
      </w:pPr>
    </w:p>
    <w:p>
      <w:pPr>
        <w:pStyle w:val="Heading2"/>
        <w:spacing w:line="360" w:lineRule="auto"/>
        <w:ind w:right="1136" w:firstLine="480"/>
        <w:jc w:val="both"/>
        <w:rPr>
          <w:b w:val="0"/>
          <w:bCs w:val="0"/>
        </w:rPr>
      </w:pPr>
      <w:r>
        <w:rPr/>
        <w:t>公司董事会、监事会及董事、监事、高级管理人员保证年度报告内容的真实、准确、完</w:t>
      </w:r>
      <w:r>
        <w:rPr>
          <w:w w:val="99"/>
        </w:rPr>
        <w:t> </w:t>
      </w:r>
      <w:r>
        <w:rPr/>
        <w:t>整，不存在虚假记载、误导性陈述或重大遗漏，并承担个别和连带的法律责任。</w:t>
      </w:r>
      <w:r>
        <w:rPr>
          <w:b w:val="0"/>
          <w:bCs w:val="0"/>
        </w:rPr>
      </w:r>
    </w:p>
    <w:p>
      <w:pPr>
        <w:pStyle w:val="Heading2"/>
        <w:spacing w:line="336" w:lineRule="auto" w:before="132"/>
        <w:ind w:right="1122" w:firstLine="480"/>
        <w:jc w:val="both"/>
        <w:rPr>
          <w:b w:val="0"/>
          <w:bCs w:val="0"/>
        </w:rPr>
      </w:pPr>
      <w:r>
        <w:rPr>
          <w:spacing w:val="2"/>
        </w:rPr>
        <w:t>公司负责人瞿洪桂、主管会计工作负责人陶黎明及会计机构负责人</w:t>
      </w:r>
      <w:r>
        <w:rPr>
          <w:rFonts w:ascii="Times New Roman" w:hAnsi="Times New Roman" w:cs="Times New Roman" w:eastAsia="Times New Roman" w:hint="default"/>
          <w:spacing w:val="2"/>
        </w:rPr>
        <w:t>(</w:t>
      </w:r>
      <w:r>
        <w:rPr>
          <w:spacing w:val="2"/>
        </w:rPr>
        <w:t>会计主管人员</w:t>
      </w:r>
      <w:r>
        <w:rPr>
          <w:rFonts w:ascii="Times New Roman" w:hAnsi="Times New Roman" w:cs="Times New Roman" w:eastAsia="Times New Roman" w:hint="default"/>
          <w:spacing w:val="2"/>
        </w:rPr>
        <w:t>)</w:t>
      </w:r>
      <w:r>
        <w:rPr>
          <w:spacing w:val="2"/>
        </w:rPr>
        <w:t>杨勇</w:t>
      </w:r>
      <w:r>
        <w:rPr>
          <w:spacing w:val="4"/>
          <w:w w:val="99"/>
        </w:rPr>
        <w:t> </w:t>
      </w:r>
      <w:r>
        <w:rPr/>
        <w:t>声明：保证年度报告中财务报告的真实、准确、完整。</w:t>
      </w:r>
      <w:r>
        <w:rPr>
          <w:b w:val="0"/>
          <w:bCs w:val="0"/>
        </w:rPr>
      </w:r>
    </w:p>
    <w:p>
      <w:pPr>
        <w:pStyle w:val="Heading2"/>
        <w:spacing w:line="240" w:lineRule="auto" w:before="161"/>
        <w:ind w:left="593" w:right="1002"/>
        <w:jc w:val="left"/>
        <w:rPr>
          <w:b w:val="0"/>
          <w:bCs w:val="0"/>
        </w:rPr>
      </w:pPr>
      <w:r>
        <w:rPr/>
        <w:t>所有董事均已出席了审议本报告的董事会会议。</w:t>
      </w:r>
      <w:r>
        <w:rPr>
          <w:b w:val="0"/>
          <w:bCs w:val="0"/>
        </w:rPr>
      </w:r>
    </w:p>
    <w:p>
      <w:pPr>
        <w:spacing w:line="240" w:lineRule="auto" w:before="4"/>
        <w:rPr>
          <w:rFonts w:ascii="宋体" w:hAnsi="宋体" w:cs="宋体" w:eastAsia="宋体" w:hint="default"/>
          <w:b/>
          <w:bCs/>
          <w:sz w:val="19"/>
          <w:szCs w:val="19"/>
        </w:rPr>
      </w:pPr>
    </w:p>
    <w:p>
      <w:pPr>
        <w:pStyle w:val="Heading2"/>
        <w:spacing w:line="355" w:lineRule="auto"/>
        <w:ind w:right="1132" w:firstLine="480"/>
        <w:jc w:val="both"/>
        <w:rPr>
          <w:b w:val="0"/>
          <w:bCs w:val="0"/>
        </w:rPr>
      </w:pPr>
      <w:r>
        <w:rPr>
          <w:rFonts w:ascii="Times New Roman" w:hAnsi="Times New Roman" w:cs="Times New Roman" w:eastAsia="Times New Roman" w:hint="default"/>
        </w:rPr>
        <w:t>1</w:t>
      </w:r>
      <w:r>
        <w:rPr>
          <w:rFonts w:ascii="Times New Roman" w:hAnsi="Times New Roman" w:cs="Times New Roman" w:eastAsia="Times New Roman" w:hint="default"/>
          <w:spacing w:val="54"/>
        </w:rPr>
        <w:t> </w:t>
      </w:r>
      <w:r>
        <w:rPr/>
        <w:t>、政策与市场竞争风险。公司智慧中国、新一代光纤网络和新通信业务受国家政策和</w:t>
      </w:r>
      <w:r>
        <w:rPr>
          <w:w w:val="99"/>
        </w:rPr>
        <w:t> </w:t>
      </w:r>
      <w:r>
        <w:rPr/>
        <w:t>地方政策投资决策影响程度较大，订单业绩较易受到国家宏观政策和政府部门投资计划的影</w:t>
      </w:r>
      <w:r>
        <w:rPr>
          <w:w w:val="99"/>
        </w:rPr>
        <w:t> </w:t>
      </w:r>
      <w:r>
        <w:rPr/>
        <w:t>响。随着人工智能、物联网、大数据等新一代信息技术逐步成熟，市场竞争愈发激烈。公司</w:t>
      </w:r>
      <w:r>
        <w:rPr>
          <w:w w:val="99"/>
        </w:rPr>
        <w:t> </w:t>
      </w:r>
      <w:r>
        <w:rPr/>
        <w:t>将加强对所处行业的政策、发展方向及产业发展规律的研究，把握政策、市场和行业技术变</w:t>
      </w:r>
      <w:r>
        <w:rPr>
          <w:w w:val="99"/>
        </w:rPr>
        <w:t> </w:t>
      </w:r>
      <w:r>
        <w:rPr/>
        <w:t>革先机，加强持续升级自身的产品、技术和解决方案，密切关注所处行业的市场迭代及新市</w:t>
      </w:r>
      <w:r>
        <w:rPr>
          <w:w w:val="99"/>
        </w:rPr>
        <w:t> </w:t>
      </w:r>
      <w:r>
        <w:rPr/>
        <w:t>场的发展，积极运用新一代信息技术升级产品和解决方案，及时应对政策市场竞争的风险。</w:t>
      </w:r>
      <w:r>
        <w:rPr>
          <w:b w:val="0"/>
          <w:bCs w:val="0"/>
        </w:rPr>
      </w:r>
    </w:p>
    <w:p>
      <w:pPr>
        <w:pStyle w:val="Heading2"/>
        <w:spacing w:line="355" w:lineRule="auto" w:before="137"/>
        <w:ind w:right="1002" w:firstLine="604"/>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spacing w:val="-6"/>
        </w:rPr>
        <w:t>、项目与技术更新换代风险。智慧中国业务领域的项目实施复杂，项目实施风险较高，</w:t>
      </w:r>
      <w:r>
        <w:rPr>
          <w:w w:val="99"/>
        </w:rPr>
        <w:t> </w:t>
      </w:r>
      <w:r>
        <w:rPr/>
        <w:t>投资、建设与运营等全过程都必须实行精细化管理，这对公司的综合实力要求非常高，可能</w:t>
      </w:r>
      <w:r>
        <w:rPr>
          <w:w w:val="99"/>
        </w:rPr>
        <w:t> </w:t>
      </w:r>
      <w:r>
        <w:rPr/>
        <w:t>会存在项目实施风险；随着云计算、大数据、人工智能等技术的不断发展进步，行业的业务</w:t>
      </w:r>
      <w:r>
        <w:rPr>
          <w:w w:val="99"/>
        </w:rPr>
        <w:t> </w:t>
      </w:r>
      <w:r>
        <w:rPr/>
        <w:t>模式和应用需求可能会随之演变。如果不能密切追踪前沿技术的更新和变化，不能快速实现</w:t>
      </w:r>
      <w:r>
        <w:rPr>
          <w:w w:val="99"/>
        </w:rPr>
        <w:t> </w:t>
      </w:r>
      <w:r>
        <w:rPr/>
        <w:t>业务的创新发展，可能面临因无法保持持续创新能力导致市场竞争力下降的风险。公司已总</w:t>
      </w:r>
      <w:r>
        <w:rPr>
          <w:w w:val="99"/>
        </w:rPr>
        <w:t> </w:t>
      </w:r>
      <w:r>
        <w:rPr/>
        <w:t>结和积累了实施大型智慧城市项目的成功经验并不断推广和复制，将不断加强项目管理，细</w:t>
      </w:r>
      <w:r>
        <w:rPr>
          <w:w w:val="99"/>
        </w:rPr>
        <w:t> </w:t>
      </w:r>
      <w:r>
        <w:rPr/>
        <w:t>化项目成本管理、项目进度管理、项目风险管理、项目质量管理等一系列制度，进一步提升</w:t>
      </w:r>
      <w:r>
        <w:rPr>
          <w:w w:val="99"/>
        </w:rPr>
        <w:t> </w:t>
      </w:r>
      <w:r>
        <w:rPr/>
        <w:t>公司项目交付能力，以降低项目实施风险。</w:t>
      </w:r>
      <w:r>
        <w:rPr>
          <w:b w:val="0"/>
          <w:bCs w:val="0"/>
        </w:rPr>
      </w:r>
    </w:p>
    <w:p>
      <w:pPr>
        <w:pStyle w:val="Heading2"/>
        <w:spacing w:line="352" w:lineRule="auto" w:before="142"/>
        <w:ind w:right="1129" w:firstLine="480"/>
        <w:jc w:val="both"/>
        <w:rPr>
          <w:b w:val="0"/>
          <w:bCs w:val="0"/>
        </w:rPr>
      </w:pPr>
      <w:r>
        <w:rPr>
          <w:rFonts w:ascii="Times New Roman" w:hAnsi="Times New Roman" w:cs="Times New Roman" w:eastAsia="Times New Roman" w:hint="default"/>
        </w:rPr>
        <w:t>3</w:t>
      </w:r>
      <w:r>
        <w:rPr>
          <w:rFonts w:ascii="Times New Roman" w:hAnsi="Times New Roman" w:cs="Times New Roman" w:eastAsia="Times New Roman" w:hint="default"/>
          <w:spacing w:val="54"/>
        </w:rPr>
        <w:t> </w:t>
      </w:r>
      <w:r>
        <w:rPr/>
        <w:t>、规模扩张可能带来的管理风险。随着公司经营规模不断扩张，经营业绩不断增长，</w:t>
      </w:r>
      <w:r>
        <w:rPr>
          <w:w w:val="99"/>
        </w:rPr>
        <w:t> </w:t>
      </w:r>
      <w:r>
        <w:rPr/>
        <w:t>规模的扩张将对公司未来的经营管理、产品研发、技术支持、项目组织、人力资源建设、资</w:t>
      </w:r>
      <w:r>
        <w:rPr>
          <w:w w:val="99"/>
        </w:rPr>
        <w:t> </w:t>
      </w:r>
      <w:r>
        <w:rPr/>
        <w:t>金筹措等环节的运作能力提出更高的要求。尽管公司根据多年实践经验已经制订了一套适应</w:t>
      </w:r>
      <w:r>
        <w:rPr>
          <w:w w:val="99"/>
        </w:rPr>
        <w:t> </w:t>
      </w:r>
      <w:r>
        <w:rPr/>
        <w:t>公司发展水平和管理模式的规章制度，并在实际工作中取得了一定效果，但公司已有的管理</w:t>
      </w:r>
      <w:r>
        <w:rPr>
          <w:w w:val="99"/>
        </w:rPr>
        <w:t> </w:t>
      </w:r>
      <w:r>
        <w:rPr/>
        <w:t>经验需要在业务体系、组织机构、管理制度、企业文化等方面进行整合，若公司管理体制和</w:t>
      </w:r>
      <w:r>
        <w:rPr>
          <w:w w:val="99"/>
        </w:rPr>
        <w:t> </w:t>
      </w:r>
      <w:r>
        <w:rPr/>
        <w:t>配套措施无法进行相应的调整和支持，业务规模的扩张可能会为公司的经营管理带来一定的</w:t>
      </w:r>
      <w:r>
        <w:rPr>
          <w:b w:val="0"/>
          <w:bCs w:val="0"/>
        </w:rPr>
      </w:r>
    </w:p>
    <w:p>
      <w:pPr>
        <w:spacing w:after="0" w:line="352" w:lineRule="auto"/>
        <w:jc w:val="both"/>
        <w:sectPr>
          <w:footerReference w:type="default" r:id="rId7"/>
          <w:pgSz w:w="11910" w:h="16840"/>
          <w:pgMar w:footer="1022" w:header="784" w:top="1100" w:bottom="1220" w:left="1020" w:right="0"/>
          <w:pgNumType w:start="2"/>
        </w:sectPr>
      </w:pPr>
    </w:p>
    <w:p>
      <w:pPr>
        <w:spacing w:line="240" w:lineRule="auto" w:before="9"/>
        <w:rPr>
          <w:rFonts w:ascii="宋体" w:hAnsi="宋体" w:cs="宋体" w:eastAsia="宋体" w:hint="default"/>
          <w:b/>
          <w:bCs/>
          <w:sz w:val="26"/>
          <w:szCs w:val="26"/>
        </w:rPr>
      </w:pPr>
    </w:p>
    <w:p>
      <w:pPr>
        <w:pStyle w:val="Heading2"/>
        <w:spacing w:line="240" w:lineRule="auto" w:before="26"/>
        <w:ind w:right="1002"/>
        <w:jc w:val="left"/>
        <w:rPr>
          <w:b w:val="0"/>
          <w:bCs w:val="0"/>
        </w:rPr>
      </w:pPr>
      <w:r>
        <w:rPr/>
        <w:t>压力和风险。</w:t>
      </w:r>
      <w:r>
        <w:rPr>
          <w:b w:val="0"/>
          <w:bCs w:val="0"/>
        </w:rPr>
      </w:r>
    </w:p>
    <w:p>
      <w:pPr>
        <w:spacing w:line="240" w:lineRule="auto" w:before="4"/>
        <w:rPr>
          <w:rFonts w:ascii="宋体" w:hAnsi="宋体" w:cs="宋体" w:eastAsia="宋体" w:hint="default"/>
          <w:b/>
          <w:bCs/>
          <w:sz w:val="19"/>
          <w:szCs w:val="19"/>
        </w:rPr>
      </w:pPr>
    </w:p>
    <w:p>
      <w:pPr>
        <w:pStyle w:val="Heading2"/>
        <w:spacing w:line="348" w:lineRule="auto"/>
        <w:ind w:right="1132" w:firstLine="480"/>
        <w:jc w:val="both"/>
        <w:rPr>
          <w:b w:val="0"/>
          <w:bCs w:val="0"/>
        </w:rPr>
      </w:pPr>
      <w:r>
        <w:rPr>
          <w:rFonts w:ascii="Times New Roman" w:hAnsi="Times New Roman" w:cs="Times New Roman" w:eastAsia="Times New Roman" w:hint="default"/>
        </w:rPr>
        <w:t>4</w:t>
      </w:r>
      <w:r>
        <w:rPr>
          <w:rFonts w:ascii="Times New Roman" w:hAnsi="Times New Roman" w:cs="Times New Roman" w:eastAsia="Times New Roman" w:hint="default"/>
          <w:spacing w:val="54"/>
        </w:rPr>
        <w:t> </w:t>
      </w:r>
      <w:r>
        <w:rPr/>
        <w:t>、不可控因素带来的其他风险。股票市场价格波动不仅取决于上市公司的发展战略和</w:t>
      </w:r>
      <w:r>
        <w:rPr>
          <w:w w:val="99"/>
        </w:rPr>
        <w:t> </w:t>
      </w:r>
      <w:r>
        <w:rPr/>
        <w:t>经营业绩，还受宏观经济周期、利率、资金供求关系等众多因素的影响，同时也会因国际、</w:t>
      </w:r>
      <w:r>
        <w:rPr>
          <w:w w:val="99"/>
        </w:rPr>
        <w:t> </w:t>
      </w:r>
      <w:r>
        <w:rPr/>
        <w:t>国内政治经济形势及投资者心理因素的变化而产生波动。</w:t>
      </w:r>
      <w:r>
        <w:rPr>
          <w:b w:val="0"/>
          <w:bCs w:val="0"/>
        </w:rPr>
      </w:r>
    </w:p>
    <w:p>
      <w:pPr>
        <w:pStyle w:val="Heading2"/>
        <w:spacing w:line="338" w:lineRule="auto" w:before="149"/>
        <w:ind w:right="1002" w:firstLine="480"/>
        <w:jc w:val="left"/>
        <w:rPr>
          <w:b w:val="0"/>
          <w:bCs w:val="0"/>
        </w:rPr>
      </w:pP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spacing w:val="-12"/>
          <w:w w:val="99"/>
        </w:rPr>
        <w:t>、本公司选定的信息披露媒体为《中国证券报》、《证券时报》、《上海证券报》和巨潮</w:t>
      </w:r>
      <w:r>
        <w:rPr>
          <w:w w:val="99"/>
        </w:rPr>
        <w:t> </w:t>
      </w:r>
      <w:r>
        <w:rPr>
          <w:spacing w:val="1"/>
          <w:w w:val="99"/>
        </w:rPr>
        <w:t>资讯网（</w:t>
      </w:r>
      <w:r>
        <w:rPr>
          <w:spacing w:val="24"/>
          <w:w w:val="99"/>
        </w:rPr>
        <w:t> </w:t>
      </w:r>
      <w:hyperlink r:id="rId8">
        <w:r>
          <w:rPr>
            <w:rFonts w:ascii="Times New Roman" w:hAnsi="Times New Roman" w:cs="Times New Roman" w:eastAsia="Times New Roman" w:hint="default"/>
            <w:spacing w:val="-2"/>
            <w:w w:val="99"/>
          </w:rPr>
          <w:t>http://www.cninfo.com.cn</w:t>
        </w:r>
      </w:hyperlink>
      <w:r>
        <w:rPr>
          <w:rFonts w:ascii="Times New Roman" w:hAnsi="Times New Roman" w:cs="Times New Roman" w:eastAsia="Times New Roman" w:hint="default"/>
          <w:spacing w:val="24"/>
          <w:w w:val="99"/>
        </w:rPr>
        <w:t> </w:t>
      </w:r>
      <w:r>
        <w:rPr>
          <w:spacing w:val="-5"/>
          <w:w w:val="99"/>
        </w:rPr>
        <w:t>），公司所有信息均以在上述选定媒体刊登的信息为准，</w:t>
      </w:r>
      <w:r>
        <w:rPr>
          <w:spacing w:val="-118"/>
          <w:w w:val="99"/>
        </w:rPr>
        <w:t> </w:t>
      </w:r>
      <w:r>
        <w:rPr>
          <w:spacing w:val="-118"/>
          <w:w w:val="99"/>
        </w:rPr>
      </w:r>
      <w:r>
        <w:rPr/>
        <w:t>敬请投资者注意投资风险。</w:t>
      </w:r>
      <w:r>
        <w:rPr>
          <w:b w:val="0"/>
          <w:bCs w:val="0"/>
        </w:rPr>
      </w:r>
    </w:p>
    <w:p>
      <w:pPr>
        <w:pStyle w:val="Heading2"/>
        <w:spacing w:line="240" w:lineRule="auto" w:before="154"/>
        <w:ind w:left="593" w:right="1002"/>
        <w:jc w:val="left"/>
        <w:rPr>
          <w:b w:val="0"/>
          <w:bCs w:val="0"/>
        </w:rPr>
      </w:pPr>
      <w:r>
        <w:rPr/>
        <w:t>公司经本次董事会审议通过的利润分配预案为：以 </w:t>
      </w:r>
      <w:r>
        <w:rPr>
          <w:rFonts w:ascii="Times New Roman" w:hAnsi="Times New Roman" w:cs="Times New Roman" w:eastAsia="Times New Roman" w:hint="default"/>
        </w:rPr>
        <w:t>668,723,620</w:t>
      </w:r>
      <w:r>
        <w:rPr>
          <w:rFonts w:ascii="Times New Roman" w:hAnsi="Times New Roman" w:cs="Times New Roman" w:eastAsia="Times New Roman" w:hint="default"/>
          <w:spacing w:val="59"/>
        </w:rPr>
        <w:t> </w:t>
      </w:r>
      <w:r>
        <w:rPr/>
        <w:t>为基数，向全体股东每</w:t>
      </w:r>
      <w:r>
        <w:rPr>
          <w:b w:val="0"/>
          <w:bCs w:val="0"/>
        </w:rPr>
      </w:r>
    </w:p>
    <w:p>
      <w:pPr>
        <w:pStyle w:val="Heading2"/>
        <w:spacing w:line="240" w:lineRule="auto" w:before="133"/>
        <w:ind w:right="1002"/>
        <w:jc w:val="left"/>
        <w:rPr>
          <w:b w:val="0"/>
          <w:bCs w:val="0"/>
        </w:rPr>
      </w:pP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w w:val="99"/>
        </w:rPr>
        <w:t>股派发现</w:t>
      </w:r>
      <w:r>
        <w:rPr>
          <w:spacing w:val="4"/>
          <w:w w:val="99"/>
        </w:rPr>
        <w:t>金</w:t>
      </w:r>
      <w:r>
        <w:rPr>
          <w:w w:val="99"/>
        </w:rPr>
        <w:t>红利</w:t>
      </w:r>
      <w:r>
        <w:rPr>
          <w:spacing w:val="-58"/>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w w:val="99"/>
        </w:rPr>
        <w:t>元（含税</w:t>
      </w:r>
      <w:r>
        <w:rPr>
          <w:spacing w:val="-120"/>
          <w:w w:val="99"/>
        </w:rPr>
        <w:t>）</w:t>
      </w:r>
      <w:r>
        <w:rPr>
          <w:spacing w:val="4"/>
          <w:w w:val="99"/>
        </w:rPr>
        <w:t>，</w:t>
      </w:r>
      <w:r>
        <w:rPr>
          <w:w w:val="99"/>
        </w:rPr>
        <w:t>送红股</w:t>
      </w:r>
      <w:r>
        <w:rPr>
          <w:spacing w:val="-58"/>
        </w:rPr>
        <w:t> </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w w:val="99"/>
        </w:rPr>
        <w:t>股</w:t>
      </w:r>
      <w:r>
        <w:rPr>
          <w:spacing w:val="4"/>
          <w:w w:val="99"/>
        </w:rPr>
        <w:t>，</w:t>
      </w:r>
      <w:r>
        <w:rPr>
          <w:w w:val="99"/>
        </w:rPr>
        <w:t>不以公积金</w:t>
      </w:r>
      <w:r>
        <w:rPr>
          <w:spacing w:val="4"/>
          <w:w w:val="99"/>
        </w:rPr>
        <w:t>转</w:t>
      </w:r>
      <w:r>
        <w:rPr>
          <w:w w:val="99"/>
        </w:rPr>
        <w:t>增股本。</w:t>
      </w:r>
      <w:r>
        <w:rPr>
          <w:b w:val="0"/>
          <w:bCs w:val="0"/>
        </w:rPr>
      </w:r>
    </w:p>
    <w:p>
      <w:pPr>
        <w:spacing w:after="0" w:line="240" w:lineRule="auto"/>
        <w:jc w:val="left"/>
        <w:sectPr>
          <w:pgSz w:w="11910" w:h="16840"/>
          <w:pgMar w:header="784"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spacing w:line="460" w:lineRule="exact" w:before="0"/>
        <w:ind w:left="455" w:right="1468" w:firstLine="0"/>
        <w:jc w:val="center"/>
        <w:rPr>
          <w:rFonts w:ascii="宋体" w:hAnsi="宋体" w:cs="宋体" w:eastAsia="宋体" w:hint="default"/>
          <w:sz w:val="36"/>
          <w:szCs w:val="36"/>
        </w:rPr>
      </w:pPr>
      <w:r>
        <w:rPr>
          <w:rFonts w:ascii="宋体" w:hAnsi="宋体" w:cs="宋体" w:eastAsia="宋体" w:hint="default"/>
          <w:b/>
          <w:bCs/>
          <w:sz w:val="36"/>
          <w:szCs w:val="36"/>
        </w:rPr>
        <w:t>目</w:t>
      </w:r>
      <w:r>
        <w:rPr>
          <w:rFonts w:ascii="宋体" w:hAnsi="宋体" w:cs="宋体" w:eastAsia="宋体" w:hint="default"/>
          <w:b/>
          <w:bCs/>
          <w:spacing w:val="-2"/>
          <w:sz w:val="36"/>
          <w:szCs w:val="36"/>
        </w:rPr>
        <w:t> </w:t>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45"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45" w:val="right" w:leader="dot"/>
            </w:tabs>
            <w:spacing w:line="240" w:lineRule="auto" w:before="158"/>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18</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2"/>
              </w:rPr>
              <w:t> </w:t>
            </w:r>
            <w:r>
              <w:rPr/>
              <w:t>经营情况讨论与分析</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4">
            <w:r>
              <w:rPr/>
              <w:t>第五节</w:t>
            </w:r>
            <w:r>
              <w:rPr>
                <w:spacing w:val="-2"/>
              </w:rPr>
              <w:t> </w:t>
            </w:r>
            <w:r>
              <w:rPr/>
              <w:t>重要事项</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2"/>
              </w:rPr>
              <w:t> </w:t>
            </w:r>
            <w:r>
              <w:rPr/>
              <w:t>股份变动及股东情况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5">
            <w:r>
              <w:rPr/>
              <w:t>第七节</w:t>
            </w:r>
            <w:r>
              <w:rPr>
                <w:spacing w:val="-2"/>
              </w:rPr>
              <w:t> </w:t>
            </w:r>
            <w:r>
              <w:rPr/>
              <w:t>优先股相关情况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第八节</w:t>
            </w:r>
            <w:r>
              <w:rPr>
                <w:spacing w:val="-1"/>
              </w:rPr>
              <w:t> </w:t>
            </w:r>
            <w:r>
              <w:rPr/>
              <w:t>可转换公司债券相关情况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6">
            <w:r>
              <w:rPr/>
              <w:t>第九节</w:t>
            </w:r>
            <w:r>
              <w:rPr>
                <w:spacing w:val="-2"/>
              </w:rPr>
              <w:t> </w:t>
            </w:r>
            <w:r>
              <w:rPr/>
              <w:t>董事、监事、高级管理人员和员工情况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第十节</w:t>
            </w:r>
            <w:r>
              <w:rPr>
                <w:spacing w:val="-2"/>
              </w:rPr>
              <w:t> </w:t>
            </w:r>
            <w:r>
              <w:rPr/>
              <w:t>公司治理</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8">
            <w:r>
              <w:rPr/>
              <w:t>第十一节</w:t>
            </w:r>
            <w:r>
              <w:rPr>
                <w:spacing w:val="-2"/>
              </w:rPr>
              <w:t> </w:t>
            </w:r>
            <w:r>
              <w:rPr/>
              <w:t>公司债券相关情况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4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第十二节</w:t>
            </w:r>
            <w:r>
              <w:rPr>
                <w:spacing w:val="-1"/>
              </w:rPr>
              <w:t> </w:t>
            </w:r>
            <w:r>
              <w:rPr/>
              <w:t>财务报告</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45" w:val="right" w:leader="dot"/>
            </w:tabs>
            <w:spacing w:line="240" w:lineRule="auto" w:before="157"/>
            <w:ind w:right="0"/>
            <w:jc w:val="left"/>
            <w:rPr>
              <w:rFonts w:ascii="Times New Roman" w:hAnsi="Times New Roman" w:cs="Times New Roman" w:eastAsia="Times New Roman" w:hint="default"/>
              <w:b w:val="0"/>
              <w:bCs w:val="0"/>
            </w:rPr>
          </w:pPr>
          <w:hyperlink w:history="true" w:anchor="_bookmark10">
            <w:r>
              <w:rPr/>
              <w:t>第十三节</w:t>
            </w:r>
            <w:r>
              <w:rPr>
                <w:spacing w:val="-2"/>
              </w:rPr>
              <w:t> </w:t>
            </w:r>
            <w:r>
              <w:rPr/>
              <w:t>备查文件目录</w:t>
            </w:r>
            <w:r>
              <w:rPr>
                <w:rFonts w:ascii="Times New Roman" w:hAnsi="Times New Roman" w:cs="Times New Roman" w:eastAsia="Times New Roman" w:hint="default"/>
              </w:rPr>
              <w:tab/>
              <w:t>92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headerReference w:type="default" r:id="rId9"/>
          <w:pgSz w:w="11910" w:h="16840"/>
          <w:pgMar w:header="906" w:footer="1022" w:top="1100" w:bottom="1220" w:left="1020" w:right="0"/>
        </w:sectPr>
      </w:pPr>
    </w:p>
    <w:p>
      <w:pPr>
        <w:spacing w:before="910"/>
        <w:ind w:left="455" w:right="146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08" w:type="dxa"/>
        <w:tblLayout w:type="fixed"/>
        <w:tblCellMar>
          <w:top w:w="0" w:type="dxa"/>
          <w:left w:w="0" w:type="dxa"/>
          <w:bottom w:w="0" w:type="dxa"/>
          <w:right w:w="0" w:type="dxa"/>
        </w:tblCellMar>
        <w:tblLook w:val="01E0"/>
      </w:tblPr>
      <w:tblGrid>
        <w:gridCol w:w="3525"/>
        <w:gridCol w:w="624"/>
        <w:gridCol w:w="5426"/>
      </w:tblGrid>
      <w:tr>
        <w:trPr>
          <w:trHeight w:val="398"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pacing w:val="-5"/>
                <w:sz w:val="21"/>
                <w:szCs w:val="21"/>
              </w:rPr>
              <w:t>本公司、公司、中电兴发、股份公司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安徽中电兴发与鑫龙科技股份有限公司</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《公司章程》或《章程》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宋体" w:hAnsi="宋体" w:cs="宋体" w:eastAsia="宋体" w:hint="default"/>
                <w:sz w:val="21"/>
                <w:szCs w:val="21"/>
              </w:rPr>
              <w:t>《安徽中电兴发与鑫龙科技股份有限公司公司章程》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股东大会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安徽中电兴发与鑫龙科技股份有限公司股东大会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安徽中电兴发与鑫龙科技股份有限公司董事会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监事会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安徽中电兴发与鑫龙科技股份有限公司监事会</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大华事务所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中航证券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中航证券有限公司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北京中电兴发</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北京中电兴发科技有限公司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人民币元</w:t>
            </w:r>
            <w:r>
              <w:rPr>
                <w:rFonts w:ascii="Times New Roman" w:hAnsi="Times New Roman" w:cs="Times New Roman" w:eastAsia="Times New Roman" w:hint="default"/>
                <w:sz w:val="21"/>
                <w:szCs w:val="21"/>
              </w:rPr>
              <w:t>/</w:t>
            </w:r>
            <w:r>
              <w:rPr>
                <w:rFonts w:ascii="宋体" w:hAnsi="宋体" w:cs="宋体" w:eastAsia="宋体" w:hint="default"/>
                <w:sz w:val="21"/>
                <w:szCs w:val="21"/>
              </w:rPr>
              <w:t>人民币万元</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1-12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2682" w:right="1002"/>
        <w:jc w:val="left"/>
        <w:rPr>
          <w:b w:val="0"/>
          <w:bCs w:val="0"/>
        </w:rPr>
      </w:pPr>
      <w:bookmarkStart w:name="第二节公司简介和主要财务指标" w:id="2"/>
      <w:bookmarkEnd w:id="2"/>
      <w:r>
        <w:rPr>
          <w:b w:val="0"/>
          <w:bCs w:val="0"/>
        </w:rPr>
      </w:r>
      <w:bookmarkStart w:name="_bookmark0" w:id="3"/>
      <w:bookmarkEnd w:id="3"/>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002"/>
        <w:jc w:val="left"/>
        <w:rPr>
          <w:b w:val="0"/>
          <w:bCs w:val="0"/>
        </w:rPr>
      </w:pPr>
      <w:bookmarkStart w:name="一、公司信息" w:id="4"/>
      <w:bookmarkEnd w:id="4"/>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2953"/>
        <w:gridCol w:w="2492"/>
        <w:gridCol w:w="1950"/>
        <w:gridCol w:w="2180"/>
      </w:tblGrid>
      <w:tr>
        <w:trPr>
          <w:trHeight w:val="398"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中电兴发</w:t>
            </w:r>
          </w:p>
        </w:tc>
        <w:tc>
          <w:tcPr>
            <w:tcW w:w="1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002298</w:t>
            </w:r>
          </w:p>
        </w:tc>
      </w:tr>
      <w:tr>
        <w:trPr>
          <w:trHeight w:val="404"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安徽中电兴发与鑫龙科技股份有限公司</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中电兴发</w:t>
            </w:r>
          </w:p>
        </w:tc>
      </w:tr>
      <w:tr>
        <w:trPr>
          <w:trHeight w:val="710"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6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77"/>
              <w:ind w:left="105" w:right="590"/>
              <w:jc w:val="left"/>
              <w:rPr>
                <w:rFonts w:ascii="Times New Roman" w:hAnsi="Times New Roman" w:cs="Times New Roman" w:eastAsia="Times New Roman" w:hint="default"/>
                <w:sz w:val="21"/>
                <w:szCs w:val="21"/>
              </w:rPr>
            </w:pPr>
            <w:r>
              <w:rPr>
                <w:rFonts w:ascii="Times New Roman"/>
                <w:sz w:val="21"/>
              </w:rPr>
              <w:t>ANHUI</w:t>
            </w:r>
            <w:r>
              <w:rPr>
                <w:rFonts w:ascii="Times New Roman"/>
                <w:spacing w:val="-6"/>
                <w:sz w:val="21"/>
              </w:rPr>
              <w:t> </w:t>
            </w:r>
            <w:r>
              <w:rPr>
                <w:rFonts w:ascii="Times New Roman"/>
                <w:sz w:val="21"/>
              </w:rPr>
              <w:t>SINONET</w:t>
            </w:r>
            <w:r>
              <w:rPr>
                <w:rFonts w:ascii="Times New Roman"/>
                <w:spacing w:val="-11"/>
                <w:sz w:val="21"/>
              </w:rPr>
              <w:t> </w:t>
            </w:r>
            <w:r>
              <w:rPr>
                <w:rFonts w:ascii="Times New Roman"/>
                <w:sz w:val="21"/>
              </w:rPr>
              <w:t>&amp;</w:t>
            </w:r>
            <w:r>
              <w:rPr>
                <w:rFonts w:ascii="Times New Roman"/>
                <w:spacing w:val="-4"/>
                <w:sz w:val="21"/>
              </w:rPr>
              <w:t> </w:t>
            </w:r>
            <w:r>
              <w:rPr>
                <w:rFonts w:ascii="Times New Roman"/>
                <w:sz w:val="21"/>
              </w:rPr>
              <w:t>XINLONG</w:t>
            </w:r>
            <w:r>
              <w:rPr>
                <w:rFonts w:ascii="Times New Roman"/>
                <w:spacing w:val="-2"/>
                <w:sz w:val="21"/>
              </w:rPr>
              <w:t> </w:t>
            </w:r>
            <w:r>
              <w:rPr>
                <w:rFonts w:ascii="Times New Roman"/>
                <w:sz w:val="21"/>
              </w:rPr>
              <w:t>SCIENCE</w:t>
            </w:r>
            <w:r>
              <w:rPr>
                <w:rFonts w:ascii="Times New Roman"/>
                <w:spacing w:val="-3"/>
                <w:sz w:val="21"/>
              </w:rPr>
              <w:t> </w:t>
            </w:r>
            <w:r>
              <w:rPr>
                <w:rFonts w:ascii="Times New Roman"/>
                <w:sz w:val="21"/>
              </w:rPr>
              <w:t>&amp;</w:t>
            </w:r>
            <w:r>
              <w:rPr>
                <w:rFonts w:ascii="Times New Roman"/>
                <w:spacing w:val="-7"/>
                <w:sz w:val="21"/>
              </w:rPr>
              <w:t> </w:t>
            </w:r>
            <w:r>
              <w:rPr>
                <w:rFonts w:ascii="Times New Roman"/>
                <w:sz w:val="21"/>
              </w:rPr>
              <w:t>TECHNOLOGY</w:t>
            </w:r>
            <w:r>
              <w:rPr>
                <w:rFonts w:ascii="Times New Roman"/>
                <w:spacing w:val="-11"/>
                <w:sz w:val="21"/>
              </w:rPr>
              <w:t> </w:t>
            </w:r>
            <w:r>
              <w:rPr>
                <w:rFonts w:ascii="Times New Roman"/>
                <w:sz w:val="21"/>
              </w:rPr>
              <w:t>CO.,</w:t>
            </w:r>
            <w:r>
              <w:rPr>
                <w:rFonts w:ascii="Times New Roman"/>
                <w:w w:val="100"/>
                <w:sz w:val="21"/>
              </w:rPr>
              <w:t> </w:t>
            </w:r>
            <w:r>
              <w:rPr>
                <w:rFonts w:ascii="Times New Roman"/>
                <w:spacing w:val="-8"/>
                <w:sz w:val="21"/>
              </w:rPr>
              <w:t>LTD.</w:t>
            </w:r>
          </w:p>
        </w:tc>
      </w:tr>
      <w:tr>
        <w:trPr>
          <w:trHeight w:val="404"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公司的外文名称缩写（如有）</w:t>
            </w:r>
          </w:p>
        </w:tc>
        <w:tc>
          <w:tcPr>
            <w:tcW w:w="6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S&amp;X</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安徽省芜湖市经济技术开发区电器部件园（九华北路 </w:t>
            </w:r>
            <w:r>
              <w:rPr>
                <w:rFonts w:ascii="Times New Roman" w:hAnsi="Times New Roman" w:cs="Times New Roman" w:eastAsia="Times New Roman" w:hint="default"/>
                <w:spacing w:val="-4"/>
                <w:sz w:val="21"/>
                <w:szCs w:val="21"/>
              </w:rPr>
              <w:t>118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p>
        </w:tc>
      </w:tr>
      <w:tr>
        <w:trPr>
          <w:trHeight w:val="398"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241008</w:t>
            </w:r>
          </w:p>
        </w:tc>
      </w:tr>
      <w:tr>
        <w:trPr>
          <w:trHeight w:val="404"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安徽省芜湖市经济技术开发区电器部件园（九华北路 </w:t>
            </w:r>
            <w:r>
              <w:rPr>
                <w:rFonts w:ascii="Times New Roman" w:hAnsi="Times New Roman" w:cs="Times New Roman" w:eastAsia="Times New Roman" w:hint="default"/>
                <w:spacing w:val="-4"/>
                <w:sz w:val="21"/>
                <w:szCs w:val="21"/>
              </w:rPr>
              <w:t>118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号）</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241008</w:t>
            </w:r>
          </w:p>
        </w:tc>
      </w:tr>
      <w:tr>
        <w:trPr>
          <w:trHeight w:val="403"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6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hyperlink r:id="rId10">
              <w:r>
                <w:rPr>
                  <w:rFonts w:ascii="Times New Roman"/>
                  <w:sz w:val="21"/>
                </w:rPr>
                <w:t>www.ah-zdxl.com</w:t>
              </w:r>
            </w:hyperlink>
          </w:p>
        </w:tc>
      </w:tr>
      <w:tr>
        <w:trPr>
          <w:trHeight w:val="398" w:hRule="exact"/>
        </w:trPr>
        <w:tc>
          <w:tcPr>
            <w:tcW w:w="2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6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hyperlink r:id="rId11">
              <w:r>
                <w:rPr>
                  <w:rFonts w:ascii="Times New Roman"/>
                  <w:sz w:val="21"/>
                </w:rPr>
                <w:t>xinlongdsb@126.com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002"/>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2473"/>
        <w:gridCol w:w="3664"/>
        <w:gridCol w:w="3438"/>
      </w:tblGrid>
      <w:tr>
        <w:trPr>
          <w:trHeight w:val="398"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8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汪宇</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甘洪亮</w:t>
            </w:r>
          </w:p>
        </w:tc>
      </w:tr>
      <w:tr>
        <w:trPr>
          <w:trHeight w:val="716"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9"/>
              <w:ind w:left="105" w:right="181"/>
              <w:jc w:val="left"/>
              <w:rPr>
                <w:rFonts w:ascii="宋体" w:hAnsi="宋体" w:cs="宋体" w:eastAsia="宋体" w:hint="default"/>
                <w:sz w:val="21"/>
                <w:szCs w:val="21"/>
              </w:rPr>
            </w:pPr>
            <w:r>
              <w:rPr>
                <w:rFonts w:ascii="宋体" w:hAnsi="宋体" w:cs="宋体" w:eastAsia="宋体" w:hint="default"/>
                <w:spacing w:val="-1"/>
                <w:sz w:val="21"/>
                <w:szCs w:val="21"/>
              </w:rPr>
              <w:t>安徽省芜湖市经济技术开发区九华北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路</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118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9"/>
              <w:ind w:left="100" w:right="171"/>
              <w:jc w:val="left"/>
              <w:rPr>
                <w:rFonts w:ascii="宋体" w:hAnsi="宋体" w:cs="宋体" w:eastAsia="宋体" w:hint="default"/>
                <w:sz w:val="21"/>
                <w:szCs w:val="21"/>
              </w:rPr>
            </w:pPr>
            <w:r>
              <w:rPr>
                <w:rFonts w:ascii="宋体" w:hAnsi="宋体" w:cs="宋体" w:eastAsia="宋体" w:hint="default"/>
                <w:spacing w:val="-1"/>
                <w:sz w:val="21"/>
                <w:szCs w:val="21"/>
              </w:rPr>
              <w:t>安徽省芜湖市经济技术开发区九华</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北路</w:t>
            </w:r>
            <w:r>
              <w:rPr>
                <w:rFonts w:ascii="宋体" w:hAnsi="宋体" w:cs="宋体" w:eastAsia="宋体" w:hint="default"/>
                <w:spacing w:val="-50"/>
                <w:sz w:val="21"/>
                <w:szCs w:val="21"/>
              </w:rPr>
              <w:t> </w:t>
            </w:r>
            <w:r>
              <w:rPr>
                <w:rFonts w:ascii="Times New Roman" w:hAnsi="Times New Roman" w:cs="Times New Roman" w:eastAsia="Times New Roman" w:hint="default"/>
                <w:spacing w:val="-4"/>
                <w:sz w:val="21"/>
                <w:szCs w:val="21"/>
              </w:rPr>
              <w:t>118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0553-5772627</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sz w:val="21"/>
              </w:rPr>
              <w:t>0553-5772627</w:t>
            </w:r>
          </w:p>
        </w:tc>
      </w:tr>
      <w:tr>
        <w:trPr>
          <w:trHeight w:val="398"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0553-5312688</w:t>
            </w:r>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sz w:val="21"/>
              </w:rPr>
              <w:t>0553-5772865</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hyperlink r:id="rId11">
              <w:r>
                <w:rPr>
                  <w:rFonts w:ascii="Times New Roman"/>
                  <w:sz w:val="21"/>
                </w:rPr>
                <w:t>xinlongdsb@126.com</w:t>
              </w:r>
            </w:hyperlink>
          </w:p>
        </w:tc>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hyperlink r:id="rId12">
              <w:r>
                <w:rPr>
                  <w:rFonts w:ascii="Times New Roman"/>
                  <w:sz w:val="21"/>
                </w:rPr>
                <w:t>ganhongliang@163.com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1002"/>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4302"/>
        <w:gridCol w:w="5267"/>
      </w:tblGrid>
      <w:tr>
        <w:trPr>
          <w:trHeight w:val="398"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公司选定的信息披露媒体的名称</w:t>
            </w:r>
          </w:p>
        </w:tc>
        <w:tc>
          <w:tcPr>
            <w:tcW w:w="5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《证券时报</w:t>
            </w:r>
            <w:r>
              <w:rPr>
                <w:rFonts w:ascii="宋体" w:hAnsi="宋体" w:cs="宋体" w:eastAsia="宋体" w:hint="default"/>
                <w:spacing w:val="-111"/>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国</w:t>
            </w:r>
            <w:r>
              <w:rPr>
                <w:rFonts w:ascii="宋体" w:hAnsi="宋体" w:cs="宋体" w:eastAsia="宋体" w:hint="default"/>
                <w:w w:val="100"/>
                <w:sz w:val="21"/>
                <w:szCs w:val="21"/>
              </w:rPr>
              <w:t>证券报</w:t>
            </w:r>
            <w:r>
              <w:rPr>
                <w:rFonts w:ascii="宋体" w:hAnsi="宋体" w:cs="宋体" w:eastAsia="宋体" w:hint="default"/>
                <w:spacing w:val="-106"/>
                <w:w w:val="100"/>
                <w:sz w:val="21"/>
                <w:szCs w:val="21"/>
              </w:rPr>
              <w:t>》</w:t>
            </w:r>
            <w:r>
              <w:rPr>
                <w:rFonts w:ascii="宋体" w:hAnsi="宋体" w:cs="宋体" w:eastAsia="宋体" w:hint="default"/>
                <w:spacing w:val="-111"/>
                <w:w w:val="100"/>
                <w:sz w:val="21"/>
                <w:szCs w:val="21"/>
              </w:rPr>
              <w:t>、</w:t>
            </w:r>
            <w:r>
              <w:rPr>
                <w:rFonts w:ascii="宋体" w:hAnsi="宋体" w:cs="宋体" w:eastAsia="宋体" w:hint="default"/>
                <w:w w:val="100"/>
                <w:sz w:val="21"/>
                <w:szCs w:val="21"/>
              </w:rPr>
              <w:t>《上海</w:t>
            </w:r>
            <w:r>
              <w:rPr>
                <w:rFonts w:ascii="宋体" w:hAnsi="宋体" w:cs="宋体" w:eastAsia="宋体" w:hint="default"/>
                <w:spacing w:val="-5"/>
                <w:w w:val="100"/>
                <w:sz w:val="21"/>
                <w:szCs w:val="21"/>
              </w:rPr>
              <w:t>证</w:t>
            </w:r>
            <w:r>
              <w:rPr>
                <w:rFonts w:ascii="宋体" w:hAnsi="宋体" w:cs="宋体" w:eastAsia="宋体" w:hint="default"/>
                <w:w w:val="100"/>
                <w:sz w:val="21"/>
                <w:szCs w:val="21"/>
              </w:rPr>
              <w:t>券报》</w:t>
            </w:r>
          </w:p>
        </w:tc>
      </w:tr>
      <w:tr>
        <w:trPr>
          <w:trHeight w:val="404"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8">
              <w:r>
                <w:rPr>
                  <w:rFonts w:ascii="Times New Roman" w:hAnsi="Times New Roman" w:cs="Times New Roman" w:eastAsia="Times New Roman" w:hint="default"/>
                  <w:sz w:val="21"/>
                  <w:szCs w:val="21"/>
                </w:rPr>
                <w:t>www.cninfo.com.cn</w:t>
              </w:r>
            </w:hyperlink>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w:t>
            </w: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6"/>
        <w:rPr>
          <w:rFonts w:ascii="宋体" w:hAnsi="宋体" w:cs="宋体" w:eastAsia="宋体" w:hint="default"/>
          <w:b/>
          <w:bCs/>
          <w:sz w:val="20"/>
          <w:szCs w:val="20"/>
        </w:rPr>
      </w:pPr>
    </w:p>
    <w:p>
      <w:pPr>
        <w:pStyle w:val="Heading2"/>
        <w:spacing w:line="240" w:lineRule="auto" w:before="26"/>
        <w:ind w:right="1002"/>
        <w:jc w:val="left"/>
        <w:rPr>
          <w:b w:val="0"/>
          <w:bCs w:val="0"/>
        </w:rPr>
      </w:pPr>
      <w:bookmarkStart w:name="四、注册变更情况" w:id="7"/>
      <w:bookmarkEnd w:id="7"/>
      <w:r>
        <w:rPr>
          <w:b w:val="0"/>
          <w:bCs w:val="0"/>
        </w:rPr>
      </w:r>
      <w:r>
        <w:rPr/>
        <w:t>四、注册变更情况</w:t>
      </w:r>
      <w:r>
        <w:rPr>
          <w:b w:val="0"/>
          <w:bCs w:val="0"/>
        </w:rPr>
      </w:r>
    </w:p>
    <w:p>
      <w:pPr>
        <w:spacing w:line="240" w:lineRule="auto" w:before="0"/>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2459"/>
        <w:gridCol w:w="7111"/>
      </w:tblGrid>
      <w:tr>
        <w:trPr>
          <w:trHeight w:val="403"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7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无变更</w:t>
            </w:r>
          </w:p>
        </w:tc>
      </w:tr>
      <w:tr>
        <w:trPr>
          <w:trHeight w:val="1023"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105" w:right="239"/>
              <w:jc w:val="left"/>
              <w:rPr>
                <w:rFonts w:ascii="宋体" w:hAnsi="宋体" w:cs="宋体" w:eastAsia="宋体" w:hint="default"/>
                <w:sz w:val="21"/>
                <w:szCs w:val="21"/>
              </w:rPr>
            </w:pPr>
            <w:r>
              <w:rPr>
                <w:rFonts w:ascii="宋体" w:hAnsi="宋体" w:cs="宋体" w:eastAsia="宋体" w:hint="default"/>
                <w:spacing w:val="-1"/>
                <w:sz w:val="21"/>
                <w:szCs w:val="21"/>
              </w:rPr>
              <w:t>公司上市以来主营业务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的变化情况（如有）</w:t>
            </w:r>
          </w:p>
        </w:tc>
        <w:tc>
          <w:tcPr>
            <w:tcW w:w="711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9"/>
              <w:ind w:left="105" w:right="95"/>
              <w:jc w:val="left"/>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年成功完成重大资产重组，公司所属行业变更为软件和信息技术服</w:t>
            </w:r>
            <w:r>
              <w:rPr>
                <w:rFonts w:ascii="宋体" w:hAnsi="宋体" w:cs="宋体" w:eastAsia="宋体" w:hint="default"/>
                <w:w w:val="100"/>
                <w:sz w:val="21"/>
                <w:szCs w:val="21"/>
              </w:rPr>
              <w:t> </w:t>
            </w:r>
            <w:r>
              <w:rPr>
                <w:rFonts w:ascii="宋体" w:hAnsi="宋体" w:cs="宋体" w:eastAsia="宋体" w:hint="default"/>
                <w:spacing w:val="-3"/>
                <w:sz w:val="21"/>
                <w:szCs w:val="21"/>
              </w:rPr>
              <w:t>务业，主营业务为坚持“以智慧中国业务为龙头，以新通信业务和新一代光</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纤网络业务为两翼”的主营业务发展战略。</w:t>
            </w:r>
          </w:p>
        </w:tc>
      </w:tr>
      <w:tr>
        <w:trPr>
          <w:trHeight w:val="7039" w:hRule="exact"/>
        </w:trPr>
        <w:tc>
          <w:tcPr>
            <w:tcW w:w="2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73" w:lineRule="auto"/>
              <w:ind w:left="105" w:right="239"/>
              <w:jc w:val="left"/>
              <w:rPr>
                <w:rFonts w:ascii="宋体" w:hAnsi="宋体" w:cs="宋体" w:eastAsia="宋体" w:hint="default"/>
                <w:sz w:val="21"/>
                <w:szCs w:val="21"/>
              </w:rPr>
            </w:pPr>
            <w:r>
              <w:rPr>
                <w:rFonts w:ascii="宋体" w:hAnsi="宋体" w:cs="宋体" w:eastAsia="宋体" w:hint="default"/>
                <w:spacing w:val="-1"/>
                <w:sz w:val="21"/>
                <w:szCs w:val="21"/>
              </w:rPr>
              <w:t>历次控股股东的变更情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况（如有）</w:t>
            </w:r>
          </w:p>
        </w:tc>
        <w:tc>
          <w:tcPr>
            <w:tcW w:w="7111"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105" w:right="-13"/>
              <w:jc w:val="left"/>
              <w:rPr>
                <w:rFonts w:ascii="宋体" w:hAnsi="宋体" w:cs="宋体" w:eastAsia="宋体" w:hint="default"/>
                <w:sz w:val="21"/>
                <w:szCs w:val="21"/>
              </w:rPr>
            </w:pPr>
            <w:r>
              <w:rPr>
                <w:rFonts w:ascii="Times New Roman" w:hAnsi="Times New Roman" w:cs="Times New Roman" w:eastAsia="Times New Roman" w:hint="default"/>
                <w:spacing w:val="-23"/>
                <w:w w:val="100"/>
                <w:sz w:val="21"/>
                <w:szCs w:val="21"/>
              </w:rPr>
              <w:t>1</w:t>
            </w:r>
            <w:r>
              <w:rPr>
                <w:rFonts w:ascii="宋体" w:hAnsi="宋体" w:cs="宋体" w:eastAsia="宋体" w:hint="default"/>
                <w:spacing w:val="-23"/>
                <w:w w:val="100"/>
                <w:sz w:val="21"/>
                <w:szCs w:val="21"/>
              </w:rPr>
              <w:t>、公司</w:t>
            </w:r>
            <w:r>
              <w:rPr>
                <w:rFonts w:ascii="宋体" w:hAnsi="宋体" w:cs="宋体" w:eastAsia="宋体" w:hint="default"/>
                <w:w w:val="100"/>
                <w:sz w:val="21"/>
                <w:szCs w:val="21"/>
              </w:rPr>
              <w:t> </w:t>
            </w:r>
            <w:r>
              <w:rPr>
                <w:rFonts w:ascii="Times New Roman" w:hAnsi="Times New Roman" w:cs="Times New Roman" w:eastAsia="Times New Roman" w:hint="default"/>
                <w:spacing w:val="-2"/>
                <w:w w:val="100"/>
                <w:sz w:val="21"/>
                <w:szCs w:val="21"/>
              </w:rPr>
              <w:t>2018</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 </w:t>
            </w:r>
            <w:r>
              <w:rPr>
                <w:rFonts w:ascii="Times New Roman" w:hAnsi="Times New Roman" w:cs="Times New Roman" w:eastAsia="Times New Roman" w:hint="default"/>
                <w:spacing w:val="-3"/>
                <w:w w:val="100"/>
                <w:sz w:val="21"/>
                <w:szCs w:val="21"/>
              </w:rPr>
              <w:t>12</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月 </w:t>
            </w:r>
            <w:r>
              <w:rPr>
                <w:rFonts w:ascii="Times New Roman" w:hAnsi="Times New Roman" w:cs="Times New Roman" w:eastAsia="Times New Roman" w:hint="default"/>
                <w:spacing w:val="-5"/>
                <w:w w:val="100"/>
                <w:sz w:val="21"/>
                <w:szCs w:val="21"/>
              </w:rPr>
              <w:t>11</w:t>
            </w:r>
            <w:r>
              <w:rPr>
                <w:rFonts w:ascii="Times New Roman" w:hAnsi="Times New Roman" w:cs="Times New Roman" w:eastAsia="Times New Roman" w:hint="default"/>
                <w:spacing w:val="17"/>
                <w:w w:val="100"/>
                <w:sz w:val="21"/>
                <w:szCs w:val="21"/>
              </w:rPr>
              <w:t> </w:t>
            </w:r>
            <w:r>
              <w:rPr>
                <w:rFonts w:ascii="宋体" w:hAnsi="宋体" w:cs="宋体" w:eastAsia="宋体" w:hint="default"/>
                <w:spacing w:val="-6"/>
                <w:w w:val="100"/>
                <w:sz w:val="21"/>
                <w:szCs w:val="21"/>
              </w:rPr>
              <w:t>日披露了《关于控股股东减持股份预披露的公告》</w:t>
            </w:r>
            <w:r>
              <w:rPr>
                <w:rFonts w:ascii="宋体" w:hAnsi="宋体" w:cs="宋体" w:eastAsia="宋体" w:hint="default"/>
                <w:w w:val="100"/>
                <w:sz w:val="21"/>
                <w:szCs w:val="21"/>
              </w:rPr>
              <w:t> </w:t>
            </w:r>
            <w:r>
              <w:rPr>
                <w:rFonts w:ascii="宋体" w:hAnsi="宋体" w:cs="宋体" w:eastAsia="宋体" w:hint="default"/>
                <w:spacing w:val="-9"/>
                <w:w w:val="100"/>
                <w:sz w:val="21"/>
                <w:szCs w:val="21"/>
              </w:rPr>
              <w:t>和《关于持股</w:t>
            </w:r>
            <w:r>
              <w:rPr>
                <w:rFonts w:ascii="宋体" w:hAnsi="宋体" w:cs="宋体" w:eastAsia="宋体" w:hint="default"/>
                <w:w w:val="100"/>
                <w:sz w:val="21"/>
                <w:szCs w:val="21"/>
              </w:rPr>
              <w:t> </w:t>
            </w:r>
            <w:r>
              <w:rPr>
                <w:rFonts w:ascii="Times New Roman" w:hAnsi="Times New Roman" w:cs="Times New Roman" w:eastAsia="Times New Roman" w:hint="default"/>
                <w:spacing w:val="-7"/>
                <w:w w:val="100"/>
                <w:sz w:val="21"/>
                <w:szCs w:val="21"/>
              </w:rPr>
              <w:t>5%</w:t>
            </w:r>
            <w:r>
              <w:rPr>
                <w:rFonts w:ascii="宋体" w:hAnsi="宋体" w:cs="宋体" w:eastAsia="宋体" w:hint="default"/>
                <w:spacing w:val="-7"/>
                <w:w w:val="100"/>
                <w:sz w:val="21"/>
                <w:szCs w:val="21"/>
              </w:rPr>
              <w:t>以上股东计划增持公司股份的公告》，公司控股股东束龙胜</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3"/>
                <w:sz w:val="21"/>
                <w:szCs w:val="21"/>
              </w:rPr>
              <w:t>先生拟向公司第二大股东瞿洪桂先生控制的云泽投资管理（天津）有限公司</w:t>
            </w:r>
          </w:p>
          <w:p>
            <w:pPr>
              <w:pStyle w:val="TableParagraph"/>
              <w:spacing w:line="240" w:lineRule="auto" w:before="22"/>
              <w:ind w:left="105" w:right="0"/>
              <w:jc w:val="left"/>
              <w:rPr>
                <w:rFonts w:ascii="宋体" w:hAnsi="宋体" w:cs="宋体" w:eastAsia="宋体" w:hint="default"/>
                <w:sz w:val="21"/>
                <w:szCs w:val="21"/>
              </w:rPr>
            </w:pPr>
            <w:r>
              <w:rPr>
                <w:rFonts w:ascii="宋体" w:hAnsi="宋体" w:cs="宋体" w:eastAsia="宋体" w:hint="default"/>
                <w:w w:val="100"/>
                <w:sz w:val="21"/>
                <w:szCs w:val="21"/>
              </w:rPr>
              <w:t>（以下简</w:t>
            </w:r>
            <w:r>
              <w:rPr>
                <w:rFonts w:ascii="宋体" w:hAnsi="宋体" w:cs="宋体" w:eastAsia="宋体" w:hint="default"/>
                <w:spacing w:val="-14"/>
                <w:w w:val="100"/>
                <w:sz w:val="21"/>
                <w:szCs w:val="21"/>
              </w:rPr>
              <w:t>称</w:t>
            </w:r>
            <w:r>
              <w:rPr>
                <w:rFonts w:ascii="宋体" w:hAnsi="宋体" w:cs="宋体" w:eastAsia="宋体" w:hint="default"/>
                <w:w w:val="100"/>
                <w:sz w:val="21"/>
                <w:szCs w:val="21"/>
              </w:rPr>
              <w:t>“云</w:t>
            </w:r>
            <w:r>
              <w:rPr>
                <w:rFonts w:ascii="宋体" w:hAnsi="宋体" w:cs="宋体" w:eastAsia="宋体" w:hint="default"/>
                <w:spacing w:val="-5"/>
                <w:w w:val="100"/>
                <w:sz w:val="21"/>
                <w:szCs w:val="21"/>
              </w:rPr>
              <w:t>泽</w:t>
            </w:r>
            <w:r>
              <w:rPr>
                <w:rFonts w:ascii="宋体" w:hAnsi="宋体" w:cs="宋体" w:eastAsia="宋体" w:hint="default"/>
                <w:w w:val="100"/>
                <w:sz w:val="21"/>
                <w:szCs w:val="21"/>
              </w:rPr>
              <w:t>投资</w:t>
            </w:r>
            <w:r>
              <w:rPr>
                <w:rFonts w:ascii="宋体" w:hAnsi="宋体" w:cs="宋体" w:eastAsia="宋体" w:hint="default"/>
                <w:spacing w:val="-111"/>
                <w:w w:val="100"/>
                <w:sz w:val="21"/>
                <w:szCs w:val="21"/>
              </w:rPr>
              <w:t>”</w:t>
            </w:r>
            <w:r>
              <w:rPr>
                <w:rFonts w:ascii="宋体" w:hAnsi="宋体" w:cs="宋体" w:eastAsia="宋体" w:hint="default"/>
                <w:spacing w:val="-10"/>
                <w:w w:val="100"/>
                <w:sz w:val="21"/>
                <w:szCs w:val="21"/>
              </w:rPr>
              <w:t>）</w:t>
            </w:r>
            <w:r>
              <w:rPr>
                <w:rFonts w:ascii="宋体" w:hAnsi="宋体" w:cs="宋体" w:eastAsia="宋体" w:hint="default"/>
                <w:w w:val="100"/>
                <w:sz w:val="21"/>
                <w:szCs w:val="21"/>
              </w:rPr>
              <w:t>所</w:t>
            </w:r>
            <w:r>
              <w:rPr>
                <w:rFonts w:ascii="宋体" w:hAnsi="宋体" w:cs="宋体" w:eastAsia="宋体" w:hint="default"/>
                <w:spacing w:val="-5"/>
                <w:w w:val="100"/>
                <w:sz w:val="21"/>
                <w:szCs w:val="21"/>
              </w:rPr>
              <w:t>发</w:t>
            </w:r>
            <w:r>
              <w:rPr>
                <w:rFonts w:ascii="宋体" w:hAnsi="宋体" w:cs="宋体" w:eastAsia="宋体" w:hint="default"/>
                <w:w w:val="100"/>
                <w:sz w:val="21"/>
                <w:szCs w:val="21"/>
              </w:rPr>
              <w:t>行的云</w:t>
            </w:r>
            <w:r>
              <w:rPr>
                <w:rFonts w:ascii="宋体" w:hAnsi="宋体" w:cs="宋体" w:eastAsia="宋体" w:hint="default"/>
                <w:spacing w:val="-5"/>
                <w:w w:val="100"/>
                <w:sz w:val="21"/>
                <w:szCs w:val="21"/>
              </w:rPr>
              <w:t>泽</w:t>
            </w:r>
            <w:r>
              <w:rPr>
                <w:rFonts w:ascii="宋体" w:hAnsi="宋体" w:cs="宋体" w:eastAsia="宋体" w:hint="default"/>
                <w:w w:val="100"/>
                <w:sz w:val="21"/>
                <w:szCs w:val="21"/>
              </w:rPr>
              <w:t>投资</w:t>
            </w:r>
            <w:r>
              <w:rPr>
                <w:rFonts w:ascii="宋体" w:hAnsi="宋体" w:cs="宋体" w:eastAsia="宋体" w:hint="default"/>
                <w:spacing w:val="1"/>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号</w:t>
            </w:r>
            <w:r>
              <w:rPr>
                <w:rFonts w:ascii="宋体" w:hAnsi="宋体" w:cs="宋体" w:eastAsia="宋体" w:hint="default"/>
                <w:spacing w:val="-5"/>
                <w:w w:val="100"/>
                <w:sz w:val="21"/>
                <w:szCs w:val="21"/>
              </w:rPr>
              <w:t>私</w:t>
            </w:r>
            <w:r>
              <w:rPr>
                <w:rFonts w:ascii="宋体" w:hAnsi="宋体" w:cs="宋体" w:eastAsia="宋体" w:hint="default"/>
                <w:w w:val="100"/>
                <w:sz w:val="21"/>
                <w:szCs w:val="21"/>
              </w:rPr>
              <w:t>募证券投</w:t>
            </w:r>
            <w:r>
              <w:rPr>
                <w:rFonts w:ascii="宋体" w:hAnsi="宋体" w:cs="宋体" w:eastAsia="宋体" w:hint="default"/>
                <w:spacing w:val="-5"/>
                <w:w w:val="100"/>
                <w:sz w:val="21"/>
                <w:szCs w:val="21"/>
              </w:rPr>
              <w:t>资</w:t>
            </w:r>
            <w:r>
              <w:rPr>
                <w:rFonts w:ascii="宋体" w:hAnsi="宋体" w:cs="宋体" w:eastAsia="宋体" w:hint="default"/>
                <w:w w:val="100"/>
                <w:sz w:val="21"/>
                <w:szCs w:val="21"/>
              </w:rPr>
              <w:t>基</w:t>
            </w:r>
            <w:r>
              <w:rPr>
                <w:rFonts w:ascii="宋体" w:hAnsi="宋体" w:cs="宋体" w:eastAsia="宋体" w:hint="default"/>
                <w:spacing w:val="-10"/>
                <w:w w:val="100"/>
                <w:sz w:val="21"/>
                <w:szCs w:val="21"/>
              </w:rPr>
              <w:t>金</w:t>
            </w:r>
            <w:r>
              <w:rPr>
                <w:rFonts w:ascii="宋体" w:hAnsi="宋体" w:cs="宋体" w:eastAsia="宋体" w:hint="default"/>
                <w:spacing w:val="-4"/>
                <w:w w:val="100"/>
                <w:sz w:val="21"/>
                <w:szCs w:val="21"/>
              </w:rPr>
              <w:t>（</w:t>
            </w:r>
            <w:r>
              <w:rPr>
                <w:rFonts w:ascii="宋体" w:hAnsi="宋体" w:cs="宋体" w:eastAsia="宋体" w:hint="default"/>
                <w:w w:val="100"/>
                <w:sz w:val="21"/>
                <w:szCs w:val="21"/>
              </w:rPr>
              <w:t>以下</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w w:val="100"/>
                <w:sz w:val="21"/>
                <w:szCs w:val="21"/>
              </w:rPr>
              <w:t>简</w:t>
            </w:r>
            <w:r>
              <w:rPr>
                <w:rFonts w:ascii="宋体" w:hAnsi="宋体" w:cs="宋体" w:eastAsia="宋体" w:hint="default"/>
                <w:spacing w:val="-20"/>
                <w:w w:val="100"/>
                <w:sz w:val="21"/>
                <w:szCs w:val="21"/>
              </w:rPr>
              <w:t>称</w:t>
            </w:r>
            <w:r>
              <w:rPr>
                <w:rFonts w:ascii="宋体" w:hAnsi="宋体" w:cs="宋体" w:eastAsia="宋体" w:hint="default"/>
                <w:w w:val="100"/>
                <w:sz w:val="21"/>
                <w:szCs w:val="21"/>
              </w:rPr>
              <w:t>“云泽投资</w:t>
            </w:r>
            <w:r>
              <w:rPr>
                <w:rFonts w:ascii="宋体" w:hAnsi="宋体" w:cs="宋体" w:eastAsia="宋体" w:hint="default"/>
                <w:spacing w:val="-4"/>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号</w:t>
            </w:r>
            <w:r>
              <w:rPr>
                <w:rFonts w:ascii="宋体" w:hAnsi="宋体" w:cs="宋体" w:eastAsia="宋体" w:hint="default"/>
                <w:spacing w:val="-5"/>
                <w:w w:val="100"/>
                <w:sz w:val="21"/>
                <w:szCs w:val="21"/>
              </w:rPr>
              <w:t>基</w:t>
            </w:r>
            <w:r>
              <w:rPr>
                <w:rFonts w:ascii="宋体" w:hAnsi="宋体" w:cs="宋体" w:eastAsia="宋体" w:hint="default"/>
                <w:w w:val="100"/>
                <w:sz w:val="21"/>
                <w:szCs w:val="21"/>
              </w:rPr>
              <w:t>金</w:t>
            </w:r>
            <w:r>
              <w:rPr>
                <w:rFonts w:ascii="宋体" w:hAnsi="宋体" w:cs="宋体" w:eastAsia="宋体" w:hint="default"/>
                <w:spacing w:val="-106"/>
                <w:w w:val="100"/>
                <w:sz w:val="21"/>
                <w:szCs w:val="21"/>
              </w:rPr>
              <w:t>”</w:t>
            </w:r>
            <w:r>
              <w:rPr>
                <w:rFonts w:ascii="宋体" w:hAnsi="宋体" w:cs="宋体" w:eastAsia="宋体" w:hint="default"/>
                <w:spacing w:val="-20"/>
                <w:w w:val="100"/>
                <w:sz w:val="21"/>
                <w:szCs w:val="21"/>
              </w:rPr>
              <w:t>）</w:t>
            </w:r>
            <w:r>
              <w:rPr>
                <w:rFonts w:ascii="宋体" w:hAnsi="宋体" w:cs="宋体" w:eastAsia="宋体" w:hint="default"/>
                <w:w w:val="100"/>
                <w:sz w:val="21"/>
                <w:szCs w:val="21"/>
              </w:rPr>
              <w:t>自计</w:t>
            </w:r>
            <w:r>
              <w:rPr>
                <w:rFonts w:ascii="宋体" w:hAnsi="宋体" w:cs="宋体" w:eastAsia="宋体" w:hint="default"/>
                <w:spacing w:val="-5"/>
                <w:w w:val="100"/>
                <w:sz w:val="21"/>
                <w:szCs w:val="21"/>
              </w:rPr>
              <w:t>划</w:t>
            </w:r>
            <w:r>
              <w:rPr>
                <w:rFonts w:ascii="宋体" w:hAnsi="宋体" w:cs="宋体" w:eastAsia="宋体" w:hint="default"/>
                <w:w w:val="100"/>
                <w:sz w:val="21"/>
                <w:szCs w:val="21"/>
              </w:rPr>
              <w:t>减持公</w:t>
            </w:r>
            <w:r>
              <w:rPr>
                <w:rFonts w:ascii="宋体" w:hAnsi="宋体" w:cs="宋体" w:eastAsia="宋体" w:hint="default"/>
                <w:spacing w:val="-5"/>
                <w:w w:val="100"/>
                <w:sz w:val="21"/>
                <w:szCs w:val="21"/>
              </w:rPr>
              <w:t>告</w:t>
            </w:r>
            <w:r>
              <w:rPr>
                <w:rFonts w:ascii="宋体" w:hAnsi="宋体" w:cs="宋体" w:eastAsia="宋体" w:hint="default"/>
                <w:w w:val="100"/>
                <w:sz w:val="21"/>
                <w:szCs w:val="21"/>
              </w:rPr>
              <w:t>披露</w:t>
            </w:r>
            <w:r>
              <w:rPr>
                <w:rFonts w:ascii="宋体" w:hAnsi="宋体" w:cs="宋体" w:eastAsia="宋体" w:hint="default"/>
                <w:spacing w:val="-5"/>
                <w:w w:val="100"/>
                <w:sz w:val="21"/>
                <w:szCs w:val="21"/>
              </w:rPr>
              <w:t>之</w:t>
            </w:r>
            <w:r>
              <w:rPr>
                <w:rFonts w:ascii="宋体" w:hAnsi="宋体" w:cs="宋体" w:eastAsia="宋体" w:hint="default"/>
                <w:w w:val="100"/>
                <w:sz w:val="21"/>
                <w:szCs w:val="21"/>
              </w:rPr>
              <w:t>日起六个</w:t>
            </w:r>
            <w:r>
              <w:rPr>
                <w:rFonts w:ascii="宋体" w:hAnsi="宋体" w:cs="宋体" w:eastAsia="宋体" w:hint="default"/>
                <w:spacing w:val="-5"/>
                <w:w w:val="100"/>
                <w:sz w:val="21"/>
                <w:szCs w:val="21"/>
              </w:rPr>
              <w:t>月</w:t>
            </w:r>
            <w:r>
              <w:rPr>
                <w:rFonts w:ascii="宋体" w:hAnsi="宋体" w:cs="宋体" w:eastAsia="宋体" w:hint="default"/>
                <w:w w:val="100"/>
                <w:sz w:val="21"/>
                <w:szCs w:val="21"/>
              </w:rPr>
              <w:t>内通过</w:t>
            </w:r>
            <w:r>
              <w:rPr>
                <w:rFonts w:ascii="宋体" w:hAnsi="宋体" w:cs="宋体" w:eastAsia="宋体" w:hint="default"/>
                <w:spacing w:val="-5"/>
                <w:w w:val="100"/>
                <w:sz w:val="21"/>
                <w:szCs w:val="21"/>
              </w:rPr>
              <w:t>深</w:t>
            </w:r>
            <w:r>
              <w:rPr>
                <w:rFonts w:ascii="宋体" w:hAnsi="宋体" w:cs="宋体" w:eastAsia="宋体" w:hint="default"/>
                <w:w w:val="100"/>
                <w:sz w:val="21"/>
                <w:szCs w:val="21"/>
              </w:rPr>
              <w:t>圳</w:t>
            </w:r>
          </w:p>
          <w:p>
            <w:pPr>
              <w:pStyle w:val="TableParagraph"/>
              <w:spacing w:line="259" w:lineRule="auto" w:before="21"/>
              <w:ind w:left="105" w:right="95"/>
              <w:jc w:val="both"/>
              <w:rPr>
                <w:rFonts w:ascii="宋体" w:hAnsi="宋体" w:cs="宋体" w:eastAsia="宋体" w:hint="default"/>
                <w:sz w:val="21"/>
                <w:szCs w:val="21"/>
              </w:rPr>
            </w:pPr>
            <w:r>
              <w:rPr>
                <w:rFonts w:ascii="宋体" w:hAnsi="宋体" w:cs="宋体" w:eastAsia="宋体" w:hint="default"/>
                <w:sz w:val="21"/>
                <w:szCs w:val="21"/>
              </w:rPr>
              <w:t>证券交易所大宗交易系统转让不超过 </w:t>
            </w:r>
            <w:r>
              <w:rPr>
                <w:rFonts w:ascii="Times New Roman" w:hAnsi="Times New Roman" w:cs="Times New Roman" w:eastAsia="Times New Roman" w:hint="default"/>
                <w:sz w:val="21"/>
                <w:szCs w:val="21"/>
              </w:rPr>
              <w:t>1,626 </w:t>
            </w:r>
            <w:r>
              <w:rPr>
                <w:rFonts w:ascii="宋体" w:hAnsi="宋体" w:cs="宋体" w:eastAsia="宋体" w:hint="default"/>
                <w:spacing w:val="-7"/>
                <w:sz w:val="21"/>
                <w:szCs w:val="21"/>
              </w:rPr>
              <w:t>万股，即公司总股本比例</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2.36%</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的股份；公司第二大股东瞿洪桂先生目前持有公司</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18.42%</w:t>
            </w:r>
            <w:r>
              <w:rPr>
                <w:rFonts w:ascii="宋体" w:hAnsi="宋体" w:cs="宋体" w:eastAsia="宋体" w:hint="default"/>
                <w:sz w:val="21"/>
                <w:szCs w:val="21"/>
              </w:rPr>
              <w:t>的股权，通过其</w:t>
            </w:r>
            <w:r>
              <w:rPr>
                <w:rFonts w:ascii="宋体" w:hAnsi="宋体" w:cs="宋体" w:eastAsia="宋体" w:hint="default"/>
                <w:w w:val="100"/>
                <w:sz w:val="21"/>
                <w:szCs w:val="21"/>
              </w:rPr>
              <w:t> </w:t>
            </w:r>
            <w:r>
              <w:rPr>
                <w:rFonts w:ascii="宋体" w:hAnsi="宋体" w:cs="宋体" w:eastAsia="宋体" w:hint="default"/>
                <w:sz w:val="21"/>
                <w:szCs w:val="21"/>
              </w:rPr>
              <w:t>发行的云泽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号基金自计划增持公告披露之日起六个月内通过深圳证券交</w:t>
            </w:r>
            <w:r>
              <w:rPr>
                <w:rFonts w:ascii="宋体" w:hAnsi="宋体" w:cs="宋体" w:eastAsia="宋体" w:hint="default"/>
                <w:w w:val="100"/>
                <w:sz w:val="21"/>
                <w:szCs w:val="21"/>
              </w:rPr>
              <w:t> </w:t>
            </w:r>
            <w:r>
              <w:rPr>
                <w:rFonts w:ascii="宋体" w:hAnsi="宋体" w:cs="宋体" w:eastAsia="宋体" w:hint="default"/>
                <w:sz w:val="21"/>
                <w:szCs w:val="21"/>
              </w:rPr>
              <w:t>易所大宗交易系统增持不超过公司总股本</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2.36%</w:t>
            </w:r>
            <w:r>
              <w:rPr>
                <w:rFonts w:ascii="宋体" w:hAnsi="宋体" w:cs="宋体" w:eastAsia="宋体" w:hint="default"/>
                <w:sz w:val="21"/>
                <w:szCs w:val="21"/>
              </w:rPr>
              <w:t>的股份。</w:t>
            </w:r>
          </w:p>
          <w:p>
            <w:pPr>
              <w:pStyle w:val="TableParagraph"/>
              <w:spacing w:line="259" w:lineRule="auto" w:before="36"/>
              <w:ind w:left="105" w:right="114"/>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、截至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日，上述增减持股份计划实施完成，自此，瞿洪</w:t>
            </w:r>
            <w:r>
              <w:rPr>
                <w:rFonts w:ascii="宋体" w:hAnsi="宋体" w:cs="宋体" w:eastAsia="宋体" w:hint="default"/>
                <w:w w:val="100"/>
                <w:sz w:val="21"/>
                <w:szCs w:val="21"/>
              </w:rPr>
              <w:t> </w:t>
            </w:r>
            <w:r>
              <w:rPr>
                <w:rFonts w:ascii="宋体" w:hAnsi="宋体" w:cs="宋体" w:eastAsia="宋体" w:hint="default"/>
                <w:sz w:val="21"/>
                <w:szCs w:val="21"/>
              </w:rPr>
              <w:t>桂先生直接持有公司 </w:t>
            </w:r>
            <w:r>
              <w:rPr>
                <w:rFonts w:ascii="Times New Roman" w:hAnsi="Times New Roman" w:cs="Times New Roman" w:eastAsia="Times New Roman" w:hint="default"/>
                <w:sz w:val="21"/>
                <w:szCs w:val="21"/>
              </w:rPr>
              <w:t>127,394,324 </w:t>
            </w:r>
            <w:r>
              <w:rPr>
                <w:rFonts w:ascii="宋体" w:hAnsi="宋体" w:cs="宋体" w:eastAsia="宋体" w:hint="default"/>
                <w:sz w:val="21"/>
                <w:szCs w:val="21"/>
              </w:rPr>
              <w:t>股，占公司总股本比例的 </w:t>
            </w:r>
            <w:r>
              <w:rPr>
                <w:rFonts w:ascii="Times New Roman" w:hAnsi="Times New Roman" w:cs="Times New Roman" w:eastAsia="Times New Roman" w:hint="default"/>
                <w:sz w:val="21"/>
                <w:szCs w:val="21"/>
              </w:rPr>
              <w:t>18.42%</w:t>
            </w:r>
            <w:r>
              <w:rPr>
                <w:rFonts w:ascii="宋体" w:hAnsi="宋体" w:cs="宋体" w:eastAsia="宋体" w:hint="default"/>
                <w:sz w:val="21"/>
                <w:szCs w:val="21"/>
              </w:rPr>
              <w:t>，通过</w:t>
            </w:r>
            <w:r>
              <w:rPr>
                <w:rFonts w:ascii="宋体" w:hAnsi="宋体" w:cs="宋体" w:eastAsia="宋体" w:hint="default"/>
                <w:w w:val="100"/>
                <w:sz w:val="21"/>
                <w:szCs w:val="21"/>
              </w:rPr>
              <w:t> </w:t>
            </w:r>
            <w:r>
              <w:rPr>
                <w:rFonts w:ascii="宋体" w:hAnsi="宋体" w:cs="宋体" w:eastAsia="宋体" w:hint="default"/>
                <w:sz w:val="21"/>
                <w:szCs w:val="21"/>
              </w:rPr>
              <w:t>其控制的云泽投资公司发行的云泽投资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号私募证券投资基金间接持有公</w:t>
            </w:r>
            <w:r>
              <w:rPr>
                <w:rFonts w:ascii="宋体" w:hAnsi="宋体" w:cs="宋体" w:eastAsia="宋体" w:hint="default"/>
                <w:w w:val="100"/>
                <w:sz w:val="21"/>
                <w:szCs w:val="21"/>
              </w:rPr>
              <w:t> </w:t>
            </w:r>
            <w:r>
              <w:rPr>
                <w:rFonts w:ascii="宋体" w:hAnsi="宋体" w:cs="宋体" w:eastAsia="宋体" w:hint="default"/>
                <w:sz w:val="21"/>
                <w:szCs w:val="21"/>
              </w:rPr>
              <w:t>司 </w:t>
            </w:r>
            <w:r>
              <w:rPr>
                <w:rFonts w:ascii="Times New Roman" w:hAnsi="Times New Roman" w:cs="Times New Roman" w:eastAsia="Times New Roman" w:hint="default"/>
                <w:sz w:val="21"/>
                <w:szCs w:val="21"/>
              </w:rPr>
              <w:t>16,240,000 </w:t>
            </w:r>
            <w:r>
              <w:rPr>
                <w:rFonts w:ascii="宋体" w:hAnsi="宋体" w:cs="宋体" w:eastAsia="宋体" w:hint="default"/>
                <w:sz w:val="21"/>
                <w:szCs w:val="21"/>
              </w:rPr>
              <w:t>股，占公司总股本比例的</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2.35%</w:t>
            </w:r>
            <w:r>
              <w:rPr>
                <w:rFonts w:ascii="宋体" w:hAnsi="宋体" w:cs="宋体" w:eastAsia="宋体" w:hint="default"/>
                <w:sz w:val="21"/>
                <w:szCs w:val="21"/>
              </w:rPr>
              <w:t>，即瞿洪桂先生通过其实际</w:t>
            </w:r>
            <w:r>
              <w:rPr>
                <w:rFonts w:ascii="宋体" w:hAnsi="宋体" w:cs="宋体" w:eastAsia="宋体" w:hint="default"/>
                <w:w w:val="100"/>
                <w:sz w:val="21"/>
                <w:szCs w:val="21"/>
              </w:rPr>
              <w:t> </w:t>
            </w:r>
            <w:r>
              <w:rPr>
                <w:rFonts w:ascii="宋体" w:hAnsi="宋体" w:cs="宋体" w:eastAsia="宋体" w:hint="default"/>
                <w:sz w:val="21"/>
                <w:szCs w:val="21"/>
              </w:rPr>
              <w:t>控制的云泽投资公司发行的云泽 </w:t>
            </w:r>
            <w:r>
              <w:rPr>
                <w:rFonts w:ascii="Times New Roman" w:hAnsi="Times New Roman" w:cs="Times New Roman" w:eastAsia="Times New Roman" w:hint="default"/>
                <w:sz w:val="21"/>
                <w:szCs w:val="21"/>
              </w:rPr>
              <w:t>1 </w:t>
            </w:r>
            <w:r>
              <w:rPr>
                <w:rFonts w:ascii="宋体" w:hAnsi="宋体" w:cs="宋体" w:eastAsia="宋体" w:hint="default"/>
                <w:sz w:val="21"/>
                <w:szCs w:val="21"/>
              </w:rPr>
              <w:t>号基金合计持有公司 </w:t>
            </w:r>
            <w:r>
              <w:rPr>
                <w:rFonts w:ascii="Times New Roman" w:hAnsi="Times New Roman" w:cs="Times New Roman" w:eastAsia="Times New Roman" w:hint="default"/>
                <w:sz w:val="21"/>
                <w:szCs w:val="21"/>
              </w:rPr>
              <w:t>143,634,324</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股，</w:t>
            </w:r>
            <w:r>
              <w:rPr>
                <w:rFonts w:ascii="宋体" w:hAnsi="宋体" w:cs="宋体" w:eastAsia="宋体" w:hint="default"/>
                <w:spacing w:val="-5"/>
                <w:w w:val="100"/>
                <w:sz w:val="21"/>
                <w:szCs w:val="21"/>
              </w:rPr>
              <w:t> </w:t>
            </w:r>
            <w:r>
              <w:rPr>
                <w:rFonts w:ascii="宋体" w:hAnsi="宋体" w:cs="宋体" w:eastAsia="宋体" w:hint="default"/>
                <w:sz w:val="21"/>
                <w:szCs w:val="21"/>
              </w:rPr>
              <w:t>占公司总股本的</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20.77%</w:t>
            </w:r>
            <w:r>
              <w:rPr>
                <w:rFonts w:ascii="宋体" w:hAnsi="宋体" w:cs="宋体" w:eastAsia="宋体" w:hint="default"/>
                <w:sz w:val="21"/>
                <w:szCs w:val="21"/>
              </w:rPr>
              <w:t>。截止本次增持完毕，瞿洪桂先生为公司第一大股</w:t>
            </w:r>
            <w:r>
              <w:rPr>
                <w:rFonts w:ascii="宋体" w:hAnsi="宋体" w:cs="宋体" w:eastAsia="宋体" w:hint="default"/>
                <w:w w:val="100"/>
                <w:sz w:val="21"/>
                <w:szCs w:val="21"/>
              </w:rPr>
              <w:t> </w:t>
            </w:r>
            <w:r>
              <w:rPr>
                <w:rFonts w:ascii="宋体" w:hAnsi="宋体" w:cs="宋体" w:eastAsia="宋体" w:hint="default"/>
                <w:sz w:val="21"/>
                <w:szCs w:val="21"/>
              </w:rPr>
              <w:t>东、实际控制人。</w:t>
            </w:r>
          </w:p>
          <w:p>
            <w:pPr>
              <w:pStyle w:val="TableParagraph"/>
              <w:spacing w:line="259" w:lineRule="auto" w:before="54"/>
              <w:ind w:left="105" w:right="47"/>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、报告期内，瞿洪桂先生通过大宗交易方式向其实际控制的云泽投资发行</w:t>
            </w:r>
            <w:r>
              <w:rPr>
                <w:rFonts w:ascii="宋体" w:hAnsi="宋体" w:cs="宋体" w:eastAsia="宋体" w:hint="default"/>
                <w:w w:val="100"/>
                <w:sz w:val="21"/>
                <w:szCs w:val="21"/>
              </w:rPr>
              <w:t> </w:t>
            </w:r>
            <w:r>
              <w:rPr>
                <w:rFonts w:ascii="宋体" w:hAnsi="宋体" w:cs="宋体" w:eastAsia="宋体" w:hint="default"/>
                <w:sz w:val="21"/>
                <w:szCs w:val="21"/>
              </w:rPr>
              <w:t>的云泽投资</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号基金内部转让其持有公司股份合计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13,000,000 </w:t>
            </w:r>
            <w:r>
              <w:rPr>
                <w:rFonts w:ascii="宋体" w:hAnsi="宋体" w:cs="宋体" w:eastAsia="宋体" w:hint="default"/>
                <w:sz w:val="21"/>
                <w:szCs w:val="21"/>
              </w:rPr>
              <w:t>股，占公司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总股本 </w:t>
            </w:r>
            <w:r>
              <w:rPr>
                <w:rFonts w:ascii="Times New Roman" w:hAnsi="Times New Roman" w:cs="Times New Roman" w:eastAsia="Times New Roman" w:hint="default"/>
                <w:sz w:val="21"/>
                <w:szCs w:val="21"/>
              </w:rPr>
              <w:t>1.88%</w:t>
            </w:r>
            <w:r>
              <w:rPr>
                <w:rFonts w:ascii="宋体" w:hAnsi="宋体" w:cs="宋体" w:eastAsia="宋体" w:hint="default"/>
                <w:sz w:val="21"/>
                <w:szCs w:val="21"/>
              </w:rPr>
              <w:t>。截至报告期末，瞿洪桂先生直接持有公司 </w:t>
            </w:r>
            <w:r>
              <w:rPr>
                <w:rFonts w:ascii="Times New Roman" w:hAnsi="Times New Roman" w:cs="Times New Roman" w:eastAsia="Times New Roman" w:hint="default"/>
                <w:sz w:val="21"/>
                <w:szCs w:val="21"/>
              </w:rPr>
              <w:t>114,394,324</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占公司总股本的</w:t>
            </w:r>
            <w:r>
              <w:rPr>
                <w:rFonts w:ascii="宋体" w:hAnsi="宋体" w:cs="宋体" w:eastAsia="宋体" w:hint="default"/>
                <w:spacing w:val="16"/>
                <w:sz w:val="21"/>
                <w:szCs w:val="21"/>
              </w:rPr>
              <w:t> </w:t>
            </w:r>
            <w:r>
              <w:rPr>
                <w:rFonts w:ascii="Times New Roman" w:hAnsi="Times New Roman" w:cs="Times New Roman" w:eastAsia="Times New Roman" w:hint="default"/>
                <w:spacing w:val="-4"/>
                <w:sz w:val="21"/>
                <w:szCs w:val="21"/>
              </w:rPr>
              <w:t>16.54%</w:t>
            </w:r>
            <w:r>
              <w:rPr>
                <w:rFonts w:ascii="宋体" w:hAnsi="宋体" w:cs="宋体" w:eastAsia="宋体" w:hint="default"/>
                <w:spacing w:val="-4"/>
                <w:sz w:val="21"/>
                <w:szCs w:val="21"/>
              </w:rPr>
              <w:t>，通过其实际控制的云泽投资发行的云泽投资</w:t>
            </w:r>
            <w:r>
              <w:rPr>
                <w:rFonts w:ascii="宋体" w:hAnsi="宋体" w:cs="宋体" w:eastAsia="宋体" w:hint="default"/>
                <w:spacing w:val="1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号</w:t>
            </w:r>
            <w:r>
              <w:rPr>
                <w:rFonts w:ascii="宋体" w:hAnsi="宋体" w:cs="宋体" w:eastAsia="宋体" w:hint="default"/>
                <w:spacing w:val="-97"/>
                <w:sz w:val="21"/>
                <w:szCs w:val="21"/>
              </w:rPr>
              <w:t> </w:t>
            </w:r>
            <w:r>
              <w:rPr>
                <w:rFonts w:ascii="宋体" w:hAnsi="宋体" w:cs="宋体" w:eastAsia="宋体" w:hint="default"/>
                <w:sz w:val="21"/>
                <w:szCs w:val="21"/>
              </w:rPr>
              <w:t>私募证券投资基金间接持有公司 </w:t>
            </w:r>
            <w:r>
              <w:rPr>
                <w:rFonts w:ascii="Times New Roman" w:hAnsi="Times New Roman" w:cs="Times New Roman" w:eastAsia="Times New Roman" w:hint="default"/>
                <w:sz w:val="21"/>
                <w:szCs w:val="21"/>
              </w:rPr>
              <w:t>29,240,000 </w:t>
            </w:r>
            <w:r>
              <w:rPr>
                <w:rFonts w:ascii="宋体" w:hAnsi="宋体" w:cs="宋体" w:eastAsia="宋体" w:hint="default"/>
                <w:sz w:val="21"/>
                <w:szCs w:val="21"/>
              </w:rPr>
              <w:t>股，占公司总股本的</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4.23%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合计持有公司股份占总股本</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20.77%</w:t>
            </w:r>
            <w:r>
              <w:rPr>
                <w:rFonts w:ascii="宋体" w:hAnsi="宋体" w:cs="宋体" w:eastAsia="宋体" w:hint="default"/>
                <w:sz w:val="21"/>
                <w:szCs w:val="21"/>
              </w:rPr>
              <w:t>，仍为公司第一大股东、实际控制人。</w:t>
            </w:r>
          </w:p>
        </w:tc>
      </w:tr>
    </w:tbl>
    <w:p>
      <w:pPr>
        <w:spacing w:line="240" w:lineRule="auto" w:before="9"/>
        <w:rPr>
          <w:rFonts w:ascii="宋体" w:hAnsi="宋体" w:cs="宋体" w:eastAsia="宋体" w:hint="default"/>
          <w:b/>
          <w:bCs/>
          <w:sz w:val="17"/>
          <w:szCs w:val="17"/>
        </w:rPr>
      </w:pPr>
    </w:p>
    <w:p>
      <w:pPr>
        <w:pStyle w:val="Heading2"/>
        <w:spacing w:line="240" w:lineRule="auto" w:before="26"/>
        <w:ind w:right="1002"/>
        <w:jc w:val="left"/>
        <w:rPr>
          <w:b w:val="0"/>
          <w:bCs w:val="0"/>
        </w:rPr>
      </w:pPr>
      <w:bookmarkStart w:name="五、其他有关资料" w:id="8"/>
      <w:bookmarkEnd w:id="8"/>
      <w:r>
        <w:rPr>
          <w:b w:val="0"/>
          <w:bCs w:val="0"/>
        </w:rPr>
      </w:r>
      <w:r>
        <w:rPr/>
        <w:t>五、其他有关资料</w:t>
      </w:r>
      <w:r>
        <w:rPr>
          <w:b w:val="0"/>
          <w:bCs w:val="0"/>
        </w:rPr>
      </w:r>
    </w:p>
    <w:p>
      <w:pPr>
        <w:spacing w:line="240" w:lineRule="auto" w:before="3"/>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公司聘请的会计师事务所</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北京市海淀区西四环中路 </w:t>
            </w:r>
            <w:r>
              <w:rPr>
                <w:rFonts w:ascii="Times New Roman" w:hAnsi="Times New Roman" w:cs="Times New Roman" w:eastAsia="Times New Roman" w:hint="default"/>
                <w:sz w:val="21"/>
                <w:szCs w:val="21"/>
              </w:rPr>
              <w:t>16  </w:t>
            </w:r>
            <w:r>
              <w:rPr>
                <w:rFonts w:ascii="宋体" w:hAnsi="宋体" w:cs="宋体" w:eastAsia="宋体" w:hint="default"/>
                <w:sz w:val="21"/>
                <w:szCs w:val="21"/>
              </w:rPr>
              <w:t>号院 </w:t>
            </w:r>
            <w:r>
              <w:rPr>
                <w:rFonts w:ascii="Times New Roman" w:hAnsi="Times New Roman" w:cs="Times New Roman" w:eastAsia="Times New Roman" w:hint="default"/>
                <w:sz w:val="21"/>
                <w:szCs w:val="21"/>
              </w:rPr>
              <w:t>7  </w:t>
            </w:r>
            <w:r>
              <w:rPr>
                <w:rFonts w:ascii="宋体" w:hAnsi="宋体" w:cs="宋体" w:eastAsia="宋体" w:hint="default"/>
                <w:spacing w:val="-3"/>
                <w:sz w:val="21"/>
                <w:szCs w:val="21"/>
              </w:rPr>
              <w:t>号楼</w:t>
            </w:r>
            <w:r>
              <w:rPr>
                <w:rFonts w:ascii="宋体" w:hAnsi="宋体" w:cs="宋体" w:eastAsia="宋体" w:hint="default"/>
                <w:spacing w:val="12"/>
                <w:sz w:val="21"/>
                <w:szCs w:val="21"/>
              </w:rPr>
              <w:t> </w:t>
            </w:r>
            <w:r>
              <w:rPr>
                <w:rFonts w:ascii="Times New Roman" w:hAnsi="Times New Roman" w:cs="Times New Roman" w:eastAsia="Times New Roman" w:hint="default"/>
                <w:spacing w:val="-3"/>
                <w:sz w:val="21"/>
                <w:szCs w:val="21"/>
              </w:rPr>
              <w:t>1101</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吴琳、高山</w:t>
            </w:r>
          </w:p>
        </w:tc>
      </w:tr>
    </w:tbl>
    <w:p>
      <w:pPr>
        <w:spacing w:before="53"/>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公司聘请的报告期内履行持续督导职责的保荐机构</w:t>
      </w:r>
    </w:p>
    <w:p>
      <w:pPr>
        <w:spacing w:before="115"/>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723"/>
        <w:gridCol w:w="2065"/>
        <w:gridCol w:w="2391"/>
      </w:tblGrid>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55"/>
              <w:jc w:val="right"/>
              <w:rPr>
                <w:rFonts w:ascii="宋体" w:hAnsi="宋体" w:cs="宋体" w:eastAsia="宋体" w:hint="default"/>
                <w:sz w:val="21"/>
                <w:szCs w:val="21"/>
              </w:rPr>
            </w:pPr>
            <w:r>
              <w:rPr>
                <w:rFonts w:ascii="宋体" w:hAnsi="宋体" w:cs="宋体" w:eastAsia="宋体" w:hint="default"/>
                <w:spacing w:val="-1"/>
                <w:sz w:val="21"/>
                <w:szCs w:val="21"/>
              </w:rPr>
              <w:t>保荐机构名称</w:t>
            </w:r>
          </w:p>
        </w:tc>
        <w:tc>
          <w:tcPr>
            <w:tcW w:w="2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18" w:right="0"/>
              <w:jc w:val="left"/>
              <w:rPr>
                <w:rFonts w:ascii="宋体" w:hAnsi="宋体" w:cs="宋体" w:eastAsia="宋体" w:hint="default"/>
                <w:sz w:val="21"/>
                <w:szCs w:val="21"/>
              </w:rPr>
            </w:pPr>
            <w:r>
              <w:rPr>
                <w:rFonts w:ascii="宋体" w:hAnsi="宋体" w:cs="宋体" w:eastAsia="宋体" w:hint="default"/>
                <w:sz w:val="21"/>
                <w:szCs w:val="21"/>
              </w:rPr>
              <w:t>保荐机构办公地址</w:t>
            </w:r>
          </w:p>
        </w:tc>
        <w:tc>
          <w:tcPr>
            <w:tcW w:w="2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2" w:right="0"/>
              <w:jc w:val="left"/>
              <w:rPr>
                <w:rFonts w:ascii="宋体" w:hAnsi="宋体" w:cs="宋体" w:eastAsia="宋体" w:hint="default"/>
                <w:sz w:val="21"/>
                <w:szCs w:val="21"/>
              </w:rPr>
            </w:pPr>
            <w:r>
              <w:rPr>
                <w:rFonts w:ascii="宋体" w:hAnsi="宋体" w:cs="宋体" w:eastAsia="宋体" w:hint="default"/>
                <w:sz w:val="21"/>
                <w:szCs w:val="21"/>
              </w:rPr>
              <w:t>保荐代表人姓名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102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89"/>
              <w:jc w:val="right"/>
              <w:rPr>
                <w:rFonts w:ascii="宋体" w:hAnsi="宋体" w:cs="宋体" w:eastAsia="宋体" w:hint="default"/>
                <w:sz w:val="21"/>
                <w:szCs w:val="21"/>
              </w:rPr>
            </w:pPr>
            <w:r>
              <w:rPr>
                <w:rFonts w:ascii="宋体" w:hAnsi="宋体" w:cs="宋体" w:eastAsia="宋体" w:hint="default"/>
                <w:spacing w:val="-1"/>
                <w:sz w:val="21"/>
                <w:szCs w:val="21"/>
              </w:rPr>
              <w:t>中航证券有限公司</w:t>
            </w:r>
          </w:p>
        </w:tc>
        <w:tc>
          <w:tcPr>
            <w:tcW w:w="272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3"/>
              <w:ind w:left="105" w:right="185"/>
              <w:jc w:val="left"/>
              <w:rPr>
                <w:rFonts w:ascii="宋体" w:hAnsi="宋体" w:cs="宋体" w:eastAsia="宋体" w:hint="default"/>
                <w:sz w:val="21"/>
                <w:szCs w:val="21"/>
              </w:rPr>
            </w:pPr>
            <w:r>
              <w:rPr>
                <w:rFonts w:ascii="宋体" w:hAnsi="宋体" w:cs="宋体" w:eastAsia="宋体" w:hint="default"/>
                <w:sz w:val="21"/>
                <w:szCs w:val="21"/>
              </w:rPr>
              <w:t>江西省南昌市红谷滩新区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红谷中大道</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号南昌国</w:t>
            </w:r>
            <w:r>
              <w:rPr>
                <w:rFonts w:ascii="宋体" w:hAnsi="宋体" w:cs="宋体" w:eastAsia="宋体" w:hint="default"/>
                <w:w w:val="100"/>
                <w:sz w:val="21"/>
                <w:szCs w:val="21"/>
              </w:rPr>
              <w:t> </w:t>
            </w:r>
            <w:r>
              <w:rPr>
                <w:rFonts w:ascii="宋体" w:hAnsi="宋体" w:cs="宋体" w:eastAsia="宋体" w:hint="default"/>
                <w:sz w:val="21"/>
                <w:szCs w:val="21"/>
              </w:rPr>
              <w:t>际金融大厦</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栋</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41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熊岳广、吴雅宁</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before="46"/>
        <w:ind w:left="473" w:right="1305" w:firstLine="0"/>
        <w:jc w:val="left"/>
        <w:rPr>
          <w:rFonts w:ascii="宋体" w:hAnsi="宋体" w:cs="宋体" w:eastAsia="宋体" w:hint="default"/>
          <w:sz w:val="18"/>
          <w:szCs w:val="18"/>
        </w:rPr>
      </w:pPr>
      <w:r>
        <w:rPr>
          <w:rFonts w:ascii="宋体" w:hAnsi="宋体" w:cs="宋体" w:eastAsia="宋体" w:hint="default"/>
          <w:spacing w:val="-3"/>
          <w:sz w:val="18"/>
          <w:szCs w:val="18"/>
        </w:rPr>
        <w:t>公司聘请的报告期内履行持续督导职责的财务顾问</w:t>
      </w:r>
    </w:p>
    <w:p>
      <w:pPr>
        <w:spacing w:before="115"/>
        <w:ind w:left="473" w:right="130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4"/>
          <w:szCs w:val="24"/>
        </w:rPr>
      </w:pPr>
    </w:p>
    <w:p>
      <w:pPr>
        <w:pStyle w:val="Heading2"/>
        <w:spacing w:line="240" w:lineRule="auto"/>
        <w:ind w:left="473" w:right="1305"/>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7"/>
        <w:rPr>
          <w:rFonts w:ascii="宋体" w:hAnsi="宋体" w:cs="宋体" w:eastAsia="宋体" w:hint="default"/>
          <w:b/>
          <w:bCs/>
          <w:sz w:val="27"/>
          <w:szCs w:val="27"/>
        </w:rPr>
      </w:pPr>
    </w:p>
    <w:p>
      <w:pPr>
        <w:spacing w:before="0"/>
        <w:ind w:left="473" w:right="1305" w:firstLine="0"/>
        <w:jc w:val="left"/>
        <w:rPr>
          <w:rFonts w:ascii="宋体" w:hAnsi="宋体" w:cs="宋体" w:eastAsia="宋体" w:hint="default"/>
          <w:sz w:val="18"/>
          <w:szCs w:val="18"/>
        </w:rPr>
      </w:pPr>
      <w:r>
        <w:rPr>
          <w:rFonts w:ascii="宋体" w:hAnsi="宋体" w:cs="宋体" w:eastAsia="宋体" w:hint="default"/>
          <w:spacing w:val="-3"/>
          <w:sz w:val="18"/>
          <w:szCs w:val="18"/>
        </w:rPr>
        <w:t>公司是否需追溯调整或重述以前年度会计数据</w:t>
      </w:r>
    </w:p>
    <w:p>
      <w:pPr>
        <w:spacing w:before="115"/>
        <w:ind w:left="473" w:right="1305"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3481"/>
        <w:gridCol w:w="1849"/>
        <w:gridCol w:w="1892"/>
        <w:gridCol w:w="1393"/>
        <w:gridCol w:w="1878"/>
      </w:tblGrid>
      <w:tr>
        <w:trPr>
          <w:trHeight w:val="716" w:hRule="exact"/>
        </w:trPr>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5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5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480" w:right="161" w:hanging="318"/>
              <w:jc w:val="left"/>
              <w:rPr>
                <w:rFonts w:ascii="宋体" w:hAnsi="宋体" w:cs="宋体" w:eastAsia="宋体" w:hint="default"/>
                <w:sz w:val="21"/>
                <w:szCs w:val="21"/>
              </w:rPr>
            </w:pPr>
            <w:r>
              <w:rPr>
                <w:rFonts w:ascii="宋体" w:hAnsi="宋体" w:cs="宋体" w:eastAsia="宋体" w:hint="default"/>
                <w:sz w:val="21"/>
                <w:szCs w:val="21"/>
              </w:rPr>
              <w:t>本年比上年</w:t>
            </w:r>
            <w:r>
              <w:rPr>
                <w:rFonts w:ascii="宋体" w:hAnsi="宋体" w:cs="宋体" w:eastAsia="宋体" w:hint="default"/>
                <w:spacing w:val="-99"/>
                <w:sz w:val="21"/>
                <w:szCs w:val="21"/>
              </w:rPr>
              <w:t> </w:t>
            </w:r>
            <w:r>
              <w:rPr>
                <w:rFonts w:ascii="宋体" w:hAnsi="宋体" w:cs="宋体" w:eastAsia="宋体" w:hint="default"/>
                <w:sz w:val="21"/>
                <w:szCs w:val="21"/>
              </w:rPr>
              <w:t>增减</w:t>
            </w:r>
          </w:p>
        </w:tc>
        <w:tc>
          <w:tcPr>
            <w:tcW w:w="1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5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r>
      <w:tr>
        <w:trPr>
          <w:trHeight w:val="437" w:hRule="exact"/>
        </w:trPr>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营业收入（元）</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2,755,676,412.10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pacing w:val="-1"/>
                <w:sz w:val="21"/>
              </w:rPr>
              <w:t>2,455,958,521.31</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21"/>
                <w:szCs w:val="21"/>
              </w:rPr>
            </w:pPr>
            <w:r>
              <w:rPr>
                <w:rFonts w:ascii="Times New Roman"/>
                <w:sz w:val="21"/>
              </w:rPr>
              <w:t>12.20%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21"/>
                <w:szCs w:val="21"/>
              </w:rPr>
            </w:pPr>
            <w:r>
              <w:rPr>
                <w:rFonts w:ascii="Times New Roman"/>
                <w:spacing w:val="-1"/>
                <w:sz w:val="21"/>
              </w:rPr>
              <w:t>2,025,570,083.97</w:t>
            </w:r>
          </w:p>
        </w:tc>
      </w:tr>
      <w:tr>
        <w:trPr>
          <w:trHeight w:val="480" w:hRule="exact"/>
        </w:trPr>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105" w:right="0"/>
              <w:jc w:val="left"/>
              <w:rPr>
                <w:rFonts w:ascii="宋体" w:hAnsi="宋体" w:cs="宋体" w:eastAsia="宋体" w:hint="default"/>
                <w:sz w:val="21"/>
                <w:szCs w:val="21"/>
              </w:rPr>
            </w:pPr>
            <w:r>
              <w:rPr>
                <w:rFonts w:ascii="宋体" w:hAnsi="宋体" w:cs="宋体" w:eastAsia="宋体" w:hint="default"/>
                <w:spacing w:val="-1"/>
                <w:sz w:val="21"/>
                <w:szCs w:val="21"/>
              </w:rPr>
              <w:t>归属于上市公司股东的净利润（元）</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284,714,313.30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174,762,669.00</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5"/>
              <w:jc w:val="right"/>
              <w:rPr>
                <w:rFonts w:ascii="Times New Roman" w:hAnsi="Times New Roman" w:cs="Times New Roman" w:eastAsia="Times New Roman" w:hint="default"/>
                <w:sz w:val="21"/>
                <w:szCs w:val="21"/>
              </w:rPr>
            </w:pPr>
            <w:r>
              <w:rPr>
                <w:rFonts w:ascii="Times New Roman"/>
                <w:sz w:val="21"/>
              </w:rPr>
              <w:t>62.91%</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94"/>
              <w:jc w:val="right"/>
              <w:rPr>
                <w:rFonts w:ascii="Times New Roman" w:hAnsi="Times New Roman" w:cs="Times New Roman" w:eastAsia="Times New Roman" w:hint="default"/>
                <w:sz w:val="21"/>
                <w:szCs w:val="21"/>
              </w:rPr>
            </w:pPr>
            <w:r>
              <w:rPr>
                <w:rFonts w:ascii="Times New Roman"/>
                <w:spacing w:val="-1"/>
                <w:sz w:val="21"/>
              </w:rPr>
              <w:t>172,215,037.92</w:t>
            </w:r>
          </w:p>
        </w:tc>
      </w:tr>
      <w:tr>
        <w:trPr>
          <w:trHeight w:val="716" w:hRule="exact"/>
        </w:trPr>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05" w:right="210"/>
              <w:jc w:val="left"/>
              <w:rPr>
                <w:rFonts w:ascii="宋体" w:hAnsi="宋体" w:cs="宋体" w:eastAsia="宋体" w:hint="default"/>
                <w:sz w:val="21"/>
                <w:szCs w:val="21"/>
              </w:rPr>
            </w:pPr>
            <w:r>
              <w:rPr>
                <w:rFonts w:ascii="宋体" w:hAnsi="宋体" w:cs="宋体" w:eastAsia="宋体" w:hint="default"/>
                <w:spacing w:val="-1"/>
                <w:sz w:val="21"/>
                <w:szCs w:val="21"/>
              </w:rPr>
              <w:t>归属于上市公司股东的扣除非经常</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性损益的净利润（元）</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265,900,300.91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160,469,065.25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65.70%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155,150,522.30</w:t>
            </w:r>
          </w:p>
        </w:tc>
      </w:tr>
      <w:tr>
        <w:trPr>
          <w:trHeight w:val="403" w:hRule="exact"/>
        </w:trPr>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pacing w:val="-1"/>
                <w:sz w:val="21"/>
                <w:szCs w:val="21"/>
              </w:rPr>
              <w:t>经营活动产生的现金流量净额（元）</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-345,038,391.02</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-202,702,848.96</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-70.22%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150,965,819.13</w:t>
            </w:r>
          </w:p>
        </w:tc>
      </w:tr>
      <w:tr>
        <w:trPr>
          <w:trHeight w:val="403" w:hRule="exact"/>
        </w:trPr>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0.4258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0.2505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69.98%</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0.2446</w:t>
            </w:r>
          </w:p>
        </w:tc>
      </w:tr>
      <w:tr>
        <w:trPr>
          <w:trHeight w:val="398" w:hRule="exact"/>
        </w:trPr>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0.4258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0.2505</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69.98%</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0.2446</w:t>
            </w:r>
          </w:p>
        </w:tc>
      </w:tr>
      <w:tr>
        <w:trPr>
          <w:trHeight w:val="404" w:hRule="exact"/>
        </w:trPr>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1"/>
                <w:szCs w:val="21"/>
              </w:rPr>
            </w:pPr>
            <w:r>
              <w:rPr>
                <w:rFonts w:ascii="Times New Roman"/>
                <w:sz w:val="21"/>
              </w:rPr>
              <w:t>6.70%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1"/>
                <w:szCs w:val="21"/>
              </w:rPr>
            </w:pPr>
            <w:r>
              <w:rPr>
                <w:rFonts w:ascii="Times New Roman"/>
                <w:sz w:val="21"/>
              </w:rPr>
              <w:t>4.04%</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sz w:val="21"/>
              </w:rPr>
              <w:t>2.66%</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6"/>
              <w:jc w:val="right"/>
              <w:rPr>
                <w:rFonts w:ascii="Times New Roman" w:hAnsi="Times New Roman" w:cs="Times New Roman" w:eastAsia="Times New Roman" w:hint="default"/>
                <w:sz w:val="21"/>
                <w:szCs w:val="21"/>
              </w:rPr>
            </w:pPr>
            <w:r>
              <w:rPr>
                <w:rFonts w:ascii="Times New Roman"/>
                <w:sz w:val="21"/>
              </w:rPr>
              <w:t>4.07%</w:t>
            </w:r>
          </w:p>
        </w:tc>
      </w:tr>
      <w:tr>
        <w:trPr>
          <w:trHeight w:val="715" w:hRule="exact"/>
        </w:trPr>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47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4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69" w:right="161" w:hanging="107"/>
              <w:jc w:val="left"/>
              <w:rPr>
                <w:rFonts w:ascii="宋体" w:hAnsi="宋体" w:cs="宋体" w:eastAsia="宋体" w:hint="default"/>
                <w:sz w:val="21"/>
                <w:szCs w:val="21"/>
              </w:rPr>
            </w:pPr>
            <w:r>
              <w:rPr>
                <w:rFonts w:ascii="宋体" w:hAnsi="宋体" w:cs="宋体" w:eastAsia="宋体" w:hint="default"/>
                <w:sz w:val="21"/>
                <w:szCs w:val="21"/>
              </w:rPr>
              <w:t>本年末比上</w:t>
            </w:r>
            <w:r>
              <w:rPr>
                <w:rFonts w:ascii="宋体" w:hAnsi="宋体" w:cs="宋体" w:eastAsia="宋体" w:hint="default"/>
                <w:spacing w:val="-99"/>
                <w:sz w:val="21"/>
                <w:szCs w:val="21"/>
              </w:rPr>
              <w:t> </w:t>
            </w:r>
            <w:r>
              <w:rPr>
                <w:rFonts w:ascii="宋体" w:hAnsi="宋体" w:cs="宋体" w:eastAsia="宋体" w:hint="default"/>
                <w:sz w:val="21"/>
                <w:szCs w:val="21"/>
              </w:rPr>
              <w:t>年末增减</w:t>
            </w:r>
          </w:p>
        </w:tc>
        <w:tc>
          <w:tcPr>
            <w:tcW w:w="1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4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r>
      <w:tr>
        <w:trPr>
          <w:trHeight w:val="403" w:hRule="exact"/>
        </w:trPr>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总资产（元）</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7,125,538,782.58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6,240,132,080.69</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14.19%</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5,861,412,229.06</w:t>
            </w:r>
          </w:p>
        </w:tc>
      </w:tr>
      <w:tr>
        <w:trPr>
          <w:trHeight w:val="403" w:hRule="exact"/>
        </w:trPr>
        <w:tc>
          <w:tcPr>
            <w:tcW w:w="3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pacing w:val="-1"/>
                <w:sz w:val="21"/>
                <w:szCs w:val="21"/>
              </w:rPr>
              <w:t>归属于上市公司股东的净资产（元）</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4,372,748,627.53</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4,201,743,490.52</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4.07%</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4,302,236,816.66</w:t>
            </w:r>
          </w:p>
        </w:tc>
      </w:tr>
    </w:tbl>
    <w:p>
      <w:pPr>
        <w:spacing w:line="240" w:lineRule="auto" w:before="9"/>
        <w:rPr>
          <w:rFonts w:ascii="宋体" w:hAnsi="宋体" w:cs="宋体" w:eastAsia="宋体" w:hint="default"/>
          <w:sz w:val="17"/>
          <w:szCs w:val="17"/>
        </w:rPr>
      </w:pPr>
    </w:p>
    <w:p>
      <w:pPr>
        <w:pStyle w:val="Heading2"/>
        <w:spacing w:line="240" w:lineRule="auto" w:before="26"/>
        <w:ind w:left="473" w:right="1305"/>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473" w:right="1305"/>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473" w:right="130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公司报告期不存在按照国际会计准则与按照中国会计准则披露的财务报告中净利润和净资产差异情况。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5"/>
        <w:spacing w:line="240" w:lineRule="auto"/>
        <w:ind w:left="473" w:right="1305"/>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spacing w:line="362" w:lineRule="auto" w:before="0"/>
        <w:ind w:left="473" w:right="130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公司报告期不存在按照境外会计准则与按照中国会计准则披露的财务报告中净利润和净资产差异情况。</w:t>
      </w:r>
    </w:p>
    <w:p>
      <w:pPr>
        <w:spacing w:line="240" w:lineRule="auto" w:before="12"/>
        <w:rPr>
          <w:rFonts w:ascii="宋体" w:hAnsi="宋体" w:cs="宋体" w:eastAsia="宋体" w:hint="default"/>
          <w:sz w:val="16"/>
          <w:szCs w:val="16"/>
        </w:rPr>
      </w:pPr>
    </w:p>
    <w:p>
      <w:pPr>
        <w:pStyle w:val="Heading2"/>
        <w:spacing w:line="240" w:lineRule="auto"/>
        <w:ind w:left="473" w:right="1305"/>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0"/>
        <w:rPr>
          <w:rFonts w:ascii="宋体" w:hAnsi="宋体" w:cs="宋体" w:eastAsia="宋体" w:hint="default"/>
          <w:b/>
          <w:bCs/>
          <w:sz w:val="24"/>
          <w:szCs w:val="24"/>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46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6" w:right="0"/>
              <w:jc w:val="left"/>
              <w:rPr>
                <w:rFonts w:ascii="宋体" w:hAnsi="宋体" w:cs="宋体" w:eastAsia="宋体" w:hint="default"/>
                <w:sz w:val="21"/>
                <w:szCs w:val="21"/>
              </w:rPr>
            </w:pPr>
            <w:r>
              <w:rPr>
                <w:rFonts w:ascii="宋体" w:hAnsi="宋体" w:cs="宋体" w:eastAsia="宋体" w:hint="default"/>
                <w:sz w:val="21"/>
                <w:szCs w:val="21"/>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1" w:right="0"/>
              <w:jc w:val="left"/>
              <w:rPr>
                <w:rFonts w:ascii="宋体" w:hAnsi="宋体" w:cs="宋体" w:eastAsia="宋体" w:hint="default"/>
                <w:sz w:val="21"/>
                <w:szCs w:val="21"/>
              </w:rPr>
            </w:pPr>
            <w:r>
              <w:rPr>
                <w:rFonts w:ascii="宋体" w:hAnsi="宋体" w:cs="宋体" w:eastAsia="宋体" w:hint="default"/>
                <w:sz w:val="21"/>
                <w:szCs w:val="21"/>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6" w:right="0"/>
              <w:jc w:val="left"/>
              <w:rPr>
                <w:rFonts w:ascii="宋体" w:hAnsi="宋体" w:cs="宋体" w:eastAsia="宋体" w:hint="default"/>
                <w:sz w:val="21"/>
                <w:szCs w:val="21"/>
              </w:rPr>
            </w:pPr>
            <w:r>
              <w:rPr>
                <w:rFonts w:ascii="宋体" w:hAnsi="宋体" w:cs="宋体" w:eastAsia="宋体" w:hint="default"/>
                <w:sz w:val="21"/>
                <w:szCs w:val="21"/>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41" w:right="0"/>
              <w:jc w:val="left"/>
              <w:rPr>
                <w:rFonts w:ascii="宋体" w:hAnsi="宋体" w:cs="宋体" w:eastAsia="宋体" w:hint="default"/>
                <w:sz w:val="21"/>
                <w:szCs w:val="21"/>
              </w:rPr>
            </w:pPr>
            <w:r>
              <w:rPr>
                <w:rFonts w:ascii="宋体" w:hAnsi="宋体" w:cs="宋体" w:eastAsia="宋体" w:hint="default"/>
                <w:sz w:val="21"/>
                <w:szCs w:val="21"/>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21" w:right="0"/>
              <w:jc w:val="left"/>
              <w:rPr>
                <w:rFonts w:ascii="Times New Roman" w:hAnsi="Times New Roman" w:cs="Times New Roman" w:eastAsia="Times New Roman" w:hint="default"/>
                <w:sz w:val="21"/>
                <w:szCs w:val="21"/>
              </w:rPr>
            </w:pPr>
            <w:r>
              <w:rPr>
                <w:rFonts w:ascii="Times New Roman"/>
                <w:sz w:val="21"/>
              </w:rPr>
              <w:t>537,115,690.01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2" w:right="0"/>
              <w:jc w:val="left"/>
              <w:rPr>
                <w:rFonts w:ascii="Times New Roman" w:hAnsi="Times New Roman" w:cs="Times New Roman" w:eastAsia="Times New Roman" w:hint="default"/>
                <w:sz w:val="21"/>
                <w:szCs w:val="21"/>
              </w:rPr>
            </w:pPr>
            <w:r>
              <w:rPr>
                <w:rFonts w:ascii="Times New Roman"/>
                <w:sz w:val="21"/>
              </w:rPr>
              <w:t>700,313,539.14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6" w:right="0"/>
              <w:jc w:val="left"/>
              <w:rPr>
                <w:rFonts w:ascii="Times New Roman" w:hAnsi="Times New Roman" w:cs="Times New Roman" w:eastAsia="Times New Roman" w:hint="default"/>
                <w:sz w:val="21"/>
                <w:szCs w:val="21"/>
              </w:rPr>
            </w:pPr>
            <w:r>
              <w:rPr>
                <w:rFonts w:ascii="Times New Roman"/>
                <w:sz w:val="21"/>
              </w:rPr>
              <w:t>818,064,621.53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07" w:right="0"/>
              <w:jc w:val="left"/>
              <w:rPr>
                <w:rFonts w:ascii="Times New Roman" w:hAnsi="Times New Roman" w:cs="Times New Roman" w:eastAsia="Times New Roman" w:hint="default"/>
                <w:sz w:val="21"/>
                <w:szCs w:val="21"/>
              </w:rPr>
            </w:pPr>
            <w:r>
              <w:rPr>
                <w:rFonts w:ascii="Times New Roman"/>
                <w:sz w:val="21"/>
              </w:rPr>
              <w:t>700,182,561.42</w:t>
            </w:r>
          </w:p>
        </w:tc>
      </w:tr>
    </w:tbl>
    <w:p>
      <w:pPr>
        <w:spacing w:after="0" w:line="240" w:lineRule="auto"/>
        <w:jc w:val="left"/>
        <w:rPr>
          <w:rFonts w:ascii="Times New Roman" w:hAnsi="Times New Roman" w:cs="Times New Roman" w:eastAsia="Times New Roman" w:hint="default"/>
          <w:sz w:val="21"/>
          <w:szCs w:val="21"/>
        </w:rPr>
        <w:sectPr>
          <w:pgSz w:w="11910" w:h="16840"/>
          <w:pgMar w:header="906" w:footer="1022" w:top="1100" w:bottom="1220" w:left="660" w:right="0"/>
        </w:sectPr>
      </w:pPr>
    </w:p>
    <w:p>
      <w:pPr>
        <w:spacing w:line="240" w:lineRule="auto" w:before="7"/>
        <w:rPr>
          <w:rFonts w:ascii="宋体" w:hAnsi="宋体" w:cs="宋体" w:eastAsia="宋体" w:hint="default"/>
          <w:sz w:val="25"/>
          <w:szCs w:val="25"/>
        </w:rPr>
      </w:pPr>
    </w:p>
    <w:tbl>
      <w:tblPr>
        <w:tblW w:w="0" w:type="auto"/>
        <w:jc w:val="left"/>
        <w:tblInd w:w="18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91"/>
              <w:jc w:val="left"/>
              <w:rPr>
                <w:rFonts w:ascii="宋体" w:hAnsi="宋体" w:cs="宋体" w:eastAsia="宋体" w:hint="default"/>
                <w:sz w:val="21"/>
                <w:szCs w:val="21"/>
              </w:rPr>
            </w:pPr>
            <w:r>
              <w:rPr>
                <w:rFonts w:ascii="宋体" w:hAnsi="宋体" w:cs="宋体" w:eastAsia="宋体" w:hint="default"/>
                <w:spacing w:val="-1"/>
                <w:sz w:val="21"/>
                <w:szCs w:val="21"/>
              </w:rPr>
              <w:t>归属于上市公司股东的净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27,701,744.31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86,377,723.61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51,977,454.39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118,657,390.99</w:t>
            </w:r>
          </w:p>
        </w:tc>
      </w:tr>
      <w:tr>
        <w:trPr>
          <w:trHeight w:val="71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91"/>
              <w:jc w:val="left"/>
              <w:rPr>
                <w:rFonts w:ascii="宋体" w:hAnsi="宋体" w:cs="宋体" w:eastAsia="宋体" w:hint="default"/>
                <w:sz w:val="21"/>
                <w:szCs w:val="21"/>
              </w:rPr>
            </w:pPr>
            <w:r>
              <w:rPr>
                <w:rFonts w:ascii="宋体" w:hAnsi="宋体" w:cs="宋体" w:eastAsia="宋体" w:hint="default"/>
                <w:spacing w:val="-1"/>
                <w:sz w:val="21"/>
                <w:szCs w:val="21"/>
              </w:rPr>
              <w:t>归属于上市公司股东的扣</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
                <w:sz w:val="21"/>
                <w:szCs w:val="21"/>
              </w:rPr>
              <w:t>除非经常性损益的净利润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24,428,248.18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83,647,515.31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45,310,149.61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112,514,387.81</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05" w:right="191"/>
              <w:jc w:val="left"/>
              <w:rPr>
                <w:rFonts w:ascii="宋体" w:hAnsi="宋体" w:cs="宋体" w:eastAsia="宋体" w:hint="default"/>
                <w:sz w:val="21"/>
                <w:szCs w:val="21"/>
              </w:rPr>
            </w:pPr>
            <w:r>
              <w:rPr>
                <w:rFonts w:ascii="宋体" w:hAnsi="宋体" w:cs="宋体" w:eastAsia="宋体" w:hint="default"/>
                <w:spacing w:val="-1"/>
                <w:sz w:val="21"/>
                <w:szCs w:val="21"/>
              </w:rPr>
              <w:t>经营活动产生的现金流量</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-170,046,771.03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-289,320,232.24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44,295,455.75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70,033,156.50</w:t>
            </w:r>
          </w:p>
        </w:tc>
      </w:tr>
    </w:tbl>
    <w:p>
      <w:pPr>
        <w:spacing w:before="53"/>
        <w:ind w:left="193" w:right="538" w:firstLine="0"/>
        <w:jc w:val="left"/>
        <w:rPr>
          <w:rFonts w:ascii="宋体" w:hAnsi="宋体" w:cs="宋体" w:eastAsia="宋体" w:hint="default"/>
          <w:sz w:val="18"/>
          <w:szCs w:val="18"/>
        </w:rPr>
      </w:pPr>
      <w:r>
        <w:rPr>
          <w:rFonts w:ascii="宋体" w:hAnsi="宋体" w:cs="宋体" w:eastAsia="宋体" w:hint="default"/>
          <w:spacing w:val="-3"/>
          <w:sz w:val="18"/>
          <w:szCs w:val="18"/>
        </w:rPr>
        <w:t>上述财务指标或其加总数是否与公司已披露季度报告、半年度报告相关财务指标存在重大差异</w:t>
      </w:r>
    </w:p>
    <w:p>
      <w:pPr>
        <w:spacing w:before="120"/>
        <w:ind w:left="193" w:right="538"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3"/>
          <w:szCs w:val="23"/>
        </w:rPr>
      </w:pPr>
    </w:p>
    <w:p>
      <w:pPr>
        <w:pStyle w:val="Heading2"/>
        <w:spacing w:line="240" w:lineRule="auto"/>
        <w:ind w:left="193" w:right="538"/>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0"/>
        <w:rPr>
          <w:rFonts w:ascii="宋体" w:hAnsi="宋体" w:cs="宋体" w:eastAsia="宋体" w:hint="default"/>
          <w:b/>
          <w:bCs/>
          <w:sz w:val="24"/>
          <w:szCs w:val="24"/>
        </w:rPr>
      </w:pPr>
    </w:p>
    <w:p>
      <w:pPr>
        <w:spacing w:before="46"/>
        <w:ind w:left="193" w:right="538"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4245"/>
        <w:gridCol w:w="1440"/>
        <w:gridCol w:w="1561"/>
        <w:gridCol w:w="1455"/>
        <w:gridCol w:w="946"/>
      </w:tblGrid>
      <w:tr>
        <w:trPr>
          <w:trHeight w:val="403"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年金额</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年金额</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年金额</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713"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138"/>
              <w:jc w:val="left"/>
              <w:rPr>
                <w:rFonts w:ascii="宋体" w:hAnsi="宋体" w:cs="宋体" w:eastAsia="宋体" w:hint="default"/>
                <w:sz w:val="21"/>
                <w:szCs w:val="21"/>
              </w:rPr>
            </w:pPr>
            <w:r>
              <w:rPr>
                <w:rFonts w:ascii="宋体" w:hAnsi="宋体" w:cs="宋体" w:eastAsia="宋体" w:hint="default"/>
                <w:spacing w:val="-2"/>
                <w:sz w:val="21"/>
                <w:szCs w:val="21"/>
              </w:rPr>
              <w:t>非流动资产处置损益（包括已计提资产减值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准备的冲销部分）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1,612,321.13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2,564,344.13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t>-1,038,229.03</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100" w:right="138"/>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计入当期损益的政府补助（与企业业务密切</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相关，按照国家统一标准定额或定量享受的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政府补助除外）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15,335,524.85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14,265,435.50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19,316,532.78</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1,606,227.97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3,968,385.60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9" w:right="0"/>
              <w:jc w:val="left"/>
              <w:rPr>
                <w:rFonts w:ascii="Times New Roman" w:hAnsi="Times New Roman" w:cs="Times New Roman" w:eastAsia="Times New Roman" w:hint="default"/>
                <w:sz w:val="21"/>
                <w:szCs w:val="21"/>
              </w:rPr>
            </w:pPr>
            <w:r>
              <w:rPr>
                <w:rFonts w:ascii="Times New Roman"/>
                <w:sz w:val="21"/>
              </w:rPr>
              <w:t>2,254,463.78</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137"/>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业务外，持有交易性金融资产、衍生金融资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产、交易性金融负债、衍生金融负债产生的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公允价值变动损益，以及处置交易性金融资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1"/>
                <w:sz w:val="21"/>
                <w:szCs w:val="21"/>
              </w:rPr>
              <w:t>产、衍生金融资产、交易性金融负债、衍生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金融负债和其他债权投资取得的投资收益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545,498.43</w:t>
            </w:r>
          </w:p>
        </w:tc>
        <w:tc>
          <w:tcPr>
            <w:tcW w:w="1561"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138"/>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单独进行减值测试的应收款项、合同资产减</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值准备转回</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3,742,512.03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873,378.23</w:t>
            </w:r>
          </w:p>
        </w:tc>
        <w:tc>
          <w:tcPr>
            <w:tcW w:w="145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5"/>
              <w:jc w:val="right"/>
              <w:rPr>
                <w:rFonts w:ascii="Times New Roman" w:hAnsi="Times New Roman" w:cs="Times New Roman" w:eastAsia="Times New Roman" w:hint="default"/>
                <w:sz w:val="21"/>
                <w:szCs w:val="21"/>
              </w:rPr>
            </w:pPr>
            <w:r>
              <w:rPr>
                <w:rFonts w:ascii="Times New Roman"/>
                <w:sz w:val="21"/>
              </w:rPr>
              <w:t>590,773.79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-3,190,104.26</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9" w:right="0"/>
              <w:jc w:val="left"/>
              <w:rPr>
                <w:rFonts w:ascii="Times New Roman" w:hAnsi="Times New Roman" w:cs="Times New Roman" w:eastAsia="Times New Roman" w:hint="default"/>
                <w:sz w:val="21"/>
                <w:szCs w:val="21"/>
              </w:rPr>
            </w:pPr>
            <w:r>
              <w:rPr>
                <w:rFonts w:ascii="Times New Roman"/>
                <w:sz w:val="21"/>
              </w:rPr>
              <w:t>4,165,152.14</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3,555,425.01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3,087,826.68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9" w:right="0"/>
              <w:jc w:val="left"/>
              <w:rPr>
                <w:rFonts w:ascii="Times New Roman" w:hAnsi="Times New Roman" w:cs="Times New Roman" w:eastAsia="Times New Roman" w:hint="default"/>
                <w:sz w:val="21"/>
                <w:szCs w:val="21"/>
              </w:rPr>
            </w:pPr>
            <w:r>
              <w:rPr>
                <w:rFonts w:ascii="Times New Roman"/>
                <w:sz w:val="21"/>
              </w:rPr>
              <w:t>3,731,390.63</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1,063,420.80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1,100,008.77</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9" w:right="0"/>
              <w:jc w:val="left"/>
              <w:rPr>
                <w:rFonts w:ascii="Times New Roman" w:hAnsi="Times New Roman" w:cs="Times New Roman" w:eastAsia="Times New Roman" w:hint="default"/>
                <w:sz w:val="21"/>
                <w:szCs w:val="21"/>
              </w:rPr>
            </w:pPr>
            <w:r>
              <w:rPr>
                <w:rFonts w:ascii="Times New Roman"/>
                <w:sz w:val="21"/>
              </w:rPr>
              <w:t>3,902,013.42</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2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18,814,012.39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14,293,603.75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34" w:right="0"/>
              <w:jc w:val="left"/>
              <w:rPr>
                <w:rFonts w:ascii="Times New Roman" w:hAnsi="Times New Roman" w:cs="Times New Roman" w:eastAsia="Times New Roman" w:hint="default"/>
                <w:sz w:val="21"/>
                <w:szCs w:val="21"/>
              </w:rPr>
            </w:pPr>
            <w:r>
              <w:rPr>
                <w:rFonts w:ascii="Times New Roman"/>
                <w:sz w:val="21"/>
              </w:rPr>
              <w:t>17,064,515.62</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4" w:right="0"/>
              <w:jc w:val="center"/>
              <w:rPr>
                <w:rFonts w:ascii="Times New Roman" w:hAnsi="Times New Roman" w:cs="Times New Roman" w:eastAsia="Times New Roman" w:hint="default"/>
                <w:sz w:val="21"/>
                <w:szCs w:val="21"/>
              </w:rPr>
            </w:pPr>
            <w:r>
              <w:rPr>
                <w:rFonts w:ascii="Times New Roman"/>
                <w:w w:val="100"/>
                <w:sz w:val="21"/>
              </w:rPr>
            </w:r>
            <w:r>
              <w:rPr>
                <w:rFonts w:ascii="Times New Roman"/>
                <w:sz w:val="21"/>
                <w:shd w:fill="FFFFFF" w:color="auto" w:val="clear"/>
              </w:rPr>
              <w:t>--</w:t>
            </w:r>
            <w:r>
              <w:rPr>
                <w:rFonts w:ascii="Times New Roman"/>
                <w:sz w:val="21"/>
              </w:rPr>
            </w:r>
          </w:p>
        </w:tc>
      </w:tr>
    </w:tbl>
    <w:p>
      <w:pPr>
        <w:spacing w:before="53"/>
        <w:ind w:left="193" w:right="538" w:firstLine="0"/>
        <w:jc w:val="left"/>
        <w:rPr>
          <w:rFonts w:ascii="宋体" w:hAnsi="宋体" w:cs="宋体" w:eastAsia="宋体" w:hint="default"/>
          <w:sz w:val="18"/>
          <w:szCs w:val="18"/>
        </w:rPr>
      </w:pPr>
      <w:r>
        <w:rPr>
          <w:rFonts w:ascii="宋体" w:hAnsi="宋体" w:cs="宋体" w:eastAsia="宋体" w:hint="default"/>
          <w:w w:val="101"/>
          <w:sz w:val="18"/>
          <w:szCs w:val="18"/>
        </w:rPr>
        <w:t>对</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根</w:t>
      </w:r>
      <w:r>
        <w:rPr>
          <w:rFonts w:ascii="宋体" w:hAnsi="宋体" w:cs="宋体" w:eastAsia="宋体" w:hint="default"/>
          <w:spacing w:val="-68"/>
          <w:w w:val="101"/>
          <w:sz w:val="18"/>
          <w:szCs w:val="18"/>
        </w:rPr>
        <w:t>据</w:t>
      </w:r>
      <w:r>
        <w:rPr>
          <w:rFonts w:ascii="宋体" w:hAnsi="宋体" w:cs="宋体" w:eastAsia="宋体" w:hint="default"/>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开</w:t>
      </w:r>
      <w:r>
        <w:rPr>
          <w:rFonts w:ascii="宋体" w:hAnsi="宋体" w:cs="宋体" w:eastAsia="宋体" w:hint="default"/>
          <w:spacing w:val="-5"/>
          <w:w w:val="101"/>
          <w:sz w:val="18"/>
          <w:szCs w:val="18"/>
        </w:rPr>
        <w:t>发</w:t>
      </w:r>
      <w:r>
        <w:rPr>
          <w:rFonts w:ascii="宋体" w:hAnsi="宋体" w:cs="宋体" w:eastAsia="宋体" w:hint="default"/>
          <w:w w:val="101"/>
          <w:sz w:val="18"/>
          <w:szCs w:val="18"/>
        </w:rPr>
        <w:t>行</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的</w:t>
      </w:r>
      <w:r>
        <w:rPr>
          <w:rFonts w:ascii="宋体" w:hAnsi="宋体" w:cs="宋体" w:eastAsia="宋体" w:hint="default"/>
          <w:w w:val="101"/>
          <w:sz w:val="18"/>
          <w:szCs w:val="18"/>
        </w:rPr>
        <w:t>公</w:t>
      </w:r>
      <w:r>
        <w:rPr>
          <w:rFonts w:ascii="宋体" w:hAnsi="宋体" w:cs="宋体" w:eastAsia="宋体" w:hint="default"/>
          <w:spacing w:val="-5"/>
          <w:w w:val="101"/>
          <w:sz w:val="18"/>
          <w:szCs w:val="18"/>
        </w:rPr>
        <w:t>司</w:t>
      </w:r>
      <w:r>
        <w:rPr>
          <w:rFonts w:ascii="宋体" w:hAnsi="宋体" w:cs="宋体" w:eastAsia="宋体" w:hint="default"/>
          <w:w w:val="101"/>
          <w:sz w:val="18"/>
          <w:szCs w:val="18"/>
        </w:rPr>
        <w:t>信</w:t>
      </w:r>
      <w:r>
        <w:rPr>
          <w:rFonts w:ascii="宋体" w:hAnsi="宋体" w:cs="宋体" w:eastAsia="宋体" w:hint="default"/>
          <w:spacing w:val="-5"/>
          <w:w w:val="101"/>
          <w:sz w:val="18"/>
          <w:szCs w:val="18"/>
        </w:rPr>
        <w:t>息</w:t>
      </w:r>
      <w:r>
        <w:rPr>
          <w:rFonts w:ascii="宋体" w:hAnsi="宋体" w:cs="宋体" w:eastAsia="宋体" w:hint="default"/>
          <w:w w:val="101"/>
          <w:sz w:val="18"/>
          <w:szCs w:val="18"/>
        </w:rPr>
        <w:t>披</w:t>
      </w:r>
      <w:r>
        <w:rPr>
          <w:rFonts w:ascii="宋体" w:hAnsi="宋体" w:cs="宋体" w:eastAsia="宋体" w:hint="default"/>
          <w:spacing w:val="-5"/>
          <w:w w:val="101"/>
          <w:sz w:val="18"/>
          <w:szCs w:val="18"/>
        </w:rPr>
        <w:t>露</w:t>
      </w:r>
      <w:r>
        <w:rPr>
          <w:rFonts w:ascii="宋体" w:hAnsi="宋体" w:cs="宋体" w:eastAsia="宋体" w:hint="default"/>
          <w:w w:val="101"/>
          <w:sz w:val="18"/>
          <w:szCs w:val="18"/>
        </w:rPr>
        <w:t>解</w:t>
      </w:r>
      <w:r>
        <w:rPr>
          <w:rFonts w:ascii="宋体" w:hAnsi="宋体" w:cs="宋体" w:eastAsia="宋体" w:hint="default"/>
          <w:spacing w:val="-5"/>
          <w:w w:val="101"/>
          <w:sz w:val="18"/>
          <w:szCs w:val="18"/>
        </w:rPr>
        <w:t>释</w:t>
      </w:r>
      <w:r>
        <w:rPr>
          <w:rFonts w:ascii="宋体" w:hAnsi="宋体" w:cs="宋体" w:eastAsia="宋体" w:hint="default"/>
          <w:w w:val="101"/>
          <w:sz w:val="18"/>
          <w:szCs w:val="18"/>
        </w:rPr>
        <w:t>性</w:t>
      </w:r>
      <w:r>
        <w:rPr>
          <w:rFonts w:ascii="宋体" w:hAnsi="宋体" w:cs="宋体" w:eastAsia="宋体" w:hint="default"/>
          <w:spacing w:val="-5"/>
          <w:w w:val="101"/>
          <w:sz w:val="18"/>
          <w:szCs w:val="18"/>
        </w:rPr>
        <w:t>公</w:t>
      </w:r>
      <w:r>
        <w:rPr>
          <w:rFonts w:ascii="宋体" w:hAnsi="宋体" w:cs="宋体" w:eastAsia="宋体" w:hint="default"/>
          <w:w w:val="101"/>
          <w:sz w:val="18"/>
          <w:szCs w:val="18"/>
        </w:rPr>
        <w:t>告第</w:t>
      </w:r>
      <w:r>
        <w:rPr>
          <w:rFonts w:ascii="宋体" w:hAnsi="宋体" w:cs="宋体" w:eastAsia="宋体" w:hint="default"/>
          <w:spacing w:val="-46"/>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号</w:t>
      </w:r>
      <w:r>
        <w:rPr>
          <w:rFonts w:ascii="宋体" w:hAnsi="宋体" w:cs="宋体" w:eastAsia="宋体" w:hint="default"/>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非</w:t>
      </w:r>
      <w:r>
        <w:rPr>
          <w:rFonts w:ascii="宋体" w:hAnsi="宋体" w:cs="宋体" w:eastAsia="宋体" w:hint="default"/>
          <w:spacing w:val="-5"/>
          <w:w w:val="101"/>
          <w:sz w:val="18"/>
          <w:szCs w:val="18"/>
        </w:rPr>
        <w:t>经</w:t>
      </w:r>
      <w:r>
        <w:rPr>
          <w:rFonts w:ascii="宋体" w:hAnsi="宋体" w:cs="宋体" w:eastAsia="宋体" w:hint="default"/>
          <w:w w:val="101"/>
          <w:sz w:val="18"/>
          <w:szCs w:val="18"/>
        </w:rPr>
        <w:t>常</w:t>
      </w:r>
      <w:r>
        <w:rPr>
          <w:rFonts w:ascii="宋体" w:hAnsi="宋体" w:cs="宋体" w:eastAsia="宋体" w:hint="default"/>
          <w:spacing w:val="-5"/>
          <w:w w:val="101"/>
          <w:sz w:val="18"/>
          <w:szCs w:val="18"/>
        </w:rPr>
        <w:t>性</w:t>
      </w:r>
      <w:r>
        <w:rPr>
          <w:rFonts w:ascii="宋体" w:hAnsi="宋体" w:cs="宋体" w:eastAsia="宋体" w:hint="default"/>
          <w:w w:val="101"/>
          <w:sz w:val="18"/>
          <w:szCs w:val="18"/>
        </w:rPr>
        <w:t>损益</w:t>
      </w:r>
      <w:r>
        <w:rPr>
          <w:rFonts w:ascii="宋体" w:hAnsi="宋体" w:cs="宋体" w:eastAsia="宋体" w:hint="default"/>
          <w:spacing w:val="-73"/>
          <w:w w:val="101"/>
          <w:sz w:val="18"/>
          <w:szCs w:val="18"/>
        </w:rPr>
        <w:t>》</w:t>
      </w:r>
      <w:r>
        <w:rPr>
          <w:rFonts w:ascii="宋体" w:hAnsi="宋体" w:cs="宋体" w:eastAsia="宋体" w:hint="default"/>
          <w:w w:val="101"/>
          <w:sz w:val="18"/>
          <w:szCs w:val="18"/>
        </w:rPr>
        <w:t>定</w:t>
      </w:r>
      <w:r>
        <w:rPr>
          <w:rFonts w:ascii="宋体" w:hAnsi="宋体" w:cs="宋体" w:eastAsia="宋体" w:hint="default"/>
          <w:spacing w:val="-5"/>
          <w:w w:val="101"/>
          <w:sz w:val="18"/>
          <w:szCs w:val="18"/>
        </w:rPr>
        <w:t>义</w:t>
      </w:r>
      <w:r>
        <w:rPr>
          <w:rFonts w:ascii="宋体" w:hAnsi="宋体" w:cs="宋体" w:eastAsia="宋体" w:hint="default"/>
          <w:w w:val="101"/>
          <w:sz w:val="18"/>
          <w:szCs w:val="18"/>
        </w:rPr>
        <w:t>界</w:t>
      </w:r>
      <w:r>
        <w:rPr>
          <w:rFonts w:ascii="宋体" w:hAnsi="宋体" w:cs="宋体" w:eastAsia="宋体" w:hint="default"/>
          <w:spacing w:val="-5"/>
          <w:w w:val="101"/>
          <w:sz w:val="18"/>
          <w:szCs w:val="18"/>
        </w:rPr>
        <w:t>定</w:t>
      </w:r>
      <w:r>
        <w:rPr>
          <w:rFonts w:ascii="宋体" w:hAnsi="宋体" w:cs="宋体" w:eastAsia="宋体" w:hint="default"/>
          <w:w w:val="101"/>
          <w:sz w:val="18"/>
          <w:szCs w:val="18"/>
        </w:rPr>
        <w:t>的</w:t>
      </w:r>
      <w:r>
        <w:rPr>
          <w:rFonts w:ascii="宋体" w:hAnsi="宋体" w:cs="宋体" w:eastAsia="宋体" w:hint="default"/>
          <w:spacing w:val="-5"/>
          <w:w w:val="101"/>
          <w:sz w:val="18"/>
          <w:szCs w:val="18"/>
        </w:rPr>
        <w:t>非</w:t>
      </w:r>
      <w:r>
        <w:rPr>
          <w:rFonts w:ascii="宋体" w:hAnsi="宋体" w:cs="宋体" w:eastAsia="宋体" w:hint="default"/>
          <w:w w:val="101"/>
          <w:sz w:val="18"/>
          <w:szCs w:val="18"/>
        </w:rPr>
        <w:t>经</w:t>
      </w:r>
      <w:r>
        <w:rPr>
          <w:rFonts w:ascii="宋体" w:hAnsi="宋体" w:cs="宋体" w:eastAsia="宋体" w:hint="default"/>
          <w:spacing w:val="-5"/>
          <w:w w:val="101"/>
          <w:sz w:val="18"/>
          <w:szCs w:val="18"/>
        </w:rPr>
        <w:t>常</w:t>
      </w:r>
      <w:r>
        <w:rPr>
          <w:rFonts w:ascii="宋体" w:hAnsi="宋体" w:cs="宋体" w:eastAsia="宋体" w:hint="default"/>
          <w:w w:val="101"/>
          <w:sz w:val="18"/>
          <w:szCs w:val="18"/>
        </w:rPr>
        <w:t>性</w:t>
      </w:r>
      <w:r>
        <w:rPr>
          <w:rFonts w:ascii="宋体" w:hAnsi="宋体" w:cs="宋体" w:eastAsia="宋体" w:hint="default"/>
          <w:spacing w:val="-5"/>
          <w:w w:val="101"/>
          <w:sz w:val="18"/>
          <w:szCs w:val="18"/>
        </w:rPr>
        <w:t>损</w:t>
      </w:r>
      <w:r>
        <w:rPr>
          <w:rFonts w:ascii="宋体" w:hAnsi="宋体" w:cs="宋体" w:eastAsia="宋体" w:hint="default"/>
          <w:w w:val="101"/>
          <w:sz w:val="18"/>
          <w:szCs w:val="18"/>
        </w:rPr>
        <w:t>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68"/>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w:t>
      </w:r>
      <w:r>
        <w:rPr>
          <w:rFonts w:ascii="宋体" w:hAnsi="宋体" w:cs="宋体" w:eastAsia="宋体" w:hint="default"/>
          <w:spacing w:val="-73"/>
          <w:w w:val="101"/>
          <w:sz w:val="18"/>
          <w:szCs w:val="18"/>
        </w:rPr>
        <w:t>把</w:t>
      </w:r>
      <w:r>
        <w:rPr>
          <w:rFonts w:ascii="宋体" w:hAnsi="宋体" w:cs="宋体" w:eastAsia="宋体" w:hint="default"/>
          <w:w w:val="101"/>
          <w:sz w:val="18"/>
          <w:szCs w:val="18"/>
        </w:rPr>
        <w:t>《公</w:t>
      </w:r>
      <w:r>
        <w:rPr>
          <w:rFonts w:ascii="宋体" w:hAnsi="宋体" w:cs="宋体" w:eastAsia="宋体" w:hint="default"/>
          <w:sz w:val="18"/>
          <w:szCs w:val="18"/>
        </w:rPr>
      </w:r>
    </w:p>
    <w:p>
      <w:pPr>
        <w:spacing w:line="304" w:lineRule="auto" w:before="58"/>
        <w:ind w:left="193" w:right="538" w:firstLine="0"/>
        <w:jc w:val="left"/>
        <w:rPr>
          <w:rFonts w:ascii="宋体" w:hAnsi="宋体" w:cs="宋体" w:eastAsia="宋体" w:hint="default"/>
          <w:sz w:val="18"/>
          <w:szCs w:val="18"/>
        </w:rPr>
      </w:pPr>
      <w:r>
        <w:rPr>
          <w:rFonts w:ascii="宋体" w:hAnsi="宋体" w:cs="宋体" w:eastAsia="宋体" w:hint="default"/>
          <w:spacing w:val="-3"/>
          <w:sz w:val="18"/>
          <w:szCs w:val="18"/>
        </w:rPr>
        <w:t>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号——非经常性损益》中列举的非经常性损益项目界定为经常性损益的项目，应</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说明原因</w:t>
      </w:r>
    </w:p>
    <w:p>
      <w:pPr>
        <w:spacing w:before="66"/>
        <w:ind w:left="193" w:right="538"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304" w:lineRule="auto" w:before="110"/>
        <w:ind w:left="193" w:right="538" w:firstLine="0"/>
        <w:jc w:val="left"/>
        <w:rPr>
          <w:rFonts w:ascii="宋体" w:hAnsi="宋体" w:cs="宋体" w:eastAsia="宋体" w:hint="default"/>
          <w:sz w:val="18"/>
          <w:szCs w:val="18"/>
        </w:rPr>
      </w:pPr>
      <w:r>
        <w:rPr>
          <w:rFonts w:ascii="宋体" w:hAnsi="宋体" w:cs="宋体" w:eastAsia="宋体" w:hint="default"/>
          <w:spacing w:val="-4"/>
          <w:sz w:val="18"/>
          <w:szCs w:val="18"/>
        </w:rPr>
        <w:t>公司报告期不存在将根据《公开发行证券的公司信息披露解释性公告第 </w:t>
      </w:r>
      <w:r>
        <w:rPr>
          <w:rFonts w:ascii="Times New Roman" w:hAnsi="Times New Roman" w:cs="Times New Roman" w:eastAsia="Times New Roman" w:hint="default"/>
          <w:sz w:val="18"/>
          <w:szCs w:val="18"/>
        </w:rPr>
        <w:t>1 </w:t>
      </w:r>
      <w:r>
        <w:rPr>
          <w:rFonts w:ascii="宋体" w:hAnsi="宋体" w:cs="宋体" w:eastAsia="宋体" w:hint="default"/>
          <w:spacing w:val="-5"/>
          <w:sz w:val="18"/>
          <w:szCs w:val="18"/>
        </w:rPr>
        <w:t>号——非经常性损益》定义、列举的非经常性损益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3"/>
          <w:sz w:val="18"/>
          <w:szCs w:val="18"/>
        </w:rPr>
        <w:t>项目界定为经常性损益的项目的情形。</w:t>
      </w:r>
    </w:p>
    <w:p>
      <w:pPr>
        <w:spacing w:after="0" w:line="304" w:lineRule="auto"/>
        <w:jc w:val="left"/>
        <w:rPr>
          <w:rFonts w:ascii="宋体" w:hAnsi="宋体" w:cs="宋体" w:eastAsia="宋体" w:hint="default"/>
          <w:sz w:val="18"/>
          <w:szCs w:val="18"/>
        </w:rPr>
        <w:sectPr>
          <w:pgSz w:w="11910" w:h="16840"/>
          <w:pgMar w:header="906" w:footer="1022" w:top="1100" w:bottom="1220" w:left="9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489" w:right="1002"/>
        <w:jc w:val="left"/>
        <w:rPr>
          <w:b w:val="0"/>
          <w:bCs w:val="0"/>
        </w:rPr>
      </w:pPr>
      <w:bookmarkStart w:name="第三节公司业务概要" w:id="15"/>
      <w:bookmarkEnd w:id="15"/>
      <w:r>
        <w:rPr>
          <w:b w:val="0"/>
          <w:bCs w:val="0"/>
        </w:rPr>
      </w:r>
      <w:bookmarkStart w:name="_bookmark1" w:id="16"/>
      <w:bookmarkEnd w:id="16"/>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002"/>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号——上市公司从事软件与信息技术服务业务》的披露要求</w:t>
      </w:r>
    </w:p>
    <w:p>
      <w:pPr>
        <w:spacing w:line="240" w:lineRule="auto" w:before="5"/>
        <w:rPr>
          <w:rFonts w:ascii="宋体" w:hAnsi="宋体" w:cs="宋体" w:eastAsia="宋体" w:hint="default"/>
          <w:sz w:val="12"/>
          <w:szCs w:val="12"/>
        </w:rPr>
      </w:pPr>
    </w:p>
    <w:p>
      <w:pPr>
        <w:pStyle w:val="BodyText"/>
        <w:spacing w:line="350" w:lineRule="auto" w:before="0"/>
        <w:ind w:right="1002" w:firstLine="451"/>
        <w:jc w:val="left"/>
      </w:pPr>
      <w:r>
        <w:rPr>
          <w:spacing w:val="-5"/>
        </w:rPr>
        <w:t>报告期内，公司作为目前国内领先的智慧中国全面解决方案提供商和运营服务商，坚持走“自主可控、</w:t>
      </w:r>
      <w:r>
        <w:rPr>
          <w:w w:val="100"/>
        </w:rPr>
        <w:t> </w:t>
      </w:r>
      <w:r>
        <w:rPr/>
        <w:t>国产代替”的创新发展路线，专注于智慧科技方向的尖端传感器、嵌入式处理器、人工智能、物联网、产</w:t>
      </w:r>
      <w:r>
        <w:rPr>
          <w:w w:val="100"/>
        </w:rPr>
        <w:t> </w:t>
      </w:r>
      <w:r>
        <w:rPr/>
        <w:t>业互联网、大数据、云计算与云存储、网络安全、智慧应用软件等关键技术的研究和开发，聚焦智慧中国</w:t>
      </w:r>
      <w:r>
        <w:rPr>
          <w:w w:val="100"/>
        </w:rPr>
        <w:t> </w:t>
      </w:r>
      <w:r>
        <w:rPr>
          <w:spacing w:val="-12"/>
          <w:w w:val="100"/>
        </w:rPr>
        <w:t>三大核心市场</w:t>
      </w:r>
      <w:r>
        <w:rPr>
          <w:rFonts w:ascii="宋体" w:hAnsi="宋体" w:cs="宋体" w:eastAsia="宋体" w:hint="default"/>
          <w:spacing w:val="-12"/>
          <w:w w:val="100"/>
        </w:rPr>
        <w:t>(</w:t>
      </w:r>
      <w:r>
        <w:rPr>
          <w:spacing w:val="-12"/>
          <w:w w:val="100"/>
        </w:rPr>
        <w:t>客户</w:t>
      </w:r>
      <w:r>
        <w:rPr>
          <w:rFonts w:ascii="宋体" w:hAnsi="宋体" w:cs="宋体" w:eastAsia="宋体" w:hint="default"/>
          <w:spacing w:val="-12"/>
          <w:w w:val="100"/>
        </w:rPr>
        <w:t>)</w:t>
      </w:r>
      <w:r>
        <w:rPr>
          <w:spacing w:val="-12"/>
          <w:w w:val="100"/>
        </w:rPr>
        <w:t>：“智慧行政区域（党政与民学）、智慧国防（军队）、智慧时空（东西南北中）”，已</w:t>
      </w:r>
      <w:r>
        <w:rPr>
          <w:spacing w:val="-100"/>
          <w:w w:val="100"/>
        </w:rPr>
        <w:t> </w:t>
      </w:r>
      <w:r>
        <w:rPr>
          <w:spacing w:val="-100"/>
          <w:w w:val="100"/>
        </w:rPr>
      </w:r>
      <w:r>
        <w:rPr/>
        <w:t>形成完全自主可控、国内领先且具有国际竞争力的核心技术、产品、全面解决方案和商业运营模式，并不</w:t>
      </w:r>
      <w:r>
        <w:rPr>
          <w:w w:val="100"/>
        </w:rPr>
        <w:t> </w:t>
      </w:r>
      <w:r>
        <w:rPr/>
        <w:t>断精益求精地复制，以加速形成并夯实“最好的智慧中国全面解决方案提供商和运营服务商”的行业龙头</w:t>
      </w:r>
      <w:r>
        <w:rPr>
          <w:w w:val="100"/>
        </w:rPr>
        <w:t> </w:t>
      </w:r>
      <w:r>
        <w:rPr/>
        <w:t>品牌地位，形成“以智慧中国业务为龙头，以</w:t>
      </w:r>
      <w:r>
        <w:rPr>
          <w:rFonts w:ascii="宋体" w:hAnsi="宋体" w:cs="宋体" w:eastAsia="宋体" w:hint="default"/>
        </w:rPr>
        <w:t>4G/5G</w:t>
      </w:r>
      <w:r>
        <w:rPr/>
        <w:t>新通信业务和新一代光纤网络业务为两翼”的主营业</w:t>
      </w:r>
      <w:r>
        <w:rPr>
          <w:w w:val="100"/>
        </w:rPr>
        <w:t> </w:t>
      </w:r>
      <w:r>
        <w:rPr/>
        <w:t>务发展格局。</w:t>
      </w:r>
    </w:p>
    <w:p>
      <w:pPr>
        <w:spacing w:line="348" w:lineRule="auto" w:before="31"/>
        <w:ind w:left="454" w:right="1002" w:firstLine="19"/>
        <w:jc w:val="left"/>
        <w:rPr>
          <w:rFonts w:ascii="宋体" w:hAnsi="宋体" w:cs="宋体" w:eastAsia="宋体" w:hint="default"/>
          <w:sz w:val="21"/>
          <w:szCs w:val="21"/>
        </w:rPr>
      </w:pPr>
      <w:r>
        <w:rPr>
          <w:rFonts w:ascii="宋体" w:hAnsi="宋体" w:cs="宋体" w:eastAsia="宋体" w:hint="default"/>
          <w:b/>
          <w:bCs/>
          <w:sz w:val="21"/>
          <w:szCs w:val="21"/>
        </w:rPr>
        <w:t>一、主要业务、产品分类及服务</w:t>
      </w:r>
      <w:r>
        <w:rPr>
          <w:rFonts w:ascii="宋体" w:hAnsi="宋体" w:cs="宋体" w:eastAsia="宋体" w:hint="default"/>
          <w:b/>
          <w:bCs/>
          <w:w w:val="100"/>
          <w:sz w:val="21"/>
          <w:szCs w:val="21"/>
        </w:rPr>
        <w:t> </w:t>
      </w:r>
      <w:r>
        <w:rPr>
          <w:rFonts w:ascii="宋体" w:hAnsi="宋体" w:cs="宋体" w:eastAsia="宋体" w:hint="default"/>
          <w:spacing w:val="-2"/>
          <w:sz w:val="21"/>
          <w:szCs w:val="21"/>
        </w:rPr>
        <w:t>公司坚持“以智慧中国业务为龙头，以新通信业务和新一代光纤网络业务为两翼”的主营业务发展格</w:t>
      </w:r>
    </w:p>
    <w:p>
      <w:pPr>
        <w:pStyle w:val="BodyText"/>
        <w:spacing w:line="352" w:lineRule="auto" w:before="29"/>
        <w:ind w:right="1002"/>
        <w:jc w:val="left"/>
      </w:pPr>
      <w:r>
        <w:rPr>
          <w:spacing w:val="-13"/>
          <w:w w:val="100"/>
        </w:rPr>
        <w:t>局，智慧中国业务主要包含：“智慧行政区域（党政与民学）、智慧国防（军队）、智慧时空（东西南北中）”</w:t>
      </w:r>
      <w:r>
        <w:rPr>
          <w:spacing w:val="-73"/>
          <w:w w:val="100"/>
        </w:rPr>
        <w:t> </w:t>
      </w:r>
      <w:r>
        <w:rPr>
          <w:spacing w:val="-73"/>
          <w:w w:val="100"/>
        </w:rPr>
      </w:r>
      <w:r>
        <w:rPr/>
        <w:t>三大核心市场，综合为以下三大业务板块：</w:t>
      </w:r>
    </w:p>
    <w:p>
      <w:pPr>
        <w:pStyle w:val="BodyText"/>
        <w:spacing w:line="350" w:lineRule="auto" w:before="25"/>
        <w:ind w:right="1002" w:firstLine="528"/>
        <w:jc w:val="left"/>
      </w:pPr>
      <w:r>
        <w:rPr>
          <w:rFonts w:ascii="宋体" w:hAnsi="宋体" w:cs="宋体" w:eastAsia="宋体" w:hint="default"/>
          <w:spacing w:val="-5"/>
          <w:w w:val="100"/>
        </w:rPr>
        <w:t>1</w:t>
      </w:r>
      <w:r>
        <w:rPr>
          <w:spacing w:val="-5"/>
          <w:w w:val="100"/>
        </w:rPr>
        <w:t>、智慧中国业务：（</w:t>
      </w:r>
      <w:r>
        <w:rPr>
          <w:rFonts w:ascii="宋体" w:hAnsi="宋体" w:cs="宋体" w:eastAsia="宋体" w:hint="default"/>
          <w:spacing w:val="-5"/>
          <w:w w:val="100"/>
        </w:rPr>
        <w:t>1</w:t>
      </w:r>
      <w:r>
        <w:rPr>
          <w:spacing w:val="-5"/>
          <w:w w:val="100"/>
        </w:rPr>
        <w:t>）智慧行政区域是在党委领导、政府负责、社会协同、多元参与、科技支撑的</w:t>
      </w:r>
      <w:r>
        <w:rPr>
          <w:w w:val="100"/>
        </w:rPr>
        <w:t> </w:t>
      </w:r>
      <w:r>
        <w:rPr>
          <w:spacing w:val="-2"/>
        </w:rPr>
        <w:t>总体指导原则下，面向党委、政府、部门、企业和公众，提供行政区域可持续发展的综合解决方案，聚焦</w:t>
      </w:r>
      <w:r>
        <w:rPr>
          <w:spacing w:val="-33"/>
        </w:rPr>
        <w:t> </w:t>
      </w:r>
      <w:r>
        <w:rPr>
          <w:spacing w:val="-33"/>
        </w:rPr>
      </w:r>
      <w:r>
        <w:rPr>
          <w:spacing w:val="-4"/>
          <w:w w:val="100"/>
        </w:rPr>
        <w:t>统筹全域治理（社会环境治理、市场环境治理、生态环境治理），链接一切服务（政务服务、公共服务、</w:t>
      </w:r>
      <w:r>
        <w:rPr>
          <w:spacing w:val="-83"/>
          <w:w w:val="100"/>
        </w:rPr>
        <w:t> </w:t>
      </w:r>
      <w:r>
        <w:rPr>
          <w:spacing w:val="-83"/>
          <w:w w:val="100"/>
        </w:rPr>
      </w:r>
      <w:r>
        <w:rPr>
          <w:spacing w:val="-6"/>
          <w:w w:val="100"/>
        </w:rPr>
        <w:t>社会服务），发展高质量经济（特色经济升级、数字经济），核心建设内容是构建五中心四平台智慧体系，</w:t>
      </w:r>
      <w:r>
        <w:rPr>
          <w:spacing w:val="-91"/>
          <w:w w:val="100"/>
        </w:rPr>
        <w:t> </w:t>
      </w:r>
      <w:r>
        <w:rPr>
          <w:spacing w:val="-91"/>
          <w:w w:val="100"/>
        </w:rPr>
      </w:r>
      <w:r>
        <w:rPr>
          <w:spacing w:val="-2"/>
        </w:rPr>
        <w:t>包括：区域云数据中心、区域指挥中心、区域受理中心、区域商业运营中心、区域体验中心以及统一物联</w:t>
      </w:r>
      <w:r>
        <w:rPr>
          <w:spacing w:val="-34"/>
        </w:rPr>
        <w:t> </w:t>
      </w:r>
      <w:r>
        <w:rPr>
          <w:spacing w:val="-34"/>
        </w:rPr>
      </w:r>
      <w:r>
        <w:rPr>
          <w:spacing w:val="-2"/>
        </w:rPr>
        <w:t>感知平台、统一云计算服务平台、治理与服务一体化平台和区域商业服务运营平台。通过数据全面赋能，</w:t>
      </w:r>
      <w:r>
        <w:rPr>
          <w:spacing w:val="-13"/>
        </w:rPr>
        <w:t> </w:t>
      </w:r>
      <w:r>
        <w:rPr>
          <w:spacing w:val="-13"/>
        </w:rPr>
      </w:r>
      <w:r>
        <w:rPr>
          <w:spacing w:val="-2"/>
        </w:rPr>
        <w:t>全面多维的提升党和政府治理及服务工作效能，因地制宜发展高质量的区域数字经济，全面提升公众获得</w:t>
      </w:r>
      <w:r>
        <w:rPr>
          <w:spacing w:val="-33"/>
        </w:rPr>
        <w:t> </w:t>
      </w:r>
      <w:r>
        <w:rPr>
          <w:spacing w:val="-33"/>
        </w:rPr>
      </w:r>
      <w:r>
        <w:rPr>
          <w:spacing w:val="-4"/>
          <w:w w:val="100"/>
        </w:rPr>
        <w:t>感、幸福感和满意度。为区域治理体系和治理能力现代化发展进程贡献科技智慧。（</w:t>
      </w:r>
      <w:r>
        <w:rPr>
          <w:rFonts w:ascii="宋体" w:hAnsi="宋体" w:cs="宋体" w:eastAsia="宋体" w:hint="default"/>
          <w:spacing w:val="-4"/>
          <w:w w:val="100"/>
        </w:rPr>
        <w:t>2</w:t>
      </w:r>
      <w:r>
        <w:rPr>
          <w:spacing w:val="-4"/>
          <w:w w:val="100"/>
        </w:rPr>
        <w:t>）智慧国防：中电兴</w:t>
      </w:r>
      <w:r>
        <w:rPr>
          <w:spacing w:val="-101"/>
          <w:w w:val="100"/>
        </w:rPr>
        <w:t> </w:t>
      </w:r>
      <w:r>
        <w:rPr>
          <w:spacing w:val="-101"/>
          <w:w w:val="100"/>
        </w:rPr>
      </w:r>
      <w:r>
        <w:rPr>
          <w:spacing w:val="-2"/>
        </w:rPr>
        <w:t>发以国家深入实施创新驱动发展战略、军民融合发展战略等为契机，促进自身技术能力运用于国防军事工</w:t>
      </w:r>
      <w:r>
        <w:rPr>
          <w:spacing w:val="-33"/>
        </w:rPr>
        <w:t> </w:t>
      </w:r>
      <w:r>
        <w:rPr>
          <w:spacing w:val="-33"/>
        </w:rPr>
      </w:r>
      <w:r>
        <w:rPr>
          <w:spacing w:val="-2"/>
        </w:rPr>
        <w:t>业体系，推动人工智能、物联网、大数据等军民融合重点领域的技术创新，更好服务于智慧国防领域。公</w:t>
      </w:r>
      <w:r>
        <w:rPr>
          <w:spacing w:val="-38"/>
        </w:rPr>
        <w:t> </w:t>
      </w:r>
      <w:r>
        <w:rPr>
          <w:spacing w:val="-38"/>
        </w:rPr>
      </w:r>
      <w:r>
        <w:rPr>
          <w:spacing w:val="-2"/>
        </w:rPr>
        <w:t>司构建了以物理层、网络层、数据层、服务层、应用层为横向支撑，以信息安全保障体系、统一标注规范</w:t>
      </w:r>
      <w:r>
        <w:rPr>
          <w:spacing w:val="-32"/>
        </w:rPr>
        <w:t> </w:t>
      </w:r>
      <w:r>
        <w:rPr>
          <w:spacing w:val="-32"/>
        </w:rPr>
      </w:r>
      <w:r>
        <w:rPr>
          <w:spacing w:val="-2"/>
        </w:rPr>
        <w:t>体系为纵向联动的智慧国防技术体系架构，从而解决数据采集难保鲜、国防信息难共享、各类国防态势数</w:t>
      </w:r>
      <w:r>
        <w:rPr>
          <w:spacing w:val="-33"/>
        </w:rPr>
        <w:t> </w:t>
      </w:r>
      <w:r>
        <w:rPr>
          <w:spacing w:val="-33"/>
        </w:rPr>
      </w:r>
      <w:r>
        <w:rPr>
          <w:spacing w:val="-2"/>
        </w:rPr>
        <w:t>据难掌控；解决应急指挥不顺畅、指挥对象难管控、指挥要素难协同；解决智慧国防建设中网络融合、数</w:t>
      </w:r>
      <w:r>
        <w:rPr>
          <w:spacing w:val="-38"/>
        </w:rPr>
        <w:t> </w:t>
      </w:r>
      <w:r>
        <w:rPr>
          <w:spacing w:val="-38"/>
        </w:rPr>
      </w:r>
      <w:r>
        <w:rPr>
          <w:spacing w:val="-4"/>
          <w:w w:val="100"/>
        </w:rPr>
        <w:t>据融合、信息安全的问题。（</w:t>
      </w:r>
      <w:r>
        <w:rPr>
          <w:rFonts w:ascii="宋体" w:hAnsi="宋体" w:cs="宋体" w:eastAsia="宋体" w:hint="default"/>
          <w:spacing w:val="-4"/>
          <w:w w:val="100"/>
        </w:rPr>
        <w:t>3</w:t>
      </w:r>
      <w:r>
        <w:rPr>
          <w:spacing w:val="-4"/>
          <w:w w:val="100"/>
        </w:rPr>
        <w:t>）智慧时空：建设内容可统一的时空基准，丰富时空大数据，构建智慧行政</w:t>
      </w:r>
      <w:r>
        <w:rPr>
          <w:spacing w:val="-98"/>
          <w:w w:val="100"/>
        </w:rPr>
        <w:t> </w:t>
      </w:r>
      <w:r>
        <w:rPr>
          <w:spacing w:val="-98"/>
          <w:w w:val="100"/>
        </w:rPr>
      </w:r>
      <w:r>
        <w:rPr>
          <w:spacing w:val="-2"/>
        </w:rPr>
        <w:t>区域建设所需的地上地下、室内室外、虚实一体化的、开放的、鲜活的时空数据资源；面向两种不同应用</w:t>
      </w:r>
      <w:r>
        <w:rPr>
          <w:spacing w:val="-38"/>
        </w:rPr>
        <w:t> </w:t>
      </w:r>
      <w:r>
        <w:rPr>
          <w:spacing w:val="-38"/>
        </w:rPr>
      </w:r>
      <w:r>
        <w:rPr>
          <w:spacing w:val="-2"/>
        </w:rPr>
        <w:t>场景，构建桌面平台和移动平台，创建开放的、具有自主学习能力的智能化技术系统；搭建统一、共用的</w:t>
      </w:r>
      <w:r>
        <w:rPr>
          <w:spacing w:val="-34"/>
        </w:rPr>
        <w:t> </w:t>
      </w:r>
      <w:r>
        <w:rPr>
          <w:spacing w:val="-34"/>
        </w:rPr>
      </w:r>
      <w:r>
        <w:rPr>
          <w:spacing w:val="-2"/>
        </w:rPr>
        <w:t>云支撑环境，部署时空大数据平台，形成云服务能力；做好数据与技术支撑，突出实时数据接入、施工大</w:t>
      </w:r>
    </w:p>
    <w:p>
      <w:pPr>
        <w:spacing w:after="0" w:line="35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left="641" w:right="1002" w:hanging="528"/>
        <w:jc w:val="left"/>
      </w:pPr>
      <w:r>
        <w:rPr/>
        <w:t>数据分析和智能化处置等功能。</w:t>
      </w:r>
      <w:r>
        <w:rPr>
          <w:w w:val="100"/>
        </w:rPr>
        <w:t> </w:t>
      </w:r>
      <w:r>
        <w:rPr>
          <w:rFonts w:ascii="宋体" w:hAnsi="宋体" w:cs="宋体" w:eastAsia="宋体" w:hint="default"/>
          <w:spacing w:val="-2"/>
        </w:rPr>
        <w:t>2</w:t>
      </w:r>
      <w:r>
        <w:rPr>
          <w:spacing w:val="-2"/>
        </w:rPr>
        <w:t>、</w:t>
      </w:r>
      <w:r>
        <w:rPr>
          <w:rFonts w:ascii="宋体" w:hAnsi="宋体" w:cs="宋体" w:eastAsia="宋体" w:hint="default"/>
          <w:spacing w:val="-2"/>
        </w:rPr>
        <w:t>4G/5G</w:t>
      </w:r>
      <w:r>
        <w:rPr>
          <w:spacing w:val="-2"/>
        </w:rPr>
        <w:t>新通信业务：云南联通是入选国务院国资委“国企改革双百行动”的唯一一家基础电信企</w:t>
      </w:r>
    </w:p>
    <w:p>
      <w:pPr>
        <w:pStyle w:val="BodyText"/>
        <w:spacing w:line="348" w:lineRule="auto" w:before="34"/>
        <w:ind w:right="1002"/>
        <w:jc w:val="left"/>
      </w:pPr>
      <w:r>
        <w:rPr>
          <w:spacing w:val="-2"/>
        </w:rPr>
        <w:t>业的省级分公司，中电兴发作为云南联通双百行动综合改革的合作单位，投资参股了云南联通省级公司的</w:t>
      </w:r>
      <w:r>
        <w:rPr>
          <w:spacing w:val="-33"/>
        </w:rPr>
        <w:t> </w:t>
      </w:r>
      <w:r>
        <w:rPr>
          <w:spacing w:val="-33"/>
        </w:rPr>
      </w:r>
      <w:r>
        <w:rPr>
          <w:spacing w:val="-2"/>
        </w:rPr>
        <w:t>混改，并投资控股了曲靖市、昭通市、楚雄彝族自治州、普洱市、西双版纳傣族自治州五个地州联通公司</w:t>
      </w:r>
      <w:r>
        <w:rPr>
          <w:spacing w:val="-38"/>
        </w:rPr>
        <w:t> </w:t>
      </w:r>
      <w:r>
        <w:rPr>
          <w:spacing w:val="-38"/>
        </w:rPr>
      </w:r>
      <w:r>
        <w:rPr>
          <w:spacing w:val="-2"/>
        </w:rPr>
        <w:t>的混改，以云南联通全域委托承包运营（全业务接入网资产代管、网络代建、网络代维、全业务代理）为</w:t>
      </w:r>
      <w:r>
        <w:rPr>
          <w:spacing w:val="-33"/>
        </w:rPr>
        <w:t> </w:t>
      </w:r>
      <w:r>
        <w:rPr>
          <w:spacing w:val="-33"/>
        </w:rPr>
      </w:r>
      <w:r>
        <w:rPr>
          <w:spacing w:val="-2"/>
        </w:rPr>
        <w:t>手段，以把国有企业生产要素优势与民营企业市场化机制优势紧密结合、建立现代企业制度和市场化运营</w:t>
      </w:r>
      <w:r>
        <w:rPr>
          <w:spacing w:val="-33"/>
        </w:rPr>
        <w:t> </w:t>
      </w:r>
      <w:r>
        <w:rPr>
          <w:spacing w:val="-33"/>
        </w:rPr>
      </w:r>
      <w:r>
        <w:rPr>
          <w:spacing w:val="-2"/>
        </w:rPr>
        <w:t>机制为重点，积极推进云南联通互联网化运营转型和创新业务转型。中电兴发与云南联通存在极强的业务</w:t>
      </w:r>
      <w:r>
        <w:rPr>
          <w:spacing w:val="-33"/>
        </w:rPr>
        <w:t> </w:t>
      </w:r>
      <w:r>
        <w:rPr>
          <w:spacing w:val="-33"/>
        </w:rPr>
      </w:r>
      <w:r>
        <w:rPr>
          <w:spacing w:val="-2"/>
        </w:rPr>
        <w:t>协同效应，与云南联通的合作有助于中电兴发智慧中国业务的相关多元化发展，加速技术、市场与客户资</w:t>
      </w:r>
      <w:r>
        <w:rPr>
          <w:spacing w:val="-33"/>
        </w:rPr>
        <w:t> </w:t>
      </w:r>
      <w:r>
        <w:rPr>
          <w:spacing w:val="-33"/>
        </w:rPr>
      </w:r>
      <w:r>
        <w:rPr>
          <w:spacing w:val="-4"/>
        </w:rPr>
        <w:t>源整合，打造智慧科技创新产业生态圈；中电兴发核心业务创新发展也将极大的助力云南联通的转型过程。</w:t>
      </w:r>
      <w:r>
        <w:rPr>
          <w:spacing w:val="-47"/>
        </w:rPr>
        <w:t> </w:t>
      </w:r>
      <w:r>
        <w:rPr>
          <w:spacing w:val="-47"/>
        </w:rPr>
      </w:r>
      <w:r>
        <w:rPr/>
        <w:t>以云南联通为样板，中电兴发正在积极参与中国联通其他省份的混改工作。</w:t>
      </w:r>
    </w:p>
    <w:p>
      <w:pPr>
        <w:pStyle w:val="BodyText"/>
        <w:spacing w:line="350" w:lineRule="auto" w:before="29"/>
        <w:ind w:right="1122" w:firstLine="528"/>
        <w:jc w:val="both"/>
      </w:pPr>
      <w:r>
        <w:rPr>
          <w:rFonts w:ascii="宋体" w:hAnsi="宋体" w:cs="宋体" w:eastAsia="宋体" w:hint="default"/>
          <w:spacing w:val="-2"/>
        </w:rPr>
        <w:t>3</w:t>
      </w:r>
      <w:r>
        <w:rPr>
          <w:spacing w:val="-2"/>
        </w:rPr>
        <w:t>、新一代光纤网络业务：新一代光纤主干网络业务是依托高速公路专用管网资源，通过与电信运营</w:t>
      </w:r>
      <w:r>
        <w:rPr>
          <w:w w:val="100"/>
        </w:rPr>
        <w:t> </w:t>
      </w:r>
      <w:r>
        <w:rPr>
          <w:spacing w:val="-2"/>
        </w:rPr>
        <w:t>商合作的模式，分期建设形成覆盖全国主要省份的主干新光纤网络，为包括政府、运营商和其他企事业单</w:t>
      </w:r>
      <w:r>
        <w:rPr>
          <w:spacing w:val="-33"/>
        </w:rPr>
        <w:t> </w:t>
      </w:r>
      <w:r>
        <w:rPr>
          <w:spacing w:val="-33"/>
        </w:rPr>
      </w:r>
      <w:r>
        <w:rPr>
          <w:spacing w:val="-2"/>
        </w:rPr>
        <w:t>位在内的客户提供新一代安全、可靠、高性能的基础传输网络支撑服务，与公司的智慧中国业务形成有效</w:t>
      </w:r>
      <w:r>
        <w:rPr>
          <w:spacing w:val="-33"/>
        </w:rPr>
        <w:t> </w:t>
      </w:r>
      <w:r>
        <w:rPr>
          <w:spacing w:val="-33"/>
        </w:rPr>
      </w:r>
      <w:r>
        <w:rPr/>
        <w:t>协同。</w:t>
      </w:r>
    </w:p>
    <w:p>
      <w:pPr>
        <w:spacing w:line="348" w:lineRule="auto" w:before="31"/>
        <w:ind w:left="641" w:right="1002" w:firstLine="0"/>
        <w:jc w:val="left"/>
        <w:rPr>
          <w:rFonts w:ascii="宋体" w:hAnsi="宋体" w:cs="宋体" w:eastAsia="宋体" w:hint="default"/>
          <w:sz w:val="21"/>
          <w:szCs w:val="21"/>
        </w:rPr>
      </w:pPr>
      <w:r>
        <w:rPr>
          <w:rFonts w:ascii="宋体" w:hAnsi="宋体" w:cs="宋体" w:eastAsia="宋体" w:hint="default"/>
          <w:b/>
          <w:bCs/>
          <w:sz w:val="21"/>
          <w:szCs w:val="21"/>
        </w:rPr>
        <w:t>二、公司主要的业绩驱动因素</w:t>
      </w:r>
      <w:r>
        <w:rPr>
          <w:rFonts w:ascii="宋体" w:hAnsi="宋体" w:cs="宋体" w:eastAsia="宋体" w:hint="default"/>
          <w:b/>
          <w:bCs/>
          <w:spacing w:val="-101"/>
          <w:sz w:val="21"/>
          <w:szCs w:val="21"/>
        </w:rPr>
        <w:t> </w:t>
      </w:r>
      <w:r>
        <w:rPr>
          <w:rFonts w:ascii="宋体" w:hAnsi="宋体" w:cs="宋体" w:eastAsia="宋体" w:hint="default"/>
          <w:spacing w:val="-5"/>
          <w:sz w:val="21"/>
          <w:szCs w:val="21"/>
        </w:rPr>
        <w:t>1</w:t>
      </w:r>
      <w:r>
        <w:rPr>
          <w:rFonts w:ascii="宋体" w:hAnsi="宋体" w:cs="宋体" w:eastAsia="宋体" w:hint="default"/>
          <w:spacing w:val="-5"/>
          <w:sz w:val="21"/>
          <w:szCs w:val="21"/>
        </w:rPr>
        <w:t>、持续完善极具竞争力的企业资质平台：公司作为目前中国具有国家多部委核准颁发的九个“甲级”</w:t>
      </w:r>
    </w:p>
    <w:p>
      <w:pPr>
        <w:pStyle w:val="BodyText"/>
        <w:spacing w:line="352" w:lineRule="auto" w:before="29"/>
        <w:ind w:right="1002"/>
        <w:jc w:val="left"/>
      </w:pPr>
      <w:r>
        <w:rPr>
          <w:spacing w:val="-2"/>
        </w:rPr>
        <w:t>资质的智慧中国全面解决方案提供商和运营服务商，目前已构建了行业信息化项目招投标最全面、最顶级</w:t>
      </w:r>
      <w:r>
        <w:rPr>
          <w:spacing w:val="-33"/>
        </w:rPr>
        <w:t> </w:t>
      </w:r>
      <w:r>
        <w:rPr>
          <w:spacing w:val="-33"/>
        </w:rPr>
      </w:r>
      <w:r>
        <w:rPr/>
        <w:t>的竞争门槛。公司业务布局正在稳步扩张，公司一直致力于打造更为完善、顶级的企业资质平台。</w:t>
      </w:r>
    </w:p>
    <w:p>
      <w:pPr>
        <w:pStyle w:val="BodyText"/>
        <w:spacing w:line="348" w:lineRule="auto" w:before="25"/>
        <w:ind w:right="1002" w:firstLine="528"/>
        <w:jc w:val="left"/>
      </w:pPr>
      <w:r>
        <w:rPr>
          <w:rFonts w:ascii="宋体" w:hAnsi="宋体" w:cs="宋体" w:eastAsia="宋体" w:hint="default"/>
          <w:spacing w:val="-2"/>
        </w:rPr>
        <w:t>2</w:t>
      </w:r>
      <w:r>
        <w:rPr>
          <w:spacing w:val="-2"/>
        </w:rPr>
        <w:t>、持续加强科研管理创新和资金投入，巩固市场与客户需求导向型的技术及研发优势：公司专注于</w:t>
      </w:r>
      <w:r>
        <w:rPr>
          <w:w w:val="100"/>
        </w:rPr>
        <w:t> </w:t>
      </w:r>
      <w:r>
        <w:rPr>
          <w:spacing w:val="-5"/>
        </w:rPr>
        <w:t>智慧科技方向的尖端传感器、嵌入式处理器、人工智能、物联网、产业互联网、大数据、云计算与云存储、</w:t>
      </w:r>
      <w:r>
        <w:rPr>
          <w:spacing w:val="-4"/>
        </w:rPr>
        <w:t> </w:t>
      </w:r>
      <w:r>
        <w:rPr>
          <w:spacing w:val="-4"/>
        </w:rPr>
      </w:r>
      <w:r>
        <w:rPr>
          <w:spacing w:val="-2"/>
        </w:rPr>
        <w:t>网络安全、智慧应用软件等关键技术的研究和开发，全面掌握核心技术。同时，开展相关多元化发展，加</w:t>
      </w:r>
      <w:r>
        <w:rPr>
          <w:spacing w:val="-38"/>
        </w:rPr>
        <w:t> </w:t>
      </w:r>
      <w:r>
        <w:rPr>
          <w:spacing w:val="-38"/>
        </w:rPr>
      </w:r>
      <w:r>
        <w:rPr/>
        <w:t>速技术、市场与客户资源整合，打造智慧科技创新产业生态圈，以“开放、共赢”的格局形成智慧科技产</w:t>
      </w:r>
      <w:r>
        <w:rPr>
          <w:w w:val="100"/>
        </w:rPr>
        <w:t> </w:t>
      </w:r>
      <w:r>
        <w:rPr/>
        <w:t>业集群。</w:t>
      </w:r>
    </w:p>
    <w:p>
      <w:pPr>
        <w:pStyle w:val="BodyText"/>
        <w:spacing w:line="350" w:lineRule="auto" w:before="34"/>
        <w:ind w:right="1125" w:firstLine="528"/>
        <w:jc w:val="both"/>
      </w:pPr>
      <w:r>
        <w:rPr>
          <w:rFonts w:ascii="宋体" w:hAnsi="宋体" w:cs="宋体" w:eastAsia="宋体" w:hint="default"/>
          <w:spacing w:val="-2"/>
        </w:rPr>
        <w:t>3</w:t>
      </w:r>
      <w:r>
        <w:rPr>
          <w:spacing w:val="-2"/>
        </w:rPr>
        <w:t>、持续打造一流的人才团队：公司注重人才的引进和培养，先后引进多名高端人才、领军人才，每</w:t>
      </w:r>
      <w:r>
        <w:rPr>
          <w:w w:val="100"/>
        </w:rPr>
        <w:t> </w:t>
      </w:r>
      <w:r>
        <w:rPr>
          <w:spacing w:val="-2"/>
        </w:rPr>
        <w:t>年从高校招聘大量优秀毕业生，并投入大量经费对员工进行业务技能、企业文化、经营管理等培训，保证</w:t>
      </w:r>
      <w:r>
        <w:rPr>
          <w:spacing w:val="-33"/>
        </w:rPr>
        <w:t> </w:t>
      </w:r>
      <w:r>
        <w:rPr>
          <w:spacing w:val="-33"/>
        </w:rPr>
      </w:r>
      <w:r>
        <w:rPr>
          <w:spacing w:val="-2"/>
        </w:rPr>
        <w:t>员工队伍的高效与稳定。公司还与电子科技大学、清华大学等知名高校紧密合作，聘请博士团队，聚力国</w:t>
      </w:r>
      <w:r>
        <w:rPr>
          <w:spacing w:val="-33"/>
        </w:rPr>
        <w:t> </w:t>
      </w:r>
      <w:r>
        <w:rPr>
          <w:spacing w:val="-33"/>
        </w:rPr>
      </w:r>
      <w:r>
        <w:rPr/>
        <w:t>内优质智囊组建科研创新高地，让公司员工团队拥有强大的内生动力和外聚整合能力。</w:t>
      </w:r>
    </w:p>
    <w:p>
      <w:pPr>
        <w:pStyle w:val="BodyText"/>
        <w:spacing w:line="350" w:lineRule="auto" w:before="27"/>
        <w:ind w:right="1002" w:firstLine="528"/>
        <w:jc w:val="left"/>
      </w:pPr>
      <w:r>
        <w:rPr>
          <w:rFonts w:ascii="宋体" w:hAnsi="宋体" w:cs="宋体" w:eastAsia="宋体" w:hint="default"/>
          <w:spacing w:val="-4"/>
          <w:w w:val="100"/>
        </w:rPr>
        <w:t>4</w:t>
      </w:r>
      <w:r>
        <w:rPr>
          <w:spacing w:val="-4"/>
          <w:w w:val="100"/>
        </w:rPr>
        <w:t>、持续推进可复制、可推广的行业应用：聚焦智慧中国三大核心市场</w:t>
      </w:r>
      <w:r>
        <w:rPr>
          <w:rFonts w:ascii="宋体" w:hAnsi="宋体" w:cs="宋体" w:eastAsia="宋体" w:hint="default"/>
          <w:spacing w:val="-4"/>
          <w:w w:val="100"/>
        </w:rPr>
        <w:t>(</w:t>
      </w:r>
      <w:r>
        <w:rPr>
          <w:spacing w:val="-4"/>
          <w:w w:val="100"/>
        </w:rPr>
        <w:t>客户</w:t>
      </w:r>
      <w:r>
        <w:rPr>
          <w:rFonts w:ascii="宋体" w:hAnsi="宋体" w:cs="宋体" w:eastAsia="宋体" w:hint="default"/>
          <w:spacing w:val="-4"/>
          <w:w w:val="100"/>
        </w:rPr>
        <w:t>)</w:t>
      </w:r>
      <w:r>
        <w:rPr>
          <w:spacing w:val="-4"/>
          <w:w w:val="100"/>
        </w:rPr>
        <w:t>：“智慧行政区域（党</w:t>
      </w:r>
      <w:r>
        <w:rPr>
          <w:w w:val="100"/>
        </w:rPr>
        <w:t> </w:t>
      </w:r>
      <w:r>
        <w:rPr>
          <w:spacing w:val="-11"/>
          <w:w w:val="100"/>
        </w:rPr>
        <w:t>政与民学）、智慧国防（军队）、智慧时空（东西南北中）”，已形成完全自主可控、国内领先且具有国际竞</w:t>
      </w:r>
      <w:r>
        <w:rPr>
          <w:spacing w:val="-75"/>
          <w:w w:val="100"/>
        </w:rPr>
        <w:t> </w:t>
      </w:r>
      <w:r>
        <w:rPr>
          <w:spacing w:val="-75"/>
          <w:w w:val="100"/>
        </w:rPr>
      </w:r>
      <w:r>
        <w:rPr/>
        <w:t>争力的核心技术、产品、全面解决方案和商业运营模式，并不断精益求精地复制。</w:t>
      </w:r>
    </w:p>
    <w:p>
      <w:pPr>
        <w:spacing w:line="348" w:lineRule="auto" w:before="27"/>
        <w:ind w:left="454" w:right="1002" w:firstLine="187"/>
        <w:jc w:val="left"/>
        <w:rPr>
          <w:rFonts w:ascii="宋体" w:hAnsi="宋体" w:cs="宋体" w:eastAsia="宋体" w:hint="default"/>
          <w:sz w:val="21"/>
          <w:szCs w:val="21"/>
        </w:rPr>
      </w:pPr>
      <w:r>
        <w:rPr>
          <w:rFonts w:ascii="宋体" w:hAnsi="宋体" w:cs="宋体" w:eastAsia="宋体" w:hint="default"/>
          <w:b/>
          <w:bCs/>
          <w:sz w:val="21"/>
          <w:szCs w:val="21"/>
        </w:rPr>
        <w:t>三、行业发展阶段及周期性特点</w:t>
      </w:r>
      <w:r>
        <w:rPr>
          <w:rFonts w:ascii="宋体" w:hAnsi="宋体" w:cs="宋体" w:eastAsia="宋体" w:hint="default"/>
          <w:b/>
          <w:bCs/>
          <w:w w:val="100"/>
          <w:sz w:val="21"/>
          <w:szCs w:val="21"/>
        </w:rPr>
        <w:t> </w:t>
      </w:r>
      <w:r>
        <w:rPr>
          <w:rFonts w:ascii="宋体" w:hAnsi="宋体" w:cs="宋体" w:eastAsia="宋体" w:hint="default"/>
          <w:spacing w:val="-2"/>
          <w:sz w:val="21"/>
          <w:szCs w:val="21"/>
        </w:rPr>
        <w:t>党的十九大宣告中国特色社会主义进入新时代，开启了全面建设社会主义现代化国家的新征程。党的</w:t>
      </w:r>
    </w:p>
    <w:p>
      <w:pPr>
        <w:pStyle w:val="BodyText"/>
        <w:spacing w:line="348" w:lineRule="auto" w:before="34"/>
        <w:ind w:right="1002"/>
        <w:jc w:val="left"/>
      </w:pPr>
      <w:r>
        <w:rPr>
          <w:spacing w:val="-2"/>
        </w:rPr>
        <w:t>十九届四中全会明确提出了坚持和完善中国特色社会主义制度、推进国家治理体系和治理能力现代化的总</w:t>
      </w:r>
      <w:r>
        <w:rPr>
          <w:spacing w:val="-33"/>
        </w:rPr>
        <w:t> </w:t>
      </w:r>
      <w:r>
        <w:rPr>
          <w:spacing w:val="-33"/>
        </w:rPr>
      </w:r>
      <w:r>
        <w:rPr/>
        <w:t>体目标。全会还指出</w:t>
      </w:r>
      <w:r>
        <w:rPr>
          <w:rFonts w:ascii="Times New Roman" w:hAnsi="Times New Roman" w:cs="Times New Roman" w:eastAsia="Times New Roman" w:hint="default"/>
        </w:rPr>
        <w:t>“</w:t>
      </w:r>
      <w:r>
        <w:rPr/>
        <w:t>必须加强和创新社会治理、社会协同、公众参与、法治保障、科技支撑的社会治理</w:t>
      </w:r>
    </w:p>
    <w:p>
      <w:pPr>
        <w:spacing w:after="0" w:line="348"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28" w:lineRule="auto"/>
        <w:ind w:left="535" w:right="1002" w:hanging="423"/>
        <w:jc w:val="left"/>
      </w:pPr>
      <w:r>
        <w:rPr/>
        <w:t>体系</w:t>
      </w:r>
      <w:r>
        <w:rPr>
          <w:rFonts w:ascii="Times New Roman" w:hAnsi="Times New Roman" w:cs="Times New Roman" w:eastAsia="Times New Roman" w:hint="default"/>
        </w:rPr>
        <w:t>”</w:t>
      </w:r>
      <w:r>
        <w:rPr/>
        <w:t>，首次将科技支撑写入社会治理体系。</w:t>
      </w:r>
      <w:r>
        <w:rPr>
          <w:spacing w:val="-100"/>
        </w:rPr>
        <w:t> </w:t>
      </w:r>
      <w:r>
        <w:rPr>
          <w:spacing w:val="-100"/>
        </w:rPr>
      </w:r>
      <w:r>
        <w:rPr>
          <w:spacing w:val="-3"/>
        </w:rPr>
        <w:t>随着以</w:t>
      </w:r>
      <w:r>
        <w:rPr>
          <w:rFonts w:ascii="Times New Roman" w:hAnsi="Times New Roman" w:cs="Times New Roman" w:eastAsia="Times New Roman" w:hint="default"/>
          <w:spacing w:val="-3"/>
        </w:rPr>
        <w:t>5G</w:t>
      </w:r>
      <w:r>
        <w:rPr>
          <w:spacing w:val="-3"/>
        </w:rPr>
        <w:t>技术、大数据、人工智能、云计算、物联网为代表的新一代信息技术飞速发展，在社会治理</w:t>
      </w:r>
    </w:p>
    <w:p>
      <w:pPr>
        <w:pStyle w:val="BodyText"/>
        <w:spacing w:line="348" w:lineRule="auto" w:before="27"/>
        <w:ind w:right="1002"/>
        <w:jc w:val="left"/>
      </w:pPr>
      <w:r>
        <w:rPr/>
        <w:t>中，尤其以信息技术作为基础性支撑的作用越来越明显，为社会治理提供了新的思路与手段。实现了人、</w:t>
      </w:r>
      <w:r>
        <w:rPr>
          <w:spacing w:val="-103"/>
        </w:rPr>
        <w:t> </w:t>
      </w:r>
      <w:r>
        <w:rPr>
          <w:spacing w:val="-103"/>
        </w:rPr>
      </w:r>
      <w:r>
        <w:rPr>
          <w:spacing w:val="-4"/>
        </w:rPr>
        <w:t>物、设备、时空、数据等高效融合，创新社会治理新模式。同时，运用可视化的数字分析、智能算法加持，</w:t>
      </w:r>
      <w:r>
        <w:rPr>
          <w:spacing w:val="-46"/>
        </w:rPr>
        <w:t> </w:t>
      </w:r>
      <w:r>
        <w:rPr>
          <w:spacing w:val="-46"/>
        </w:rPr>
      </w:r>
      <w:r>
        <w:rPr/>
        <w:t>更加直观、透明、及时地发现社会问题、明确目标、弄清源头，促进传统治理思维方式的转变。通过打造</w:t>
      </w:r>
      <w:r>
        <w:rPr>
          <w:w w:val="100"/>
        </w:rPr>
        <w:t> </w:t>
      </w:r>
      <w:r>
        <w:rPr>
          <w:spacing w:val="-4"/>
        </w:rPr>
        <w:t>以新一代信息技术手段为支撑，构建统一的综合信息服务管理平台，促进政府管理、社会治理、民生服务、</w:t>
      </w:r>
      <w:r>
        <w:rPr>
          <w:spacing w:val="-47"/>
        </w:rPr>
        <w:t> </w:t>
      </w:r>
      <w:r>
        <w:rPr>
          <w:spacing w:val="-47"/>
        </w:rPr>
      </w:r>
      <w:r>
        <w:rPr/>
        <w:t>公共安全、生态治理等领域数据互融互通，破除数据壁垒，提升治理能力。未来，大数据、云计算、人工</w:t>
      </w:r>
      <w:r>
        <w:rPr>
          <w:w w:val="100"/>
        </w:rPr>
        <w:t> </w:t>
      </w:r>
      <w:r>
        <w:rPr/>
        <w:t>智能等新一代信息技术是政府职能由全能型向服务型转变的必要技术支撑；并且随着人们对数字化、网络</w:t>
      </w:r>
      <w:r>
        <w:rPr>
          <w:w w:val="100"/>
        </w:rPr>
        <w:t> </w:t>
      </w:r>
      <w:r>
        <w:rPr/>
        <w:t>化、智慧化生活的熟悉程度不断上升，智慧科技领域的业务需求将逐步深入，应用领域将不断扩张，行业</w:t>
      </w:r>
      <w:r>
        <w:rPr>
          <w:w w:val="100"/>
        </w:rPr>
        <w:t> </w:t>
      </w:r>
      <w:r>
        <w:rPr/>
        <w:t>发展需求的增加将为行业提供持续发展的动力。</w:t>
      </w:r>
    </w:p>
    <w:p>
      <w:pPr>
        <w:pStyle w:val="BodyText"/>
        <w:spacing w:line="350" w:lineRule="auto" w:before="29"/>
        <w:ind w:right="1125" w:firstLine="340"/>
        <w:jc w:val="both"/>
      </w:pPr>
      <w:r>
        <w:rPr>
          <w:spacing w:val="-2"/>
        </w:rPr>
        <w:t>在智慧国防领域，我国军民融合发展刚进入由初步融合向深度融合的过渡阶段。军工企业和民营企业</w:t>
      </w:r>
      <w:r>
        <w:rPr>
          <w:w w:val="100"/>
        </w:rPr>
        <w:t> </w:t>
      </w:r>
      <w:r>
        <w:rPr>
          <w:spacing w:val="-2"/>
        </w:rPr>
        <w:t>以国家深入实施创新驱动发展战略、军民融合发展战略等为契机，通过深度合作加快军工企业在民用产业</w:t>
      </w:r>
      <w:r>
        <w:rPr>
          <w:spacing w:val="-33"/>
        </w:rPr>
        <w:t> </w:t>
      </w:r>
      <w:r>
        <w:rPr>
          <w:spacing w:val="-33"/>
        </w:rPr>
      </w:r>
      <w:r>
        <w:rPr>
          <w:spacing w:val="-2"/>
        </w:rPr>
        <w:t>的技术转化进程，促进民营企业技术能力运用于国防军事工业体系，推动人工智能、物联网、大数据等军</w:t>
      </w:r>
      <w:r>
        <w:rPr>
          <w:spacing w:val="-33"/>
        </w:rPr>
        <w:t> </w:t>
      </w:r>
      <w:r>
        <w:rPr>
          <w:spacing w:val="-33"/>
        </w:rPr>
      </w:r>
      <w:r>
        <w:rPr>
          <w:spacing w:val="-2"/>
        </w:rPr>
        <w:t>民融合重点领域的技术创新，更好服务于国防与军队信息化、公共安全、国民经济建设、智慧社会治理等</w:t>
      </w:r>
      <w:r>
        <w:rPr>
          <w:spacing w:val="-33"/>
        </w:rPr>
        <w:t> </w:t>
      </w:r>
      <w:r>
        <w:rPr>
          <w:spacing w:val="-33"/>
        </w:rPr>
      </w:r>
      <w:r>
        <w:rPr>
          <w:spacing w:val="-2"/>
        </w:rPr>
        <w:t>领域。随着军民融合深度发展格局的不断形成以及一体化国家战略体系和能力的完善构建，军民融合项目</w:t>
      </w:r>
      <w:r>
        <w:rPr>
          <w:spacing w:val="-33"/>
        </w:rPr>
        <w:t> </w:t>
      </w:r>
      <w:r>
        <w:rPr>
          <w:spacing w:val="-33"/>
        </w:rPr>
      </w:r>
      <w:r>
        <w:rPr/>
        <w:t>将遍地开花，产业投资前景十分广阔。</w:t>
      </w:r>
    </w:p>
    <w:p>
      <w:pPr>
        <w:pStyle w:val="BodyText"/>
        <w:spacing w:line="331" w:lineRule="auto" w:before="27"/>
        <w:ind w:right="1002" w:firstLine="340"/>
        <w:jc w:val="left"/>
      </w:pPr>
      <w:r>
        <w:rPr>
          <w:spacing w:val="-3"/>
        </w:rPr>
        <w:t>早在</w:t>
      </w:r>
      <w:r>
        <w:rPr>
          <w:rFonts w:ascii="Times New Roman" w:hAnsi="Times New Roman" w:cs="Times New Roman" w:eastAsia="Times New Roman" w:hint="default"/>
          <w:spacing w:val="-3"/>
        </w:rPr>
        <w:t>2018</w:t>
      </w:r>
      <w:r>
        <w:rPr>
          <w:spacing w:val="-3"/>
        </w:rPr>
        <w:t>年底召开的中央经济工作会议上就明确了</w:t>
      </w:r>
      <w:r>
        <w:rPr>
          <w:rFonts w:ascii="Times New Roman" w:hAnsi="Times New Roman" w:cs="Times New Roman" w:eastAsia="Times New Roman" w:hint="default"/>
          <w:spacing w:val="-3"/>
        </w:rPr>
        <w:t>5G</w:t>
      </w:r>
      <w:r>
        <w:rPr>
          <w:spacing w:val="-3"/>
        </w:rPr>
        <w:t>、人工智能、工业互联网、物联网等</w:t>
      </w:r>
      <w:r>
        <w:rPr>
          <w:rFonts w:ascii="Times New Roman" w:hAnsi="Times New Roman" w:cs="Times New Roman" w:eastAsia="Times New Roman" w:hint="default"/>
          <w:spacing w:val="-3"/>
        </w:rPr>
        <w:t>“</w:t>
      </w:r>
      <w:r>
        <w:rPr>
          <w:spacing w:val="-3"/>
        </w:rPr>
        <w:t>新型基础设</w:t>
      </w:r>
      <w:r>
        <w:rPr>
          <w:w w:val="100"/>
        </w:rPr>
        <w:t> </w:t>
      </w:r>
      <w:r>
        <w:rPr>
          <w:spacing w:val="-3"/>
        </w:rPr>
        <w:t>施建设</w:t>
      </w:r>
      <w:r>
        <w:rPr>
          <w:rFonts w:ascii="Times New Roman" w:hAnsi="Times New Roman" w:cs="Times New Roman" w:eastAsia="Times New Roman" w:hint="default"/>
          <w:spacing w:val="-3"/>
        </w:rPr>
        <w:t>”</w:t>
      </w:r>
      <w:r>
        <w:rPr>
          <w:spacing w:val="-3"/>
        </w:rPr>
        <w:t>的定位，随后</w:t>
      </w:r>
      <w:r>
        <w:rPr>
          <w:rFonts w:ascii="Times New Roman" w:hAnsi="Times New Roman" w:cs="Times New Roman" w:eastAsia="Times New Roman" w:hint="default"/>
          <w:spacing w:val="-3"/>
        </w:rPr>
        <w:t>“</w:t>
      </w:r>
      <w:r>
        <w:rPr>
          <w:spacing w:val="-3"/>
        </w:rPr>
        <w:t>加强新一代信息基础设施建设</w:t>
      </w:r>
      <w:r>
        <w:rPr>
          <w:rFonts w:ascii="Times New Roman" w:hAnsi="Times New Roman" w:cs="Times New Roman" w:eastAsia="Times New Roman" w:hint="default"/>
          <w:spacing w:val="-3"/>
        </w:rPr>
        <w:t>”</w:t>
      </w:r>
      <w:r>
        <w:rPr>
          <w:spacing w:val="-3"/>
        </w:rPr>
        <w:t>被列入</w:t>
      </w:r>
      <w:r>
        <w:rPr>
          <w:rFonts w:ascii="Times New Roman" w:hAnsi="Times New Roman" w:cs="Times New Roman" w:eastAsia="Times New Roman" w:hint="default"/>
          <w:spacing w:val="-3"/>
        </w:rPr>
        <w:t>2019</w:t>
      </w:r>
      <w:r>
        <w:rPr>
          <w:spacing w:val="-3"/>
        </w:rPr>
        <w:t>年政府工作报告。最近，部委政策也在持</w:t>
      </w:r>
      <w:r>
        <w:rPr>
          <w:spacing w:val="-50"/>
        </w:rPr>
        <w:t> </w:t>
      </w:r>
      <w:r>
        <w:rPr>
          <w:spacing w:val="-50"/>
        </w:rPr>
      </w:r>
      <w:r>
        <w:rPr/>
        <w:t>续加码</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。公司的</w:t>
      </w:r>
      <w:r>
        <w:rPr>
          <w:rFonts w:ascii="Times New Roman" w:hAnsi="Times New Roman" w:cs="Times New Roman" w:eastAsia="Times New Roman" w:hint="default"/>
        </w:rPr>
        <w:t>4G/5G</w:t>
      </w:r>
      <w:r>
        <w:rPr/>
        <w:t>新基础通信业务和新一代光纤网络业务等将会在</w:t>
      </w:r>
      <w:r>
        <w:rPr>
          <w:rFonts w:ascii="Times New Roman" w:hAnsi="Times New Roman" w:cs="Times New Roman" w:eastAsia="Times New Roman" w:hint="default"/>
        </w:rPr>
        <w:t>“</w:t>
      </w:r>
      <w:r>
        <w:rPr/>
        <w:t>新基建</w:t>
      </w:r>
      <w:r>
        <w:rPr>
          <w:rFonts w:ascii="Times New Roman" w:hAnsi="Times New Roman" w:cs="Times New Roman" w:eastAsia="Times New Roman" w:hint="default"/>
        </w:rPr>
        <w:t>”</w:t>
      </w:r>
      <w:r>
        <w:rPr/>
        <w:t>产业中受益。新</w:t>
      </w:r>
      <w:r>
        <w:rPr>
          <w:w w:val="100"/>
        </w:rPr>
        <w:t> </w:t>
      </w:r>
      <w:r>
        <w:rPr/>
        <w:t>基建将激发更多新需求、创造更多新业态，推动中国经济转型升级，助力经济高质量发展。</w:t>
      </w:r>
    </w:p>
    <w:p>
      <w:pPr>
        <w:pStyle w:val="BodyText"/>
        <w:spacing w:line="348" w:lineRule="auto" w:before="48"/>
        <w:ind w:right="1126" w:firstLine="340"/>
        <w:jc w:val="both"/>
      </w:pPr>
      <w:r>
        <w:rPr>
          <w:spacing w:val="-2"/>
        </w:rPr>
        <w:t>综合来说，在公司所处的软件与信息技术服务行业，我国市场需求仍然保持高速增长，国家相关战略</w:t>
      </w:r>
      <w:r>
        <w:rPr>
          <w:w w:val="100"/>
        </w:rPr>
        <w:t> </w:t>
      </w:r>
      <w:r>
        <w:rPr>
          <w:spacing w:val="-2"/>
        </w:rPr>
        <w:t>规划不断出台，行业发展环境不断优化，网络基础设施不断完善，公共服务平台建设稳步提升，境内外并</w:t>
      </w:r>
      <w:r>
        <w:rPr>
          <w:spacing w:val="-33"/>
        </w:rPr>
        <w:t> </w:t>
      </w:r>
      <w:r>
        <w:rPr>
          <w:spacing w:val="-33"/>
        </w:rPr>
      </w:r>
      <w:r>
        <w:rPr>
          <w:spacing w:val="-2"/>
        </w:rPr>
        <w:t>购持续活跃，人才供给逐年增加，行业发展前景良好，市场潜力十分巨大。新一轮信息科技正在重构世界</w:t>
      </w:r>
      <w:r>
        <w:rPr>
          <w:spacing w:val="-33"/>
        </w:rPr>
        <w:t> </w:t>
      </w:r>
      <w:r>
        <w:rPr>
          <w:spacing w:val="-33"/>
        </w:rPr>
      </w:r>
      <w:r>
        <w:rPr>
          <w:spacing w:val="-2"/>
        </w:rPr>
        <w:t>版图，重塑世界经济结构，国际经济格局加速调整，紧跟世界科技前沿，引领科技发展方向，才能肩负起</w:t>
      </w:r>
      <w:r>
        <w:rPr>
          <w:spacing w:val="-38"/>
        </w:rPr>
        <w:t> </w:t>
      </w:r>
      <w:r>
        <w:rPr>
          <w:spacing w:val="-38"/>
        </w:rPr>
      </w:r>
      <w:r>
        <w:rPr>
          <w:spacing w:val="-2"/>
        </w:rPr>
        <w:t>历史赋予的重任。我们将以科技赋能，推动社会治理精细管理、精准施策、精准发力，促进社会经济更高</w:t>
      </w:r>
      <w:r>
        <w:rPr>
          <w:spacing w:val="-38"/>
        </w:rPr>
        <w:t> </w:t>
      </w:r>
      <w:r>
        <w:rPr>
          <w:spacing w:val="-38"/>
        </w:rPr>
      </w:r>
      <w:r>
        <w:rPr/>
        <w:t>质量发展，为全球社会治理提供中国模式。</w:t>
      </w:r>
    </w:p>
    <w:p>
      <w:pPr>
        <w:spacing w:line="348" w:lineRule="auto" w:before="34"/>
        <w:ind w:left="535" w:right="1002" w:firstLine="105"/>
        <w:jc w:val="left"/>
        <w:rPr>
          <w:rFonts w:ascii="宋体" w:hAnsi="宋体" w:cs="宋体" w:eastAsia="宋体" w:hint="default"/>
          <w:sz w:val="21"/>
          <w:szCs w:val="21"/>
        </w:rPr>
      </w:pPr>
      <w:r>
        <w:rPr>
          <w:rFonts w:ascii="宋体" w:hAnsi="宋体" w:cs="宋体" w:eastAsia="宋体" w:hint="default"/>
          <w:b/>
          <w:bCs/>
          <w:sz w:val="21"/>
          <w:szCs w:val="21"/>
        </w:rPr>
        <w:t>四、主要业务的行业地位</w:t>
      </w:r>
      <w:r>
        <w:rPr>
          <w:rFonts w:ascii="宋体" w:hAnsi="宋体" w:cs="宋体" w:eastAsia="宋体" w:hint="default"/>
          <w:b/>
          <w:bCs/>
          <w:w w:val="100"/>
          <w:sz w:val="21"/>
          <w:szCs w:val="21"/>
        </w:rPr>
        <w:t> </w:t>
      </w:r>
      <w:r>
        <w:rPr>
          <w:rFonts w:ascii="宋体" w:hAnsi="宋体" w:cs="宋体" w:eastAsia="宋体" w:hint="default"/>
          <w:spacing w:val="-2"/>
          <w:sz w:val="21"/>
          <w:szCs w:val="21"/>
        </w:rPr>
        <w:t>公司是国家高新技术企业、国家级创新型示范企业、国家级知识产权示范企业、国家级技术创新示范</w:t>
      </w:r>
    </w:p>
    <w:p>
      <w:pPr>
        <w:pStyle w:val="BodyText"/>
        <w:spacing w:line="350" w:lineRule="auto" w:before="29"/>
        <w:ind w:right="1002"/>
        <w:jc w:val="left"/>
      </w:pPr>
      <w:r>
        <w:rPr/>
        <w:t>企业，拥有国家级博士后科研工作站、两个省级重点实验室以及省级工程技术研究中心，并与电子科技大</w:t>
      </w:r>
      <w:r>
        <w:rPr>
          <w:w w:val="100"/>
        </w:rPr>
        <w:t> </w:t>
      </w:r>
      <w:r>
        <w:rPr>
          <w:spacing w:val="-4"/>
        </w:rPr>
        <w:t>学联合成立了反恐装备研究联合实验室。同时，公司作为目前中国具有国家多部委核准颁发的九个“甲级”</w:t>
      </w:r>
      <w:r>
        <w:rPr>
          <w:spacing w:val="-43"/>
        </w:rPr>
        <w:t> </w:t>
      </w:r>
      <w:r>
        <w:rPr>
          <w:spacing w:val="-43"/>
        </w:rPr>
      </w:r>
      <w:r>
        <w:rPr/>
        <w:t>资质的智慧中国全面解决方案提供商和运营服务商，在智慧中国领域积累了丰富的市场经验和应用经验，</w:t>
      </w:r>
      <w:r>
        <w:rPr>
          <w:w w:val="100"/>
        </w:rPr>
        <w:t> </w:t>
      </w:r>
      <w:r>
        <w:rPr/>
        <w:t>对政府、军队、武警、公安、通信、交通、金融、石油化工、电力、煤炭、核电站等行业具有丰富的行业</w:t>
      </w:r>
      <w:r>
        <w:rPr>
          <w:w w:val="100"/>
        </w:rPr>
        <w:t> </w:t>
      </w:r>
      <w:r>
        <w:rPr/>
        <w:t>经验，可以准确地抓住市场需求和业务特点。截至目前，遍布全国的营销与服务网络已累计为公司承揽的</w:t>
      </w:r>
      <w:r>
        <w:rPr>
          <w:w w:val="100"/>
        </w:rPr>
        <w:t> </w:t>
      </w:r>
      <w:r>
        <w:rPr/>
        <w:t>项目订单额逾三百亿元，先进的方案、高质量的产品和优良的服务赢得了政府、军队和行业高端客户的信</w:t>
      </w:r>
    </w:p>
    <w:p>
      <w:pPr>
        <w:spacing w:after="0" w:line="35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002"/>
        <w:jc w:val="left"/>
      </w:pPr>
      <w:r>
        <w:rPr>
          <w:spacing w:val="-15"/>
          <w:w w:val="100"/>
        </w:rPr>
        <w:t>赖。公司所完成的智能化项目多次获得国家优质工程“鲁班奖”、“长城杯”、“飞天奖”、“全国智能集成创</w:t>
      </w:r>
      <w:r>
        <w:rPr>
          <w:spacing w:val="-84"/>
          <w:w w:val="100"/>
        </w:rPr>
        <w:t> </w:t>
      </w:r>
      <w:r>
        <w:rPr>
          <w:spacing w:val="-84"/>
          <w:w w:val="100"/>
        </w:rPr>
      </w:r>
      <w:r>
        <w:rPr>
          <w:spacing w:val="-7"/>
          <w:w w:val="100"/>
        </w:rPr>
        <w:t>新应用奖”、“全国优秀数据中心奖”等省（市）优质奖项。公司是业界承担单个项目金额亿元以上的重大</w:t>
      </w:r>
      <w:r>
        <w:rPr>
          <w:spacing w:val="-69"/>
          <w:w w:val="100"/>
        </w:rPr>
        <w:t> </w:t>
      </w:r>
      <w:r>
        <w:rPr>
          <w:spacing w:val="-69"/>
          <w:w w:val="100"/>
        </w:rPr>
      </w:r>
      <w:r>
        <w:rPr>
          <w:spacing w:val="-4"/>
          <w:w w:val="100"/>
        </w:rPr>
        <w:t>项目最多的企业之一，公司两次荣登《福布斯》“中国潜力</w:t>
      </w:r>
      <w:r>
        <w:rPr>
          <w:rFonts w:ascii="宋体" w:hAnsi="宋体" w:cs="宋体" w:eastAsia="宋体" w:hint="default"/>
          <w:spacing w:val="-4"/>
          <w:w w:val="100"/>
        </w:rPr>
        <w:t>100</w:t>
      </w:r>
      <w:r>
        <w:rPr>
          <w:spacing w:val="-4"/>
          <w:w w:val="100"/>
        </w:rPr>
        <w:t>”排行榜；</w:t>
      </w:r>
      <w:r>
        <w:rPr>
          <w:rFonts w:ascii="宋体" w:hAnsi="宋体" w:cs="宋体" w:eastAsia="宋体" w:hint="default"/>
          <w:spacing w:val="-4"/>
          <w:w w:val="100"/>
        </w:rPr>
        <w:t>2017</w:t>
      </w:r>
      <w:r>
        <w:rPr>
          <w:spacing w:val="-4"/>
          <w:w w:val="100"/>
        </w:rPr>
        <w:t>年度入选全球智慧城市解决</w:t>
      </w:r>
      <w:r>
        <w:rPr>
          <w:spacing w:val="-95"/>
          <w:w w:val="100"/>
        </w:rPr>
        <w:t> </w:t>
      </w:r>
      <w:r>
        <w:rPr>
          <w:spacing w:val="-95"/>
          <w:w w:val="100"/>
        </w:rPr>
      </w:r>
      <w:r>
        <w:rPr/>
        <w:t>方案供应商百强榜；</w:t>
      </w:r>
      <w:r>
        <w:rPr>
          <w:rFonts w:ascii="宋体" w:hAnsi="宋体" w:cs="宋体" w:eastAsia="宋体" w:hint="default"/>
        </w:rPr>
        <w:t>2017</w:t>
      </w:r>
      <w:r>
        <w:rPr/>
        <w:t>和</w:t>
      </w:r>
      <w:r>
        <w:rPr>
          <w:rFonts w:ascii="宋体" w:hAnsi="宋体" w:cs="宋体" w:eastAsia="宋体" w:hint="default"/>
        </w:rPr>
        <w:t>2018</w:t>
      </w:r>
      <w:r>
        <w:rPr/>
        <w:t>年度连续入选世界物联网发展潜力百强榜；在</w:t>
      </w:r>
      <w:r>
        <w:rPr>
          <w:rFonts w:ascii="宋体" w:hAnsi="宋体" w:cs="宋体" w:eastAsia="宋体" w:hint="default"/>
        </w:rPr>
        <w:t>2017</w:t>
      </w:r>
      <w:r>
        <w:rPr/>
        <w:t>年度</w:t>
      </w:r>
      <w:r>
        <w:rPr>
          <w:rFonts w:ascii="宋体" w:hAnsi="宋体" w:cs="宋体" w:eastAsia="宋体" w:hint="default"/>
        </w:rPr>
        <w:t>a&amp;s</w:t>
      </w:r>
      <w:r>
        <w:rPr/>
        <w:t>中国平安城市</w:t>
      </w:r>
      <w:r>
        <w:rPr>
          <w:w w:val="100"/>
        </w:rPr>
        <w:t> </w:t>
      </w:r>
      <w:r>
        <w:rPr/>
        <w:t>十大品牌评选中排名第一；</w:t>
      </w:r>
      <w:r>
        <w:rPr>
          <w:rFonts w:ascii="宋体" w:hAnsi="宋体" w:cs="宋体" w:eastAsia="宋体" w:hint="default"/>
        </w:rPr>
        <w:t>2018</w:t>
      </w:r>
      <w:r>
        <w:rPr/>
        <w:t>年度再次获得</w:t>
      </w:r>
      <w:r>
        <w:rPr>
          <w:rFonts w:ascii="宋体" w:hAnsi="宋体" w:cs="宋体" w:eastAsia="宋体" w:hint="default"/>
        </w:rPr>
        <w:t>a&amp;s</w:t>
      </w:r>
      <w:r>
        <w:rPr/>
        <w:t>“中国百大智能集成商”殊荣，还荣获</w:t>
      </w:r>
      <w:r>
        <w:rPr>
          <w:rFonts w:ascii="宋体" w:hAnsi="宋体" w:cs="宋体" w:eastAsia="宋体" w:hint="default"/>
        </w:rPr>
        <w:t>2019</w:t>
      </w:r>
      <w:r>
        <w:rPr/>
        <w:t>智慧城市最</w:t>
      </w:r>
      <w:r>
        <w:rPr>
          <w:w w:val="100"/>
        </w:rPr>
        <w:t> </w:t>
      </w:r>
      <w:r>
        <w:rPr>
          <w:spacing w:val="-2"/>
        </w:rPr>
        <w:t>佳服务运营商、</w:t>
      </w:r>
      <w:r>
        <w:rPr>
          <w:rFonts w:ascii="宋体" w:hAnsi="宋体" w:cs="宋体" w:eastAsia="宋体" w:hint="default"/>
          <w:spacing w:val="-2"/>
        </w:rPr>
        <w:t>2019</w:t>
      </w:r>
      <w:r>
        <w:rPr>
          <w:spacing w:val="-2"/>
        </w:rPr>
        <w:t>智慧城市最佳解决方案提供商、</w:t>
      </w:r>
      <w:r>
        <w:rPr>
          <w:rFonts w:ascii="宋体" w:hAnsi="宋体" w:cs="宋体" w:eastAsia="宋体" w:hint="default"/>
          <w:spacing w:val="-2"/>
        </w:rPr>
        <w:t>2019</w:t>
      </w:r>
      <w:r>
        <w:rPr>
          <w:spacing w:val="-2"/>
        </w:rPr>
        <w:t>软件和信息技术服务综合竞争力百强企业、</w:t>
      </w:r>
      <w:r>
        <w:rPr>
          <w:rFonts w:ascii="宋体" w:hAnsi="宋体" w:cs="宋体" w:eastAsia="宋体" w:hint="default"/>
          <w:spacing w:val="-2"/>
        </w:rPr>
        <w:t>2019</w:t>
      </w:r>
      <w:r>
        <w:rPr>
          <w:rFonts w:ascii="宋体" w:hAnsi="宋体" w:cs="宋体" w:eastAsia="宋体" w:hint="default"/>
          <w:spacing w:val="-17"/>
        </w:rPr>
        <w:t> </w:t>
      </w:r>
      <w:r>
        <w:rPr/>
        <w:t>“雪亮工程十大创新产品”等荣誉。</w:t>
      </w:r>
    </w:p>
    <w:p>
      <w:pPr>
        <w:spacing w:line="240" w:lineRule="auto" w:before="12"/>
        <w:rPr>
          <w:rFonts w:ascii="宋体" w:hAnsi="宋体" w:cs="宋体" w:eastAsia="宋体" w:hint="default"/>
          <w:sz w:val="15"/>
          <w:szCs w:val="15"/>
        </w:rPr>
      </w:pPr>
    </w:p>
    <w:p>
      <w:pPr>
        <w:pStyle w:val="Heading2"/>
        <w:spacing w:line="240" w:lineRule="auto"/>
        <w:ind w:right="1002"/>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1002"/>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054"/>
        <w:gridCol w:w="6516"/>
      </w:tblGrid>
      <w:tr>
        <w:trPr>
          <w:trHeight w:val="769"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主要资产</w:t>
            </w:r>
          </w:p>
        </w:tc>
        <w:tc>
          <w:tcPr>
            <w:tcW w:w="6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重大变化说明</w:t>
            </w:r>
          </w:p>
        </w:tc>
      </w:tr>
      <w:tr>
        <w:trPr>
          <w:trHeight w:val="398"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股权资产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主要系本期新增加对云南联通新通信有限公司投资</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未发生重大变化</w:t>
            </w:r>
          </w:p>
        </w:tc>
      </w:tr>
      <w:tr>
        <w:trPr>
          <w:trHeight w:val="404"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未发生重大变化</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未发生重大变化</w:t>
            </w:r>
          </w:p>
        </w:tc>
      </w:tr>
    </w:tbl>
    <w:p>
      <w:pPr>
        <w:spacing w:line="240" w:lineRule="auto" w:before="3"/>
        <w:rPr>
          <w:rFonts w:ascii="宋体" w:hAnsi="宋体" w:cs="宋体" w:eastAsia="宋体" w:hint="default"/>
          <w:b/>
          <w:bCs/>
          <w:sz w:val="19"/>
          <w:szCs w:val="19"/>
        </w:rPr>
      </w:pPr>
    </w:p>
    <w:p>
      <w:pPr>
        <w:pStyle w:val="Heading5"/>
        <w:spacing w:line="240" w:lineRule="auto" w:before="36"/>
        <w:ind w:right="1002"/>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002"/>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3"/>
        <w:rPr>
          <w:rFonts w:ascii="宋体" w:hAnsi="宋体" w:cs="宋体" w:eastAsia="宋体" w:hint="default"/>
          <w:b/>
          <w:bCs/>
          <w:sz w:val="32"/>
          <w:szCs w:val="32"/>
        </w:rPr>
      </w:pPr>
    </w:p>
    <w:p>
      <w:pPr>
        <w:pStyle w:val="BodyText"/>
        <w:spacing w:line="348" w:lineRule="auto" w:before="0"/>
        <w:ind w:right="1103" w:firstLine="451"/>
        <w:jc w:val="both"/>
      </w:pPr>
      <w:r>
        <w:rPr>
          <w:spacing w:val="-3"/>
        </w:rPr>
        <w:t>公司作为国家火炬计划重点高新技术企业、国家级高新技术企业、国家级技术创新示范企业、国家级</w:t>
      </w:r>
      <w:r>
        <w:rPr>
          <w:w w:val="100"/>
        </w:rPr>
        <w:t> </w:t>
      </w:r>
      <w:r>
        <w:rPr>
          <w:spacing w:val="-2"/>
        </w:rPr>
        <w:t>创新型示范企业、国家级知识产权示范企业、国家级守合同重信用企业，拥有国家级企业技术中心、国家</w:t>
      </w:r>
      <w:r>
        <w:rPr>
          <w:spacing w:val="-33"/>
        </w:rPr>
        <w:t> </w:t>
      </w:r>
      <w:r>
        <w:rPr>
          <w:spacing w:val="-33"/>
        </w:rPr>
      </w:r>
      <w:r>
        <w:rPr>
          <w:spacing w:val="-2"/>
        </w:rPr>
        <w:t>级博士后科研工作站、两个省级重点实验室以及省级工程技术研究中心，并与电子科技大学联合成立了反</w:t>
      </w:r>
      <w:r>
        <w:rPr>
          <w:spacing w:val="-33"/>
        </w:rPr>
        <w:t> </w:t>
      </w:r>
      <w:r>
        <w:rPr>
          <w:spacing w:val="-33"/>
        </w:rPr>
      </w:r>
      <w:r>
        <w:rPr>
          <w:spacing w:val="-2"/>
        </w:rPr>
        <w:t>恐装备研究联合实验室；公司作为目前中国具有国家多部委核准颁发的九个“甲级”资质的智慧中国全面</w:t>
      </w:r>
      <w:r>
        <w:rPr>
          <w:spacing w:val="-30"/>
        </w:rPr>
        <w:t> </w:t>
      </w:r>
      <w:r>
        <w:rPr>
          <w:spacing w:val="-30"/>
        </w:rPr>
      </w:r>
      <w:r>
        <w:rPr>
          <w:spacing w:val="-2"/>
        </w:rPr>
        <w:t>解决方案提供商和运营服务商，专注于智慧科技方向的尖端传感器、嵌入式处理器、人工智能、物联网、</w:t>
      </w:r>
      <w:r>
        <w:rPr>
          <w:spacing w:val="-10"/>
        </w:rPr>
        <w:t> </w:t>
      </w:r>
      <w:r>
        <w:rPr>
          <w:spacing w:val="-10"/>
        </w:rPr>
      </w:r>
      <w:r>
        <w:rPr>
          <w:spacing w:val="-2"/>
        </w:rPr>
        <w:t>产业互联网、大数据、云计算与云存储、网络安全、智慧应用软件等关键技术的研究和开发，聚焦智慧中</w:t>
      </w:r>
      <w:r>
        <w:rPr>
          <w:spacing w:val="-38"/>
        </w:rPr>
        <w:t> </w:t>
      </w:r>
      <w:r>
        <w:rPr>
          <w:spacing w:val="-38"/>
        </w:rPr>
      </w:r>
      <w:r>
        <w:rPr>
          <w:spacing w:val="-13"/>
          <w:w w:val="100"/>
        </w:rPr>
        <w:t>国三大核心市场</w:t>
      </w:r>
      <w:r>
        <w:rPr>
          <w:rFonts w:ascii="Times New Roman" w:hAnsi="Times New Roman" w:cs="Times New Roman" w:eastAsia="Times New Roman" w:hint="default"/>
          <w:spacing w:val="-13"/>
          <w:w w:val="100"/>
        </w:rPr>
        <w:t>(</w:t>
      </w:r>
      <w:r>
        <w:rPr>
          <w:spacing w:val="-13"/>
          <w:w w:val="100"/>
        </w:rPr>
        <w:t>客户</w:t>
      </w:r>
      <w:r>
        <w:rPr>
          <w:rFonts w:ascii="Times New Roman" w:hAnsi="Times New Roman" w:cs="Times New Roman" w:eastAsia="Times New Roman" w:hint="default"/>
          <w:spacing w:val="-13"/>
          <w:w w:val="100"/>
        </w:rPr>
        <w:t>)</w:t>
      </w:r>
      <w:r>
        <w:rPr>
          <w:spacing w:val="-13"/>
          <w:w w:val="100"/>
        </w:rPr>
        <w:t>：“智慧行政区域（党政与民学）、智慧国防（军队）、智慧时空（东西南北中）”，已</w:t>
      </w:r>
      <w:r>
        <w:rPr>
          <w:spacing w:val="-10"/>
          <w:w w:val="100"/>
        </w:rPr>
        <w:t> </w:t>
      </w:r>
      <w:r>
        <w:rPr>
          <w:spacing w:val="-2"/>
        </w:rPr>
        <w:t>形成完全自主可控、国内领先且具有国际竞争力的核心技术、产品、全面解决方案和商业运营模式，并不</w:t>
      </w:r>
      <w:r>
        <w:rPr>
          <w:spacing w:val="-33"/>
        </w:rPr>
        <w:t> </w:t>
      </w:r>
      <w:r>
        <w:rPr>
          <w:spacing w:val="-33"/>
        </w:rPr>
      </w:r>
      <w:r>
        <w:rPr>
          <w:spacing w:val="-2"/>
        </w:rPr>
        <w:t>断精益求精地复制，以加速形成并夯实“最好的智慧中国全面解决方案提供商和运营服务商”的行业龙头</w:t>
      </w:r>
      <w:r>
        <w:rPr>
          <w:spacing w:val="-29"/>
        </w:rPr>
        <w:t> </w:t>
      </w:r>
      <w:r>
        <w:rPr>
          <w:spacing w:val="-29"/>
        </w:rPr>
      </w:r>
      <w:r>
        <w:rPr>
          <w:spacing w:val="-2"/>
        </w:rPr>
        <w:t>品牌地位，形成“以智慧中国业务为龙头，以新通信业务和新一代光纤网络业务为两翼”的主营业务发展</w:t>
      </w:r>
      <w:r>
        <w:rPr>
          <w:spacing w:val="-31"/>
        </w:rPr>
        <w:t> </w:t>
      </w:r>
      <w:r>
        <w:rPr>
          <w:spacing w:val="-31"/>
        </w:rPr>
      </w:r>
      <w:r>
        <w:rPr/>
        <w:t>格局。</w:t>
      </w:r>
    </w:p>
    <w:p>
      <w:pPr>
        <w:pStyle w:val="Heading5"/>
        <w:spacing w:line="240" w:lineRule="auto" w:before="77"/>
        <w:ind w:left="455" w:right="8998"/>
        <w:jc w:val="center"/>
        <w:rPr>
          <w:b w:val="0"/>
          <w:bCs w:val="0"/>
        </w:rPr>
      </w:pPr>
      <w:r>
        <w:rPr/>
        <w:t>一、资质优势</w:t>
      </w:r>
      <w:r>
        <w:rPr>
          <w:b w:val="0"/>
          <w:bCs w:val="0"/>
        </w:rPr>
      </w:r>
    </w:p>
    <w:p>
      <w:pPr>
        <w:spacing w:after="0" w:line="240" w:lineRule="auto"/>
        <w:jc w:val="center"/>
        <w:sectPr>
          <w:pgSz w:w="11910" w:h="16840"/>
          <w:pgMar w:header="906" w:footer="1022" w:top="1100" w:bottom="1220" w:left="1020" w:right="0"/>
        </w:sectPr>
      </w:pPr>
    </w:p>
    <w:p>
      <w:pPr>
        <w:spacing w:line="240" w:lineRule="auto" w:before="8"/>
        <w:rPr>
          <w:rFonts w:ascii="宋体" w:hAnsi="宋体" w:cs="宋体" w:eastAsia="宋体" w:hint="default"/>
          <w:b/>
          <w:bCs/>
          <w:sz w:val="28"/>
          <w:szCs w:val="28"/>
        </w:rPr>
      </w:pPr>
    </w:p>
    <w:p>
      <w:pPr>
        <w:pStyle w:val="BodyText"/>
        <w:spacing w:line="350" w:lineRule="auto"/>
        <w:ind w:right="1002" w:firstLine="422"/>
        <w:jc w:val="left"/>
      </w:pPr>
      <w:r>
        <w:rPr/>
        <w:t>公司作为目前中国具有国家多部委核准颁发的九个“甲级”资质的智慧中国全面解决方案提供商和运</w:t>
      </w:r>
      <w:r>
        <w:rPr>
          <w:w w:val="100"/>
        </w:rPr>
        <w:t> </w:t>
      </w:r>
      <w:r>
        <w:rPr>
          <w:spacing w:val="-2"/>
          <w:w w:val="100"/>
        </w:rPr>
        <w:t>营服务商，构建了行业信息化项目招投标最全面、最顶级的竞争门槛。具体资质包括：“信息系统集成资</w:t>
      </w:r>
      <w:r>
        <w:rPr>
          <w:spacing w:val="-96"/>
          <w:w w:val="100"/>
        </w:rPr>
        <w:t> </w:t>
      </w:r>
      <w:r>
        <w:rPr>
          <w:spacing w:val="-96"/>
          <w:w w:val="100"/>
        </w:rPr>
      </w:r>
      <w:r>
        <w:rPr>
          <w:spacing w:val="-19"/>
          <w:w w:val="100"/>
        </w:rPr>
        <w:t>质（甲级）”、“信息软件开发资质（甲级）”、“信息安防监控资质（甲级）”、“安防工程企业设计施工维护</w:t>
      </w:r>
      <w:r>
        <w:rPr>
          <w:spacing w:val="-86"/>
          <w:w w:val="100"/>
        </w:rPr>
        <w:t> </w:t>
      </w:r>
      <w:r>
        <w:rPr>
          <w:spacing w:val="-86"/>
          <w:w w:val="100"/>
        </w:rPr>
      </w:r>
      <w:r>
        <w:rPr>
          <w:spacing w:val="-21"/>
          <w:w w:val="100"/>
        </w:rPr>
        <w:t>能力资质（壹级）”、“电子与智能化工程专业承包资质（壹级）”、“建筑智能化系统设计专项资质（甲级）”、</w:t>
      </w:r>
      <w:r>
        <w:rPr>
          <w:spacing w:val="-66"/>
          <w:w w:val="100"/>
        </w:rPr>
        <w:t> </w:t>
      </w:r>
      <w:r>
        <w:rPr>
          <w:spacing w:val="-66"/>
          <w:w w:val="100"/>
        </w:rPr>
      </w:r>
      <w:r>
        <w:rPr>
          <w:spacing w:val="-7"/>
          <w:w w:val="100"/>
        </w:rPr>
        <w:t>“信息系统集成及服务资质（壹级）”、“音、视频工程企业特级资质等，能够为客户提供全方位的服务，</w:t>
      </w:r>
      <w:r>
        <w:rPr>
          <w:spacing w:val="-72"/>
          <w:w w:val="100"/>
        </w:rPr>
        <w:t> </w:t>
      </w:r>
      <w:r>
        <w:rPr>
          <w:spacing w:val="-72"/>
          <w:w w:val="100"/>
        </w:rPr>
      </w:r>
      <w:r>
        <w:rPr/>
        <w:t>也为公司在行业内的市场拓展提供了保障。公司顺利通过全球软件能力成熟度集成模型</w:t>
      </w:r>
      <w:r>
        <w:rPr>
          <w:rFonts w:ascii="宋体" w:hAnsi="宋体" w:cs="宋体" w:eastAsia="宋体" w:hint="default"/>
        </w:rPr>
        <w:t>CMMI5</w:t>
      </w:r>
      <w:r>
        <w:rPr/>
        <w:t>顶级认证，</w:t>
      </w:r>
      <w:r>
        <w:rPr>
          <w:spacing w:val="-28"/>
        </w:rPr>
        <w:t> </w:t>
      </w:r>
      <w:r>
        <w:rPr>
          <w:spacing w:val="-28"/>
        </w:rPr>
      </w:r>
      <w:r>
        <w:rPr/>
        <w:t>标志着公司的软件技术开发能力达到国际一流水平；公司成功入围“军油工程”承建企业目录，并获得中</w:t>
      </w:r>
      <w:r>
        <w:rPr>
          <w:w w:val="100"/>
        </w:rPr>
        <w:t> </w:t>
      </w:r>
      <w:r>
        <w:rPr>
          <w:spacing w:val="-2"/>
          <w:w w:val="100"/>
        </w:rPr>
        <w:t>央军委后勤保障部军需能源局颁发的入围《“军油工程”承建企业目录》证书，由此具备了承担“军油工</w:t>
      </w:r>
      <w:r>
        <w:rPr>
          <w:spacing w:val="-96"/>
          <w:w w:val="100"/>
        </w:rPr>
        <w:t> </w:t>
      </w:r>
      <w:r>
        <w:rPr>
          <w:spacing w:val="-96"/>
          <w:w w:val="100"/>
        </w:rPr>
      </w:r>
      <w:r>
        <w:rPr/>
        <w:t>程”国家物联网示范工程的准入条件。</w:t>
      </w:r>
    </w:p>
    <w:p>
      <w:pPr>
        <w:pStyle w:val="BodyText"/>
        <w:spacing w:line="350" w:lineRule="auto" w:before="65"/>
        <w:ind w:right="1025" w:firstLine="422"/>
        <w:jc w:val="both"/>
      </w:pPr>
      <w:r>
        <w:rPr>
          <w:spacing w:val="-2"/>
        </w:rPr>
        <w:t>截至披露日，公司凭借自身的技术和资质优势、品牌影响力等强大综合实力荣登由工业和信息化部指</w:t>
      </w:r>
      <w:r>
        <w:rPr>
          <w:w w:val="100"/>
        </w:rPr>
        <w:t> </w:t>
      </w:r>
      <w:r>
        <w:rPr/>
        <w:t>导、中国电子信息行业联合会主办的“</w:t>
      </w:r>
      <w:r>
        <w:rPr>
          <w:rFonts w:ascii="宋体" w:hAnsi="宋体" w:cs="宋体" w:eastAsia="宋体" w:hint="default"/>
        </w:rPr>
        <w:t>2019</w:t>
      </w:r>
      <w:r>
        <w:rPr/>
        <w:t>中国软件和信息技术服务综合竞争力百强企业”榜单。此外，</w:t>
      </w:r>
      <w:r>
        <w:rPr>
          <w:spacing w:val="-103"/>
        </w:rPr>
        <w:t> </w:t>
      </w:r>
      <w:r>
        <w:rPr>
          <w:spacing w:val="-103"/>
        </w:rPr>
      </w:r>
      <w:r>
        <w:rPr>
          <w:spacing w:val="-4"/>
          <w:w w:val="100"/>
        </w:rPr>
        <w:t>公司还取得了《信息安全管理体系认证证书》、《信息技术服务管理体系认证证书》</w:t>
      </w:r>
      <w:r>
        <w:rPr>
          <w:rFonts w:ascii="宋体" w:hAnsi="宋体" w:cs="宋体" w:eastAsia="宋体" w:hint="default"/>
          <w:spacing w:val="-4"/>
          <w:w w:val="100"/>
        </w:rPr>
        <w:t>,</w:t>
      </w:r>
      <w:r>
        <w:rPr>
          <w:spacing w:val="-4"/>
          <w:w w:val="100"/>
        </w:rPr>
        <w:t>构建起了包括国际质</w:t>
      </w:r>
      <w:r>
        <w:rPr>
          <w:w w:val="100"/>
        </w:rPr>
        <w:t> </w:t>
      </w:r>
      <w:r>
        <w:rPr>
          <w:spacing w:val="-4"/>
        </w:rPr>
        <w:t>量管理、环境管理、职业健康安全管理、信息安全管理、信息技术服务管理等在内的全方位管理体系认证。</w:t>
      </w:r>
    </w:p>
    <w:p>
      <w:pPr>
        <w:pStyle w:val="BodyText"/>
        <w:spacing w:line="386" w:lineRule="auto" w:before="70"/>
        <w:ind w:left="535" w:right="1002"/>
        <w:jc w:val="left"/>
      </w:pPr>
      <w:r>
        <w:rPr>
          <w:rFonts w:ascii="宋体" w:hAnsi="宋体" w:cs="宋体" w:eastAsia="宋体" w:hint="default"/>
          <w:b/>
          <w:bCs/>
        </w:rPr>
        <w:t>二、行业应用优势</w:t>
      </w:r>
      <w:r>
        <w:rPr>
          <w:rFonts w:ascii="宋体" w:hAnsi="宋体" w:cs="宋体" w:eastAsia="宋体" w:hint="default"/>
          <w:b/>
          <w:bCs/>
          <w:spacing w:val="-103"/>
        </w:rPr>
        <w:t> </w:t>
      </w:r>
      <w:r>
        <w:rPr>
          <w:spacing w:val="-2"/>
        </w:rPr>
        <w:t>公司在智慧中国领域积累了丰富的市场经验和应用经验，对政府、军队、武警、公安、通信、交通、</w:t>
      </w:r>
    </w:p>
    <w:p>
      <w:pPr>
        <w:pStyle w:val="BodyText"/>
        <w:spacing w:line="350" w:lineRule="auto" w:before="0"/>
        <w:ind w:right="1002"/>
        <w:jc w:val="left"/>
      </w:pPr>
      <w:r>
        <w:rPr>
          <w:spacing w:val="-4"/>
        </w:rPr>
        <w:t>金融、石油化工、电力、煤炭、核电站等行业具有丰富的行业经验，可以准确地抓住市场需求和业务特点。</w:t>
      </w:r>
      <w:r>
        <w:rPr>
          <w:spacing w:val="-46"/>
        </w:rPr>
        <w:t> </w:t>
      </w:r>
      <w:r>
        <w:rPr>
          <w:spacing w:val="-46"/>
        </w:rPr>
      </w:r>
      <w:r>
        <w:rPr/>
        <w:t>公司是业界承担单个项目金额亿元以上的重大项目最多的企业之一，所完成的智能化项目多次获得国家优</w:t>
      </w:r>
      <w:r>
        <w:rPr>
          <w:w w:val="100"/>
        </w:rPr>
        <w:t> </w:t>
      </w:r>
      <w:r>
        <w:rPr>
          <w:spacing w:val="-19"/>
          <w:w w:val="100"/>
        </w:rPr>
        <w:t>质工程“鲁班奖”、“长城杯”、“飞天奖”、“全国智能集成创新应用奖”、“优秀数据中心奖”等省（市）卓</w:t>
      </w:r>
      <w:r>
        <w:rPr>
          <w:spacing w:val="-79"/>
          <w:w w:val="100"/>
        </w:rPr>
        <w:t> </w:t>
      </w:r>
      <w:r>
        <w:rPr>
          <w:spacing w:val="-79"/>
          <w:w w:val="100"/>
        </w:rPr>
      </w:r>
      <w:r>
        <w:rPr>
          <w:spacing w:val="-2"/>
          <w:w w:val="100"/>
        </w:rPr>
        <w:t>越奖项。公司两次荣登《福布斯》“中国潜力</w:t>
      </w:r>
      <w:r>
        <w:rPr>
          <w:rFonts w:ascii="宋体" w:hAnsi="宋体" w:cs="宋体" w:eastAsia="宋体" w:hint="default"/>
          <w:spacing w:val="-2"/>
          <w:w w:val="100"/>
        </w:rPr>
        <w:t>100</w:t>
      </w:r>
      <w:r>
        <w:rPr>
          <w:spacing w:val="-2"/>
          <w:w w:val="100"/>
        </w:rPr>
        <w:t>”排行榜，在中国平安城市行业品牌排行榜第</w:t>
      </w:r>
      <w:r>
        <w:rPr>
          <w:rFonts w:ascii="宋体" w:hAnsi="宋体" w:cs="宋体" w:eastAsia="宋体" w:hint="default"/>
          <w:spacing w:val="-2"/>
          <w:w w:val="100"/>
        </w:rPr>
        <w:t>1</w:t>
      </w:r>
      <w:r>
        <w:rPr>
          <w:spacing w:val="-2"/>
          <w:w w:val="100"/>
        </w:rPr>
        <w:t>位、中国</w:t>
      </w:r>
      <w:r>
        <w:rPr>
          <w:spacing w:val="-92"/>
          <w:w w:val="100"/>
        </w:rPr>
        <w:t> </w:t>
      </w:r>
      <w:r>
        <w:rPr/>
        <w:t>安防系统集成行业排行榜第</w:t>
      </w:r>
      <w:r>
        <w:rPr>
          <w:rFonts w:ascii="宋体" w:hAnsi="宋体" w:cs="宋体" w:eastAsia="宋体" w:hint="default"/>
        </w:rPr>
        <w:t>3</w:t>
      </w:r>
      <w:r>
        <w:rPr/>
        <w:t>位、中国智能交通行业品牌排行榜第</w:t>
      </w:r>
      <w:r>
        <w:rPr>
          <w:rFonts w:ascii="宋体" w:hAnsi="宋体" w:cs="宋体" w:eastAsia="宋体" w:hint="default"/>
        </w:rPr>
        <w:t>3</w:t>
      </w:r>
      <w:r>
        <w:rPr/>
        <w:t>位和中国智能集成行业品牌排行榜第</w:t>
      </w:r>
      <w:r>
        <w:rPr>
          <w:rFonts w:ascii="宋体" w:hAnsi="宋体" w:cs="宋体" w:eastAsia="宋体" w:hint="default"/>
        </w:rPr>
        <w:t>5</w:t>
      </w:r>
      <w:r>
        <w:rPr>
          <w:rFonts w:ascii="宋体" w:hAnsi="宋体" w:cs="宋体" w:eastAsia="宋体" w:hint="default"/>
          <w:spacing w:val="-28"/>
        </w:rPr>
        <w:t> </w:t>
      </w:r>
      <w:r>
        <w:rPr/>
        <w:t>位。</w:t>
      </w:r>
      <w:r>
        <w:rPr>
          <w:rFonts w:ascii="宋体" w:hAnsi="宋体" w:cs="宋体" w:eastAsia="宋体" w:hint="default"/>
        </w:rPr>
        <w:t>2017</w:t>
      </w:r>
      <w:r>
        <w:rPr/>
        <w:t>年度入选全球智慧城市解决方案供应商百强榜；</w:t>
      </w:r>
      <w:r>
        <w:rPr>
          <w:rFonts w:ascii="宋体" w:hAnsi="宋体" w:cs="宋体" w:eastAsia="宋体" w:hint="default"/>
        </w:rPr>
        <w:t>2017</w:t>
      </w:r>
      <w:r>
        <w:rPr/>
        <w:t>和</w:t>
      </w:r>
      <w:r>
        <w:rPr>
          <w:rFonts w:ascii="宋体" w:hAnsi="宋体" w:cs="宋体" w:eastAsia="宋体" w:hint="default"/>
        </w:rPr>
        <w:t>2018</w:t>
      </w:r>
      <w:r>
        <w:rPr/>
        <w:t>年度连续入选世界物联网发展潜力百</w:t>
      </w:r>
      <w:r>
        <w:rPr>
          <w:w w:val="100"/>
        </w:rPr>
        <w:t> </w:t>
      </w:r>
      <w:r>
        <w:rPr/>
        <w:t>强榜；在</w:t>
      </w:r>
      <w:r>
        <w:rPr>
          <w:rFonts w:ascii="宋体" w:hAnsi="宋体" w:cs="宋体" w:eastAsia="宋体" w:hint="default"/>
        </w:rPr>
        <w:t>2017</w:t>
      </w:r>
      <w:r>
        <w:rPr/>
        <w:t>年度</w:t>
      </w:r>
      <w:r>
        <w:rPr>
          <w:rFonts w:ascii="宋体" w:hAnsi="宋体" w:cs="宋体" w:eastAsia="宋体" w:hint="default"/>
        </w:rPr>
        <w:t>a&amp;s</w:t>
      </w:r>
      <w:r>
        <w:rPr/>
        <w:t>中国平安城市十大品牌评选中排名第一；</w:t>
      </w:r>
      <w:r>
        <w:rPr>
          <w:rFonts w:ascii="宋体" w:hAnsi="宋体" w:cs="宋体" w:eastAsia="宋体" w:hint="default"/>
        </w:rPr>
        <w:t>2018</w:t>
      </w:r>
      <w:r>
        <w:rPr/>
        <w:t>年度再次获得</w:t>
      </w:r>
      <w:r>
        <w:rPr>
          <w:rFonts w:ascii="宋体" w:hAnsi="宋体" w:cs="宋体" w:eastAsia="宋体" w:hint="default"/>
        </w:rPr>
        <w:t>a&amp;s</w:t>
      </w:r>
      <w:r>
        <w:rPr/>
        <w:t>“中国百大智能集成</w:t>
      </w:r>
      <w:r>
        <w:rPr>
          <w:w w:val="100"/>
        </w:rPr>
        <w:t> </w:t>
      </w:r>
      <w:r>
        <w:rPr/>
        <w:t>商”殊荣，荣获</w:t>
      </w:r>
      <w:r>
        <w:rPr>
          <w:rFonts w:ascii="宋体" w:hAnsi="宋体" w:cs="宋体" w:eastAsia="宋体" w:hint="default"/>
        </w:rPr>
        <w:t>2018</w:t>
      </w:r>
      <w:r>
        <w:rPr/>
        <w:t>年度中国电子信息行业创新成果盘古奖和全国政法智能化建设领域十大解决方案提供</w:t>
      </w:r>
      <w:r>
        <w:rPr>
          <w:w w:val="100"/>
        </w:rPr>
        <w:t> </w:t>
      </w:r>
      <w:r>
        <w:rPr>
          <w:spacing w:val="-4"/>
          <w:w w:val="100"/>
        </w:rPr>
        <w:t>商称号，并在细分行业的“平安城市”、“智慧交通”两大板块中名列</w:t>
      </w:r>
      <w:r>
        <w:rPr>
          <w:rFonts w:ascii="宋体" w:hAnsi="宋体" w:cs="宋体" w:eastAsia="宋体" w:hint="default"/>
          <w:spacing w:val="-4"/>
          <w:w w:val="100"/>
        </w:rPr>
        <w:t>TOP20</w:t>
      </w:r>
      <w:r>
        <w:rPr>
          <w:spacing w:val="-4"/>
          <w:w w:val="100"/>
        </w:rPr>
        <w:t>榜单，在“安防系统集成”板</w:t>
      </w:r>
      <w:r>
        <w:rPr>
          <w:spacing w:val="-99"/>
          <w:w w:val="100"/>
        </w:rPr>
        <w:t> </w:t>
      </w:r>
      <w:r>
        <w:rPr>
          <w:spacing w:val="-99"/>
          <w:w w:val="100"/>
        </w:rPr>
      </w:r>
      <w:r>
        <w:rPr/>
        <w:t>块中名列</w:t>
      </w:r>
      <w:r>
        <w:rPr>
          <w:rFonts w:ascii="宋体" w:hAnsi="宋体" w:cs="宋体" w:eastAsia="宋体" w:hint="default"/>
        </w:rPr>
        <w:t>TOP50</w:t>
      </w:r>
      <w:r>
        <w:rPr/>
        <w:t>榜单，荣膺“平安建设”优秀行业解决方案提供商称号。</w:t>
      </w:r>
    </w:p>
    <w:p>
      <w:pPr>
        <w:pStyle w:val="BodyText"/>
        <w:spacing w:line="348" w:lineRule="auto" w:before="70"/>
        <w:ind w:right="1106" w:firstLine="422"/>
        <w:jc w:val="both"/>
      </w:pPr>
      <w:r>
        <w:rPr/>
        <w:t>公司还累计完成了以中央军委办公厅某智能化工程为代表的逾</w:t>
      </w:r>
      <w:r>
        <w:rPr>
          <w:rFonts w:ascii="宋体" w:hAnsi="宋体" w:cs="宋体" w:eastAsia="宋体" w:hint="default"/>
        </w:rPr>
        <w:t>180</w:t>
      </w:r>
      <w:r>
        <w:rPr/>
        <w:t>项军队信息化项目，以全国海关信</w:t>
      </w:r>
      <w:r>
        <w:rPr>
          <w:w w:val="100"/>
        </w:rPr>
        <w:t> </w:t>
      </w:r>
      <w:r>
        <w:rPr>
          <w:spacing w:val="-2"/>
        </w:rPr>
        <w:t>息数据备份中心为代表的</w:t>
      </w:r>
      <w:r>
        <w:rPr>
          <w:rFonts w:ascii="宋体" w:hAnsi="宋体" w:cs="宋体" w:eastAsia="宋体" w:hint="default"/>
          <w:spacing w:val="-2"/>
        </w:rPr>
        <w:t>30</w:t>
      </w:r>
      <w:r>
        <w:rPr>
          <w:spacing w:val="-2"/>
        </w:rPr>
        <w:t>余个大数据中心建设项目，以安徽省政务服务中心为代表的逾百个智慧政务项</w:t>
      </w:r>
      <w:r>
        <w:rPr>
          <w:spacing w:val="-30"/>
        </w:rPr>
        <w:t> </w:t>
      </w:r>
      <w:r>
        <w:rPr>
          <w:spacing w:val="-30"/>
        </w:rPr>
      </w:r>
      <w:r>
        <w:rPr>
          <w:spacing w:val="-2"/>
        </w:rPr>
        <w:t>目，以福建福清核电站、国家南水北调中线干线工程为代表的</w:t>
      </w:r>
      <w:r>
        <w:rPr>
          <w:rFonts w:ascii="宋体" w:hAnsi="宋体" w:cs="宋体" w:eastAsia="宋体" w:hint="default"/>
          <w:spacing w:val="-2"/>
        </w:rPr>
        <w:t>50</w:t>
      </w:r>
      <w:r>
        <w:rPr>
          <w:spacing w:val="-2"/>
        </w:rPr>
        <w:t>余个国家战略设施安全物联网项目，以及</w:t>
      </w:r>
      <w:r>
        <w:rPr>
          <w:spacing w:val="-29"/>
        </w:rPr>
        <w:t> </w:t>
      </w:r>
      <w:r>
        <w:rPr>
          <w:spacing w:val="-29"/>
        </w:rPr>
      </w:r>
      <w:r>
        <w:rPr>
          <w:spacing w:val="-2"/>
        </w:rPr>
        <w:t>近百个智慧警务、智慧应急项目，在智慧交通、智慧文体、智慧国土、智慧旅游、智慧法院、智慧司法、</w:t>
      </w:r>
      <w:r>
        <w:rPr>
          <w:spacing w:val="-13"/>
        </w:rPr>
        <w:t> </w:t>
      </w:r>
      <w:r>
        <w:rPr>
          <w:spacing w:val="-13"/>
        </w:rPr>
      </w:r>
      <w:r>
        <w:rPr>
          <w:spacing w:val="-2"/>
        </w:rPr>
        <w:t>智慧科研、智慧教育、智慧医疗、智慧社区、智慧楼宇、智慧会展、智慧用能、智慧金融等诸多智慧应用</w:t>
      </w:r>
      <w:r>
        <w:rPr>
          <w:spacing w:val="-38"/>
        </w:rPr>
        <w:t> </w:t>
      </w:r>
      <w:r>
        <w:rPr>
          <w:spacing w:val="-38"/>
        </w:rPr>
      </w:r>
      <w:r>
        <w:rPr/>
        <w:t>领域，中电兴发皆有着丰富的建设和运营经验，为构建智慧中国打下了坚实基础。</w:t>
      </w:r>
    </w:p>
    <w:p>
      <w:pPr>
        <w:pStyle w:val="BodyText"/>
        <w:spacing w:line="350" w:lineRule="auto" w:before="73"/>
        <w:ind w:right="1103" w:firstLine="422"/>
        <w:jc w:val="both"/>
      </w:pPr>
      <w:r>
        <w:rPr>
          <w:spacing w:val="-2"/>
        </w:rPr>
        <w:t>截至披露日，在法制日报社举办的“</w:t>
      </w:r>
      <w:r>
        <w:rPr>
          <w:rFonts w:ascii="宋体" w:hAnsi="宋体" w:cs="宋体" w:eastAsia="宋体" w:hint="default"/>
          <w:spacing w:val="-2"/>
        </w:rPr>
        <w:t>2019</w:t>
      </w:r>
      <w:r>
        <w:rPr>
          <w:spacing w:val="-2"/>
        </w:rPr>
        <w:t>全国政法智能化建设创新案例征集活动”中，公司承建的芜</w:t>
      </w:r>
      <w:r>
        <w:rPr>
          <w:w w:val="100"/>
        </w:rPr>
        <w:t> </w:t>
      </w:r>
      <w:r>
        <w:rPr>
          <w:spacing w:val="-2"/>
        </w:rPr>
        <w:t>湖市公共安全视频监控建设联网应用项目（雪亮工程）取得“雪亮工程十大创新案例”排名第一的成绩。</w:t>
      </w:r>
      <w:r>
        <w:rPr>
          <w:spacing w:val="-10"/>
        </w:rPr>
        <w:t> </w:t>
      </w:r>
      <w:r>
        <w:rPr>
          <w:spacing w:val="-10"/>
        </w:rPr>
      </w:r>
      <w:r>
        <w:rPr>
          <w:spacing w:val="-2"/>
        </w:rPr>
        <w:t>此外，贵州省六盘水“天网”工程项目荣获</w:t>
      </w:r>
      <w:r>
        <w:rPr>
          <w:rFonts w:ascii="宋体" w:hAnsi="宋体" w:cs="宋体" w:eastAsia="宋体" w:hint="default"/>
          <w:spacing w:val="-2"/>
        </w:rPr>
        <w:t>2018</w:t>
      </w:r>
      <w:r>
        <w:rPr>
          <w:spacing w:val="-2"/>
        </w:rPr>
        <w:t>年度中国电子信息行业创新成果（创新应用类）盘古奖；</w:t>
      </w:r>
    </w:p>
    <w:p>
      <w:pPr>
        <w:spacing w:after="0" w:line="35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right="1002"/>
        <w:jc w:val="left"/>
      </w:pPr>
      <w:r>
        <w:rPr>
          <w:spacing w:val="-4"/>
        </w:rPr>
        <w:t>黑龙江省人民检察院电子检务工程（网络与检察专用信息系统建设项目）在中央政法委机关报《法制日报》</w:t>
      </w:r>
      <w:r>
        <w:rPr>
          <w:spacing w:val="-47"/>
        </w:rPr>
        <w:t> </w:t>
      </w:r>
      <w:r>
        <w:rPr>
          <w:spacing w:val="-47"/>
        </w:rPr>
      </w:r>
      <w:r>
        <w:rPr/>
        <w:t>主办的</w:t>
      </w:r>
      <w:r>
        <w:rPr>
          <w:rFonts w:ascii="宋体" w:hAnsi="宋体" w:cs="宋体" w:eastAsia="宋体" w:hint="default"/>
        </w:rPr>
        <w:t>2018</w:t>
      </w:r>
      <w:r>
        <w:rPr/>
        <w:t>全国政法智能化建设创新案例评选活动中荣获“智慧检务十大解决方案提供商”称号。公司还</w:t>
      </w:r>
      <w:r>
        <w:rPr>
          <w:w w:val="100"/>
        </w:rPr>
        <w:t> </w:t>
      </w:r>
      <w:r>
        <w:rPr>
          <w:spacing w:val="-7"/>
          <w:w w:val="100"/>
        </w:rPr>
        <w:t>获评国家优质工程“鲁班奖”、北京市工程质量最高奖“长城杯”、甘肃省工程质量最高奖“飞天奖”、贵</w:t>
      </w:r>
      <w:r>
        <w:rPr>
          <w:spacing w:val="-67"/>
          <w:w w:val="100"/>
        </w:rPr>
        <w:t> </w:t>
      </w:r>
      <w:r>
        <w:rPr>
          <w:spacing w:val="-67"/>
          <w:w w:val="100"/>
        </w:rPr>
      </w:r>
      <w:r>
        <w:rPr>
          <w:spacing w:val="-10"/>
          <w:w w:val="100"/>
        </w:rPr>
        <w:t>州省建设工程质量最高奖“黄果树杯”、北京市安装工程优质奖、“</w:t>
      </w:r>
      <w:r>
        <w:rPr>
          <w:rFonts w:ascii="宋体" w:hAnsi="宋体" w:cs="宋体" w:eastAsia="宋体" w:hint="default"/>
          <w:spacing w:val="-10"/>
          <w:w w:val="100"/>
        </w:rPr>
        <w:t>2018</w:t>
      </w:r>
      <w:r>
        <w:rPr>
          <w:spacing w:val="-10"/>
          <w:w w:val="100"/>
        </w:rPr>
        <w:t>中国百大智能集成商”、“</w:t>
      </w:r>
      <w:r>
        <w:rPr>
          <w:rFonts w:ascii="宋体" w:hAnsi="宋体" w:cs="宋体" w:eastAsia="宋体" w:hint="default"/>
          <w:spacing w:val="-10"/>
          <w:w w:val="100"/>
        </w:rPr>
        <w:t>2018</w:t>
      </w:r>
      <w:r>
        <w:rPr>
          <w:spacing w:val="-10"/>
          <w:w w:val="100"/>
        </w:rPr>
        <w:t>中国</w:t>
      </w:r>
      <w:r>
        <w:rPr>
          <w:spacing w:val="-92"/>
          <w:w w:val="100"/>
        </w:rPr>
        <w:t> </w:t>
      </w:r>
      <w:r>
        <w:rPr>
          <w:spacing w:val="-9"/>
          <w:w w:val="100"/>
        </w:rPr>
        <w:t>平安城市</w:t>
      </w:r>
      <w:r>
        <w:rPr>
          <w:rFonts w:ascii="宋体" w:hAnsi="宋体" w:cs="宋体" w:eastAsia="宋体" w:hint="default"/>
          <w:spacing w:val="-9"/>
          <w:w w:val="100"/>
        </w:rPr>
        <w:t>TOP20</w:t>
      </w:r>
      <w:r>
        <w:rPr>
          <w:spacing w:val="-9"/>
          <w:w w:val="100"/>
        </w:rPr>
        <w:t>品牌”、“</w:t>
      </w:r>
      <w:r>
        <w:rPr>
          <w:rFonts w:ascii="宋体" w:hAnsi="宋体" w:cs="宋体" w:eastAsia="宋体" w:hint="default"/>
          <w:spacing w:val="-9"/>
          <w:w w:val="100"/>
        </w:rPr>
        <w:t>2018</w:t>
      </w:r>
      <w:r>
        <w:rPr>
          <w:spacing w:val="-9"/>
          <w:w w:val="100"/>
        </w:rPr>
        <w:t>中国智慧交通</w:t>
      </w:r>
      <w:r>
        <w:rPr>
          <w:rFonts w:ascii="宋体" w:hAnsi="宋体" w:cs="宋体" w:eastAsia="宋体" w:hint="default"/>
          <w:spacing w:val="-9"/>
          <w:w w:val="100"/>
        </w:rPr>
        <w:t>TOP20</w:t>
      </w:r>
      <w:r>
        <w:rPr>
          <w:spacing w:val="-9"/>
          <w:w w:val="100"/>
        </w:rPr>
        <w:t>品牌”、“</w:t>
      </w:r>
      <w:r>
        <w:rPr>
          <w:rFonts w:ascii="宋体" w:hAnsi="宋体" w:cs="宋体" w:eastAsia="宋体" w:hint="default"/>
          <w:spacing w:val="-9"/>
          <w:w w:val="100"/>
        </w:rPr>
        <w:t>2018</w:t>
      </w:r>
      <w:r>
        <w:rPr>
          <w:spacing w:val="-9"/>
          <w:w w:val="100"/>
        </w:rPr>
        <w:t>中国安防系统集成</w:t>
      </w:r>
      <w:r>
        <w:rPr>
          <w:rFonts w:ascii="宋体" w:hAnsi="宋体" w:cs="宋体" w:eastAsia="宋体" w:hint="default"/>
          <w:spacing w:val="-9"/>
          <w:w w:val="100"/>
        </w:rPr>
        <w:t>TOP50</w:t>
      </w:r>
      <w:r>
        <w:rPr>
          <w:spacing w:val="-9"/>
          <w:w w:val="100"/>
        </w:rPr>
        <w:t>品牌”等荣誉。</w:t>
      </w:r>
    </w:p>
    <w:p>
      <w:pPr>
        <w:pStyle w:val="BodyText"/>
        <w:spacing w:line="386" w:lineRule="auto" w:before="72"/>
        <w:ind w:left="535" w:right="1002"/>
        <w:jc w:val="left"/>
      </w:pPr>
      <w:r>
        <w:rPr>
          <w:rFonts w:ascii="宋体" w:hAnsi="宋体" w:cs="宋体" w:eastAsia="宋体" w:hint="default"/>
          <w:b/>
          <w:bCs/>
        </w:rPr>
        <w:t>三、技术及研发优势</w:t>
      </w:r>
      <w:r>
        <w:rPr>
          <w:rFonts w:ascii="宋体" w:hAnsi="宋体" w:cs="宋体" w:eastAsia="宋体" w:hint="default"/>
          <w:b/>
          <w:bCs/>
          <w:spacing w:val="-103"/>
        </w:rPr>
        <w:t> </w:t>
      </w:r>
      <w:r>
        <w:rPr>
          <w:spacing w:val="-2"/>
        </w:rPr>
        <w:t>公司专注于智慧科技方向的尖端传感器、嵌入式处理器、人工智能、物联网、产业互联网、大数据、</w:t>
      </w:r>
    </w:p>
    <w:p>
      <w:pPr>
        <w:pStyle w:val="BodyText"/>
        <w:spacing w:line="350" w:lineRule="auto" w:before="0"/>
        <w:ind w:right="1002"/>
        <w:jc w:val="left"/>
      </w:pPr>
      <w:r>
        <w:rPr/>
        <w:t>云计算与云存储、网络安全、智慧应用软件等关键技术的研究和开发，已形成完全自主可控、国内领先且</w:t>
      </w:r>
      <w:r>
        <w:rPr>
          <w:w w:val="100"/>
        </w:rPr>
        <w:t> </w:t>
      </w:r>
      <w:r>
        <w:rPr/>
        <w:t>具有国际竞争力的核心技术、产品和全面解决方案，自主可控的核心技术产品和服务贯穿了“从前端智能</w:t>
      </w:r>
      <w:r>
        <w:rPr>
          <w:w w:val="100"/>
        </w:rPr>
        <w:t> </w:t>
      </w:r>
      <w:r>
        <w:rPr/>
        <w:t>感知到中间网络传输，再到后端智慧应用”的整个智慧中国全面解决方案体系。在前端感知领域，专注于</w:t>
      </w:r>
      <w:r>
        <w:rPr>
          <w:w w:val="100"/>
        </w:rPr>
        <w:t> </w:t>
      </w:r>
      <w:r>
        <w:rPr/>
        <w:t>尖端传感器、嵌入式处理器、人工智能核心算法及智能终端设备的研发和制造；在网络传输领域，已基本</w:t>
      </w:r>
      <w:r>
        <w:rPr>
          <w:w w:val="100"/>
        </w:rPr>
        <w:t> </w:t>
      </w:r>
      <w:r>
        <w:rPr/>
        <w:t>形成</w:t>
      </w:r>
      <w:r>
        <w:rPr>
          <w:rFonts w:ascii="宋体" w:hAnsi="宋体" w:cs="宋体" w:eastAsia="宋体" w:hint="default"/>
        </w:rPr>
        <w:t>4G/5G</w:t>
      </w:r>
      <w:r>
        <w:rPr/>
        <w:t>新基础通信业务平台并加速建设布局覆盖全国的新一代光纤主干网络业务平台；在后端应用领</w:t>
      </w:r>
      <w:r>
        <w:rPr>
          <w:spacing w:val="-31"/>
        </w:rPr>
        <w:t> </w:t>
      </w:r>
      <w:r>
        <w:rPr>
          <w:spacing w:val="-31"/>
        </w:rPr>
      </w:r>
      <w:r>
        <w:rPr/>
        <w:t>域，公司面向现代国防、社会治理、民生服务和产业发展开发了一系列自主可控的网络安全产品、计算与</w:t>
      </w:r>
      <w:r>
        <w:rPr>
          <w:w w:val="100"/>
        </w:rPr>
        <w:t> </w:t>
      </w:r>
      <w:r>
        <w:rPr/>
        <w:t>存储设备、大数据和智慧应用平台软件，公司终将从智慧中国解决方案提供商成长为智慧行政区域的运营</w:t>
      </w:r>
      <w:r>
        <w:rPr>
          <w:w w:val="100"/>
        </w:rPr>
        <w:t> </w:t>
      </w:r>
      <w:r>
        <w:rPr/>
        <w:t>服务商。公司是国家级高新技术企业、国家级知识产权示范企业和双软企业，拥有国家级企业技术中心、</w:t>
      </w:r>
      <w:r>
        <w:rPr>
          <w:w w:val="100"/>
        </w:rPr>
        <w:t> </w:t>
      </w:r>
      <w:r>
        <w:rPr/>
        <w:t>国家级博士后科研工作站、两个省级重点实验室以及北京市级企业技术中心，是全球软件能力成熟度集成</w:t>
      </w:r>
      <w:r>
        <w:rPr>
          <w:w w:val="100"/>
        </w:rPr>
        <w:t> </w:t>
      </w:r>
      <w:r>
        <w:rPr>
          <w:spacing w:val="-2"/>
        </w:rPr>
        <w:t>模型</w:t>
      </w:r>
      <w:r>
        <w:rPr>
          <w:rFonts w:ascii="宋体" w:hAnsi="宋体" w:cs="宋体" w:eastAsia="宋体" w:hint="default"/>
          <w:spacing w:val="-2"/>
        </w:rPr>
        <w:t>CMMI5</w:t>
      </w:r>
      <w:r>
        <w:rPr>
          <w:spacing w:val="-2"/>
        </w:rPr>
        <w:t>顶级认证企业。公司坚持“自主可控、国产代替”的创新发展方向，与华为、龙芯等国产芯片、</w:t>
      </w:r>
      <w:r>
        <w:rPr>
          <w:spacing w:val="-32"/>
        </w:rPr>
        <w:t> </w:t>
      </w:r>
      <w:r>
        <w:rPr>
          <w:spacing w:val="-32"/>
        </w:rPr>
      </w:r>
      <w:r>
        <w:rPr/>
        <w:t>国产操作系统厂家密切合作，推出了一系列满足国家信息安全需要的自主可控的软、硬件产品。截至披露</w:t>
      </w:r>
      <w:r>
        <w:rPr>
          <w:w w:val="100"/>
        </w:rPr>
        <w:t> </w:t>
      </w:r>
      <w:r>
        <w:rPr/>
        <w:t>日，公司自主研发的视频综合管理平台</w:t>
      </w:r>
      <w:r>
        <w:rPr>
          <w:rFonts w:ascii="宋体" w:hAnsi="宋体" w:cs="宋体" w:eastAsia="宋体" w:hint="default"/>
        </w:rPr>
        <w:t>V1.0</w:t>
      </w:r>
      <w:r>
        <w:rPr/>
        <w:t>与华为技术有限公司的</w:t>
      </w:r>
      <w:r>
        <w:rPr>
          <w:rFonts w:ascii="宋体" w:hAnsi="宋体" w:cs="宋体" w:eastAsia="宋体" w:hint="default"/>
        </w:rPr>
        <w:t>TaiShan 100</w:t>
      </w:r>
      <w:r>
        <w:rPr/>
        <w:t>完成兼容性测试，获得华</w:t>
      </w:r>
      <w:r>
        <w:rPr>
          <w:spacing w:val="-30"/>
        </w:rPr>
        <w:t> </w:t>
      </w:r>
      <w:r>
        <w:rPr>
          <w:spacing w:val="-30"/>
        </w:rPr>
      </w:r>
      <w:r>
        <w:rPr/>
        <w:t>为智能计算授予的</w:t>
      </w:r>
      <w:r>
        <w:rPr>
          <w:rFonts w:ascii="宋体" w:hAnsi="宋体" w:cs="宋体" w:eastAsia="宋体" w:hint="default"/>
        </w:rPr>
        <w:t>HUAWEI COMPATIBLE</w:t>
      </w:r>
      <w:r>
        <w:rPr/>
        <w:t>证书及相关认证徽标的使用权。公司最新研发的自主可控视频综合</w:t>
      </w:r>
      <w:r>
        <w:rPr>
          <w:spacing w:val="-31"/>
        </w:rPr>
        <w:t> </w:t>
      </w:r>
      <w:r>
        <w:rPr>
          <w:spacing w:val="-31"/>
        </w:rPr>
      </w:r>
      <w:r>
        <w:rPr>
          <w:spacing w:val="15"/>
        </w:rPr>
        <w:t>管理系统搭载的数据存储服务器和管理服务器全面支持龙芯</w:t>
      </w:r>
      <w:r>
        <w:rPr>
          <w:spacing w:val="-64"/>
        </w:rPr>
        <w:t> </w:t>
      </w:r>
      <w:r>
        <w:rPr>
          <w:rFonts w:ascii="宋体" w:hAnsi="宋体" w:cs="宋体" w:eastAsia="宋体" w:hint="default"/>
        </w:rPr>
        <w:t>3000/4000</w:t>
      </w:r>
      <w:r>
        <w:rPr>
          <w:rFonts w:ascii="宋体" w:hAnsi="宋体" w:cs="宋体" w:eastAsia="宋体" w:hint="default"/>
          <w:spacing w:val="-75"/>
        </w:rPr>
        <w:t> </w:t>
      </w:r>
      <w:r>
        <w:rPr>
          <w:spacing w:val="13"/>
        </w:rPr>
        <w:t>系列处理器平台，</w:t>
      </w:r>
      <w:r>
        <w:rPr>
          <w:spacing w:val="-75"/>
        </w:rPr>
        <w:t> </w:t>
      </w:r>
      <w:r>
        <w:rPr>
          <w:spacing w:val="12"/>
        </w:rPr>
        <w:t>兼容龙芯</w:t>
      </w:r>
      <w:r>
        <w:rPr>
          <w:spacing w:val="-36"/>
        </w:rPr>
        <w:t> </w:t>
      </w:r>
      <w:r>
        <w:rPr>
          <w:spacing w:val="-36"/>
        </w:rPr>
      </w:r>
      <w:r>
        <w:rPr>
          <w:rFonts w:ascii="宋体" w:hAnsi="宋体" w:cs="宋体" w:eastAsia="宋体" w:hint="default"/>
          <w:spacing w:val="-2"/>
        </w:rPr>
        <w:t>3000/4000</w:t>
      </w:r>
      <w:r>
        <w:rPr>
          <w:spacing w:val="-2"/>
        </w:rPr>
        <w:t>系列处理器和</w:t>
      </w:r>
      <w:r>
        <w:rPr>
          <w:rFonts w:ascii="宋体" w:hAnsi="宋体" w:cs="宋体" w:eastAsia="宋体" w:hint="default"/>
          <w:spacing w:val="-2"/>
        </w:rPr>
        <w:t>UOS/</w:t>
      </w:r>
      <w:r>
        <w:rPr>
          <w:spacing w:val="-2"/>
        </w:rPr>
        <w:t>中标麒麟等操作系统。截至报告期末，公司拥有</w:t>
      </w:r>
      <w:r>
        <w:rPr>
          <w:rFonts w:ascii="宋体" w:hAnsi="宋体" w:cs="宋体" w:eastAsia="宋体" w:hint="default"/>
          <w:spacing w:val="-2"/>
        </w:rPr>
        <w:t>379</w:t>
      </w:r>
      <w:r>
        <w:rPr>
          <w:spacing w:val="-2"/>
        </w:rPr>
        <w:t>项有效专利，其中：</w:t>
      </w:r>
      <w:r>
        <w:rPr>
          <w:rFonts w:ascii="宋体" w:hAnsi="宋体" w:cs="宋体" w:eastAsia="宋体" w:hint="default"/>
          <w:spacing w:val="-2"/>
        </w:rPr>
        <w:t>99</w:t>
      </w:r>
      <w:r>
        <w:rPr>
          <w:spacing w:val="-2"/>
        </w:rPr>
        <w:t>项</w:t>
      </w:r>
      <w:r>
        <w:rPr>
          <w:spacing w:val="-19"/>
        </w:rPr>
        <w:t> </w:t>
      </w:r>
      <w:r>
        <w:rPr/>
        <w:t>发明专利、</w:t>
      </w:r>
      <w:r>
        <w:rPr>
          <w:rFonts w:ascii="宋体" w:hAnsi="宋体" w:cs="宋体" w:eastAsia="宋体" w:hint="default"/>
        </w:rPr>
        <w:t>263</w:t>
      </w:r>
      <w:r>
        <w:rPr/>
        <w:t>项实用新型专利、</w:t>
      </w:r>
      <w:r>
        <w:rPr>
          <w:rFonts w:ascii="宋体" w:hAnsi="宋体" w:cs="宋体" w:eastAsia="宋体" w:hint="default"/>
        </w:rPr>
        <w:t>17</w:t>
      </w:r>
      <w:r>
        <w:rPr/>
        <w:t>项外观设计专利。</w:t>
      </w:r>
    </w:p>
    <w:p>
      <w:pPr>
        <w:pStyle w:val="BodyText"/>
        <w:spacing w:line="381" w:lineRule="auto" w:before="70"/>
        <w:ind w:left="535" w:right="1002"/>
        <w:jc w:val="left"/>
      </w:pPr>
      <w:r>
        <w:rPr>
          <w:rFonts w:ascii="宋体" w:hAnsi="宋体" w:cs="宋体" w:eastAsia="宋体" w:hint="default"/>
          <w:b/>
          <w:bCs/>
        </w:rPr>
        <w:t>四、品牌及质量优势</w:t>
      </w:r>
      <w:r>
        <w:rPr>
          <w:rFonts w:ascii="宋体" w:hAnsi="宋体" w:cs="宋体" w:eastAsia="宋体" w:hint="default"/>
          <w:b/>
          <w:bCs/>
          <w:spacing w:val="-103"/>
        </w:rPr>
        <w:t> </w:t>
      </w:r>
      <w:r>
        <w:rPr>
          <w:spacing w:val="-2"/>
        </w:rPr>
        <w:t>公司是国家火炬计划重点高新技术企业、国家级创新型示范企业、全国知识产权示范企业和为国家技</w:t>
      </w:r>
    </w:p>
    <w:p>
      <w:pPr>
        <w:pStyle w:val="BodyText"/>
        <w:spacing w:line="348" w:lineRule="auto" w:before="4"/>
        <w:ind w:right="1125"/>
        <w:jc w:val="both"/>
      </w:pPr>
      <w:r>
        <w:rPr>
          <w:spacing w:val="-2"/>
        </w:rPr>
        <w:t>术创新示范企业，公司拥有国家级企业技术中心、拥有国家级博士后科研工作站、省级重点实验室和省级</w:t>
      </w:r>
      <w:r>
        <w:rPr>
          <w:spacing w:val="-33"/>
        </w:rPr>
        <w:t> </w:t>
      </w:r>
      <w:r>
        <w:rPr>
          <w:spacing w:val="-33"/>
        </w:rPr>
      </w:r>
      <w:r>
        <w:rPr>
          <w:spacing w:val="-2"/>
        </w:rPr>
        <w:t>工程技术研究中心、并与电子科技大学联合成立了反恐装备研究联合实验室，两次荣登《福布斯》中文版</w:t>
      </w:r>
      <w:r>
        <w:rPr>
          <w:spacing w:val="-33"/>
        </w:rPr>
        <w:t> </w:t>
      </w:r>
      <w:r>
        <w:rPr>
          <w:spacing w:val="-33"/>
        </w:rPr>
      </w:r>
      <w:r>
        <w:rPr/>
        <w:t>“中国潜力</w:t>
      </w:r>
      <w:r>
        <w:rPr>
          <w:rFonts w:ascii="宋体" w:hAnsi="宋体" w:cs="宋体" w:eastAsia="宋体" w:hint="default"/>
        </w:rPr>
        <w:t>100</w:t>
      </w:r>
      <w:r>
        <w:rPr/>
        <w:t>”排行榜。</w:t>
      </w:r>
    </w:p>
    <w:p>
      <w:pPr>
        <w:pStyle w:val="BodyText"/>
        <w:spacing w:line="350" w:lineRule="auto" w:before="72"/>
        <w:ind w:right="1103" w:firstLine="422"/>
        <w:jc w:val="both"/>
      </w:pPr>
      <w:r>
        <w:rPr>
          <w:spacing w:val="-2"/>
        </w:rPr>
        <w:t>公司高度重视品牌建设，一直将品牌建设列入企业战略目标，实行“重质量、创名牌”的经营方针。</w:t>
      </w:r>
      <w:r>
        <w:rPr>
          <w:w w:val="100"/>
        </w:rPr>
        <w:t> </w:t>
      </w:r>
      <w:r>
        <w:rPr>
          <w:spacing w:val="-2"/>
        </w:rPr>
        <w:t>通过内部管理，切实加强对产品质量的监控。公司还全面落实国家的强制性产品实施细则的要求，层层把</w:t>
      </w:r>
      <w:r>
        <w:rPr>
          <w:spacing w:val="-33"/>
        </w:rPr>
        <w:t> </w:t>
      </w:r>
      <w:r>
        <w:rPr>
          <w:spacing w:val="-33"/>
        </w:rPr>
      </w:r>
      <w:r>
        <w:rPr>
          <w:spacing w:val="-2"/>
        </w:rPr>
        <w:t>关，严格考核。公司全智能反恐机器人系列产品荣获中国国际社会公共安全产品博览会创新产品特等奖、</w:t>
      </w:r>
      <w:r>
        <w:rPr>
          <w:spacing w:val="-13"/>
        </w:rPr>
        <w:t> </w:t>
      </w:r>
      <w:r>
        <w:rPr>
          <w:spacing w:val="-13"/>
        </w:rPr>
      </w:r>
      <w:r>
        <w:rPr>
          <w:spacing w:val="-2"/>
        </w:rPr>
        <w:t>全国公安科技创新成果奖、北京市新技术新产品认证。公司超微光感知高清网络摄像机系列产品在业内权</w:t>
      </w:r>
      <w:r>
        <w:rPr>
          <w:spacing w:val="-33"/>
        </w:rPr>
        <w:t> </w:t>
      </w:r>
      <w:r>
        <w:rPr>
          <w:spacing w:val="-33"/>
        </w:rPr>
      </w:r>
      <w:r>
        <w:rPr/>
        <w:t>威机构《</w:t>
      </w:r>
      <w:r>
        <w:rPr>
          <w:rFonts w:ascii="宋体" w:hAnsi="宋体" w:cs="宋体" w:eastAsia="宋体" w:hint="default"/>
        </w:rPr>
        <w:t>a&amp;s</w:t>
      </w:r>
      <w:r>
        <w:rPr/>
        <w:t>》和“安防知识网”低照度性能测评中连续获得行业第一，并连续获评“平安建设”优秀安</w:t>
      </w:r>
      <w:r>
        <w:rPr>
          <w:spacing w:val="-29"/>
        </w:rPr>
        <w:t> </w:t>
      </w:r>
      <w:r>
        <w:rPr>
          <w:spacing w:val="-29"/>
        </w:rPr>
      </w:r>
      <w:r>
        <w:rPr>
          <w:spacing w:val="-2"/>
        </w:rPr>
        <w:t>防产品、智能建筑优质产品。公司三台合一接处警系统，荣获北京市新技术新产品认证；城市安全监控与</w:t>
      </w:r>
    </w:p>
    <w:p>
      <w:pPr>
        <w:spacing w:after="0" w:line="35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right="1122"/>
        <w:jc w:val="both"/>
      </w:pPr>
      <w:r>
        <w:rPr>
          <w:spacing w:val="-2"/>
        </w:rPr>
        <w:t>报警中央管控平台软件获评“平安建设”优秀安防产品；全智能报警与视频应用聚效平台获评中国最佳口</w:t>
      </w:r>
      <w:r>
        <w:rPr>
          <w:spacing w:val="-32"/>
        </w:rPr>
        <w:t> </w:t>
      </w:r>
      <w:r>
        <w:rPr>
          <w:spacing w:val="-32"/>
        </w:rPr>
      </w:r>
      <w:r>
        <w:rPr>
          <w:spacing w:val="-2"/>
        </w:rPr>
        <w:t>碑区域联网报警中心管理平台软件。公司是北京市委市政府“四个一批工程”首批入选的</w:t>
      </w:r>
      <w:r>
        <w:rPr>
          <w:rFonts w:ascii="宋体" w:hAnsi="宋体" w:cs="宋体" w:eastAsia="宋体" w:hint="default"/>
          <w:spacing w:val="-2"/>
        </w:rPr>
        <w:t>72</w:t>
      </w:r>
      <w:r>
        <w:rPr>
          <w:spacing w:val="-2"/>
        </w:rPr>
        <w:t>家重点支持企</w:t>
      </w:r>
      <w:r>
        <w:rPr>
          <w:spacing w:val="-28"/>
        </w:rPr>
        <w:t> </w:t>
      </w:r>
      <w:r>
        <w:rPr>
          <w:spacing w:val="-28"/>
        </w:rPr>
      </w:r>
      <w:r>
        <w:rPr>
          <w:spacing w:val="-2"/>
        </w:rPr>
        <w:t>业之一，是北京市重点总部企业、中关村“十百千工程”企业，公司连续多年获评中关村信用培育双百工</w:t>
      </w:r>
      <w:r>
        <w:rPr>
          <w:spacing w:val="-36"/>
        </w:rPr>
        <w:t> </w:t>
      </w:r>
      <w:r>
        <w:rPr>
          <w:spacing w:val="-36"/>
        </w:rPr>
      </w:r>
      <w:r>
        <w:rPr>
          <w:spacing w:val="-2"/>
          <w:w w:val="100"/>
        </w:rPr>
        <w:t>程“百家最具影响力信用企业”、北京市重质量守信用企业、北京市信用企业、北京市诚信长城杯企业、</w:t>
      </w:r>
      <w:r>
        <w:rPr>
          <w:spacing w:val="-98"/>
          <w:w w:val="100"/>
        </w:rPr>
        <w:t> </w:t>
      </w:r>
      <w:r>
        <w:rPr>
          <w:spacing w:val="-98"/>
          <w:w w:val="100"/>
        </w:rPr>
      </w:r>
      <w:r>
        <w:rPr/>
        <w:t>北京市诚信创建企业等荣誉称号。</w:t>
      </w:r>
    </w:p>
    <w:p>
      <w:pPr>
        <w:pStyle w:val="BodyText"/>
        <w:spacing w:line="350" w:lineRule="auto" w:before="72"/>
        <w:ind w:right="1123" w:firstLine="422"/>
        <w:jc w:val="both"/>
      </w:pPr>
      <w:r>
        <w:rPr>
          <w:spacing w:val="-2"/>
        </w:rPr>
        <w:t>多年来，公司始终秉承“质量至上，追求完美，并无微不至”的服务方针。遍布全国的营销与服务网</w:t>
      </w:r>
      <w:r>
        <w:rPr>
          <w:w w:val="100"/>
        </w:rPr>
        <w:t> </w:t>
      </w:r>
      <w:r>
        <w:rPr/>
        <w:t>络已累计为公司承揽的项目订单额逾三百亿元，并始终保持</w:t>
      </w:r>
      <w:r>
        <w:rPr>
          <w:rFonts w:ascii="宋体" w:hAnsi="宋体" w:cs="宋体" w:eastAsia="宋体" w:hint="default"/>
        </w:rPr>
        <w:t>100%</w:t>
      </w:r>
      <w:r>
        <w:rPr/>
        <w:t>验收通过率和</w:t>
      </w:r>
      <w:r>
        <w:rPr>
          <w:rFonts w:ascii="宋体" w:hAnsi="宋体" w:cs="宋体" w:eastAsia="宋体" w:hint="default"/>
        </w:rPr>
        <w:t>0</w:t>
      </w:r>
      <w:r>
        <w:rPr/>
        <w:t>重大投诉率的业内记录，</w:t>
      </w:r>
      <w:r>
        <w:rPr>
          <w:spacing w:val="-30"/>
        </w:rPr>
        <w:t> </w:t>
      </w:r>
      <w:r>
        <w:rPr>
          <w:spacing w:val="-30"/>
        </w:rPr>
      </w:r>
      <w:r>
        <w:rPr/>
        <w:t>为此获得了质量</w:t>
      </w:r>
      <w:r>
        <w:rPr>
          <w:rFonts w:ascii="宋体" w:hAnsi="宋体" w:cs="宋体" w:eastAsia="宋体" w:hint="default"/>
        </w:rPr>
        <w:t>3A</w:t>
      </w:r>
      <w:r>
        <w:rPr/>
        <w:t>级单位、重质量守信用企业、质量卓越单位等荣誉。</w:t>
      </w:r>
    </w:p>
    <w:p>
      <w:pPr>
        <w:pStyle w:val="BodyText"/>
        <w:spacing w:line="386" w:lineRule="auto" w:before="65"/>
        <w:ind w:left="535" w:right="1002"/>
        <w:jc w:val="left"/>
      </w:pPr>
      <w:r>
        <w:rPr>
          <w:rFonts w:ascii="宋体" w:hAnsi="宋体" w:cs="宋体" w:eastAsia="宋体" w:hint="default"/>
          <w:b/>
          <w:bCs/>
        </w:rPr>
        <w:t>五、市场营销优势</w:t>
      </w:r>
      <w:r>
        <w:rPr>
          <w:rFonts w:ascii="宋体" w:hAnsi="宋体" w:cs="宋体" w:eastAsia="宋体" w:hint="default"/>
          <w:b/>
          <w:bCs/>
          <w:spacing w:val="-103"/>
        </w:rPr>
        <w:t> </w:t>
      </w:r>
      <w:r>
        <w:rPr>
          <w:spacing w:val="-5"/>
          <w:w w:val="100"/>
        </w:rPr>
        <w:t>公司具有业内“九甲”资质优势，构建了行业信息化项目招投标最全面、最顶级的竞争门槛。“九甲”</w:t>
      </w:r>
    </w:p>
    <w:p>
      <w:pPr>
        <w:pStyle w:val="BodyText"/>
        <w:spacing w:line="350" w:lineRule="auto" w:before="0"/>
        <w:ind w:right="1124"/>
        <w:jc w:val="both"/>
      </w:pPr>
      <w:r>
        <w:rPr>
          <w:spacing w:val="-2"/>
        </w:rPr>
        <w:t>资质为公司不断承揽智慧行政区域业务奠定了坚实基础，在此基础上，公司适时把握国家大力发展智慧行</w:t>
      </w:r>
      <w:r>
        <w:rPr>
          <w:spacing w:val="-33"/>
        </w:rPr>
        <w:t> </w:t>
      </w:r>
      <w:r>
        <w:rPr>
          <w:spacing w:val="-33"/>
        </w:rPr>
      </w:r>
      <w:r>
        <w:rPr/>
        <w:t>政区域的战略机遇，提出在智慧行政区域领域主推</w:t>
      </w:r>
      <w:r>
        <w:rPr>
          <w:rFonts w:ascii="宋体" w:hAnsi="宋体" w:cs="宋体" w:eastAsia="宋体" w:hint="default"/>
        </w:rPr>
        <w:t>PPP+EPC</w:t>
      </w:r>
      <w:r>
        <w:rPr/>
        <w:t>项目模式。公司在中国平安城市行业年营业额</w:t>
      </w:r>
      <w:r>
        <w:rPr>
          <w:spacing w:val="-29"/>
        </w:rPr>
        <w:t> </w:t>
      </w:r>
      <w:r>
        <w:rPr>
          <w:spacing w:val="-29"/>
        </w:rPr>
      </w:r>
      <w:r>
        <w:rPr/>
        <w:t>排名第</w:t>
      </w:r>
      <w:r>
        <w:rPr>
          <w:rFonts w:ascii="宋体" w:hAnsi="宋体" w:cs="宋体" w:eastAsia="宋体" w:hint="default"/>
        </w:rPr>
        <w:t>1</w:t>
      </w:r>
      <w:r>
        <w:rPr/>
        <w:t>位，在中国安防系统集成行业年营业额排名第</w:t>
      </w:r>
      <w:r>
        <w:rPr>
          <w:rFonts w:ascii="宋体" w:hAnsi="宋体" w:cs="宋体" w:eastAsia="宋体" w:hint="default"/>
        </w:rPr>
        <w:t>3</w:t>
      </w:r>
      <w:r>
        <w:rPr/>
        <w:t>位，在中国智能交通行业年营业额排名第</w:t>
      </w:r>
      <w:r>
        <w:rPr>
          <w:rFonts w:ascii="宋体" w:hAnsi="宋体" w:cs="宋体" w:eastAsia="宋体" w:hint="default"/>
        </w:rPr>
        <w:t>3</w:t>
      </w:r>
      <w:r>
        <w:rPr/>
        <w:t>位，在</w:t>
      </w:r>
      <w:r>
        <w:rPr>
          <w:spacing w:val="-27"/>
        </w:rPr>
        <w:t> </w:t>
      </w:r>
      <w:r>
        <w:rPr>
          <w:spacing w:val="-4"/>
          <w:w w:val="100"/>
        </w:rPr>
        <w:t>中国智能集成行业总营业额排名第</w:t>
      </w:r>
      <w:r>
        <w:rPr>
          <w:rFonts w:ascii="宋体" w:hAnsi="宋体" w:cs="宋体" w:eastAsia="宋体" w:hint="default"/>
          <w:spacing w:val="-4"/>
          <w:w w:val="100"/>
        </w:rPr>
        <w:t>5</w:t>
      </w:r>
      <w:r>
        <w:rPr>
          <w:spacing w:val="-4"/>
          <w:w w:val="100"/>
        </w:rPr>
        <w:t>位。“九甲”资质、自主核心技术与智能化软硬件产品、端到端先进解</w:t>
      </w:r>
      <w:r>
        <w:rPr>
          <w:spacing w:val="-97"/>
          <w:w w:val="100"/>
        </w:rPr>
        <w:t> </w:t>
      </w:r>
      <w:r>
        <w:rPr>
          <w:spacing w:val="-97"/>
          <w:w w:val="100"/>
        </w:rPr>
      </w:r>
      <w:r>
        <w:rPr/>
        <w:t>决方案、持续快速增长的项目业绩、高瞻远瞩的</w:t>
      </w:r>
      <w:r>
        <w:rPr>
          <w:rFonts w:ascii="宋体" w:hAnsi="宋体" w:cs="宋体" w:eastAsia="宋体" w:hint="default"/>
        </w:rPr>
        <w:t>PPP+EPC</w:t>
      </w:r>
      <w:r>
        <w:rPr/>
        <w:t>业务战略等多重企业特质，筑牢了公司在智慧科</w:t>
      </w:r>
      <w:r>
        <w:rPr>
          <w:spacing w:val="-30"/>
        </w:rPr>
        <w:t> </w:t>
      </w:r>
      <w:r>
        <w:rPr>
          <w:spacing w:val="-30"/>
        </w:rPr>
      </w:r>
      <w:r>
        <w:rPr/>
        <w:t>技领域无可比拟的复合型市场营销优势。</w:t>
      </w:r>
    </w:p>
    <w:p>
      <w:pPr>
        <w:pStyle w:val="BodyText"/>
        <w:spacing w:line="348" w:lineRule="auto" w:before="70"/>
        <w:ind w:right="1122" w:firstLine="422"/>
        <w:jc w:val="both"/>
      </w:pPr>
      <w:r>
        <w:rPr>
          <w:spacing w:val="-2"/>
        </w:rPr>
        <w:t>在智慧中国领域，公司是业内极少数具备单体十亿元级项目建设经验的智慧中国全面解决方案提供商</w:t>
      </w:r>
      <w:r>
        <w:rPr>
          <w:w w:val="100"/>
        </w:rPr>
        <w:t> </w:t>
      </w:r>
      <w:r>
        <w:rPr/>
        <w:t>和运营服务商，典型业绩有：</w:t>
      </w:r>
      <w:r>
        <w:rPr>
          <w:rFonts w:ascii="宋体" w:hAnsi="宋体" w:cs="宋体" w:eastAsia="宋体" w:hint="default"/>
        </w:rPr>
        <w:t>20</w:t>
      </w:r>
      <w:r>
        <w:rPr/>
        <w:t>亿规模的湖南凤凰县智慧城市建设</w:t>
      </w:r>
      <w:r>
        <w:rPr>
          <w:rFonts w:ascii="宋体" w:hAnsi="宋体" w:cs="宋体" w:eastAsia="宋体" w:hint="default"/>
        </w:rPr>
        <w:t>PPP</w:t>
      </w:r>
      <w:r>
        <w:rPr/>
        <w:t>项目、</w:t>
      </w:r>
      <w:r>
        <w:rPr>
          <w:rFonts w:ascii="宋体" w:hAnsi="宋体" w:cs="宋体" w:eastAsia="宋体" w:hint="default"/>
        </w:rPr>
        <w:t>6.67</w:t>
      </w:r>
      <w:r>
        <w:rPr/>
        <w:t>亿元的贵州省赫章智慧</w:t>
      </w:r>
      <w:r>
        <w:rPr>
          <w:spacing w:val="-29"/>
        </w:rPr>
        <w:t> </w:t>
      </w:r>
      <w:r>
        <w:rPr>
          <w:spacing w:val="-29"/>
        </w:rPr>
      </w:r>
      <w:r>
        <w:rPr/>
        <w:t>城市项目、已完成实施的中国目前单体最大的</w:t>
      </w:r>
      <w:r>
        <w:rPr>
          <w:rFonts w:ascii="宋体" w:hAnsi="宋体" w:cs="宋体" w:eastAsia="宋体" w:hint="default"/>
        </w:rPr>
        <w:t>13</w:t>
      </w:r>
      <w:r>
        <w:rPr/>
        <w:t>亿规模的贵州省六盘水市天网工程项目、</w:t>
      </w:r>
      <w:r>
        <w:rPr>
          <w:rFonts w:ascii="宋体" w:hAnsi="宋体" w:cs="宋体" w:eastAsia="宋体" w:hint="default"/>
        </w:rPr>
        <w:t>11.76</w:t>
      </w:r>
      <w:r>
        <w:rPr/>
        <w:t>亿规模的</w:t>
      </w:r>
      <w:r>
        <w:rPr>
          <w:spacing w:val="-29"/>
        </w:rPr>
        <w:t> </w:t>
      </w:r>
      <w:r>
        <w:rPr>
          <w:spacing w:val="-29"/>
        </w:rPr>
      </w:r>
      <w:r>
        <w:rPr>
          <w:spacing w:val="-2"/>
        </w:rPr>
        <w:t>凤凰工业园市政基础设施建设智慧园区项目、</w:t>
      </w:r>
      <w:r>
        <w:rPr>
          <w:rFonts w:ascii="宋体" w:hAnsi="宋体" w:cs="宋体" w:eastAsia="宋体" w:hint="default"/>
          <w:spacing w:val="-2"/>
        </w:rPr>
        <w:t>6</w:t>
      </w:r>
      <w:r>
        <w:rPr>
          <w:spacing w:val="-2"/>
        </w:rPr>
        <w:t>亿规模的云南联通移动业务社会化服务合作项目、</w:t>
      </w:r>
      <w:r>
        <w:rPr>
          <w:rFonts w:ascii="宋体" w:hAnsi="宋体" w:cs="宋体" w:eastAsia="宋体" w:hint="default"/>
          <w:spacing w:val="-2"/>
        </w:rPr>
        <w:t>8.9</w:t>
      </w:r>
      <w:r>
        <w:rPr>
          <w:spacing w:val="-2"/>
        </w:rPr>
        <w:t>亿元</w:t>
      </w:r>
      <w:r>
        <w:rPr>
          <w:spacing w:val="-35"/>
        </w:rPr>
        <w:t> </w:t>
      </w:r>
      <w:r>
        <w:rPr>
          <w:spacing w:val="-6"/>
        </w:rPr>
        <w:t>的夏邑智慧时空（国土）项目、</w:t>
      </w:r>
      <w:r>
        <w:rPr>
          <w:rFonts w:ascii="宋体" w:hAnsi="宋体" w:cs="宋体" w:eastAsia="宋体" w:hint="default"/>
          <w:spacing w:val="-6"/>
        </w:rPr>
        <w:t>2.92</w:t>
      </w:r>
      <w:r>
        <w:rPr>
          <w:spacing w:val="-6"/>
        </w:rPr>
        <w:t>亿规模的安徽省芜湖市雪亮工程项目等。此外，公司还为</w:t>
      </w:r>
      <w:r>
        <w:rPr>
          <w:rFonts w:ascii="宋体" w:hAnsi="宋体" w:cs="宋体" w:eastAsia="宋体" w:hint="default"/>
          <w:spacing w:val="-6"/>
        </w:rPr>
        <w:t>2014</w:t>
      </w:r>
      <w:r>
        <w:rPr>
          <w:spacing w:val="-6"/>
        </w:rPr>
        <w:t>北京</w:t>
      </w:r>
      <w:r>
        <w:rPr>
          <w:rFonts w:ascii="宋体" w:hAnsi="宋体" w:cs="宋体" w:eastAsia="宋体" w:hint="default"/>
          <w:spacing w:val="-6"/>
        </w:rPr>
        <w:t>APEC</w:t>
      </w:r>
      <w:r>
        <w:rPr>
          <w:rFonts w:ascii="宋体" w:hAnsi="宋体" w:cs="宋体" w:eastAsia="宋体" w:hint="default"/>
          <w:spacing w:val="-14"/>
        </w:rPr>
        <w:t> </w:t>
      </w:r>
      <w:r>
        <w:rPr/>
        <w:t>峰会、</w:t>
      </w:r>
      <w:r>
        <w:rPr>
          <w:rFonts w:ascii="宋体" w:hAnsi="宋体" w:cs="宋体" w:eastAsia="宋体" w:hint="default"/>
        </w:rPr>
        <w:t>2016</w:t>
      </w:r>
      <w:r>
        <w:rPr/>
        <w:t>杭州</w:t>
      </w:r>
      <w:r>
        <w:rPr>
          <w:rFonts w:ascii="宋体" w:hAnsi="宋体" w:cs="宋体" w:eastAsia="宋体" w:hint="default"/>
        </w:rPr>
        <w:t>G20</w:t>
      </w:r>
      <w:r>
        <w:rPr/>
        <w:t>峰会、</w:t>
      </w:r>
      <w:r>
        <w:rPr>
          <w:rFonts w:ascii="宋体" w:hAnsi="宋体" w:cs="宋体" w:eastAsia="宋体" w:hint="default"/>
        </w:rPr>
        <w:t>2019</w:t>
      </w:r>
      <w:r>
        <w:rPr/>
        <w:t>武汉军运会等国际重大活动提供高科技产品和一流技术服务。</w:t>
      </w:r>
    </w:p>
    <w:p>
      <w:pPr>
        <w:pStyle w:val="BodyText"/>
        <w:spacing w:line="350" w:lineRule="auto" w:before="72"/>
        <w:ind w:right="1122" w:firstLine="422"/>
        <w:jc w:val="both"/>
      </w:pPr>
      <w:r>
        <w:rPr>
          <w:spacing w:val="-2"/>
        </w:rPr>
        <w:t>报告期内，公司与中国航发贵州黎阳航空动力有限公司签署了战略合作框架协议；公司在第七届世界</w:t>
      </w:r>
      <w:r>
        <w:rPr>
          <w:w w:val="100"/>
        </w:rPr>
        <w:t> </w:t>
      </w:r>
      <w:r>
        <w:rPr>
          <w:spacing w:val="-2"/>
        </w:rPr>
        <w:t>军人运动会东西湖体育中心场馆智慧安保项目（信息化部分）设备采购及安装工程项目中中标，中标总金</w:t>
      </w:r>
      <w:r>
        <w:rPr>
          <w:spacing w:val="-30"/>
        </w:rPr>
        <w:t> </w:t>
      </w:r>
      <w:r>
        <w:rPr>
          <w:spacing w:val="-30"/>
        </w:rPr>
      </w:r>
      <w:r>
        <w:rPr>
          <w:spacing w:val="-2"/>
        </w:rPr>
        <w:t>额为人民币</w:t>
      </w:r>
      <w:r>
        <w:rPr>
          <w:rFonts w:ascii="宋体" w:hAnsi="宋体" w:cs="宋体" w:eastAsia="宋体" w:hint="default"/>
          <w:spacing w:val="-2"/>
        </w:rPr>
        <w:t>3,826.02</w:t>
      </w:r>
      <w:r>
        <w:rPr>
          <w:spacing w:val="-2"/>
        </w:rPr>
        <w:t>万元；公司作为联合体牵头人在洛宁县土地后备资源开发复垦项目中中标，中标总金</w:t>
      </w:r>
      <w:r>
        <w:rPr>
          <w:spacing w:val="-25"/>
        </w:rPr>
        <w:t> </w:t>
      </w:r>
      <w:r>
        <w:rPr>
          <w:spacing w:val="-25"/>
        </w:rPr>
      </w:r>
      <w:r>
        <w:rPr>
          <w:spacing w:val="-2"/>
        </w:rPr>
        <w:t>额为人民币</w:t>
      </w:r>
      <w:r>
        <w:rPr>
          <w:rFonts w:ascii="宋体" w:hAnsi="宋体" w:cs="宋体" w:eastAsia="宋体" w:hint="default"/>
          <w:spacing w:val="-2"/>
        </w:rPr>
        <w:t>29,190</w:t>
      </w:r>
      <w:r>
        <w:rPr>
          <w:spacing w:val="-2"/>
        </w:rPr>
        <w:t>万元，并与洛宁县人民政府就洛宁县土地后备资源开发复垦项目签订了采购合同；公司</w:t>
      </w:r>
      <w:r>
        <w:rPr>
          <w:spacing w:val="-27"/>
        </w:rPr>
        <w:t> </w:t>
      </w:r>
      <w:r>
        <w:rPr>
          <w:spacing w:val="-27"/>
        </w:rPr>
      </w:r>
      <w:r>
        <w:rPr/>
        <w:t>作为云南联通项目建设</w:t>
      </w:r>
      <w:r>
        <w:rPr>
          <w:rFonts w:ascii="宋体" w:hAnsi="宋体" w:cs="宋体" w:eastAsia="宋体" w:hint="default"/>
        </w:rPr>
        <w:t>6</w:t>
      </w:r>
      <w:r>
        <w:rPr/>
        <w:t>亿元的总承包商与中国联合网络通信有限公司云南省分公司签订了“双百行动”</w:t>
      </w:r>
      <w:r>
        <w:rPr>
          <w:spacing w:val="-28"/>
        </w:rPr>
        <w:t> </w:t>
      </w:r>
      <w:r>
        <w:rPr>
          <w:spacing w:val="-28"/>
        </w:rPr>
      </w:r>
      <w:r>
        <w:rPr>
          <w:spacing w:val="-2"/>
        </w:rPr>
        <w:t>综合改革合作协议；公司中标中国移动云南公司保山分公司就保山市立体化边境防控体系技防一期前后端</w:t>
      </w:r>
      <w:r>
        <w:rPr>
          <w:spacing w:val="-33"/>
        </w:rPr>
        <w:t> </w:t>
      </w:r>
      <w:r>
        <w:rPr>
          <w:spacing w:val="-33"/>
        </w:rPr>
      </w:r>
      <w:r>
        <w:rPr>
          <w:spacing w:val="-2"/>
          <w:w w:val="100"/>
        </w:rPr>
        <w:t>数据服务项目（二次），并就该项目签订了《保山市立体化边境防控体系技防一期前后端数据服务项目合</w:t>
      </w:r>
      <w:r>
        <w:rPr>
          <w:spacing w:val="-99"/>
          <w:w w:val="100"/>
        </w:rPr>
        <w:t> </w:t>
      </w:r>
      <w:r>
        <w:rPr>
          <w:spacing w:val="-99"/>
          <w:w w:val="100"/>
        </w:rPr>
      </w:r>
      <w:r>
        <w:rPr>
          <w:spacing w:val="-2"/>
          <w:w w:val="100"/>
        </w:rPr>
        <w:t>同》，总金额为人民币</w:t>
      </w:r>
      <w:r>
        <w:rPr>
          <w:rFonts w:ascii="宋体" w:hAnsi="宋体" w:cs="宋体" w:eastAsia="宋体" w:hint="default"/>
          <w:spacing w:val="-2"/>
          <w:w w:val="100"/>
        </w:rPr>
        <w:t>5,924.78</w:t>
      </w:r>
      <w:r>
        <w:rPr>
          <w:spacing w:val="-2"/>
          <w:w w:val="100"/>
        </w:rPr>
        <w:t>万元；公司作为联合体牵头人在伊川县土地复垦和补充耕地指标开发建设</w:t>
      </w:r>
      <w:r>
        <w:rPr>
          <w:spacing w:val="-95"/>
          <w:w w:val="100"/>
        </w:rPr>
        <w:t> </w:t>
      </w:r>
      <w:r>
        <w:rPr>
          <w:spacing w:val="-95"/>
          <w:w w:val="100"/>
        </w:rPr>
      </w:r>
      <w:r>
        <w:rPr/>
        <w:t>项目中中标，中标总金额为人民币</w:t>
      </w:r>
      <w:r>
        <w:rPr>
          <w:rFonts w:ascii="宋体" w:hAnsi="宋体" w:cs="宋体" w:eastAsia="宋体" w:hint="default"/>
        </w:rPr>
        <w:t>29,190</w:t>
      </w:r>
      <w:r>
        <w:rPr/>
        <w:t>万元；公司在赫章县智慧赫章建设政府和社会合作（</w:t>
      </w:r>
      <w:r>
        <w:rPr>
          <w:rFonts w:ascii="宋体" w:hAnsi="宋体" w:cs="宋体" w:eastAsia="宋体" w:hint="default"/>
        </w:rPr>
        <w:t>PPP</w:t>
      </w:r>
      <w:r>
        <w:rPr/>
        <w:t>）项目</w:t>
      </w:r>
      <w:r>
        <w:rPr>
          <w:spacing w:val="-28"/>
        </w:rPr>
        <w:t> </w:t>
      </w:r>
      <w:r>
        <w:rPr>
          <w:rFonts w:ascii="宋体" w:hAnsi="宋体" w:cs="宋体" w:eastAsia="宋体" w:hint="default"/>
          <w:spacing w:val="3"/>
        </w:rPr>
        <w:t>EPC</w:t>
      </w:r>
      <w:r>
        <w:rPr>
          <w:spacing w:val="3"/>
        </w:rPr>
        <w:t>总承包工程中中标，中标总金额为人民币</w:t>
      </w:r>
      <w:r>
        <w:rPr>
          <w:rFonts w:ascii="宋体" w:hAnsi="宋体" w:cs="宋体" w:eastAsia="宋体" w:hint="default"/>
          <w:spacing w:val="3"/>
        </w:rPr>
        <w:t>66,650.447</w:t>
      </w:r>
      <w:r>
        <w:rPr>
          <w:spacing w:val="3"/>
        </w:rPr>
        <w:t>万元，就赫章县智慧赫章建设政府和社会合作</w:t>
      </w:r>
    </w:p>
    <w:p>
      <w:pPr>
        <w:pStyle w:val="BodyText"/>
        <w:spacing w:line="352" w:lineRule="auto" w:before="27"/>
        <w:ind w:right="1122"/>
        <w:jc w:val="both"/>
      </w:pPr>
      <w:r>
        <w:rPr>
          <w:spacing w:val="-2"/>
        </w:rPr>
        <w:t>（</w:t>
      </w:r>
      <w:r>
        <w:rPr>
          <w:rFonts w:ascii="宋体" w:hAnsi="宋体" w:cs="宋体" w:eastAsia="宋体" w:hint="default"/>
          <w:spacing w:val="-2"/>
        </w:rPr>
        <w:t>PPP</w:t>
      </w:r>
      <w:r>
        <w:rPr>
          <w:spacing w:val="-2"/>
        </w:rPr>
        <w:t>）项目</w:t>
      </w:r>
      <w:r>
        <w:rPr>
          <w:rFonts w:ascii="宋体" w:hAnsi="宋体" w:cs="宋体" w:eastAsia="宋体" w:hint="default"/>
          <w:spacing w:val="-2"/>
        </w:rPr>
        <w:t>EPC</w:t>
      </w:r>
      <w:r>
        <w:rPr>
          <w:spacing w:val="-2"/>
        </w:rPr>
        <w:t>总承包工程签订了《赫章县智慧赫章建设政府和社会合作（</w:t>
      </w:r>
      <w:r>
        <w:rPr>
          <w:rFonts w:ascii="宋体" w:hAnsi="宋体" w:cs="宋体" w:eastAsia="宋体" w:hint="default"/>
          <w:spacing w:val="-2"/>
        </w:rPr>
        <w:t>PPP</w:t>
      </w:r>
      <w:r>
        <w:rPr>
          <w:spacing w:val="-2"/>
        </w:rPr>
        <w:t>）项目</w:t>
      </w:r>
      <w:r>
        <w:rPr>
          <w:rFonts w:ascii="宋体" w:hAnsi="宋体" w:cs="宋体" w:eastAsia="宋体" w:hint="default"/>
          <w:spacing w:val="-2"/>
        </w:rPr>
        <w:t>EPC</w:t>
      </w:r>
      <w:r>
        <w:rPr>
          <w:spacing w:val="-2"/>
        </w:rPr>
        <w:t>总承包工程合同</w:t>
      </w:r>
      <w:r>
        <w:rPr>
          <w:spacing w:val="-19"/>
        </w:rPr>
        <w:t> </w:t>
      </w:r>
      <w:r>
        <w:rPr>
          <w:spacing w:val="-19"/>
        </w:rPr>
      </w:r>
      <w:r>
        <w:rPr>
          <w:spacing w:val="-2"/>
          <w:w w:val="100"/>
        </w:rPr>
        <w:t>协议书》，合同总金额为人民币</w:t>
      </w:r>
      <w:r>
        <w:rPr>
          <w:rFonts w:ascii="宋体" w:hAnsi="宋体" w:cs="宋体" w:eastAsia="宋体" w:hint="default"/>
          <w:spacing w:val="-2"/>
          <w:w w:val="100"/>
        </w:rPr>
        <w:t>66,650.447</w:t>
      </w:r>
      <w:r>
        <w:rPr>
          <w:spacing w:val="-2"/>
          <w:w w:val="100"/>
        </w:rPr>
        <w:t>万元；公司作为联合体牵头人在河南省原阳县城乡建设建设用</w:t>
      </w:r>
    </w:p>
    <w:p>
      <w:pPr>
        <w:spacing w:after="0" w:line="352"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03"/>
        <w:jc w:val="both"/>
      </w:pPr>
      <w:r>
        <w:rPr>
          <w:spacing w:val="-2"/>
        </w:rPr>
        <w:t>地增减挂钩和占补平衡项目中中标，中标总金额为人民币</w:t>
      </w:r>
      <w:r>
        <w:rPr>
          <w:rFonts w:ascii="宋体" w:hAnsi="宋体" w:cs="宋体" w:eastAsia="宋体" w:hint="default"/>
          <w:spacing w:val="-2"/>
        </w:rPr>
        <w:t>34,900</w:t>
      </w:r>
      <w:r>
        <w:rPr>
          <w:spacing w:val="-2"/>
        </w:rPr>
        <w:t>万元；公司作为联合体牵头人在夏邑县后</w:t>
      </w:r>
      <w:r>
        <w:rPr>
          <w:spacing w:val="-26"/>
        </w:rPr>
        <w:t> </w:t>
      </w:r>
      <w:r>
        <w:rPr>
          <w:spacing w:val="-26"/>
        </w:rPr>
      </w:r>
      <w:r>
        <w:rPr>
          <w:spacing w:val="-2"/>
        </w:rPr>
        <w:t>备资源全流程投资开发项目中中标，中标金额预估为人民币</w:t>
      </w:r>
      <w:r>
        <w:rPr>
          <w:rFonts w:ascii="宋体" w:hAnsi="宋体" w:cs="宋体" w:eastAsia="宋体" w:hint="default"/>
          <w:spacing w:val="-2"/>
        </w:rPr>
        <w:t>88,770</w:t>
      </w:r>
      <w:r>
        <w:rPr>
          <w:spacing w:val="-2"/>
        </w:rPr>
        <w:t>万元，就夏邑县后备资源全流程投资开</w:t>
      </w:r>
      <w:r>
        <w:rPr>
          <w:spacing w:val="-25"/>
        </w:rPr>
        <w:t> </w:t>
      </w:r>
      <w:r>
        <w:rPr>
          <w:spacing w:val="-25"/>
        </w:rPr>
      </w:r>
      <w:r>
        <w:rPr>
          <w:spacing w:val="-2"/>
          <w:w w:val="100"/>
        </w:rPr>
        <w:t>发项目签订了《夏邑县后备资源全流程投资开发项目政府采购合同》，合同金额为人民币</w:t>
      </w:r>
      <w:r>
        <w:rPr>
          <w:rFonts w:ascii="宋体" w:hAnsi="宋体" w:cs="宋体" w:eastAsia="宋体" w:hint="default"/>
          <w:spacing w:val="-2"/>
          <w:w w:val="100"/>
        </w:rPr>
        <w:t>88,770</w:t>
      </w:r>
      <w:r>
        <w:rPr>
          <w:spacing w:val="-2"/>
          <w:w w:val="100"/>
        </w:rPr>
        <w:t>万元；公</w:t>
      </w:r>
      <w:r>
        <w:rPr>
          <w:spacing w:val="-90"/>
          <w:w w:val="100"/>
        </w:rPr>
        <w:t> </w:t>
      </w:r>
      <w:r>
        <w:rPr>
          <w:spacing w:val="-90"/>
          <w:w w:val="100"/>
        </w:rPr>
      </w:r>
      <w:r>
        <w:rPr>
          <w:spacing w:val="-2"/>
        </w:rPr>
        <w:t>司作为联合体成员单位中标中方县城乡建设用地增减挂钩项目，并与中方县自然资源局签订了《中方县城</w:t>
      </w:r>
      <w:r>
        <w:rPr>
          <w:spacing w:val="-33"/>
        </w:rPr>
        <w:t> </w:t>
      </w:r>
      <w:r>
        <w:rPr>
          <w:spacing w:val="-33"/>
        </w:rPr>
      </w:r>
      <w:r>
        <w:rPr>
          <w:spacing w:val="-2"/>
          <w:w w:val="100"/>
        </w:rPr>
        <w:t>乡建设用地增减挂钩项目政府采购合同》，合同总价暂定为人民币</w:t>
      </w:r>
      <w:r>
        <w:rPr>
          <w:rFonts w:ascii="宋体" w:hAnsi="宋体" w:cs="宋体" w:eastAsia="宋体" w:hint="default"/>
          <w:spacing w:val="-2"/>
          <w:w w:val="100"/>
        </w:rPr>
        <w:t>119,600,000.00</w:t>
      </w:r>
      <w:r>
        <w:rPr>
          <w:spacing w:val="-2"/>
          <w:w w:val="100"/>
        </w:rPr>
        <w:t>元；公司子公司开封云</w:t>
      </w:r>
      <w:r>
        <w:rPr>
          <w:spacing w:val="-87"/>
          <w:w w:val="100"/>
        </w:rPr>
        <w:t> </w:t>
      </w:r>
      <w:r>
        <w:rPr/>
        <w:t>聚锦尚数据管理有限公司与开封市祥符区国有资产投资经营有限责任公司和河南锦尚土地整治有限公司</w:t>
      </w:r>
      <w:r>
        <w:rPr>
          <w:spacing w:val="64"/>
        </w:rPr>
        <w:t> </w:t>
      </w:r>
      <w:r>
        <w:rPr>
          <w:spacing w:val="64"/>
        </w:rPr>
      </w:r>
      <w:r>
        <w:rPr>
          <w:spacing w:val="-6"/>
          <w:w w:val="100"/>
        </w:rPr>
        <w:t>签订了祥符区土地后备资源投资开发项目协议（以下简称“协议”），协议总价暂定为人民币</w:t>
      </w:r>
      <w:r>
        <w:rPr>
          <w:rFonts w:ascii="宋体" w:hAnsi="宋体" w:cs="宋体" w:eastAsia="宋体" w:hint="default"/>
          <w:spacing w:val="-6"/>
          <w:w w:val="100"/>
        </w:rPr>
        <w:t>55,000</w:t>
      </w:r>
      <w:r>
        <w:rPr>
          <w:spacing w:val="-6"/>
          <w:w w:val="100"/>
        </w:rPr>
        <w:t>万元；</w:t>
      </w:r>
      <w:r>
        <w:rPr>
          <w:spacing w:val="-70"/>
          <w:w w:val="100"/>
        </w:rPr>
        <w:t> </w:t>
      </w:r>
      <w:r>
        <w:rPr>
          <w:spacing w:val="-70"/>
          <w:w w:val="100"/>
        </w:rPr>
      </w:r>
      <w:r>
        <w:rPr/>
        <w:t>公司作为联合体牵头单位中标贵州省毕节市大方县全域智慧旅游信息化平台建设</w:t>
      </w:r>
      <w:r>
        <w:rPr>
          <w:rFonts w:ascii="宋体" w:hAnsi="宋体" w:cs="宋体" w:eastAsia="宋体" w:hint="default"/>
        </w:rPr>
        <w:t>PPP</w:t>
      </w:r>
      <w:r>
        <w:rPr/>
        <w:t>项目，并就该项目与</w:t>
      </w:r>
      <w:r>
        <w:rPr>
          <w:spacing w:val="-28"/>
        </w:rPr>
        <w:t> </w:t>
      </w:r>
      <w:r>
        <w:rPr>
          <w:spacing w:val="-28"/>
        </w:rPr>
      </w:r>
      <w:r>
        <w:rPr>
          <w:spacing w:val="-4"/>
          <w:w w:val="100"/>
        </w:rPr>
        <w:t>大方县文体广电旅游局签订了《贵州省毕节市大方县全域智慧旅游信息化平台建设</w:t>
      </w:r>
      <w:r>
        <w:rPr>
          <w:rFonts w:ascii="宋体" w:hAnsi="宋体" w:cs="宋体" w:eastAsia="宋体" w:hint="default"/>
          <w:spacing w:val="-4"/>
          <w:w w:val="100"/>
        </w:rPr>
        <w:t>PPP</w:t>
      </w:r>
      <w:r>
        <w:rPr>
          <w:spacing w:val="-4"/>
          <w:w w:val="100"/>
        </w:rPr>
        <w:t>项目合同》，项目建</w:t>
      </w:r>
      <w:r>
        <w:rPr>
          <w:spacing w:val="-92"/>
          <w:w w:val="100"/>
        </w:rPr>
        <w:t> </w:t>
      </w:r>
      <w:r>
        <w:rPr>
          <w:spacing w:val="-92"/>
          <w:w w:val="100"/>
        </w:rPr>
      </w:r>
      <w:r>
        <w:rPr/>
        <w:t>设总投资估算为人民币</w:t>
      </w:r>
      <w:r>
        <w:rPr>
          <w:rFonts w:ascii="宋体" w:hAnsi="宋体" w:cs="宋体" w:eastAsia="宋体" w:hint="default"/>
        </w:rPr>
        <w:t>10,493.55</w:t>
      </w:r>
      <w:r>
        <w:rPr/>
        <w:t>万元。</w:t>
      </w:r>
    </w:p>
    <w:p>
      <w:pPr>
        <w:pStyle w:val="BodyText"/>
        <w:spacing w:line="381" w:lineRule="auto" w:before="70"/>
        <w:ind w:left="535" w:right="1002"/>
        <w:jc w:val="left"/>
      </w:pPr>
      <w:r>
        <w:rPr>
          <w:rFonts w:ascii="宋体" w:hAnsi="宋体" w:cs="宋体" w:eastAsia="宋体" w:hint="default"/>
          <w:b/>
          <w:bCs/>
        </w:rPr>
        <w:t>六、人才团队优势</w:t>
      </w:r>
      <w:r>
        <w:rPr>
          <w:rFonts w:ascii="宋体" w:hAnsi="宋体" w:cs="宋体" w:eastAsia="宋体" w:hint="default"/>
          <w:b/>
          <w:bCs/>
          <w:spacing w:val="-103"/>
        </w:rPr>
        <w:t> </w:t>
      </w:r>
      <w:r>
        <w:rPr>
          <w:spacing w:val="-2"/>
        </w:rPr>
        <w:t>一流的品牌由一流的人才打造，人才是企业发展的核心竞争力。公司坚持“以奋斗者为本并坚持长期</w:t>
      </w:r>
    </w:p>
    <w:p>
      <w:pPr>
        <w:pStyle w:val="BodyText"/>
        <w:spacing w:line="350" w:lineRule="auto" w:before="4"/>
        <w:ind w:right="1106"/>
        <w:jc w:val="both"/>
      </w:pPr>
      <w:r>
        <w:rPr>
          <w:spacing w:val="-2"/>
          <w:w w:val="100"/>
        </w:rPr>
        <w:t>艰苦奋斗”。注重人才的引进和培养，先后引进多名高端人才、领军人才，每年从高校招聘大量优秀毕业</w:t>
      </w:r>
      <w:r>
        <w:rPr>
          <w:spacing w:val="-99"/>
          <w:w w:val="100"/>
        </w:rPr>
        <w:t> </w:t>
      </w:r>
      <w:r>
        <w:rPr>
          <w:spacing w:val="-99"/>
          <w:w w:val="100"/>
        </w:rPr>
      </w:r>
      <w:r>
        <w:rPr>
          <w:spacing w:val="-2"/>
        </w:rPr>
        <w:t>生，并投入大量经费对员工进行业务技能、企业文化、经营管理等培训，保证员工队伍的高效与稳定。一</w:t>
      </w:r>
      <w:r>
        <w:rPr>
          <w:spacing w:val="-38"/>
        </w:rPr>
        <w:t> </w:t>
      </w:r>
      <w:r>
        <w:rPr>
          <w:spacing w:val="-38"/>
        </w:rPr>
      </w:r>
      <w:r>
        <w:rPr>
          <w:spacing w:val="-2"/>
        </w:rPr>
        <w:t>方面采用走出去迎进来的办法，不断提高科技人员的研发水平，通过校企科研合作，不断取得创新成果；</w:t>
      </w:r>
      <w:r>
        <w:rPr>
          <w:spacing w:val="-13"/>
        </w:rPr>
        <w:t> </w:t>
      </w:r>
      <w:r>
        <w:rPr>
          <w:spacing w:val="-13"/>
        </w:rPr>
      </w:r>
      <w:r>
        <w:rPr>
          <w:spacing w:val="-2"/>
        </w:rPr>
        <w:t>另一方面持续引进高新技术及高端人才，努力提高在同行中的科研竞争力。高举“服务创新”旗帜，落实</w:t>
      </w:r>
      <w:r>
        <w:rPr>
          <w:spacing w:val="-35"/>
        </w:rPr>
        <w:t> </w:t>
      </w:r>
      <w:r>
        <w:rPr>
          <w:spacing w:val="-35"/>
        </w:rPr>
      </w:r>
      <w:r>
        <w:rPr>
          <w:spacing w:val="-2"/>
        </w:rPr>
        <w:t>技术研发政策，积极强化研发职能，并提升高新技术含量产品的开发，实现技术规范与产品的标准化、国</w:t>
      </w:r>
      <w:r>
        <w:rPr>
          <w:spacing w:val="-33"/>
        </w:rPr>
        <w:t> </w:t>
      </w:r>
      <w:r>
        <w:rPr>
          <w:spacing w:val="-33"/>
        </w:rPr>
      </w:r>
      <w:r>
        <w:rPr>
          <w:spacing w:val="-2"/>
        </w:rPr>
        <w:t>际化。公司多名专家分别入选中国警用装备标准化委员会技术通信委员、能源等行业国家级标准化技术委</w:t>
      </w:r>
      <w:r>
        <w:rPr>
          <w:spacing w:val="-31"/>
        </w:rPr>
        <w:t> </w:t>
      </w:r>
      <w:r>
        <w:rPr>
          <w:spacing w:val="-31"/>
        </w:rPr>
      </w:r>
      <w:r>
        <w:rPr/>
        <w:t>员会专家委员，公司先后多次制定和参与制定国家标准及行业标准。</w:t>
      </w:r>
    </w:p>
    <w:p>
      <w:pPr>
        <w:pStyle w:val="BodyText"/>
        <w:spacing w:line="350" w:lineRule="auto" w:before="65"/>
        <w:ind w:right="1013" w:firstLine="422"/>
        <w:jc w:val="left"/>
      </w:pPr>
      <w:r>
        <w:rPr/>
        <w:t>报告期内，公司董事长瞿洪桂先生在第九届中国智慧城市大会上荣获“中国智慧城市发展十周年领袖</w:t>
      </w:r>
      <w:r>
        <w:rPr>
          <w:w w:val="100"/>
        </w:rPr>
        <w:t> </w:t>
      </w:r>
      <w:r>
        <w:rPr>
          <w:spacing w:val="-8"/>
          <w:w w:val="100"/>
        </w:rPr>
        <w:t>人物”、“</w:t>
      </w:r>
      <w:r>
        <w:rPr>
          <w:rFonts w:ascii="宋体" w:hAnsi="宋体" w:cs="宋体" w:eastAsia="宋体" w:hint="default"/>
          <w:spacing w:val="-8"/>
          <w:w w:val="100"/>
        </w:rPr>
        <w:t>2019</w:t>
      </w:r>
      <w:r>
        <w:rPr>
          <w:spacing w:val="-8"/>
          <w:w w:val="100"/>
        </w:rPr>
        <w:t>智慧城市领军人物”。公司成功打造一支高绩效、高素质的管理团队，培养了一批执行力高、</w:t>
      </w:r>
      <w:r>
        <w:rPr>
          <w:spacing w:val="-104"/>
          <w:w w:val="100"/>
        </w:rPr>
        <w:t> </w:t>
      </w:r>
      <w:r>
        <w:rPr>
          <w:spacing w:val="-104"/>
          <w:w w:val="100"/>
        </w:rPr>
      </w:r>
      <w:r>
        <w:rPr/>
        <w:t>凝聚力强的骨干人才，吸引了一批有潜力、有思想的储备人才，人才队伍始终具有活力和可持续性，使公</w:t>
      </w:r>
      <w:r>
        <w:rPr>
          <w:w w:val="100"/>
        </w:rPr>
        <w:t> </w:t>
      </w:r>
      <w:r>
        <w:rPr/>
        <w:t>司始终保持技术领先和具有推动行业技术进步、把握行业发展趋势的能力，大量懂技术、善经营、会管理</w:t>
      </w:r>
      <w:r>
        <w:rPr>
          <w:w w:val="100"/>
        </w:rPr>
        <w:t> </w:t>
      </w:r>
      <w:r>
        <w:rPr/>
        <w:t>的行业精英分布在公司各部门、各岗位。</w:t>
      </w:r>
    </w:p>
    <w:p>
      <w:pPr>
        <w:pStyle w:val="BodyText"/>
        <w:spacing w:line="350" w:lineRule="auto" w:before="65"/>
        <w:ind w:right="1106" w:firstLine="422"/>
        <w:jc w:val="both"/>
      </w:pPr>
      <w:r>
        <w:rPr>
          <w:spacing w:val="-2"/>
        </w:rPr>
        <w:t>在智慧中国业务方面，公司拥有强大的内生团队和外聚整合能力，公司的研究开发、规划设计及建设</w:t>
      </w:r>
      <w:r>
        <w:rPr>
          <w:w w:val="100"/>
        </w:rPr>
        <w:t> </w:t>
      </w:r>
      <w:r>
        <w:rPr>
          <w:spacing w:val="-2"/>
        </w:rPr>
        <w:t>运营团队由诸如：中国科学院院士、中国工程院院士、国家信息化专家委员会、国家智能化专家委员会、</w:t>
      </w:r>
      <w:r>
        <w:rPr>
          <w:spacing w:val="-13"/>
        </w:rPr>
        <w:t> </w:t>
      </w:r>
      <w:r>
        <w:rPr>
          <w:spacing w:val="-13"/>
        </w:rPr>
      </w:r>
      <w:r>
        <w:rPr>
          <w:spacing w:val="-2"/>
        </w:rPr>
        <w:t>公安部科技信息化专家委员会、中国警用装备标准化技术委员会等老、中、青三代专家领衔。公司还与电</w:t>
      </w:r>
      <w:r>
        <w:rPr>
          <w:spacing w:val="-33"/>
        </w:rPr>
        <w:t> </w:t>
      </w:r>
      <w:r>
        <w:rPr>
          <w:spacing w:val="-33"/>
        </w:rPr>
      </w:r>
      <w:r>
        <w:rPr/>
        <w:t>子科技大学、清华大学等知名高校紧密合作，聘请博士团队，聚力国内优质智囊组建科研创新高地。</w:t>
      </w:r>
    </w:p>
    <w:p>
      <w:pPr>
        <w:spacing w:after="0" w:line="350" w:lineRule="auto"/>
        <w:jc w:val="both"/>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03" w:right="1002"/>
        <w:jc w:val="left"/>
        <w:rPr>
          <w:b w:val="0"/>
          <w:bCs w:val="0"/>
        </w:rPr>
      </w:pPr>
      <w:bookmarkStart w:name="第四节经营情况讨论与分析" w:id="22"/>
      <w:bookmarkEnd w:id="22"/>
      <w:r>
        <w:rPr>
          <w:b w:val="0"/>
          <w:bCs w:val="0"/>
        </w:rPr>
      </w:r>
      <w:bookmarkStart w:name="_bookmark2" w:id="23"/>
      <w:bookmarkEnd w:id="23"/>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5"/>
        <w:spacing w:line="240" w:lineRule="auto" w:before="36"/>
        <w:ind w:right="1002"/>
        <w:jc w:val="left"/>
        <w:rPr>
          <w:b w:val="0"/>
          <w:bCs w:val="0"/>
        </w:rPr>
      </w:pPr>
      <w:bookmarkStart w:name="一、概述" w:id="24"/>
      <w:bookmarkEnd w:id="24"/>
      <w:r>
        <w:rPr>
          <w:b w:val="0"/>
          <w:bCs w:val="0"/>
        </w:rPr>
      </w:r>
      <w:r>
        <w:rPr/>
        <w:t>一、概述</w:t>
      </w:r>
      <w:r>
        <w:rPr>
          <w:b w:val="0"/>
          <w:bCs w:val="0"/>
        </w:rPr>
      </w:r>
    </w:p>
    <w:p>
      <w:pPr>
        <w:spacing w:line="240" w:lineRule="auto" w:before="0"/>
        <w:rPr>
          <w:rFonts w:ascii="宋体" w:hAnsi="宋体" w:cs="宋体" w:eastAsia="宋体" w:hint="default"/>
          <w:b/>
          <w:bCs/>
          <w:sz w:val="20"/>
          <w:szCs w:val="20"/>
        </w:rPr>
      </w:pPr>
    </w:p>
    <w:p>
      <w:pPr>
        <w:pStyle w:val="BodyText"/>
        <w:spacing w:line="350" w:lineRule="auto" w:before="169"/>
        <w:ind w:right="1002" w:firstLine="422"/>
        <w:jc w:val="left"/>
      </w:pPr>
      <w:r>
        <w:rPr/>
        <w:t>面对经济全球化遭遇波折、国际金融市场震荡的外部环境，特别是中美经贸摩擦不断，以及内部经济</w:t>
      </w:r>
      <w:r>
        <w:rPr>
          <w:w w:val="100"/>
        </w:rPr>
        <w:t> </w:t>
      </w:r>
      <w:r>
        <w:rPr/>
        <w:t>面临下行压力、转型攻坚升级的严峻形势。同时，</w:t>
      </w:r>
      <w:r>
        <w:rPr>
          <w:rFonts w:ascii="宋体" w:hAnsi="宋体" w:cs="宋体" w:eastAsia="宋体" w:hint="default"/>
        </w:rPr>
        <w:t>2019</w:t>
      </w:r>
      <w:r>
        <w:rPr/>
        <w:t>年也是中华人民共和国成立</w:t>
      </w:r>
      <w:r>
        <w:rPr>
          <w:rFonts w:ascii="宋体" w:hAnsi="宋体" w:cs="宋体" w:eastAsia="宋体" w:hint="default"/>
        </w:rPr>
        <w:t>70</w:t>
      </w:r>
      <w:r>
        <w:rPr/>
        <w:t>周年，是全面建成小</w:t>
      </w:r>
      <w:r>
        <w:rPr>
          <w:w w:val="100"/>
        </w:rPr>
        <w:t> </w:t>
      </w:r>
      <w:r>
        <w:rPr/>
        <w:t>康社会、实现第一个百年奋斗目标的关键之年，国家坚持稳中求进的工作总基调、高质量发展的总要求。</w:t>
      </w:r>
      <w:r>
        <w:rPr>
          <w:w w:val="100"/>
        </w:rPr>
        <w:t> </w:t>
      </w:r>
      <w:r>
        <w:rPr/>
        <w:t>党的十九届四中全会强调，坚持和完善中国特色社会主义制度、推进国家治理体系和治理能力现代化，是</w:t>
      </w:r>
      <w:r>
        <w:rPr>
          <w:w w:val="100"/>
        </w:rPr>
        <w:t> </w:t>
      </w:r>
      <w:r>
        <w:rPr/>
        <w:t>全党的一项重大战略任务。这一战略任务的实现离不开信息化，要推进经济、政治、社会、文化、生态等</w:t>
      </w:r>
      <w:r>
        <w:rPr>
          <w:w w:val="100"/>
        </w:rPr>
        <w:t> </w:t>
      </w:r>
      <w:r>
        <w:rPr/>
        <w:t>领域的信息化，以信息化提高这些领域的制度化、程序化、法制化水平，构建一个“制度</w:t>
      </w:r>
      <w:r>
        <w:rPr>
          <w:rFonts w:ascii="宋体" w:hAnsi="宋体" w:cs="宋体" w:eastAsia="宋体" w:hint="default"/>
        </w:rPr>
        <w:t>+</w:t>
      </w:r>
      <w:r>
        <w:rPr/>
        <w:t>技术”的国家</w:t>
      </w:r>
      <w:r>
        <w:rPr>
          <w:spacing w:val="-103"/>
        </w:rPr>
        <w:t> </w:t>
      </w:r>
      <w:r>
        <w:rPr>
          <w:spacing w:val="-103"/>
        </w:rPr>
      </w:r>
      <w:r>
        <w:rPr>
          <w:spacing w:val="-7"/>
          <w:w w:val="100"/>
        </w:rPr>
        <w:t>治理体系。“郡县治，天下安”，市域、县域治理是国家治理的重要基石，是贯彻落实党的十九届四中全会</w:t>
      </w:r>
      <w:r>
        <w:rPr>
          <w:spacing w:val="-68"/>
          <w:w w:val="100"/>
        </w:rPr>
        <w:t> </w:t>
      </w:r>
      <w:r>
        <w:rPr>
          <w:spacing w:val="-68"/>
          <w:w w:val="100"/>
        </w:rPr>
      </w:r>
      <w:r>
        <w:rPr>
          <w:spacing w:val="-4"/>
          <w:w w:val="100"/>
        </w:rPr>
        <w:t>精神的具体实践，而运用信息化、智慧化手段建设智慧中国（智慧行政区域、智慧国防、智慧时空），则</w:t>
      </w:r>
      <w:r>
        <w:rPr>
          <w:spacing w:val="-83"/>
          <w:w w:val="100"/>
        </w:rPr>
        <w:t> </w:t>
      </w:r>
      <w:r>
        <w:rPr>
          <w:spacing w:val="-83"/>
          <w:w w:val="100"/>
        </w:rPr>
      </w:r>
      <w:r>
        <w:rPr/>
        <w:t>是实现这一实践目标的有力抓手，智慧中国建设是实现法治中国、平安中国、美丽中国的技术支撑。公司</w:t>
      </w:r>
      <w:r>
        <w:rPr>
          <w:w w:val="100"/>
        </w:rPr>
        <w:t> </w:t>
      </w:r>
      <w:r>
        <w:rPr/>
        <w:t>顺应新一轮信息技术和科技革命发展浪潮，运用大数据、云计算、人工智能等新一代信息技术整合各项资</w:t>
      </w:r>
      <w:r>
        <w:rPr>
          <w:w w:val="100"/>
        </w:rPr>
        <w:t> </w:t>
      </w:r>
      <w:r>
        <w:rPr/>
        <w:t>源，通过数据全面赋能，全面多维的提升党和政府治理及服务工作效能，因地制宜发展高质量的区域数字</w:t>
      </w:r>
      <w:r>
        <w:rPr>
          <w:w w:val="100"/>
        </w:rPr>
        <w:t> </w:t>
      </w:r>
      <w:r>
        <w:rPr>
          <w:spacing w:val="-4"/>
        </w:rPr>
        <w:t>经济，全面提升公众获得感、幸福感和满意度。为区域治理体系和治理能力现代化发展进程贡献科技智慧。</w:t>
      </w:r>
      <w:r>
        <w:rPr>
          <w:spacing w:val="-48"/>
        </w:rPr>
        <w:t> </w:t>
      </w:r>
      <w:r>
        <w:rPr>
          <w:spacing w:val="-48"/>
        </w:rPr>
      </w:r>
      <w:r>
        <w:rPr>
          <w:spacing w:val="-13"/>
          <w:w w:val="100"/>
        </w:rPr>
        <w:t>公司适应于时代发展的新局面，全面开启公司发展的新征程，认真履行《公司法》、《证券法》、《公司章程》</w:t>
      </w:r>
      <w:r>
        <w:rPr>
          <w:spacing w:val="-72"/>
          <w:w w:val="100"/>
        </w:rPr>
        <w:t> </w:t>
      </w:r>
      <w:r>
        <w:rPr>
          <w:spacing w:val="-72"/>
          <w:w w:val="100"/>
        </w:rPr>
      </w:r>
      <w:r>
        <w:rPr/>
        <w:t>等法律、法规赋予的职责，公司严格按照董事会发展战略，依照经营计划，内部控制建设进一步加强，公</w:t>
      </w:r>
      <w:r>
        <w:rPr>
          <w:w w:val="100"/>
        </w:rPr>
        <w:t> </w:t>
      </w:r>
      <w:r>
        <w:rPr/>
        <w:t>司规范运作水平进一步提高，紧紧围绕全年经营目标，审时度势，统筹全面均衡发展。</w:t>
      </w:r>
    </w:p>
    <w:p>
      <w:pPr>
        <w:pStyle w:val="BodyText"/>
        <w:spacing w:line="350" w:lineRule="auto" w:before="65"/>
        <w:ind w:right="1002" w:firstLine="422"/>
        <w:jc w:val="left"/>
      </w:pPr>
      <w:r>
        <w:rPr/>
        <w:t>报告期内，一方面，公司作为国内领先的智慧中国全面解决方案提供商和运营服务商，始终专注于智</w:t>
      </w:r>
      <w:r>
        <w:rPr>
          <w:w w:val="100"/>
        </w:rPr>
        <w:t> </w:t>
      </w:r>
      <w:r>
        <w:rPr/>
        <w:t>慧科技方向的尖端传感器、嵌入式处理器、人工智能、物联网、产业互联网、大数据、云计算与云存储、</w:t>
      </w:r>
      <w:r>
        <w:rPr>
          <w:w w:val="100"/>
        </w:rPr>
        <w:t> </w:t>
      </w:r>
      <w:r>
        <w:rPr/>
        <w:t>网络安全、智慧应用软件等关键技术的研究和开发，坚持“自主可控、国产代替”的创新发展方向，聚焦</w:t>
      </w:r>
      <w:r>
        <w:rPr>
          <w:w w:val="100"/>
        </w:rPr>
        <w:t> </w:t>
      </w:r>
      <w:r>
        <w:rPr>
          <w:spacing w:val="-11"/>
          <w:w w:val="100"/>
        </w:rPr>
        <w:t>智慧中国三大核心市场（客户）：“智慧行政区域（党政与民学）、智慧国防（军队）、智慧时空（东西南北</w:t>
      </w:r>
      <w:r>
        <w:rPr>
          <w:spacing w:val="-81"/>
          <w:w w:val="100"/>
        </w:rPr>
        <w:t> </w:t>
      </w:r>
      <w:r>
        <w:rPr>
          <w:spacing w:val="-81"/>
          <w:w w:val="100"/>
        </w:rPr>
      </w:r>
      <w:r>
        <w:rPr>
          <w:spacing w:val="-7"/>
          <w:w w:val="100"/>
        </w:rPr>
        <w:t>中）”，已形成完全自主可控、国内领先且具有国际竞争力的核心技术、产品、全面解决方案和商业运营模</w:t>
      </w:r>
      <w:r>
        <w:rPr>
          <w:spacing w:val="-64"/>
          <w:w w:val="100"/>
        </w:rPr>
        <w:t> </w:t>
      </w:r>
      <w:r>
        <w:rPr>
          <w:spacing w:val="-64"/>
          <w:w w:val="100"/>
        </w:rPr>
      </w:r>
      <w:r>
        <w:rPr>
          <w:spacing w:val="-4"/>
        </w:rPr>
        <w:t>式，并不断精益求精地复制，坚持“以智慧中国业务为龙头，以新通信业务和新一代光纤网络业务为两翼”</w:t>
      </w:r>
      <w:r>
        <w:rPr>
          <w:spacing w:val="-44"/>
        </w:rPr>
        <w:t> </w:t>
      </w:r>
      <w:r>
        <w:rPr>
          <w:spacing w:val="-44"/>
        </w:rPr>
      </w:r>
      <w:r>
        <w:rPr/>
        <w:t>的主营业务发展战略，加速形成并夯实做“业界最佳的智慧中国解决方案供应商与运营服务商”的行业龙</w:t>
      </w:r>
      <w:r>
        <w:rPr>
          <w:w w:val="100"/>
        </w:rPr>
        <w:t> </w:t>
      </w:r>
      <w:r>
        <w:rPr/>
        <w:t>头品牌地位，实现公司做稳、做强、做大；另一方面，坚持“依法治理、依约经营”的规范运作管理和加</w:t>
      </w:r>
      <w:r>
        <w:rPr>
          <w:w w:val="100"/>
        </w:rPr>
        <w:t> </w:t>
      </w:r>
      <w:r>
        <w:rPr/>
        <w:t>强“一本四心”的企业文化管理，即以奋斗者为本，以利润为中心、树立同心、塑造匠心、拥有敬业心，</w:t>
      </w:r>
      <w:r>
        <w:rPr>
          <w:spacing w:val="-103"/>
        </w:rPr>
        <w:t> </w:t>
      </w:r>
      <w:r>
        <w:rPr>
          <w:spacing w:val="-103"/>
        </w:rPr>
      </w:r>
      <w:r>
        <w:rPr/>
        <w:t>持续的回购和持续的员工激励，强化精细管理、精准营销，开源节流；坚持现金为王，加强回款管理。</w:t>
      </w:r>
    </w:p>
    <w:p>
      <w:pPr>
        <w:pStyle w:val="BodyText"/>
        <w:spacing w:line="350" w:lineRule="auto" w:before="70"/>
        <w:ind w:right="1122" w:firstLine="422"/>
        <w:jc w:val="both"/>
      </w:pPr>
      <w:r>
        <w:rPr>
          <w:spacing w:val="-2"/>
        </w:rPr>
        <w:t>报告期内，</w:t>
      </w:r>
      <w:r>
        <w:rPr>
          <w:rFonts w:ascii="宋体" w:hAnsi="宋体" w:cs="宋体" w:eastAsia="宋体" w:hint="default"/>
          <w:spacing w:val="-2"/>
        </w:rPr>
        <w:t>2019</w:t>
      </w:r>
      <w:r>
        <w:rPr>
          <w:spacing w:val="-2"/>
        </w:rPr>
        <w:t>年度，公司实现营业总收入</w:t>
      </w:r>
      <w:r>
        <w:rPr>
          <w:rFonts w:ascii="宋体" w:hAnsi="宋体" w:cs="宋体" w:eastAsia="宋体" w:hint="default"/>
          <w:spacing w:val="-2"/>
        </w:rPr>
        <w:t>275,567.64</w:t>
      </w:r>
      <w:r>
        <w:rPr>
          <w:spacing w:val="-2"/>
        </w:rPr>
        <w:t>万元，比上年同期增长</w:t>
      </w:r>
      <w:r>
        <w:rPr>
          <w:rFonts w:ascii="宋体" w:hAnsi="宋体" w:cs="宋体" w:eastAsia="宋体" w:hint="default"/>
          <w:spacing w:val="-2"/>
        </w:rPr>
        <w:t>12.20%</w:t>
      </w:r>
      <w:r>
        <w:rPr>
          <w:spacing w:val="-2"/>
        </w:rPr>
        <w:t>；实现营业利润</w:t>
      </w:r>
      <w:r>
        <w:rPr>
          <w:w w:val="100"/>
        </w:rPr>
        <w:t> </w:t>
      </w:r>
      <w:r>
        <w:rPr>
          <w:rFonts w:ascii="宋体" w:hAnsi="宋体" w:cs="宋体" w:eastAsia="宋体" w:hint="default"/>
          <w:spacing w:val="-2"/>
        </w:rPr>
        <w:t>33,560.71</w:t>
      </w:r>
      <w:r>
        <w:rPr>
          <w:spacing w:val="-2"/>
        </w:rPr>
        <w:t>万元，比上年同期增长</w:t>
      </w:r>
      <w:r>
        <w:rPr>
          <w:rFonts w:ascii="宋体" w:hAnsi="宋体" w:cs="宋体" w:eastAsia="宋体" w:hint="default"/>
          <w:spacing w:val="-2"/>
        </w:rPr>
        <w:t>50.65%</w:t>
      </w:r>
      <w:r>
        <w:rPr>
          <w:spacing w:val="-2"/>
        </w:rPr>
        <w:t>；实现利润总额</w:t>
      </w:r>
      <w:r>
        <w:rPr>
          <w:rFonts w:ascii="宋体" w:hAnsi="宋体" w:cs="宋体" w:eastAsia="宋体" w:hint="default"/>
          <w:spacing w:val="-2"/>
        </w:rPr>
        <w:t>33,466.43</w:t>
      </w:r>
      <w:r>
        <w:rPr>
          <w:spacing w:val="-2"/>
        </w:rPr>
        <w:t>万元，比上年同期增长</w:t>
      </w:r>
      <w:r>
        <w:rPr>
          <w:rFonts w:ascii="宋体" w:hAnsi="宋体" w:cs="宋体" w:eastAsia="宋体" w:hint="default"/>
          <w:spacing w:val="-2"/>
        </w:rPr>
        <w:t>52.67%</w:t>
      </w:r>
      <w:r>
        <w:rPr>
          <w:spacing w:val="-2"/>
        </w:rPr>
        <w:t>；实现净</w:t>
      </w:r>
      <w:r>
        <w:rPr>
          <w:spacing w:val="-8"/>
        </w:rPr>
        <w:t> </w:t>
      </w:r>
      <w:r>
        <w:rPr>
          <w:spacing w:val="-8"/>
        </w:rPr>
      </w:r>
      <w:r>
        <w:rPr>
          <w:spacing w:val="-2"/>
        </w:rPr>
        <w:t>利润</w:t>
      </w:r>
      <w:r>
        <w:rPr>
          <w:rFonts w:ascii="宋体" w:hAnsi="宋体" w:cs="宋体" w:eastAsia="宋体" w:hint="default"/>
          <w:spacing w:val="-2"/>
        </w:rPr>
        <w:t>28,832.37</w:t>
      </w:r>
      <w:r>
        <w:rPr>
          <w:spacing w:val="-2"/>
        </w:rPr>
        <w:t>万元，比上年同期增长</w:t>
      </w:r>
      <w:r>
        <w:rPr>
          <w:rFonts w:ascii="宋体" w:hAnsi="宋体" w:cs="宋体" w:eastAsia="宋体" w:hint="default"/>
          <w:spacing w:val="-2"/>
        </w:rPr>
        <w:t>53.07%</w:t>
      </w:r>
      <w:r>
        <w:rPr>
          <w:spacing w:val="-2"/>
        </w:rPr>
        <w:t>；其中，归属于上市公司股东的净利润</w:t>
      </w:r>
      <w:r>
        <w:rPr>
          <w:rFonts w:ascii="宋体" w:hAnsi="宋体" w:cs="宋体" w:eastAsia="宋体" w:hint="default"/>
          <w:spacing w:val="-2"/>
        </w:rPr>
        <w:t>28,471.43</w:t>
      </w:r>
      <w:r>
        <w:rPr>
          <w:spacing w:val="-2"/>
        </w:rPr>
        <w:t>万元，比上</w:t>
      </w:r>
      <w:r>
        <w:rPr>
          <w:spacing w:val="-12"/>
        </w:rPr>
        <w:t> </w:t>
      </w:r>
      <w:r>
        <w:rPr>
          <w:spacing w:val="-12"/>
        </w:rPr>
      </w:r>
      <w:r>
        <w:rPr/>
        <w:t>年同期增长</w:t>
      </w:r>
      <w:r>
        <w:rPr>
          <w:rFonts w:ascii="宋体" w:hAnsi="宋体" w:cs="宋体" w:eastAsia="宋体" w:hint="default"/>
        </w:rPr>
        <w:t>62.91%</w:t>
      </w:r>
      <w:r>
        <w:rPr/>
        <w:t>。上述财务指标已经大华会计师事务所（特殊普通合伙）审计。</w:t>
      </w:r>
    </w:p>
    <w:p>
      <w:pPr>
        <w:spacing w:after="0" w:line="35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spacing w:line="386" w:lineRule="auto" w:before="36"/>
        <w:ind w:left="535" w:right="5730" w:firstLine="0"/>
        <w:jc w:val="left"/>
        <w:rPr>
          <w:rFonts w:ascii="宋体" w:hAnsi="宋体" w:cs="宋体" w:eastAsia="宋体" w:hint="default"/>
          <w:sz w:val="21"/>
          <w:szCs w:val="21"/>
        </w:rPr>
      </w:pPr>
      <w:r>
        <w:rPr>
          <w:rFonts w:ascii="宋体" w:hAnsi="宋体" w:cs="宋体" w:eastAsia="宋体" w:hint="default"/>
          <w:spacing w:val="-2"/>
          <w:sz w:val="21"/>
          <w:szCs w:val="21"/>
        </w:rPr>
        <w:t>公司回顾总结报告期内披露的主要工作情况：</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、完成定期报告披露工作</w:t>
      </w:r>
      <w:r>
        <w:rPr>
          <w:rFonts w:ascii="宋体" w:hAnsi="宋体" w:cs="宋体" w:eastAsia="宋体" w:hint="default"/>
          <w:sz w:val="21"/>
          <w:szCs w:val="21"/>
        </w:rPr>
      </w:r>
    </w:p>
    <w:p>
      <w:pPr>
        <w:pStyle w:val="BodyText"/>
        <w:spacing w:line="352" w:lineRule="auto" w:before="34"/>
        <w:ind w:right="1002" w:firstLine="422"/>
        <w:jc w:val="left"/>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年度报告：报告期内，公司按照定期报告的相关规定以及报告预约时间，分别于</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w:t>
      </w:r>
      <w:r>
        <w:rPr>
          <w:w w:val="100"/>
        </w:rPr>
        <w:t> </w:t>
      </w:r>
      <w:r>
        <w:rPr>
          <w:rFonts w:ascii="宋体" w:hAnsi="宋体" w:cs="宋体" w:eastAsia="宋体" w:hint="default"/>
        </w:rPr>
        <w:t>28</w:t>
      </w:r>
      <w:r>
        <w:rPr/>
        <w:t>日完成业绩快报及</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25</w:t>
      </w:r>
      <w:r>
        <w:rPr/>
        <w:t>日完成了年报披露工作；</w:t>
      </w:r>
    </w:p>
    <w:p>
      <w:pPr>
        <w:pStyle w:val="BodyText"/>
        <w:spacing w:line="352" w:lineRule="auto" w:before="63"/>
        <w:ind w:right="1002" w:firstLine="422"/>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2019</w:t>
      </w:r>
      <w:r>
        <w:rPr>
          <w:spacing w:val="-2"/>
        </w:rPr>
        <w:t>年一季度报告：报告期内，公司按照定期报告的相关规定以及报告预约时间，于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w w:val="100"/>
        </w:rPr>
        <w:t> </w:t>
      </w:r>
      <w:r>
        <w:rPr>
          <w:rFonts w:ascii="宋体" w:hAnsi="宋体" w:cs="宋体" w:eastAsia="宋体" w:hint="default"/>
        </w:rPr>
        <w:t>26</w:t>
      </w:r>
      <w:r>
        <w:rPr/>
        <w:t>日完成了</w:t>
      </w:r>
      <w:r>
        <w:rPr>
          <w:rFonts w:ascii="宋体" w:hAnsi="宋体" w:cs="宋体" w:eastAsia="宋体" w:hint="default"/>
        </w:rPr>
        <w:t>2019</w:t>
      </w:r>
      <w:r>
        <w:rPr/>
        <w:t>年一季度报告的披露工作；</w:t>
      </w:r>
    </w:p>
    <w:p>
      <w:pPr>
        <w:pStyle w:val="BodyText"/>
        <w:spacing w:line="352" w:lineRule="auto" w:before="63"/>
        <w:ind w:right="1002" w:firstLine="422"/>
        <w:jc w:val="lef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年半年度报告：报告期内，公司按照定期报告的相关规定以及报告预约时间，于</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w w:val="100"/>
        </w:rPr>
        <w:t> </w:t>
      </w:r>
      <w:r>
        <w:rPr>
          <w:rFonts w:ascii="宋体" w:hAnsi="宋体" w:cs="宋体" w:eastAsia="宋体" w:hint="default"/>
        </w:rPr>
        <w:t>28</w:t>
      </w:r>
      <w:r>
        <w:rPr/>
        <w:t>日完成了</w:t>
      </w:r>
      <w:r>
        <w:rPr>
          <w:rFonts w:ascii="宋体" w:hAnsi="宋体" w:cs="宋体" w:eastAsia="宋体" w:hint="default"/>
        </w:rPr>
        <w:t>2019</w:t>
      </w:r>
      <w:r>
        <w:rPr/>
        <w:t>年半年度报告的披露工作；</w:t>
      </w:r>
    </w:p>
    <w:p>
      <w:pPr>
        <w:pStyle w:val="BodyText"/>
        <w:spacing w:line="352" w:lineRule="auto" w:before="63"/>
        <w:ind w:right="1002" w:firstLine="422"/>
        <w:jc w:val="left"/>
      </w:pPr>
      <w:r>
        <w:rPr/>
        <w:t>（</w:t>
      </w:r>
      <w:r>
        <w:rPr>
          <w:rFonts w:ascii="宋体" w:hAnsi="宋体" w:cs="宋体" w:eastAsia="宋体" w:hint="default"/>
        </w:rPr>
        <w:t>4</w:t>
      </w:r>
      <w:r>
        <w:rPr/>
        <w:t>）</w:t>
      </w:r>
      <w:r>
        <w:rPr>
          <w:rFonts w:ascii="宋体" w:hAnsi="宋体" w:cs="宋体" w:eastAsia="宋体" w:hint="default"/>
        </w:rPr>
        <w:t>2019</w:t>
      </w:r>
      <w:r>
        <w:rPr/>
        <w:t>年三季度报告：报告期内，公司按照定期报告的相关规定以及报告预约时间，于</w:t>
      </w:r>
      <w:r>
        <w:rPr>
          <w:rFonts w:ascii="宋体" w:hAnsi="宋体" w:cs="宋体" w:eastAsia="宋体" w:hint="default"/>
        </w:rPr>
        <w:t>2019</w:t>
      </w:r>
      <w:r>
        <w:rPr/>
        <w:t>年</w:t>
      </w:r>
      <w:r>
        <w:rPr>
          <w:rFonts w:ascii="宋体" w:hAnsi="宋体" w:cs="宋体" w:eastAsia="宋体" w:hint="default"/>
        </w:rPr>
        <w:t>10</w:t>
      </w:r>
      <w:r>
        <w:rPr>
          <w:rFonts w:ascii="宋体" w:hAnsi="宋体" w:cs="宋体" w:eastAsia="宋体" w:hint="default"/>
          <w:w w:val="100"/>
        </w:rPr>
        <w:t> </w:t>
      </w:r>
      <w:r>
        <w:rPr/>
        <w:t>月</w:t>
      </w:r>
      <w:r>
        <w:rPr>
          <w:rFonts w:ascii="宋体" w:hAnsi="宋体" w:cs="宋体" w:eastAsia="宋体" w:hint="default"/>
        </w:rPr>
        <w:t>29</w:t>
      </w:r>
      <w:r>
        <w:rPr/>
        <w:t>日完成</w:t>
      </w:r>
      <w:r>
        <w:rPr>
          <w:rFonts w:ascii="宋体" w:hAnsi="宋体" w:cs="宋体" w:eastAsia="宋体" w:hint="default"/>
        </w:rPr>
        <w:t>2019</w:t>
      </w:r>
      <w:r>
        <w:rPr/>
        <w:t>年三季度报告的披露工作。</w:t>
      </w:r>
    </w:p>
    <w:p>
      <w:pPr>
        <w:spacing w:line="386" w:lineRule="auto" w:before="64"/>
        <w:ind w:left="535" w:right="10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、完成董事会、监事会提前换届</w:t>
      </w:r>
      <w:r>
        <w:rPr>
          <w:rFonts w:ascii="宋体" w:hAnsi="宋体" w:cs="宋体" w:eastAsia="宋体" w:hint="default"/>
          <w:b/>
          <w:bCs/>
          <w:spacing w:val="-101"/>
          <w:sz w:val="21"/>
          <w:szCs w:val="21"/>
        </w:rPr>
        <w:t> </w:t>
      </w:r>
      <w:r>
        <w:rPr>
          <w:rFonts w:ascii="宋体" w:hAnsi="宋体" w:cs="宋体" w:eastAsia="宋体" w:hint="default"/>
          <w:spacing w:val="-2"/>
          <w:sz w:val="21"/>
          <w:szCs w:val="21"/>
        </w:rPr>
        <w:t>为适应公司生产经营及业务发展的实际需求，进一步完善公司治理，推进公司业务进一步发展，并根</w:t>
      </w:r>
    </w:p>
    <w:p>
      <w:pPr>
        <w:pStyle w:val="BodyText"/>
        <w:spacing w:line="350" w:lineRule="auto" w:before="0"/>
        <w:ind w:right="1123"/>
        <w:jc w:val="both"/>
      </w:pPr>
      <w:r>
        <w:rPr>
          <w:spacing w:val="-2"/>
        </w:rPr>
        <w:t>据《公司法》和《公司章程》等有关规定，公司于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8</w:t>
      </w:r>
      <w:r>
        <w:rPr>
          <w:spacing w:val="-2"/>
        </w:rPr>
        <w:t>日召开的第七届董事会第二十次会议、第七</w:t>
      </w:r>
      <w:r>
        <w:rPr>
          <w:spacing w:val="-30"/>
        </w:rPr>
        <w:t> </w:t>
      </w:r>
      <w:r>
        <w:rPr>
          <w:spacing w:val="-30"/>
        </w:rPr>
      </w:r>
      <w:r>
        <w:rPr/>
        <w:t>届监事会第十三次会议，</w:t>
      </w:r>
      <w:r>
        <w:rPr>
          <w:rFonts w:ascii="宋体" w:hAnsi="宋体" w:cs="宋体" w:eastAsia="宋体" w:hint="default"/>
        </w:rPr>
        <w:t>2019 </w:t>
      </w:r>
      <w:r>
        <w:rPr/>
        <w:t>年 </w:t>
      </w:r>
      <w:r>
        <w:rPr>
          <w:rFonts w:ascii="宋体" w:hAnsi="宋体" w:cs="宋体" w:eastAsia="宋体" w:hint="default"/>
        </w:rPr>
        <w:t>1 </w:t>
      </w:r>
      <w:r>
        <w:rPr/>
        <w:t>月</w:t>
      </w:r>
      <w:r>
        <w:rPr>
          <w:rFonts w:ascii="宋体" w:hAnsi="宋体" w:cs="宋体" w:eastAsia="宋体" w:hint="default"/>
        </w:rPr>
        <w:t>25 </w:t>
      </w:r>
      <w:r>
        <w:rPr/>
        <w:t>日召开</w:t>
      </w:r>
      <w:r>
        <w:rPr>
          <w:rFonts w:ascii="宋体" w:hAnsi="宋体" w:cs="宋体" w:eastAsia="宋体" w:hint="default"/>
        </w:rPr>
        <w:t>2019</w:t>
      </w:r>
      <w:r>
        <w:rPr>
          <w:rFonts w:ascii="宋体" w:hAnsi="宋体" w:cs="宋体" w:eastAsia="宋体" w:hint="default"/>
          <w:spacing w:val="-20"/>
        </w:rPr>
        <w:t> </w:t>
      </w:r>
      <w:r>
        <w:rPr/>
        <w:t>年第一次临时股东大会审议通过了《关于公司董事</w:t>
      </w:r>
      <w:r>
        <w:rPr>
          <w:w w:val="100"/>
        </w:rPr>
        <w:t> </w:t>
      </w:r>
      <w:r>
        <w:rPr>
          <w:spacing w:val="-11"/>
          <w:w w:val="100"/>
        </w:rPr>
        <w:t>会提前换届选举非独立董事的议案》、《关于公司董事会提前换届选举独立董事的议案》、《关于公司监事会</w:t>
      </w:r>
      <w:r>
        <w:rPr>
          <w:spacing w:val="-76"/>
          <w:w w:val="100"/>
        </w:rPr>
        <w:t> </w:t>
      </w:r>
      <w:r>
        <w:rPr>
          <w:spacing w:val="-76"/>
          <w:w w:val="100"/>
        </w:rPr>
      </w:r>
      <w:r>
        <w:rPr/>
        <w:t>提前换届选举股东代表监事的议案》等议案。</w:t>
      </w:r>
    </w:p>
    <w:p>
      <w:pPr>
        <w:spacing w:line="386" w:lineRule="auto" w:before="70"/>
        <w:ind w:left="535" w:right="100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、变更法定代表人并取得营业执照</w:t>
      </w:r>
      <w:r>
        <w:rPr>
          <w:rFonts w:ascii="宋体" w:hAnsi="宋体" w:cs="宋体" w:eastAsia="宋体" w:hint="default"/>
          <w:b/>
          <w:bCs/>
          <w:spacing w:val="-101"/>
          <w:sz w:val="21"/>
          <w:szCs w:val="21"/>
        </w:rPr>
        <w:t> </w:t>
      </w:r>
      <w:r>
        <w:rPr>
          <w:rFonts w:ascii="宋体" w:hAnsi="宋体" w:cs="宋体" w:eastAsia="宋体" w:hint="default"/>
          <w:spacing w:val="-4"/>
          <w:w w:val="100"/>
          <w:sz w:val="21"/>
          <w:szCs w:val="21"/>
        </w:rPr>
        <w:t>公司于</w:t>
      </w:r>
      <w:r>
        <w:rPr>
          <w:rFonts w:ascii="宋体" w:hAnsi="宋体" w:cs="宋体" w:eastAsia="宋体" w:hint="default"/>
          <w:spacing w:val="-4"/>
          <w:w w:val="100"/>
          <w:sz w:val="21"/>
          <w:szCs w:val="21"/>
        </w:rPr>
        <w:t>2019</w:t>
      </w:r>
      <w:r>
        <w:rPr>
          <w:rFonts w:ascii="宋体" w:hAnsi="宋体" w:cs="宋体" w:eastAsia="宋体" w:hint="default"/>
          <w:spacing w:val="-4"/>
          <w:w w:val="100"/>
          <w:sz w:val="21"/>
          <w:szCs w:val="21"/>
        </w:rPr>
        <w:t>年</w:t>
      </w:r>
      <w:r>
        <w:rPr>
          <w:rFonts w:ascii="宋体" w:hAnsi="宋体" w:cs="宋体" w:eastAsia="宋体" w:hint="default"/>
          <w:spacing w:val="-4"/>
          <w:w w:val="100"/>
          <w:sz w:val="21"/>
          <w:szCs w:val="21"/>
        </w:rPr>
        <w:t>1</w:t>
      </w:r>
      <w:r>
        <w:rPr>
          <w:rFonts w:ascii="宋体" w:hAnsi="宋体" w:cs="宋体" w:eastAsia="宋体" w:hint="default"/>
          <w:spacing w:val="-4"/>
          <w:w w:val="100"/>
          <w:sz w:val="21"/>
          <w:szCs w:val="21"/>
        </w:rPr>
        <w:t>月</w:t>
      </w:r>
      <w:r>
        <w:rPr>
          <w:rFonts w:ascii="宋体" w:hAnsi="宋体" w:cs="宋体" w:eastAsia="宋体" w:hint="default"/>
          <w:spacing w:val="-4"/>
          <w:w w:val="100"/>
          <w:sz w:val="21"/>
          <w:szCs w:val="21"/>
        </w:rPr>
        <w:t>25</w:t>
      </w:r>
      <w:r>
        <w:rPr>
          <w:rFonts w:ascii="宋体" w:hAnsi="宋体" w:cs="宋体" w:eastAsia="宋体" w:hint="default"/>
          <w:spacing w:val="-4"/>
          <w:w w:val="100"/>
          <w:sz w:val="21"/>
          <w:szCs w:val="21"/>
        </w:rPr>
        <w:t>日召开的第八届董事会第一次会议，审议通过了《关于选举公司董事长的议案》，</w:t>
      </w:r>
    </w:p>
    <w:p>
      <w:pPr>
        <w:pStyle w:val="BodyText"/>
        <w:spacing w:line="350" w:lineRule="auto" w:before="0"/>
        <w:ind w:right="1125"/>
        <w:jc w:val="both"/>
      </w:pPr>
      <w:r>
        <w:rPr>
          <w:spacing w:val="-2"/>
        </w:rPr>
        <w:t>同意选举瞿洪桂先生为公司第八届董事会董事长，任期三年，自第八届董事会第一次会议审议通过之日起</w:t>
      </w:r>
      <w:r>
        <w:rPr>
          <w:spacing w:val="-33"/>
        </w:rPr>
        <w:t> </w:t>
      </w:r>
      <w:r>
        <w:rPr>
          <w:spacing w:val="-33"/>
        </w:rPr>
      </w:r>
      <w:r>
        <w:rPr>
          <w:spacing w:val="-7"/>
          <w:w w:val="100"/>
        </w:rPr>
        <w:t>至本届董事会届满为止。公司严格按照《公司法》、《公司章程》及工商部门等规定要求，完成了法定代表</w:t>
      </w:r>
      <w:r>
        <w:rPr>
          <w:spacing w:val="-67"/>
          <w:w w:val="100"/>
        </w:rPr>
        <w:t> </w:t>
      </w:r>
      <w:r>
        <w:rPr>
          <w:spacing w:val="-67"/>
          <w:w w:val="100"/>
        </w:rPr>
      </w:r>
      <w:r>
        <w:rPr>
          <w:spacing w:val="-4"/>
          <w:w w:val="100"/>
        </w:rPr>
        <w:t>人工商登记及变更手续，并于</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2</w:t>
      </w:r>
      <w:r>
        <w:rPr>
          <w:spacing w:val="-4"/>
          <w:w w:val="100"/>
        </w:rPr>
        <w:t>月</w:t>
      </w:r>
      <w:r>
        <w:rPr>
          <w:rFonts w:ascii="宋体" w:hAnsi="宋体" w:cs="宋体" w:eastAsia="宋体" w:hint="default"/>
          <w:spacing w:val="-4"/>
          <w:w w:val="100"/>
        </w:rPr>
        <w:t>27</w:t>
      </w:r>
      <w:r>
        <w:rPr>
          <w:spacing w:val="-4"/>
          <w:w w:val="100"/>
        </w:rPr>
        <w:t>日取得了由芜湖市工商行政管理局颁发的《营业执照》（公告编</w:t>
      </w:r>
      <w:r>
        <w:rPr>
          <w:spacing w:val="-92"/>
          <w:w w:val="100"/>
        </w:rPr>
        <w:t> </w:t>
      </w:r>
      <w:r>
        <w:rPr>
          <w:spacing w:val="-92"/>
          <w:w w:val="100"/>
        </w:rPr>
      </w:r>
      <w:r>
        <w:rPr>
          <w:spacing w:val="-18"/>
          <w:w w:val="100"/>
        </w:rPr>
        <w:t>号：</w:t>
      </w:r>
      <w:r>
        <w:rPr>
          <w:rFonts w:ascii="宋体" w:hAnsi="宋体" w:cs="宋体" w:eastAsia="宋体" w:hint="default"/>
          <w:spacing w:val="-18"/>
          <w:w w:val="100"/>
        </w:rPr>
        <w:t>2019-021</w:t>
      </w:r>
      <w:r>
        <w:rPr>
          <w:spacing w:val="-18"/>
          <w:w w:val="100"/>
        </w:rPr>
        <w:t>）。</w:t>
      </w:r>
      <w:r>
        <w:rPr>
          <w:w w:val="100"/>
        </w:rPr>
      </w:r>
    </w:p>
    <w:p>
      <w:pPr>
        <w:spacing w:line="381" w:lineRule="auto" w:before="70"/>
        <w:ind w:left="535" w:right="100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、完成</w:t>
      </w:r>
      <w:r>
        <w:rPr>
          <w:rFonts w:ascii="宋体" w:hAnsi="宋体" w:cs="宋体" w:eastAsia="宋体" w:hint="default"/>
          <w:b/>
          <w:bCs/>
          <w:sz w:val="21"/>
          <w:szCs w:val="21"/>
        </w:rPr>
        <w:t>2018</w:t>
      </w:r>
      <w:r>
        <w:rPr>
          <w:rFonts w:ascii="宋体" w:hAnsi="宋体" w:cs="宋体" w:eastAsia="宋体" w:hint="default"/>
          <w:b/>
          <w:bCs/>
          <w:sz w:val="21"/>
          <w:szCs w:val="21"/>
        </w:rPr>
        <w:t>年度利润分配</w:t>
      </w:r>
      <w:r>
        <w:rPr>
          <w:rFonts w:ascii="宋体" w:hAnsi="宋体" w:cs="宋体" w:eastAsia="宋体" w:hint="default"/>
          <w:b/>
          <w:bCs/>
          <w:spacing w:val="-104"/>
          <w:sz w:val="21"/>
          <w:szCs w:val="21"/>
        </w:rPr>
        <w:t> </w:t>
      </w:r>
      <w:r>
        <w:rPr>
          <w:rFonts w:ascii="宋体" w:hAnsi="宋体" w:cs="宋体" w:eastAsia="宋体" w:hint="default"/>
          <w:sz w:val="21"/>
          <w:szCs w:val="21"/>
        </w:rPr>
        <w:t>公司</w:t>
      </w:r>
      <w:r>
        <w:rPr>
          <w:rFonts w:ascii="宋体" w:hAnsi="宋体" w:cs="宋体" w:eastAsia="宋体" w:hint="default"/>
          <w:sz w:val="21"/>
          <w:szCs w:val="21"/>
        </w:rPr>
        <w:t>2018</w:t>
      </w:r>
      <w:r>
        <w:rPr>
          <w:rFonts w:ascii="宋体" w:hAnsi="宋体" w:cs="宋体" w:eastAsia="宋体" w:hint="default"/>
          <w:sz w:val="21"/>
          <w:szCs w:val="21"/>
        </w:rPr>
        <w:t>年度权益分派方案已获</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5</w:t>
      </w:r>
      <w:r>
        <w:rPr>
          <w:rFonts w:ascii="宋体" w:hAnsi="宋体" w:cs="宋体" w:eastAsia="宋体" w:hint="default"/>
          <w:sz w:val="21"/>
          <w:szCs w:val="21"/>
        </w:rPr>
        <w:t>月</w:t>
      </w:r>
      <w:r>
        <w:rPr>
          <w:rFonts w:ascii="宋体" w:hAnsi="宋体" w:cs="宋体" w:eastAsia="宋体" w:hint="default"/>
          <w:sz w:val="21"/>
          <w:szCs w:val="21"/>
        </w:rPr>
        <w:t>22</w:t>
      </w:r>
      <w:r>
        <w:rPr>
          <w:rFonts w:ascii="宋体" w:hAnsi="宋体" w:cs="宋体" w:eastAsia="宋体" w:hint="default"/>
          <w:sz w:val="21"/>
          <w:szCs w:val="21"/>
        </w:rPr>
        <w:t>日召开的</w:t>
      </w:r>
      <w:r>
        <w:rPr>
          <w:rFonts w:ascii="宋体" w:hAnsi="宋体" w:cs="宋体" w:eastAsia="宋体" w:hint="default"/>
          <w:sz w:val="21"/>
          <w:szCs w:val="21"/>
        </w:rPr>
        <w:t>2018</w:t>
      </w:r>
      <w:r>
        <w:rPr>
          <w:rFonts w:ascii="宋体" w:hAnsi="宋体" w:cs="宋体" w:eastAsia="宋体" w:hint="default"/>
          <w:sz w:val="21"/>
          <w:szCs w:val="21"/>
        </w:rPr>
        <w:t>年年度股东大会审议通过。</w:t>
      </w:r>
      <w:r>
        <w:rPr>
          <w:rFonts w:ascii="宋体" w:hAnsi="宋体" w:cs="宋体" w:eastAsia="宋体" w:hint="default"/>
          <w:sz w:val="21"/>
          <w:szCs w:val="21"/>
        </w:rPr>
        <w:t>2018</w:t>
      </w:r>
      <w:r>
        <w:rPr>
          <w:rFonts w:ascii="宋体" w:hAnsi="宋体" w:cs="宋体" w:eastAsia="宋体" w:hint="default"/>
          <w:sz w:val="21"/>
          <w:szCs w:val="21"/>
        </w:rPr>
        <w:t>年年度权</w:t>
      </w:r>
    </w:p>
    <w:p>
      <w:pPr>
        <w:pStyle w:val="BodyText"/>
        <w:spacing w:line="348" w:lineRule="auto" w:before="4"/>
        <w:ind w:right="1002"/>
        <w:jc w:val="left"/>
      </w:pPr>
      <w:r>
        <w:rPr>
          <w:spacing w:val="-3"/>
        </w:rPr>
        <w:t>益分派方案为：以</w:t>
      </w:r>
      <w:r>
        <w:rPr>
          <w:rFonts w:ascii="宋体" w:hAnsi="宋体" w:cs="宋体" w:eastAsia="宋体" w:hint="default"/>
          <w:spacing w:val="-3"/>
        </w:rPr>
        <w:t>668,723,620</w:t>
      </w:r>
      <w:r>
        <w:rPr>
          <w:spacing w:val="-3"/>
        </w:rPr>
        <w:t>股（根据公司股本</w:t>
      </w:r>
      <w:r>
        <w:rPr>
          <w:rFonts w:ascii="宋体" w:hAnsi="宋体" w:cs="宋体" w:eastAsia="宋体" w:hint="default"/>
          <w:spacing w:val="-3"/>
        </w:rPr>
        <w:t>691,505,915</w:t>
      </w:r>
      <w:r>
        <w:rPr>
          <w:spacing w:val="-3"/>
        </w:rPr>
        <w:t>股扣除股份回购数量</w:t>
      </w:r>
      <w:r>
        <w:rPr>
          <w:rFonts w:ascii="宋体" w:hAnsi="宋体" w:cs="宋体" w:eastAsia="宋体" w:hint="default"/>
          <w:spacing w:val="-3"/>
        </w:rPr>
        <w:t>22,782,295</w:t>
      </w:r>
      <w:r>
        <w:rPr>
          <w:spacing w:val="-3"/>
        </w:rPr>
        <w:t>股）为基数，</w:t>
      </w:r>
      <w:r>
        <w:rPr>
          <w:spacing w:val="-46"/>
        </w:rPr>
        <w:t> </w:t>
      </w:r>
      <w:r>
        <w:rPr>
          <w:spacing w:val="-46"/>
        </w:rPr>
      </w:r>
      <w:r>
        <w:rPr>
          <w:spacing w:val="2"/>
          <w:w w:val="100"/>
        </w:rPr>
        <w:t>向全体股东每</w:t>
      </w:r>
      <w:r>
        <w:rPr>
          <w:rFonts w:ascii="宋体" w:hAnsi="宋体" w:cs="宋体" w:eastAsia="宋体" w:hint="default"/>
          <w:spacing w:val="2"/>
          <w:w w:val="100"/>
        </w:rPr>
        <w:t>10</w:t>
      </w:r>
      <w:r>
        <w:rPr>
          <w:spacing w:val="2"/>
          <w:w w:val="100"/>
        </w:rPr>
        <w:t>股派</w:t>
      </w:r>
      <w:r>
        <w:rPr>
          <w:rFonts w:ascii="宋体" w:hAnsi="宋体" w:cs="宋体" w:eastAsia="宋体" w:hint="default"/>
          <w:spacing w:val="2"/>
          <w:w w:val="100"/>
        </w:rPr>
        <w:t>0.53</w:t>
      </w:r>
      <w:r>
        <w:rPr>
          <w:spacing w:val="2"/>
          <w:w w:val="100"/>
        </w:rPr>
        <w:t>元人民币现金（含税），不送红股，不以公积金转增股本，合计派发现金股利</w:t>
      </w:r>
      <w:r>
        <w:rPr>
          <w:spacing w:val="-104"/>
          <w:w w:val="100"/>
        </w:rPr>
        <w:t> </w:t>
      </w:r>
      <w:r>
        <w:rPr>
          <w:spacing w:val="-104"/>
          <w:w w:val="100"/>
        </w:rPr>
      </w:r>
      <w:r>
        <w:rPr>
          <w:rFonts w:ascii="宋体" w:hAnsi="宋体" w:cs="宋体" w:eastAsia="宋体" w:hint="default"/>
        </w:rPr>
        <w:t>35,442,351.86</w:t>
      </w:r>
      <w:r>
        <w:rPr/>
        <w:t>元。剩余未分配利润留待以后年度分配。报告期内，公司按照利润分配的程序，分别向交</w:t>
      </w:r>
      <w:r>
        <w:rPr>
          <w:spacing w:val="-32"/>
        </w:rPr>
        <w:t> </w:t>
      </w:r>
      <w:r>
        <w:rPr>
          <w:spacing w:val="-32"/>
        </w:rPr>
      </w:r>
      <w:r>
        <w:rPr>
          <w:w w:val="100"/>
        </w:rPr>
        <w:t>易所和登记公司申请办理了利润分配事宜，并于</w:t>
      </w:r>
      <w:r>
        <w:rPr>
          <w:rFonts w:ascii="宋体" w:hAnsi="宋体" w:cs="宋体" w:eastAsia="宋体" w:hint="default"/>
          <w:w w:val="100"/>
        </w:rPr>
        <w:t>2019</w:t>
      </w:r>
      <w:r>
        <w:rPr>
          <w:w w:val="100"/>
        </w:rPr>
        <w:t>年</w:t>
      </w:r>
      <w:r>
        <w:rPr>
          <w:rFonts w:ascii="宋体" w:hAnsi="宋体" w:cs="宋体" w:eastAsia="宋体" w:hint="default"/>
          <w:w w:val="100"/>
        </w:rPr>
        <w:t>6</w:t>
      </w:r>
      <w:r>
        <w:rPr>
          <w:w w:val="100"/>
        </w:rPr>
        <w:t>月</w:t>
      </w:r>
      <w:r>
        <w:rPr>
          <w:rFonts w:ascii="宋体" w:hAnsi="宋体" w:cs="宋体" w:eastAsia="宋体" w:hint="default"/>
          <w:w w:val="100"/>
        </w:rPr>
        <w:t>24</w:t>
      </w:r>
      <w:r>
        <w:rPr>
          <w:w w:val="100"/>
        </w:rPr>
        <w:t>日披露《</w:t>
      </w:r>
      <w:r>
        <w:rPr>
          <w:rFonts w:ascii="宋体" w:hAnsi="宋体" w:cs="宋体" w:eastAsia="宋体" w:hint="default"/>
          <w:w w:val="100"/>
        </w:rPr>
        <w:t>2018</w:t>
      </w:r>
      <w:r>
        <w:rPr>
          <w:w w:val="100"/>
        </w:rPr>
        <w:t>年度权益分派实施公告》，于</w:t>
      </w:r>
      <w:r>
        <w:rPr>
          <w:spacing w:val="-95"/>
          <w:w w:val="100"/>
        </w:rPr>
        <w:t> </w:t>
      </w:r>
      <w:r>
        <w:rPr>
          <w:spacing w:val="-95"/>
          <w:w w:val="100"/>
        </w:rPr>
      </w:r>
      <w:r>
        <w:rPr>
          <w:rFonts w:ascii="宋体" w:hAnsi="宋体" w:cs="宋体" w:eastAsia="宋体" w:hint="default"/>
        </w:rPr>
        <w:t>2019</w:t>
      </w:r>
      <w:r>
        <w:rPr>
          <w:rFonts w:ascii="宋体" w:hAnsi="宋体" w:cs="宋体" w:eastAsia="宋体" w:hint="default"/>
          <w:spacing w:val="2"/>
        </w:rPr>
        <w:t> </w:t>
      </w:r>
      <w:r>
        <w:rPr/>
        <w:t>年</w:t>
      </w:r>
      <w:r>
        <w:rPr>
          <w:rFonts w:ascii="宋体" w:hAnsi="宋体" w:cs="宋体" w:eastAsia="宋体" w:hint="default"/>
        </w:rPr>
        <w:t>6</w:t>
      </w:r>
      <w:r>
        <w:rPr/>
        <w:t>月</w:t>
      </w:r>
      <w:r>
        <w:rPr>
          <w:rFonts w:ascii="宋体" w:hAnsi="宋体" w:cs="宋体" w:eastAsia="宋体" w:hint="default"/>
        </w:rPr>
        <w:t>28</w:t>
      </w:r>
      <w:r>
        <w:rPr/>
        <w:t>日完成了分配事宜。</w:t>
      </w:r>
    </w:p>
    <w:p>
      <w:pPr>
        <w:pStyle w:val="BodyText"/>
        <w:spacing w:line="381" w:lineRule="auto" w:before="72"/>
        <w:ind w:left="535" w:right="1002"/>
        <w:jc w:val="left"/>
      </w:pPr>
      <w:r>
        <w:rPr>
          <w:rFonts w:ascii="宋体" w:hAnsi="宋体" w:cs="宋体" w:eastAsia="宋体" w:hint="default"/>
          <w:b/>
          <w:bCs/>
        </w:rPr>
        <w:t>5</w:t>
      </w:r>
      <w:r>
        <w:rPr>
          <w:rFonts w:ascii="宋体" w:hAnsi="宋体" w:cs="宋体" w:eastAsia="宋体" w:hint="default"/>
          <w:b/>
          <w:bCs/>
        </w:rPr>
        <w:t>、完成注册资本变更</w:t>
      </w:r>
      <w:r>
        <w:rPr>
          <w:rFonts w:ascii="宋体" w:hAnsi="宋体" w:cs="宋体" w:eastAsia="宋体" w:hint="default"/>
          <w:b/>
          <w:bCs/>
          <w:spacing w:val="-103"/>
        </w:rPr>
        <w:t> </w:t>
      </w:r>
      <w:r>
        <w:rPr/>
        <w:t>公司</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5</w:t>
      </w:r>
      <w:r>
        <w:rPr/>
        <w:t>日召开的第七届董事会第十三次会议、</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23</w:t>
      </w:r>
      <w:r>
        <w:rPr/>
        <w:t>日召开的</w:t>
      </w:r>
      <w:r>
        <w:rPr>
          <w:rFonts w:ascii="宋体" w:hAnsi="宋体" w:cs="宋体" w:eastAsia="宋体" w:hint="default"/>
        </w:rPr>
        <w:t>2018</w:t>
      </w:r>
      <w:r>
        <w:rPr/>
        <w:t>年第一次临时股东</w:t>
      </w:r>
    </w:p>
    <w:p>
      <w:pPr>
        <w:pStyle w:val="BodyText"/>
        <w:spacing w:line="348" w:lineRule="auto" w:before="5"/>
        <w:ind w:right="1127"/>
        <w:jc w:val="both"/>
      </w:pPr>
      <w:r>
        <w:rPr>
          <w:spacing w:val="-10"/>
          <w:w w:val="100"/>
        </w:rPr>
        <w:t>大会审议通过《关于以集中竞价交易方式回购股份的议案》，拟以不低于人民币</w:t>
      </w:r>
      <w:r>
        <w:rPr>
          <w:rFonts w:ascii="宋体" w:hAnsi="宋体" w:cs="宋体" w:eastAsia="宋体" w:hint="default"/>
          <w:spacing w:val="-10"/>
          <w:w w:val="100"/>
        </w:rPr>
        <w:t>9,000</w:t>
      </w:r>
      <w:r>
        <w:rPr>
          <w:spacing w:val="-10"/>
          <w:w w:val="100"/>
        </w:rPr>
        <w:t>万元（含</w:t>
      </w:r>
      <w:r>
        <w:rPr>
          <w:rFonts w:ascii="宋体" w:hAnsi="宋体" w:cs="宋体" w:eastAsia="宋体" w:hint="default"/>
          <w:spacing w:val="-10"/>
          <w:w w:val="100"/>
        </w:rPr>
        <w:t>9,000</w:t>
      </w:r>
      <w:r>
        <w:rPr>
          <w:spacing w:val="-10"/>
          <w:w w:val="100"/>
        </w:rPr>
        <w:t>万元）、</w:t>
      </w:r>
      <w:r>
        <w:rPr>
          <w:spacing w:val="-78"/>
          <w:w w:val="100"/>
        </w:rPr>
        <w:t> </w:t>
      </w:r>
      <w:r>
        <w:rPr>
          <w:spacing w:val="-78"/>
          <w:w w:val="100"/>
        </w:rPr>
      </w:r>
      <w:r>
        <w:rPr/>
        <w:t>不超过人民币</w:t>
      </w:r>
      <w:r>
        <w:rPr>
          <w:rFonts w:ascii="宋体" w:hAnsi="宋体" w:cs="宋体" w:eastAsia="宋体" w:hint="default"/>
        </w:rPr>
        <w:t>1</w:t>
      </w:r>
      <w:r>
        <w:rPr/>
        <w:t>亿元（含</w:t>
      </w:r>
      <w:r>
        <w:rPr>
          <w:rFonts w:ascii="宋体" w:hAnsi="宋体" w:cs="宋体" w:eastAsia="宋体" w:hint="default"/>
        </w:rPr>
        <w:t>1</w:t>
      </w:r>
      <w:r>
        <w:rPr/>
        <w:t>亿元）的金额进行回购。</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9</w:t>
      </w:r>
      <w:r>
        <w:rPr/>
        <w:t>日，公司已在中国证券登记结算有限责任</w:t>
      </w:r>
    </w:p>
    <w:p>
      <w:pPr>
        <w:spacing w:after="0" w:line="348"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right="1002"/>
        <w:jc w:val="left"/>
      </w:pPr>
      <w:r>
        <w:rPr>
          <w:spacing w:val="3"/>
        </w:rPr>
        <w:t>公司深圳分公司办理完毕上述</w:t>
      </w:r>
      <w:r>
        <w:rPr>
          <w:rFonts w:ascii="宋体" w:hAnsi="宋体" w:cs="宋体" w:eastAsia="宋体" w:hint="default"/>
          <w:spacing w:val="3"/>
        </w:rPr>
        <w:t>12,454,745</w:t>
      </w:r>
      <w:r>
        <w:rPr>
          <w:spacing w:val="3"/>
        </w:rPr>
        <w:t>股回购股份注销手续，公司注册资本由</w:t>
      </w:r>
      <w:r>
        <w:rPr>
          <w:rFonts w:ascii="宋体" w:hAnsi="宋体" w:cs="宋体" w:eastAsia="宋体" w:hint="default"/>
          <w:spacing w:val="3"/>
        </w:rPr>
        <w:t>703,960,660</w:t>
      </w:r>
      <w:r>
        <w:rPr>
          <w:spacing w:val="3"/>
        </w:rPr>
        <w:t>元减少至</w:t>
      </w:r>
      <w:r>
        <w:rPr>
          <w:spacing w:val="13"/>
        </w:rPr>
        <w:t> </w:t>
      </w:r>
      <w:r>
        <w:rPr>
          <w:spacing w:val="13"/>
        </w:rPr>
      </w:r>
      <w:r>
        <w:rPr>
          <w:rFonts w:ascii="宋体" w:hAnsi="宋体" w:cs="宋体" w:eastAsia="宋体" w:hint="default"/>
        </w:rPr>
        <w:t>691,505,915</w:t>
      </w:r>
      <w:r>
        <w:rPr/>
        <w:t>元。</w:t>
      </w:r>
    </w:p>
    <w:p>
      <w:pPr>
        <w:pStyle w:val="BodyText"/>
        <w:spacing w:line="350" w:lineRule="auto" w:before="73"/>
        <w:ind w:right="1132" w:firstLine="422"/>
        <w:jc w:val="both"/>
      </w:pPr>
      <w:r>
        <w:rPr/>
        <w:t>公司于</w:t>
      </w:r>
      <w:r>
        <w:rPr>
          <w:rFonts w:ascii="宋体" w:hAnsi="宋体" w:cs="宋体" w:eastAsia="宋体" w:hint="default"/>
        </w:rPr>
        <w:t>2018</w:t>
      </w:r>
      <w:r>
        <w:rPr/>
        <w:t>年</w:t>
      </w:r>
      <w:r>
        <w:rPr>
          <w:rFonts w:ascii="宋体" w:hAnsi="宋体" w:cs="宋体" w:eastAsia="宋体" w:hint="default"/>
        </w:rPr>
        <w:t>10</w:t>
      </w:r>
      <w:r>
        <w:rPr/>
        <w:t>月</w:t>
      </w:r>
      <w:r>
        <w:rPr>
          <w:rFonts w:ascii="宋体" w:hAnsi="宋体" w:cs="宋体" w:eastAsia="宋体" w:hint="default"/>
        </w:rPr>
        <w:t>18</w:t>
      </w:r>
      <w:r>
        <w:rPr/>
        <w:t>日召开第七届董事会第十八次会议和</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6</w:t>
      </w:r>
      <w:r>
        <w:rPr/>
        <w:t>日召开</w:t>
      </w:r>
      <w:r>
        <w:rPr>
          <w:rFonts w:ascii="宋体" w:hAnsi="宋体" w:cs="宋体" w:eastAsia="宋体" w:hint="default"/>
        </w:rPr>
        <w:t>2018</w:t>
      </w:r>
      <w:r>
        <w:rPr/>
        <w:t>年第四次临时股东</w:t>
      </w:r>
      <w:r>
        <w:rPr>
          <w:w w:val="100"/>
        </w:rPr>
        <w:t> </w:t>
      </w:r>
      <w:r>
        <w:rPr>
          <w:spacing w:val="-2"/>
          <w:w w:val="100"/>
        </w:rPr>
        <w:t>大会分别审议通过了《关于变更公司注册资本及修订〈公司章程〉相应条款的议案》，同时披露了《关于</w:t>
      </w:r>
      <w:r>
        <w:rPr>
          <w:spacing w:val="-99"/>
          <w:w w:val="100"/>
        </w:rPr>
        <w:t> </w:t>
      </w:r>
      <w:r>
        <w:rPr>
          <w:spacing w:val="-99"/>
          <w:w w:val="100"/>
        </w:rPr>
      </w:r>
      <w:r>
        <w:rPr>
          <w:spacing w:val="-9"/>
          <w:w w:val="100"/>
        </w:rPr>
        <w:t>变更公司注册资本及修订〈公司章程〉相应条款的公告》（公告编号：</w:t>
      </w:r>
      <w:r>
        <w:rPr>
          <w:rFonts w:ascii="宋体" w:hAnsi="宋体" w:cs="宋体" w:eastAsia="宋体" w:hint="default"/>
          <w:spacing w:val="-9"/>
          <w:w w:val="100"/>
        </w:rPr>
        <w:t>2018-080</w:t>
      </w:r>
      <w:r>
        <w:rPr>
          <w:spacing w:val="-9"/>
          <w:w w:val="100"/>
        </w:rPr>
        <w:t>）。</w:t>
      </w:r>
      <w:r>
        <w:rPr>
          <w:w w:val="100"/>
        </w:rPr>
      </w:r>
    </w:p>
    <w:p>
      <w:pPr>
        <w:pStyle w:val="BodyText"/>
        <w:spacing w:line="386" w:lineRule="auto" w:before="65"/>
        <w:ind w:left="535" w:right="1824"/>
        <w:jc w:val="left"/>
        <w:rPr>
          <w:rFonts w:ascii="宋体" w:hAnsi="宋体" w:cs="宋体" w:eastAsia="宋体" w:hint="default"/>
        </w:rPr>
      </w:pPr>
      <w:r>
        <w:rPr/>
        <w:t>报告期内，公司完成了工商注册资本变更相关手续并取得营业执照（公告编号：</w:t>
      </w:r>
      <w:r>
        <w:rPr>
          <w:rFonts w:ascii="宋体" w:hAnsi="宋体" w:cs="宋体" w:eastAsia="宋体" w:hint="default"/>
        </w:rPr>
        <w:t>2019-016</w:t>
      </w:r>
      <w:r>
        <w:rPr>
          <w:rFonts w:ascii="宋体" w:hAnsi="宋体" w:cs="宋体" w:eastAsia="宋体" w:hint="default"/>
          <w:spacing w:val="2"/>
        </w:rPr>
        <w:t> </w:t>
      </w:r>
      <w:r>
        <w:rPr>
          <w:spacing w:val="-106"/>
        </w:rPr>
        <w:t>）。</w:t>
      </w:r>
      <w:r>
        <w:rPr>
          <w:spacing w:val="-106"/>
          <w:w w:val="100"/>
        </w:rPr>
        <w:t> </w:t>
      </w:r>
      <w:r>
        <w:rPr>
          <w:rFonts w:ascii="宋体" w:hAnsi="宋体" w:cs="宋体" w:eastAsia="宋体" w:hint="default"/>
          <w:b/>
          <w:bCs/>
        </w:rPr>
        <w:t>6</w:t>
      </w:r>
      <w:r>
        <w:rPr>
          <w:rFonts w:ascii="宋体" w:hAnsi="宋体" w:cs="宋体" w:eastAsia="宋体" w:hint="default"/>
          <w:b/>
          <w:bCs/>
        </w:rPr>
        <w:t>、确定回购股份用途</w:t>
      </w:r>
      <w:r>
        <w:rPr>
          <w:rFonts w:ascii="宋体" w:hAnsi="宋体" w:cs="宋体" w:eastAsia="宋体" w:hint="default"/>
        </w:rPr>
      </w:r>
    </w:p>
    <w:p>
      <w:pPr>
        <w:pStyle w:val="BodyText"/>
        <w:spacing w:line="348" w:lineRule="auto" w:before="38"/>
        <w:ind w:right="1018" w:firstLine="316"/>
        <w:jc w:val="left"/>
      </w:pPr>
      <w:r>
        <w:rPr/>
        <w:t>（</w:t>
      </w:r>
      <w:r>
        <w:rPr>
          <w:rFonts w:ascii="宋体" w:hAnsi="宋体" w:cs="宋体" w:eastAsia="宋体" w:hint="default"/>
        </w:rPr>
        <w:t>1</w:t>
      </w:r>
      <w:r>
        <w:rPr/>
        <w:t>）为了稳定投资者的投资预期，维护广大投资者利益，增强投资者对公司的投资信心，维护公司股</w:t>
      </w:r>
      <w:r>
        <w:rPr>
          <w:w w:val="100"/>
        </w:rPr>
        <w:t> </w:t>
      </w:r>
      <w:r>
        <w:rPr/>
        <w:t>价，切实提高公司股东的投资回报。截至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5</w:t>
      </w:r>
      <w:r>
        <w:rPr/>
        <w:t>日，公司累计通过股票回购专用证券账户以集中竞</w:t>
      </w:r>
      <w:r>
        <w:rPr>
          <w:spacing w:val="-30"/>
        </w:rPr>
        <w:t> </w:t>
      </w:r>
      <w:r>
        <w:rPr>
          <w:spacing w:val="-30"/>
        </w:rPr>
      </w:r>
      <w:r>
        <w:rPr/>
        <w:t>价交易方式回购股份数量</w:t>
      </w:r>
      <w:r>
        <w:rPr>
          <w:rFonts w:ascii="宋体" w:hAnsi="宋体" w:cs="宋体" w:eastAsia="宋体" w:hint="default"/>
        </w:rPr>
        <w:t>22,782,295</w:t>
      </w:r>
      <w:r>
        <w:rPr>
          <w:rFonts w:ascii="宋体" w:hAnsi="宋体" w:cs="宋体" w:eastAsia="宋体" w:hint="default"/>
          <w:spacing w:val="12"/>
        </w:rPr>
        <w:t> </w:t>
      </w:r>
      <w:r>
        <w:rPr/>
        <w:t>股，占公司总股本的</w:t>
      </w:r>
      <w:r>
        <w:rPr>
          <w:spacing w:val="12"/>
        </w:rPr>
        <w:t> </w:t>
      </w:r>
      <w:r>
        <w:rPr>
          <w:rFonts w:ascii="宋体" w:hAnsi="宋体" w:cs="宋体" w:eastAsia="宋体" w:hint="default"/>
        </w:rPr>
        <w:t>3.29%</w:t>
      </w:r>
      <w:r>
        <w:rPr/>
        <w:t>，最高成交价为</w:t>
      </w:r>
      <w:r>
        <w:rPr>
          <w:spacing w:val="12"/>
        </w:rPr>
        <w:t> </w:t>
      </w:r>
      <w:r>
        <w:rPr>
          <w:rFonts w:ascii="宋体" w:hAnsi="宋体" w:cs="宋体" w:eastAsia="宋体" w:hint="default"/>
        </w:rPr>
        <w:t>7.00</w:t>
      </w:r>
      <w:r>
        <w:rPr>
          <w:rFonts w:ascii="宋体" w:hAnsi="宋体" w:cs="宋体" w:eastAsia="宋体" w:hint="default"/>
          <w:spacing w:val="11"/>
        </w:rPr>
        <w:t> </w:t>
      </w:r>
      <w:r>
        <w:rPr/>
        <w:t>元</w:t>
      </w:r>
      <w:r>
        <w:rPr>
          <w:rFonts w:ascii="宋体" w:hAnsi="宋体" w:cs="宋体" w:eastAsia="宋体" w:hint="default"/>
        </w:rPr>
        <w:t>/</w:t>
      </w:r>
      <w:r>
        <w:rPr/>
        <w:t>股，</w:t>
      </w:r>
      <w:r>
        <w:rPr>
          <w:spacing w:val="11"/>
        </w:rPr>
        <w:t> </w:t>
      </w:r>
      <w:r>
        <w:rPr/>
        <w:t>最低成</w:t>
      </w:r>
      <w:r>
        <w:rPr>
          <w:spacing w:val="-91"/>
        </w:rPr>
        <w:t> </w:t>
      </w:r>
      <w:r>
        <w:rPr>
          <w:spacing w:val="-91"/>
        </w:rPr>
      </w:r>
      <w:r>
        <w:rPr>
          <w:w w:val="100"/>
        </w:rPr>
        <w:t>交价为 </w:t>
      </w:r>
      <w:r>
        <w:rPr>
          <w:rFonts w:ascii="宋体" w:hAnsi="宋体" w:cs="宋体" w:eastAsia="宋体" w:hint="default"/>
          <w:w w:val="100"/>
        </w:rPr>
        <w:t>6.19 </w:t>
      </w:r>
      <w:r>
        <w:rPr>
          <w:spacing w:val="-2"/>
          <w:w w:val="100"/>
        </w:rPr>
        <w:t>元</w:t>
      </w:r>
      <w:r>
        <w:rPr>
          <w:rFonts w:ascii="宋体" w:hAnsi="宋体" w:cs="宋体" w:eastAsia="宋体" w:hint="default"/>
          <w:spacing w:val="-2"/>
          <w:w w:val="100"/>
        </w:rPr>
        <w:t>/</w:t>
      </w:r>
      <w:r>
        <w:rPr>
          <w:spacing w:val="-2"/>
          <w:w w:val="100"/>
        </w:rPr>
        <w:t>股，回购总金额为</w:t>
      </w:r>
      <w:r>
        <w:rPr>
          <w:spacing w:val="27"/>
          <w:w w:val="100"/>
        </w:rPr>
        <w:t> </w:t>
      </w:r>
      <w:r>
        <w:rPr>
          <w:rFonts w:ascii="宋体" w:hAnsi="宋体" w:cs="宋体" w:eastAsia="宋体" w:hint="default"/>
          <w:spacing w:val="-5"/>
          <w:w w:val="100"/>
        </w:rPr>
        <w:t>150,033,637.57</w:t>
      </w:r>
      <w:r>
        <w:rPr>
          <w:spacing w:val="-5"/>
          <w:w w:val="100"/>
        </w:rPr>
        <w:t>元（不含交易费用），本次回购股份事项已实施完毕，</w:t>
      </w:r>
      <w:r>
        <w:rPr>
          <w:w w:val="100"/>
        </w:rPr>
        <w:t> </w:t>
      </w:r>
      <w:r>
        <w:rPr>
          <w:spacing w:val="-8"/>
          <w:w w:val="100"/>
        </w:rPr>
        <w:t>并于</w:t>
      </w:r>
      <w:r>
        <w:rPr>
          <w:rFonts w:ascii="宋体" w:hAnsi="宋体" w:cs="宋体" w:eastAsia="宋体" w:hint="default"/>
          <w:spacing w:val="-8"/>
          <w:w w:val="100"/>
        </w:rPr>
        <w:t>2018</w:t>
      </w:r>
      <w:r>
        <w:rPr>
          <w:spacing w:val="-8"/>
          <w:w w:val="100"/>
        </w:rPr>
        <w:t>年</w:t>
      </w:r>
      <w:r>
        <w:rPr>
          <w:rFonts w:ascii="宋体" w:hAnsi="宋体" w:cs="宋体" w:eastAsia="宋体" w:hint="default"/>
          <w:spacing w:val="-8"/>
          <w:w w:val="100"/>
        </w:rPr>
        <w:t>12</w:t>
      </w:r>
      <w:r>
        <w:rPr>
          <w:spacing w:val="-8"/>
          <w:w w:val="100"/>
        </w:rPr>
        <w:t>月</w:t>
      </w:r>
      <w:r>
        <w:rPr>
          <w:rFonts w:ascii="宋体" w:hAnsi="宋体" w:cs="宋体" w:eastAsia="宋体" w:hint="default"/>
          <w:spacing w:val="-8"/>
          <w:w w:val="100"/>
        </w:rPr>
        <w:t>7</w:t>
      </w:r>
      <w:r>
        <w:rPr>
          <w:spacing w:val="-8"/>
          <w:w w:val="100"/>
        </w:rPr>
        <w:t>日披露了《关于公司回购股份实施完成的公告》（公告编号：</w:t>
      </w:r>
      <w:r>
        <w:rPr>
          <w:rFonts w:ascii="宋体" w:hAnsi="宋体" w:cs="宋体" w:eastAsia="宋体" w:hint="default"/>
          <w:spacing w:val="-8"/>
          <w:w w:val="100"/>
        </w:rPr>
        <w:t>2018-100</w:t>
      </w:r>
      <w:r>
        <w:rPr>
          <w:spacing w:val="-8"/>
          <w:w w:val="100"/>
        </w:rPr>
        <w:t>）。</w:t>
      </w:r>
      <w:r>
        <w:rPr>
          <w:w w:val="100"/>
        </w:rPr>
      </w:r>
    </w:p>
    <w:p>
      <w:pPr>
        <w:pStyle w:val="BodyText"/>
        <w:spacing w:line="350" w:lineRule="auto" w:before="72"/>
        <w:ind w:right="1125" w:firstLine="316"/>
        <w:jc w:val="both"/>
      </w:pPr>
      <w:r>
        <w:rPr/>
        <w:t>（</w:t>
      </w:r>
      <w:r>
        <w:rPr>
          <w:rFonts w:ascii="宋体" w:hAnsi="宋体" w:cs="宋体" w:eastAsia="宋体" w:hint="default"/>
        </w:rPr>
        <w:t>2</w:t>
      </w:r>
      <w:r>
        <w:rPr/>
        <w:t>）根据</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11</w:t>
      </w:r>
      <w:r>
        <w:rPr/>
        <w:t>日深圳证券交易所《关于发布</w:t>
      </w:r>
      <w:r>
        <w:rPr>
          <w:rFonts w:ascii="宋体" w:hAnsi="宋体" w:cs="宋体" w:eastAsia="宋体" w:hint="default"/>
        </w:rPr>
        <w:t>&lt;</w:t>
      </w:r>
      <w:r>
        <w:rPr/>
        <w:t>深圳证券交易所上市公司回购股份实施细则</w:t>
      </w:r>
      <w:r>
        <w:rPr>
          <w:rFonts w:ascii="宋体" w:hAnsi="宋体" w:cs="宋体" w:eastAsia="宋体" w:hint="default"/>
        </w:rPr>
        <w:t>&gt;</w:t>
      </w:r>
      <w:r>
        <w:rPr/>
        <w:t>的</w:t>
      </w:r>
      <w:r>
        <w:rPr>
          <w:w w:val="100"/>
        </w:rPr>
        <w:t> </w:t>
      </w:r>
      <w:r>
        <w:rPr>
          <w:spacing w:val="-7"/>
          <w:w w:val="100"/>
        </w:rPr>
        <w:t>通知》的相关规定：“《回购细则》施行前，上市公司披露的回购股份方案包含多种用途但未明确各用途具</w:t>
      </w:r>
      <w:r>
        <w:rPr>
          <w:spacing w:val="-63"/>
          <w:w w:val="100"/>
        </w:rPr>
        <w:t> </w:t>
      </w:r>
      <w:r>
        <w:rPr>
          <w:spacing w:val="-63"/>
          <w:w w:val="100"/>
        </w:rPr>
      </w:r>
      <w:r>
        <w:rPr/>
        <w:t>体情况的，应当在《回购细则》发布之日起</w:t>
      </w:r>
      <w:r>
        <w:rPr>
          <w:rFonts w:ascii="宋体" w:hAnsi="宋体" w:cs="宋体" w:eastAsia="宋体" w:hint="default"/>
        </w:rPr>
        <w:t>3</w:t>
      </w:r>
      <w:r>
        <w:rPr/>
        <w:t>个月内，按照《回购细则》的规定，明确各种用途以及具体</w:t>
      </w:r>
      <w:r>
        <w:rPr>
          <w:spacing w:val="-29"/>
        </w:rPr>
        <w:t> </w:t>
      </w:r>
      <w:r>
        <w:rPr>
          <w:spacing w:val="-29"/>
        </w:rPr>
      </w:r>
      <w:r>
        <w:rPr>
          <w:spacing w:val="-4"/>
          <w:w w:val="100"/>
        </w:rPr>
        <w:t>拟回购股份数量或者资金总额的上下限，且上限不得超出下限的一倍，履行相关审议程序后及时披露”。</w:t>
      </w:r>
    </w:p>
    <w:p>
      <w:pPr>
        <w:pStyle w:val="BodyText"/>
        <w:spacing w:line="350" w:lineRule="auto" w:before="65"/>
        <w:ind w:right="1124" w:firstLine="422"/>
        <w:jc w:val="both"/>
      </w:pPr>
      <w:r>
        <w:rPr>
          <w:spacing w:val="-2"/>
        </w:rPr>
        <w:t>为了进一步实现公司做稳、做强、做大，充分发挥公司回购股份用途的积极促进作用，建立和完善员</w:t>
      </w:r>
      <w:r>
        <w:rPr>
          <w:w w:val="100"/>
        </w:rPr>
        <w:t> </w:t>
      </w:r>
      <w:r>
        <w:rPr>
          <w:spacing w:val="-2"/>
        </w:rPr>
        <w:t>工、股东的利益共享机制。根据公司发展战略，将使用已回购的股份用于实施员工持股计划，提高职工的</w:t>
      </w:r>
      <w:r>
        <w:rPr>
          <w:spacing w:val="-33"/>
        </w:rPr>
        <w:t> </w:t>
      </w:r>
      <w:r>
        <w:rPr>
          <w:spacing w:val="-33"/>
        </w:rPr>
      </w:r>
      <w:r>
        <w:rPr>
          <w:spacing w:val="-2"/>
        </w:rPr>
        <w:t>凝聚力和公司竞争力，调动员工的积极性和创造性，激励个人与公司共同分享企业发展的成果，促进公司</w:t>
      </w:r>
      <w:r>
        <w:rPr>
          <w:spacing w:val="-33"/>
        </w:rPr>
        <w:t> </w:t>
      </w:r>
      <w:r>
        <w:rPr>
          <w:spacing w:val="-33"/>
        </w:rPr>
      </w:r>
      <w:r>
        <w:rPr>
          <w:spacing w:val="-2"/>
        </w:rPr>
        <w:t>长期、稳定、健康的发展。公司于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8</w:t>
      </w:r>
      <w:r>
        <w:rPr>
          <w:spacing w:val="-2"/>
        </w:rPr>
        <w:t>日召开第八届董事会第二次会议审议通过了《关于确定回购</w:t>
      </w:r>
      <w:r>
        <w:rPr>
          <w:spacing w:val="-26"/>
        </w:rPr>
        <w:t> </w:t>
      </w:r>
      <w:r>
        <w:rPr>
          <w:spacing w:val="-26"/>
        </w:rPr>
      </w:r>
      <w:r>
        <w:rPr>
          <w:spacing w:val="-2"/>
          <w:w w:val="100"/>
        </w:rPr>
        <w:t>股份用途的议案》，公司确定将本次回购的股份全部用于员工持股计划，若存在员工持股计划具体实施方</w:t>
      </w:r>
      <w:r>
        <w:rPr>
          <w:spacing w:val="-96"/>
          <w:w w:val="100"/>
        </w:rPr>
        <w:t> </w:t>
      </w:r>
      <w:r>
        <w:rPr>
          <w:spacing w:val="-96"/>
          <w:w w:val="100"/>
        </w:rPr>
      </w:r>
      <w:r>
        <w:rPr/>
        <w:t>案未能获公司董事会和股东大会决策机构审议通过或经审议通过但在股份回购完成之后</w:t>
      </w:r>
      <w:r>
        <w:rPr>
          <w:spacing w:val="89"/>
        </w:rPr>
        <w:t> </w:t>
      </w:r>
      <w:r>
        <w:rPr>
          <w:rFonts w:ascii="宋体" w:hAnsi="宋体" w:cs="宋体" w:eastAsia="宋体" w:hint="default"/>
        </w:rPr>
        <w:t>36</w:t>
      </w:r>
      <w:r>
        <w:rPr>
          <w:rFonts w:ascii="宋体" w:hAnsi="宋体" w:cs="宋体" w:eastAsia="宋体" w:hint="default"/>
          <w:spacing w:val="65"/>
        </w:rPr>
        <w:t> </w:t>
      </w:r>
      <w:r>
        <w:rPr/>
        <w:t>个月内未能</w:t>
      </w:r>
      <w:r>
        <w:rPr>
          <w:spacing w:val="-87"/>
        </w:rPr>
        <w:t> </w:t>
      </w:r>
      <w:r>
        <w:rPr>
          <w:spacing w:val="-87"/>
        </w:rPr>
      </w:r>
      <w:r>
        <w:rPr>
          <w:spacing w:val="-2"/>
        </w:rPr>
        <w:t>实施上述用途、实施对象放弃认购或实施对象业绩承诺未完成导致未能全部实施，则回购的全部股份或未</w:t>
      </w:r>
      <w:r>
        <w:rPr>
          <w:spacing w:val="-33"/>
        </w:rPr>
        <w:t> </w:t>
      </w:r>
      <w:r>
        <w:rPr>
          <w:spacing w:val="-33"/>
        </w:rPr>
      </w:r>
      <w:r>
        <w:rPr/>
        <w:t>能实施的部分股份将在履行相应审议披露程序后全部予以注销。</w:t>
      </w:r>
    </w:p>
    <w:p>
      <w:pPr>
        <w:pStyle w:val="Heading5"/>
        <w:spacing w:line="240" w:lineRule="auto" w:before="65"/>
        <w:ind w:left="535" w:right="1002"/>
        <w:jc w:val="left"/>
        <w:rPr>
          <w:b w:val="0"/>
          <w:bCs w:val="0"/>
        </w:rPr>
      </w:pPr>
      <w:r>
        <w:rPr>
          <w:rFonts w:ascii="宋体" w:hAnsi="宋体" w:cs="宋体" w:eastAsia="宋体" w:hint="default"/>
        </w:rPr>
        <w:t>7</w:t>
      </w:r>
      <w:r>
        <w:rPr/>
        <w:t>、第一期员工持股计划实施情况</w:t>
      </w:r>
      <w:r>
        <w:rPr>
          <w:b w:val="0"/>
          <w:bCs w:val="0"/>
        </w:rPr>
      </w:r>
    </w:p>
    <w:p>
      <w:pPr>
        <w:pStyle w:val="BodyText"/>
        <w:spacing w:line="350" w:lineRule="auto" w:before="166"/>
        <w:ind w:right="1082" w:firstLine="316"/>
        <w:jc w:val="both"/>
      </w:pPr>
      <w:r>
        <w:rPr/>
        <w:t>（</w:t>
      </w: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27</w:t>
      </w:r>
      <w:r>
        <w:rPr/>
        <w:t>日，公司召开第八届董事会第六次会议、第八届监事会第四次会议审议通过了《关</w:t>
      </w:r>
      <w:r>
        <w:rPr>
          <w:w w:val="100"/>
        </w:rPr>
        <w:t> </w:t>
      </w:r>
      <w:r>
        <w:rPr>
          <w:spacing w:val="-4"/>
          <w:w w:val="100"/>
        </w:rPr>
        <w:t>于</w:t>
      </w:r>
      <w:r>
        <w:rPr>
          <w:rFonts w:ascii="宋体" w:hAnsi="宋体" w:cs="宋体" w:eastAsia="宋体" w:hint="default"/>
          <w:spacing w:val="-4"/>
          <w:w w:val="100"/>
        </w:rPr>
        <w:t>&lt;</w:t>
      </w:r>
      <w:r>
        <w:rPr>
          <w:spacing w:val="-4"/>
          <w:w w:val="100"/>
        </w:rPr>
        <w:t>安徽中电兴发与鑫龙科技股份有限公司第一期员工持股计划（草案）</w:t>
      </w:r>
      <w:r>
        <w:rPr>
          <w:rFonts w:ascii="宋体" w:hAnsi="宋体" w:cs="宋体" w:eastAsia="宋体" w:hint="default"/>
          <w:spacing w:val="-4"/>
          <w:w w:val="100"/>
        </w:rPr>
        <w:t>&gt;</w:t>
      </w:r>
      <w:r>
        <w:rPr>
          <w:spacing w:val="-4"/>
          <w:w w:val="100"/>
        </w:rPr>
        <w:t>及其摘要的议案》、《关于</w:t>
      </w:r>
      <w:r>
        <w:rPr>
          <w:rFonts w:ascii="宋体" w:hAnsi="宋体" w:cs="宋体" w:eastAsia="宋体" w:hint="default"/>
          <w:spacing w:val="-4"/>
          <w:w w:val="100"/>
        </w:rPr>
        <w:t>&lt;</w:t>
      </w:r>
      <w:r>
        <w:rPr>
          <w:spacing w:val="-4"/>
          <w:w w:val="100"/>
        </w:rPr>
        <w:t>安徽</w:t>
      </w:r>
      <w:r>
        <w:rPr>
          <w:spacing w:val="-102"/>
          <w:w w:val="100"/>
        </w:rPr>
        <w:t> </w:t>
      </w:r>
      <w:r>
        <w:rPr>
          <w:spacing w:val="-4"/>
          <w:w w:val="100"/>
        </w:rPr>
        <w:t>中电兴发与鑫龙科技股份有限公司第一期员工持股计划管理办法</w:t>
      </w:r>
      <w:r>
        <w:rPr>
          <w:rFonts w:ascii="宋体" w:hAnsi="宋体" w:cs="宋体" w:eastAsia="宋体" w:hint="default"/>
          <w:spacing w:val="-4"/>
          <w:w w:val="100"/>
        </w:rPr>
        <w:t>&gt;</w:t>
      </w:r>
      <w:r>
        <w:rPr>
          <w:spacing w:val="-4"/>
          <w:w w:val="100"/>
        </w:rPr>
        <w:t>的议案》、《关于提请股东大会授权董事</w:t>
      </w:r>
      <w:r>
        <w:rPr>
          <w:w w:val="100"/>
        </w:rPr>
        <w:t> </w:t>
      </w:r>
      <w:r>
        <w:rPr>
          <w:spacing w:val="-9"/>
          <w:w w:val="100"/>
        </w:rPr>
        <w:t>会办理公司第一期员工持股计划有关事项的议案》、《关于召开</w:t>
      </w:r>
      <w:r>
        <w:rPr>
          <w:w w:val="100"/>
        </w:rPr>
        <w:t> </w:t>
      </w:r>
      <w:r>
        <w:rPr>
          <w:rFonts w:ascii="宋体" w:hAnsi="宋体" w:cs="宋体" w:eastAsia="宋体" w:hint="default"/>
          <w:spacing w:val="-2"/>
          <w:w w:val="100"/>
        </w:rPr>
        <w:t>2019</w:t>
      </w:r>
      <w:r>
        <w:rPr>
          <w:rFonts w:ascii="宋体" w:hAnsi="宋体" w:cs="宋体" w:eastAsia="宋体" w:hint="default"/>
          <w:spacing w:val="5"/>
          <w:w w:val="100"/>
        </w:rPr>
        <w:t> </w:t>
      </w:r>
      <w:r>
        <w:rPr>
          <w:spacing w:val="-2"/>
          <w:w w:val="100"/>
        </w:rPr>
        <w:t>年第二次临时股东大会的议案》等相</w:t>
      </w:r>
      <w:r>
        <w:rPr>
          <w:w w:val="100"/>
        </w:rPr>
        <w:t> </w:t>
      </w:r>
      <w:r>
        <w:rPr>
          <w:spacing w:val="-2"/>
          <w:w w:val="100"/>
        </w:rPr>
        <w:t>关议案，公司独立董事、监事会均已对本次员工持股计划方案内容进行审核，并发表了同意意见。《安徽</w:t>
      </w:r>
      <w:r>
        <w:rPr>
          <w:spacing w:val="-99"/>
          <w:w w:val="100"/>
        </w:rPr>
        <w:t> </w:t>
      </w:r>
      <w:r>
        <w:rPr>
          <w:spacing w:val="-99"/>
          <w:w w:val="100"/>
        </w:rPr>
      </w:r>
      <w:r>
        <w:rPr>
          <w:spacing w:val="-4"/>
          <w:w w:val="100"/>
        </w:rPr>
        <w:t>中电兴发与鑫龙科技股份有限公司第一期员工持股计划（草案）》及其摘要的具体内容详见</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5</w:t>
      </w:r>
      <w:r>
        <w:rPr>
          <w:spacing w:val="-4"/>
          <w:w w:val="100"/>
        </w:rPr>
        <w:t>月</w:t>
      </w:r>
      <w:r>
        <w:rPr>
          <w:rFonts w:ascii="宋体" w:hAnsi="宋体" w:cs="宋体" w:eastAsia="宋体" w:hint="default"/>
          <w:spacing w:val="-4"/>
          <w:w w:val="100"/>
        </w:rPr>
        <w:t>28</w:t>
      </w:r>
      <w:r>
        <w:rPr>
          <w:spacing w:val="-4"/>
          <w:w w:val="100"/>
        </w:rPr>
        <w:t>日</w:t>
      </w:r>
      <w:r>
        <w:rPr>
          <w:spacing w:val="-84"/>
          <w:w w:val="100"/>
        </w:rPr>
        <w:t> </w:t>
      </w:r>
      <w:r>
        <w:rPr>
          <w:spacing w:val="44"/>
          <w:w w:val="100"/>
        </w:rPr>
        <w:t>公司指定的信息披露媒体《证券时报</w:t>
      </w:r>
      <w:r>
        <w:rPr>
          <w:spacing w:val="-43"/>
          <w:w w:val="100"/>
        </w:rPr>
        <w:t> </w:t>
      </w:r>
      <w:r>
        <w:rPr>
          <w:spacing w:val="15"/>
          <w:w w:val="100"/>
        </w:rPr>
        <w:t>》、《中国证券报</w:t>
      </w:r>
      <w:r>
        <w:rPr>
          <w:spacing w:val="-43"/>
          <w:w w:val="100"/>
        </w:rPr>
        <w:t> </w:t>
      </w:r>
      <w:r>
        <w:rPr>
          <w:spacing w:val="30"/>
          <w:w w:val="100"/>
        </w:rPr>
        <w:t>》、《上海证券报》和巨潮资讯网</w:t>
      </w:r>
      <w:r>
        <w:rPr>
          <w:spacing w:val="-57"/>
        </w:rPr>
        <w:t> </w:t>
      </w:r>
      <w:r>
        <w:rPr/>
      </w:r>
    </w:p>
    <w:p>
      <w:pPr>
        <w:pStyle w:val="BodyText"/>
        <w:spacing w:line="240" w:lineRule="auto" w:before="27"/>
        <w:ind w:right="1002"/>
        <w:jc w:val="left"/>
      </w:pPr>
      <w:r>
        <w:rPr/>
        <w:t>（</w:t>
      </w:r>
      <w:hyperlink r:id="rId8">
        <w:r>
          <w:rPr>
            <w:rFonts w:ascii="宋体" w:hAnsi="宋体" w:cs="宋体" w:eastAsia="宋体" w:hint="default"/>
          </w:rPr>
          <w:t>http://www.cninfo.com.cn</w:t>
        </w:r>
      </w:hyperlink>
      <w:r>
        <w:rPr/>
        <w:t>）上的相关公告。</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022" w:firstLine="422"/>
        <w:jc w:val="both"/>
      </w:pPr>
      <w:r>
        <w:rPr/>
        <w:t>（</w:t>
      </w: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12</w:t>
      </w:r>
      <w:r>
        <w:rPr/>
        <w:t>日，公司召开</w:t>
      </w:r>
      <w:r>
        <w:rPr>
          <w:rFonts w:ascii="宋体" w:hAnsi="宋体" w:cs="宋体" w:eastAsia="宋体" w:hint="default"/>
        </w:rPr>
        <w:t>2019</w:t>
      </w:r>
      <w:r>
        <w:rPr/>
        <w:t>年第二次临时股东大会审议通过了《关于</w:t>
      </w:r>
      <w:r>
        <w:rPr>
          <w:rFonts w:ascii="宋体" w:hAnsi="宋体" w:cs="宋体" w:eastAsia="宋体" w:hint="default"/>
        </w:rPr>
        <w:t>&lt;</w:t>
      </w:r>
      <w:r>
        <w:rPr/>
        <w:t>安徽中电兴发与鑫龙</w:t>
      </w:r>
      <w:r>
        <w:rPr>
          <w:w w:val="100"/>
        </w:rPr>
        <w:t> </w:t>
      </w:r>
      <w:r>
        <w:rPr>
          <w:spacing w:val="-6"/>
          <w:w w:val="100"/>
        </w:rPr>
        <w:t>科技股份有限公司第一期员工持股计划（草案）</w:t>
      </w:r>
      <w:r>
        <w:rPr>
          <w:rFonts w:ascii="宋体" w:hAnsi="宋体" w:cs="宋体" w:eastAsia="宋体" w:hint="default"/>
          <w:spacing w:val="-6"/>
          <w:w w:val="100"/>
        </w:rPr>
        <w:t>&gt;</w:t>
      </w:r>
      <w:r>
        <w:rPr>
          <w:spacing w:val="-6"/>
          <w:w w:val="100"/>
        </w:rPr>
        <w:t>及其摘要的议案》、《关于</w:t>
      </w:r>
      <w:r>
        <w:rPr>
          <w:rFonts w:ascii="宋体" w:hAnsi="宋体" w:cs="宋体" w:eastAsia="宋体" w:hint="default"/>
          <w:spacing w:val="-6"/>
          <w:w w:val="100"/>
        </w:rPr>
        <w:t>&lt;</w:t>
      </w:r>
      <w:r>
        <w:rPr>
          <w:spacing w:val="-6"/>
          <w:w w:val="100"/>
        </w:rPr>
        <w:t>安徽中电兴发与鑫龙科技股份</w:t>
      </w:r>
      <w:r>
        <w:rPr>
          <w:w w:val="100"/>
        </w:rPr>
        <w:t> </w:t>
      </w:r>
      <w:r>
        <w:rPr>
          <w:spacing w:val="-5"/>
          <w:w w:val="100"/>
        </w:rPr>
        <w:t>有限公司第一期员工持股计划管理办法</w:t>
      </w:r>
      <w:r>
        <w:rPr>
          <w:rFonts w:ascii="宋体" w:hAnsi="宋体" w:cs="宋体" w:eastAsia="宋体" w:hint="default"/>
          <w:spacing w:val="-5"/>
          <w:w w:val="100"/>
        </w:rPr>
        <w:t>&gt;</w:t>
      </w:r>
      <w:r>
        <w:rPr>
          <w:spacing w:val="-5"/>
          <w:w w:val="100"/>
        </w:rPr>
        <w:t>的议案》、《关于提请股东大会授权董事会办理公司第一期员工持</w:t>
      </w:r>
      <w:r>
        <w:rPr>
          <w:spacing w:val="-61"/>
          <w:w w:val="100"/>
        </w:rPr>
        <w:t> </w:t>
      </w:r>
      <w:r>
        <w:rPr>
          <w:spacing w:val="-61"/>
          <w:w w:val="100"/>
        </w:rPr>
      </w:r>
      <w:r>
        <w:rPr>
          <w:spacing w:val="-6"/>
          <w:w w:val="100"/>
        </w:rPr>
        <w:t>股计划有关事项的议案》等相关议案。具体内容详见</w:t>
      </w:r>
      <w:r>
        <w:rPr>
          <w:rFonts w:ascii="宋体" w:hAnsi="宋体" w:cs="宋体" w:eastAsia="宋体" w:hint="default"/>
          <w:spacing w:val="-6"/>
          <w:w w:val="100"/>
        </w:rPr>
        <w:t>2019</w:t>
      </w:r>
      <w:r>
        <w:rPr>
          <w:spacing w:val="-6"/>
          <w:w w:val="100"/>
        </w:rPr>
        <w:t>年</w:t>
      </w:r>
      <w:r>
        <w:rPr>
          <w:rFonts w:ascii="宋体" w:hAnsi="宋体" w:cs="宋体" w:eastAsia="宋体" w:hint="default"/>
          <w:spacing w:val="-6"/>
          <w:w w:val="100"/>
        </w:rPr>
        <w:t>6</w:t>
      </w:r>
      <w:r>
        <w:rPr>
          <w:spacing w:val="-6"/>
          <w:w w:val="100"/>
        </w:rPr>
        <w:t>月</w:t>
      </w:r>
      <w:r>
        <w:rPr>
          <w:rFonts w:ascii="宋体" w:hAnsi="宋体" w:cs="宋体" w:eastAsia="宋体" w:hint="default"/>
          <w:spacing w:val="-6"/>
          <w:w w:val="100"/>
        </w:rPr>
        <w:t>13</w:t>
      </w:r>
      <w:r>
        <w:rPr>
          <w:spacing w:val="-6"/>
          <w:w w:val="100"/>
        </w:rPr>
        <w:t>日公司指定的信息披露媒体《证券时报》、</w:t>
      </w:r>
    </w:p>
    <w:p>
      <w:pPr>
        <w:pStyle w:val="BodyText"/>
        <w:spacing w:line="240" w:lineRule="auto" w:before="27"/>
        <w:ind w:right="0"/>
        <w:jc w:val="both"/>
      </w:pPr>
      <w:r>
        <w:rPr>
          <w:w w:val="100"/>
        </w:rPr>
        <w:t>《中国证</w:t>
      </w:r>
      <w:r>
        <w:rPr>
          <w:spacing w:val="-5"/>
          <w:w w:val="100"/>
        </w:rPr>
        <w:t>券</w:t>
      </w:r>
      <w:r>
        <w:rPr>
          <w:w w:val="100"/>
        </w:rPr>
        <w:t>报</w:t>
      </w:r>
      <w:r>
        <w:rPr>
          <w:spacing w:val="-106"/>
          <w:w w:val="100"/>
        </w:rPr>
        <w:t>》、</w:t>
      </w:r>
      <w:r>
        <w:rPr>
          <w:w w:val="100"/>
        </w:rPr>
        <w:t>《</w:t>
      </w:r>
      <w:r>
        <w:rPr>
          <w:spacing w:val="-5"/>
          <w:w w:val="100"/>
        </w:rPr>
        <w:t>上</w:t>
      </w:r>
      <w:r>
        <w:rPr>
          <w:w w:val="100"/>
        </w:rPr>
        <w:t>海证券</w:t>
      </w:r>
      <w:r>
        <w:rPr>
          <w:spacing w:val="-5"/>
          <w:w w:val="100"/>
        </w:rPr>
        <w:t>报</w:t>
      </w:r>
      <w:r>
        <w:rPr>
          <w:w w:val="100"/>
        </w:rPr>
        <w:t>》和巨</w:t>
      </w:r>
      <w:r>
        <w:rPr>
          <w:spacing w:val="-5"/>
          <w:w w:val="100"/>
        </w:rPr>
        <w:t>潮</w:t>
      </w:r>
      <w:r>
        <w:rPr>
          <w:w w:val="100"/>
        </w:rPr>
        <w:t>资讯网</w:t>
      </w:r>
      <w:r>
        <w:rPr>
          <w:spacing w:val="-4"/>
          <w:w w:val="100"/>
        </w:rPr>
        <w:t>（</w:t>
      </w:r>
      <w:hyperlink r:id="rId8">
        <w:r>
          <w:rPr>
            <w:rFonts w:ascii="宋体" w:hAnsi="宋体" w:cs="宋体" w:eastAsia="宋体" w:hint="default"/>
            <w:w w:val="100"/>
          </w:rPr>
          <w:t>htt</w:t>
        </w:r>
        <w:r>
          <w:rPr>
            <w:rFonts w:ascii="宋体" w:hAnsi="宋体" w:cs="宋体" w:eastAsia="宋体" w:hint="default"/>
            <w:spacing w:val="-5"/>
            <w:w w:val="100"/>
          </w:rPr>
          <w:t>p</w:t>
        </w:r>
        <w:r>
          <w:rPr>
            <w:rFonts w:ascii="宋体" w:hAnsi="宋体" w:cs="宋体" w:eastAsia="宋体" w:hint="default"/>
            <w:w w:val="100"/>
          </w:rPr>
          <w:t>://www.cni</w:t>
        </w:r>
        <w:r>
          <w:rPr>
            <w:rFonts w:ascii="宋体" w:hAnsi="宋体" w:cs="宋体" w:eastAsia="宋体" w:hint="default"/>
            <w:spacing w:val="-5"/>
            <w:w w:val="100"/>
          </w:rPr>
          <w:t>n</w:t>
        </w:r>
        <w:r>
          <w:rPr>
            <w:rFonts w:ascii="宋体" w:hAnsi="宋体" w:cs="宋体" w:eastAsia="宋体" w:hint="default"/>
            <w:w w:val="100"/>
          </w:rPr>
          <w:t>fo.com.</w:t>
        </w:r>
        <w:r>
          <w:rPr>
            <w:rFonts w:ascii="宋体" w:hAnsi="宋体" w:cs="宋体" w:eastAsia="宋体" w:hint="default"/>
            <w:spacing w:val="-5"/>
            <w:w w:val="100"/>
          </w:rPr>
          <w:t>c</w:t>
        </w:r>
        <w:r>
          <w:rPr>
            <w:rFonts w:ascii="宋体" w:hAnsi="宋体" w:cs="宋体" w:eastAsia="宋体" w:hint="default"/>
            <w:w w:val="100"/>
          </w:rPr>
          <w:t>n</w:t>
        </w:r>
      </w:hyperlink>
      <w:r>
        <w:rPr>
          <w:w w:val="100"/>
        </w:rPr>
        <w:t>）上</w:t>
      </w:r>
      <w:r>
        <w:rPr>
          <w:spacing w:val="-5"/>
          <w:w w:val="100"/>
        </w:rPr>
        <w:t>的</w:t>
      </w:r>
      <w:r>
        <w:rPr>
          <w:w w:val="100"/>
        </w:rPr>
        <w:t>相关公</w:t>
      </w:r>
      <w:r>
        <w:rPr>
          <w:spacing w:val="-5"/>
          <w:w w:val="100"/>
        </w:rPr>
        <w:t>告</w:t>
      </w:r>
      <w:r>
        <w:rPr>
          <w:w w:val="100"/>
        </w:rPr>
        <w:t>。</w:t>
      </w:r>
    </w:p>
    <w:p>
      <w:pPr>
        <w:pStyle w:val="BodyText"/>
        <w:spacing w:line="348" w:lineRule="auto" w:before="166"/>
        <w:ind w:right="1119" w:firstLine="422"/>
        <w:jc w:val="left"/>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10</w:t>
      </w:r>
      <w:r>
        <w:rPr>
          <w:spacing w:val="-2"/>
        </w:rPr>
        <w:t>日，公司召开第八届董事会第七次会议、第八届监事会第五次会议审议通过了《关</w:t>
      </w:r>
      <w:r>
        <w:rPr>
          <w:w w:val="100"/>
        </w:rPr>
        <w:t> </w:t>
      </w:r>
      <w:r>
        <w:rPr>
          <w:spacing w:val="-3"/>
          <w:w w:val="100"/>
        </w:rPr>
        <w:t>于对公司第一期员工持股计划交易价格进行调整的议案》，鉴于公司</w:t>
      </w:r>
      <w:r>
        <w:rPr>
          <w:w w:val="100"/>
        </w:rPr>
        <w:t> </w:t>
      </w:r>
      <w:r>
        <w:rPr>
          <w:rFonts w:ascii="宋体" w:hAnsi="宋体" w:cs="宋体" w:eastAsia="宋体" w:hint="default"/>
          <w:w w:val="100"/>
        </w:rPr>
        <w:t>2018</w:t>
      </w:r>
      <w:r>
        <w:rPr>
          <w:rFonts w:ascii="宋体" w:hAnsi="宋体" w:cs="宋体" w:eastAsia="宋体" w:hint="default"/>
          <w:spacing w:val="6"/>
          <w:w w:val="100"/>
        </w:rPr>
        <w:t> </w:t>
      </w:r>
      <w:r>
        <w:rPr>
          <w:w w:val="100"/>
        </w:rPr>
        <w:t>年度利润分配方案的实施，公</w:t>
      </w:r>
    </w:p>
    <w:p>
      <w:pPr>
        <w:pStyle w:val="BodyText"/>
        <w:spacing w:line="348" w:lineRule="auto" w:before="34"/>
        <w:ind w:right="1123"/>
        <w:jc w:val="both"/>
      </w:pPr>
      <w:r>
        <w:rPr/>
        <w:t>司员工持股计划交易价格由 </w:t>
      </w:r>
      <w:r>
        <w:rPr>
          <w:rFonts w:ascii="宋体" w:hAnsi="宋体" w:cs="宋体" w:eastAsia="宋体" w:hint="default"/>
        </w:rPr>
        <w:t>3.66 </w:t>
      </w:r>
      <w:r>
        <w:rPr/>
        <w:t>元</w:t>
      </w:r>
      <w:r>
        <w:rPr>
          <w:rFonts w:ascii="宋体" w:hAnsi="宋体" w:cs="宋体" w:eastAsia="宋体" w:hint="default"/>
        </w:rPr>
        <w:t>/</w:t>
      </w:r>
      <w:r>
        <w:rPr/>
        <w:t>股调整到 </w:t>
      </w:r>
      <w:r>
        <w:rPr>
          <w:rFonts w:ascii="宋体" w:hAnsi="宋体" w:cs="宋体" w:eastAsia="宋体" w:hint="default"/>
        </w:rPr>
        <w:t>3.61</w:t>
      </w:r>
      <w:r>
        <w:rPr>
          <w:rFonts w:ascii="宋体" w:hAnsi="宋体" w:cs="宋体" w:eastAsia="宋体" w:hint="default"/>
          <w:spacing w:val="-20"/>
        </w:rPr>
        <w:t> </w:t>
      </w:r>
      <w:r>
        <w:rPr/>
        <w:t>元</w:t>
      </w:r>
      <w:r>
        <w:rPr>
          <w:rFonts w:ascii="宋体" w:hAnsi="宋体" w:cs="宋体" w:eastAsia="宋体" w:hint="default"/>
        </w:rPr>
        <w:t>/</w:t>
      </w:r>
      <w:r>
        <w:rPr/>
        <w:t>股，独立董事、监事会均已对本议案内容进行审</w:t>
      </w:r>
      <w:r>
        <w:rPr>
          <w:w w:val="100"/>
        </w:rPr>
        <w:t> </w:t>
      </w:r>
      <w:r>
        <w:rPr/>
        <w:t>核，并发表了同意意见。</w:t>
      </w:r>
    </w:p>
    <w:p>
      <w:pPr>
        <w:pStyle w:val="BodyText"/>
        <w:spacing w:line="350" w:lineRule="auto" w:before="72"/>
        <w:ind w:right="1123" w:firstLine="316"/>
        <w:jc w:val="both"/>
      </w:pPr>
      <w:r>
        <w:rPr>
          <w:spacing w:val="-6"/>
        </w:rPr>
        <w:t>（</w:t>
      </w:r>
      <w:r>
        <w:rPr>
          <w:rFonts w:ascii="宋体" w:hAnsi="宋体" w:cs="宋体" w:eastAsia="宋体" w:hint="default"/>
          <w:spacing w:val="-6"/>
        </w:rPr>
        <w:t>4</w:t>
      </w:r>
      <w:r>
        <w:rPr>
          <w:spacing w:val="-6"/>
        </w:rPr>
        <w:t>）</w:t>
      </w:r>
      <w:r>
        <w:rPr>
          <w:rFonts w:ascii="宋体" w:hAnsi="宋体" w:cs="宋体" w:eastAsia="宋体" w:hint="default"/>
          <w:spacing w:val="-6"/>
        </w:rPr>
        <w:t>2019</w:t>
      </w:r>
      <w:r>
        <w:rPr>
          <w:spacing w:val="-6"/>
        </w:rPr>
        <w:t>年</w:t>
      </w:r>
      <w:r>
        <w:rPr>
          <w:rFonts w:ascii="宋体" w:hAnsi="宋体" w:cs="宋体" w:eastAsia="宋体" w:hint="default"/>
          <w:spacing w:val="-6"/>
        </w:rPr>
        <w:t>12</w:t>
      </w:r>
      <w:r>
        <w:rPr>
          <w:spacing w:val="-6"/>
        </w:rPr>
        <w:t>月</w:t>
      </w:r>
      <w:r>
        <w:rPr>
          <w:rFonts w:ascii="宋体" w:hAnsi="宋体" w:cs="宋体" w:eastAsia="宋体" w:hint="default"/>
          <w:spacing w:val="-6"/>
        </w:rPr>
        <w:t>23</w:t>
      </w:r>
      <w:r>
        <w:rPr>
          <w:spacing w:val="-6"/>
        </w:rPr>
        <w:t>日，公司召开第八届董事会第十一会议、第八届监事会第九次会议审议并通过了《关</w:t>
      </w:r>
      <w:r>
        <w:rPr>
          <w:w w:val="100"/>
        </w:rPr>
        <w:t> </w:t>
      </w:r>
      <w:r>
        <w:rPr>
          <w:spacing w:val="-2"/>
          <w:w w:val="100"/>
        </w:rPr>
        <w:t>于终止公司第一期员工持股计划的议案》：自本次员工持股计划完成相关审议程序后，公司一直积极推进</w:t>
      </w:r>
      <w:r>
        <w:rPr>
          <w:spacing w:val="-96"/>
          <w:w w:val="100"/>
        </w:rPr>
        <w:t> </w:t>
      </w:r>
      <w:r>
        <w:rPr>
          <w:spacing w:val="-96"/>
          <w:w w:val="100"/>
        </w:rPr>
      </w:r>
      <w:r>
        <w:rPr>
          <w:spacing w:val="-2"/>
        </w:rPr>
        <w:t>员工持股计划的实施工作，原计划要求参与对象最迟在</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20</w:t>
      </w:r>
      <w:r>
        <w:rPr>
          <w:spacing w:val="-2"/>
        </w:rPr>
        <w:t>日之前完成标的股票的购买，在这期</w:t>
      </w:r>
      <w:r>
        <w:rPr>
          <w:spacing w:val="-23"/>
        </w:rPr>
        <w:t> </w:t>
      </w:r>
      <w:r>
        <w:rPr>
          <w:spacing w:val="-23"/>
        </w:rPr>
      </w:r>
      <w:r>
        <w:rPr>
          <w:spacing w:val="-2"/>
        </w:rPr>
        <w:t>间公司持续提醒督促员工及时缴款，但截止上述最迟缴款日，参与对象因个人资金筹集困难等原因主动向</w:t>
      </w:r>
      <w:r>
        <w:rPr>
          <w:spacing w:val="-33"/>
        </w:rPr>
        <w:t> </w:t>
      </w:r>
      <w:r>
        <w:rPr>
          <w:spacing w:val="-33"/>
        </w:rPr>
      </w:r>
      <w:r>
        <w:rPr>
          <w:spacing w:val="-2"/>
        </w:rPr>
        <w:t>公司申请放弃认购公司本次员工持股计划授予其本人的股份。公司依据有关规定，决定终止本次员工持股</w:t>
      </w:r>
      <w:r>
        <w:rPr>
          <w:spacing w:val="-33"/>
        </w:rPr>
        <w:t> </w:t>
      </w:r>
      <w:r>
        <w:rPr>
          <w:spacing w:val="-33"/>
        </w:rPr>
      </w:r>
      <w:r>
        <w:rPr>
          <w:spacing w:val="-10"/>
          <w:w w:val="100"/>
        </w:rPr>
        <w:t>计划。具体内容详见公司于</w:t>
      </w:r>
      <w:r>
        <w:rPr>
          <w:rFonts w:ascii="宋体" w:hAnsi="宋体" w:cs="宋体" w:eastAsia="宋体" w:hint="default"/>
          <w:spacing w:val="-10"/>
          <w:w w:val="100"/>
        </w:rPr>
        <w:t>2019</w:t>
      </w:r>
      <w:r>
        <w:rPr>
          <w:spacing w:val="-10"/>
          <w:w w:val="100"/>
        </w:rPr>
        <w:t>年</w:t>
      </w:r>
      <w:r>
        <w:rPr>
          <w:rFonts w:ascii="宋体" w:hAnsi="宋体" w:cs="宋体" w:eastAsia="宋体" w:hint="default"/>
          <w:spacing w:val="-10"/>
          <w:w w:val="100"/>
        </w:rPr>
        <w:t>12</w:t>
      </w:r>
      <w:r>
        <w:rPr>
          <w:spacing w:val="-10"/>
          <w:w w:val="100"/>
        </w:rPr>
        <w:t>月</w:t>
      </w:r>
      <w:r>
        <w:rPr>
          <w:rFonts w:ascii="宋体" w:hAnsi="宋体" w:cs="宋体" w:eastAsia="宋体" w:hint="default"/>
          <w:spacing w:val="-10"/>
          <w:w w:val="100"/>
        </w:rPr>
        <w:t>24</w:t>
      </w:r>
      <w:r>
        <w:rPr>
          <w:spacing w:val="-10"/>
          <w:w w:val="100"/>
        </w:rPr>
        <w:t>日公司指定的信息披露媒体《证券时报》、《中国证券报》、《上海</w:t>
      </w:r>
      <w:r>
        <w:rPr>
          <w:spacing w:val="-84"/>
          <w:w w:val="100"/>
        </w:rPr>
        <w:t> </w:t>
      </w:r>
      <w:r>
        <w:rPr>
          <w:spacing w:val="-84"/>
          <w:w w:val="100"/>
        </w:rPr>
      </w:r>
      <w:r>
        <w:rPr/>
        <w:t>证券报》和巨潮资讯网（</w:t>
      </w:r>
      <w:hyperlink r:id="rId8">
        <w:r>
          <w:rPr>
            <w:rFonts w:ascii="宋体" w:hAnsi="宋体" w:cs="宋体" w:eastAsia="宋体" w:hint="default"/>
          </w:rPr>
          <w:t>http://www.cninfo.com.cn</w:t>
        </w:r>
      </w:hyperlink>
      <w:r>
        <w:rPr/>
        <w:t>）上的相关公告。</w:t>
      </w:r>
    </w:p>
    <w:p>
      <w:pPr>
        <w:spacing w:line="386" w:lineRule="auto" w:before="65"/>
        <w:ind w:left="535" w:right="1002"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z w:val="21"/>
          <w:szCs w:val="21"/>
        </w:rPr>
        <w:t>、更换保荐机构及保荐代表人</w:t>
      </w:r>
      <w:r>
        <w:rPr>
          <w:rFonts w:ascii="宋体" w:hAnsi="宋体" w:cs="宋体" w:eastAsia="宋体" w:hint="default"/>
          <w:b/>
          <w:bCs/>
          <w:spacing w:val="-102"/>
          <w:sz w:val="21"/>
          <w:szCs w:val="21"/>
        </w:rPr>
        <w:t> </w:t>
      </w:r>
      <w:r>
        <w:rPr>
          <w:rFonts w:ascii="宋体" w:hAnsi="宋体" w:cs="宋体" w:eastAsia="宋体" w:hint="default"/>
          <w:spacing w:val="-2"/>
          <w:sz w:val="21"/>
          <w:szCs w:val="21"/>
        </w:rPr>
        <w:t>报告期内，因筹划实施非公开发行股票工作需要，公司聘请中航证券有限公司担任</w:t>
      </w:r>
      <w:r>
        <w:rPr>
          <w:rFonts w:ascii="宋体" w:hAnsi="宋体" w:cs="宋体" w:eastAsia="宋体" w:hint="default"/>
          <w:spacing w:val="-2"/>
          <w:sz w:val="21"/>
          <w:szCs w:val="21"/>
        </w:rPr>
        <w:t>2019</w:t>
      </w:r>
      <w:r>
        <w:rPr>
          <w:rFonts w:ascii="宋体" w:hAnsi="宋体" w:cs="宋体" w:eastAsia="宋体" w:hint="default"/>
          <w:spacing w:val="-2"/>
          <w:sz w:val="21"/>
          <w:szCs w:val="21"/>
        </w:rPr>
        <w:t>年度非公开发</w:t>
      </w:r>
    </w:p>
    <w:p>
      <w:pPr>
        <w:pStyle w:val="BodyText"/>
        <w:spacing w:line="350" w:lineRule="auto" w:before="0"/>
        <w:ind w:right="1124"/>
        <w:jc w:val="both"/>
      </w:pPr>
      <w:r>
        <w:rPr/>
        <w:t>行</w:t>
      </w:r>
      <w:r>
        <w:rPr>
          <w:rFonts w:ascii="宋体" w:hAnsi="宋体" w:cs="宋体" w:eastAsia="宋体" w:hint="default"/>
        </w:rPr>
        <w:t>A</w:t>
      </w:r>
      <w:r>
        <w:rPr/>
        <w:t>股股票工作的保荐机构和独立主承销商，并签署《安徽中电兴发与鑫龙科技股份有限公司与中航证券</w:t>
      </w:r>
      <w:r>
        <w:rPr>
          <w:spacing w:val="-31"/>
        </w:rPr>
        <w:t> </w:t>
      </w:r>
      <w:r>
        <w:rPr>
          <w:spacing w:val="-31"/>
        </w:rPr>
      </w:r>
      <w:r>
        <w:rPr>
          <w:spacing w:val="-11"/>
          <w:w w:val="100"/>
        </w:rPr>
        <w:t>有限公司之保荐协议》。</w:t>
      </w:r>
      <w:r>
        <w:rPr>
          <w:spacing w:val="8"/>
          <w:w w:val="100"/>
        </w:rPr>
        <w:t> </w:t>
      </w:r>
      <w:r>
        <w:rPr>
          <w:spacing w:val="-2"/>
          <w:w w:val="100"/>
        </w:rPr>
        <w:t>根据《证券发行上市保荐业务管理办法》的相关规定，公司因再次申请发行证券</w:t>
      </w:r>
      <w:r>
        <w:rPr>
          <w:w w:val="100"/>
        </w:rPr>
        <w:t> </w:t>
      </w:r>
      <w:r>
        <w:rPr>
          <w:spacing w:val="-2"/>
        </w:rPr>
        <w:t>另行聘请保荐机构的，应当终止与原保荐机构的保荐协议，另行聘请的保荐机构应当完成原保荐机构未完</w:t>
      </w:r>
      <w:r>
        <w:rPr>
          <w:spacing w:val="-33"/>
        </w:rPr>
        <w:t> </w:t>
      </w:r>
      <w:r>
        <w:rPr>
          <w:spacing w:val="-33"/>
        </w:rPr>
      </w:r>
      <w:r>
        <w:rPr>
          <w:spacing w:val="-2"/>
        </w:rPr>
        <w:t>成的持续督导工作。因此，公司与开源证券股份有限公司终止了持续督导协议，开源证券股份有限公司未</w:t>
      </w:r>
      <w:r>
        <w:rPr>
          <w:spacing w:val="-33"/>
        </w:rPr>
        <w:t> </w:t>
      </w:r>
      <w:r>
        <w:rPr>
          <w:spacing w:val="-33"/>
        </w:rPr>
      </w:r>
      <w:r>
        <w:rPr>
          <w:spacing w:val="-2"/>
        </w:rPr>
        <w:t>完成的持续督导工作将由中航证券承接。中航证券指派熊岳广先生、吴雅宁女士担任保荐代表人，负责公</w:t>
      </w:r>
      <w:r>
        <w:rPr>
          <w:spacing w:val="-32"/>
        </w:rPr>
        <w:t> </w:t>
      </w:r>
      <w:r>
        <w:rPr>
          <w:spacing w:val="-32"/>
        </w:rPr>
      </w:r>
      <w:r>
        <w:rPr>
          <w:spacing w:val="7"/>
          <w:w w:val="100"/>
        </w:rPr>
        <w:t>司持续督导相关工作。具体详见《中电兴发：关于更换保荐机构及保荐代表人的公告》（公告编号：</w:t>
      </w:r>
      <w:r>
        <w:rPr>
          <w:spacing w:val="-90"/>
          <w:w w:val="100"/>
        </w:rPr>
        <w:t> </w:t>
      </w:r>
      <w:r>
        <w:rPr>
          <w:spacing w:val="-90"/>
          <w:w w:val="100"/>
        </w:rPr>
      </w:r>
      <w:r>
        <w:rPr>
          <w:rFonts w:ascii="宋体" w:hAnsi="宋体" w:cs="宋体" w:eastAsia="宋体" w:hint="default"/>
          <w:spacing w:val="-22"/>
          <w:w w:val="100"/>
        </w:rPr>
        <w:t>2019-085</w:t>
      </w:r>
      <w:r>
        <w:rPr>
          <w:spacing w:val="-22"/>
          <w:w w:val="100"/>
        </w:rPr>
        <w:t>）。</w:t>
      </w:r>
      <w:r>
        <w:rPr>
          <w:w w:val="100"/>
        </w:rPr>
      </w:r>
    </w:p>
    <w:p>
      <w:pPr>
        <w:spacing w:line="386" w:lineRule="auto" w:before="70"/>
        <w:ind w:left="535" w:right="1002" w:firstLine="0"/>
        <w:jc w:val="left"/>
        <w:rPr>
          <w:rFonts w:ascii="宋体" w:hAnsi="宋体" w:cs="宋体" w:eastAsia="宋体" w:hint="default"/>
          <w:sz w:val="21"/>
          <w:szCs w:val="21"/>
        </w:rPr>
      </w:pPr>
      <w:r>
        <w:rPr>
          <w:rFonts w:ascii="宋体" w:hAnsi="宋体" w:cs="宋体" w:eastAsia="宋体" w:hint="default"/>
          <w:b/>
          <w:bCs/>
          <w:sz w:val="21"/>
          <w:szCs w:val="21"/>
        </w:rPr>
        <w:t>9</w:t>
      </w:r>
      <w:r>
        <w:rPr>
          <w:rFonts w:ascii="宋体" w:hAnsi="宋体" w:cs="宋体" w:eastAsia="宋体" w:hint="default"/>
          <w:b/>
          <w:bCs/>
          <w:sz w:val="21"/>
          <w:szCs w:val="21"/>
        </w:rPr>
        <w:t>、实施非公开发行股票重大事项</w:t>
      </w:r>
      <w:r>
        <w:rPr>
          <w:rFonts w:ascii="宋体" w:hAnsi="宋体" w:cs="宋体" w:eastAsia="宋体" w:hint="default"/>
          <w:b/>
          <w:bCs/>
          <w:spacing w:val="-101"/>
          <w:sz w:val="21"/>
          <w:szCs w:val="21"/>
        </w:rPr>
        <w:t> </w:t>
      </w:r>
      <w:r>
        <w:rPr>
          <w:rFonts w:ascii="宋体" w:hAnsi="宋体" w:cs="宋体" w:eastAsia="宋体" w:hint="default"/>
          <w:spacing w:val="-2"/>
          <w:sz w:val="21"/>
          <w:szCs w:val="21"/>
        </w:rPr>
        <w:t>公司作为国内领先的智慧中国全面解决方案提供商和建设与运营服务商，始终专注于智慧科技方向的</w:t>
      </w:r>
    </w:p>
    <w:p>
      <w:pPr>
        <w:pStyle w:val="BodyText"/>
        <w:spacing w:line="350" w:lineRule="auto" w:before="0"/>
        <w:ind w:right="1122"/>
        <w:jc w:val="both"/>
      </w:pPr>
      <w:r>
        <w:rPr>
          <w:spacing w:val="-2"/>
        </w:rPr>
        <w:t>尖端传感器、嵌入式处理器、人工智能、物联网、产业互联网、大数据、云计算与云存储、网络安全、智</w:t>
      </w:r>
      <w:r>
        <w:rPr>
          <w:spacing w:val="-33"/>
        </w:rPr>
        <w:t> </w:t>
      </w:r>
      <w:r>
        <w:rPr>
          <w:spacing w:val="-33"/>
        </w:rPr>
      </w:r>
      <w:r>
        <w:rPr>
          <w:spacing w:val="-2"/>
        </w:rPr>
        <w:t>慧应用软件等关键技术的研究和开发，坚持“自主可控、国产代替”的创新发展方向，已形成完全自主可</w:t>
      </w:r>
      <w:r>
        <w:rPr>
          <w:spacing w:val="-36"/>
        </w:rPr>
        <w:t> </w:t>
      </w:r>
      <w:r>
        <w:rPr>
          <w:spacing w:val="-36"/>
        </w:rPr>
      </w:r>
      <w:r>
        <w:rPr>
          <w:spacing w:val="-2"/>
        </w:rPr>
        <w:t>控、国内领先且具有国际竞争力的核心技术、产品、全面解决方案和商业运营模式，并不断精益求精地复</w:t>
      </w:r>
      <w:r>
        <w:rPr>
          <w:spacing w:val="-33"/>
        </w:rPr>
        <w:t> </w:t>
      </w:r>
      <w:r>
        <w:rPr>
          <w:spacing w:val="-33"/>
        </w:rPr>
      </w:r>
      <w:r>
        <w:rPr>
          <w:spacing w:val="-2"/>
        </w:rPr>
        <w:t>制，以加速形成并夯实做“业界最佳的智慧中国解决方案供应商与运营服务商”的行业龙头品牌地位，形</w:t>
      </w:r>
      <w:r>
        <w:rPr>
          <w:spacing w:val="-30"/>
        </w:rPr>
        <w:t> </w:t>
      </w:r>
      <w:r>
        <w:rPr>
          <w:spacing w:val="-30"/>
        </w:rPr>
      </w:r>
      <w:r>
        <w:rPr>
          <w:spacing w:val="-2"/>
        </w:rPr>
        <w:t>成“以智慧中国业务为龙头，以新通信业务和新一代光纤网络业务为两翼”的主营业务发展格局，实现公</w:t>
      </w:r>
      <w:r>
        <w:rPr>
          <w:spacing w:val="-30"/>
        </w:rPr>
        <w:t> </w:t>
      </w:r>
      <w:r>
        <w:rPr>
          <w:spacing w:val="-30"/>
        </w:rPr>
      </w:r>
      <w:r>
        <w:rPr/>
        <w:t>司做稳、做强、做大。根据公司发展战略，报告期内，公司筹划实施非公开发行股票重大事项，如下：</w:t>
      </w:r>
    </w:p>
    <w:p>
      <w:pPr>
        <w:pStyle w:val="BodyText"/>
        <w:spacing w:line="240" w:lineRule="auto" w:before="65"/>
        <w:ind w:left="535" w:right="1002"/>
        <w:jc w:val="left"/>
      </w:pPr>
      <w:r>
        <w:rPr>
          <w:w w:val="100"/>
        </w:rPr>
        <w:t>（</w:t>
      </w:r>
      <w:r>
        <w:rPr>
          <w:rFonts w:ascii="宋体" w:hAnsi="宋体" w:cs="宋体" w:eastAsia="宋体" w:hint="default"/>
          <w:w w:val="100"/>
        </w:rPr>
        <w:t>1</w:t>
      </w:r>
      <w:r>
        <w:rPr>
          <w:w w:val="100"/>
        </w:rPr>
        <w:t>）</w:t>
      </w:r>
      <w:r>
        <w:rPr>
          <w:rFonts w:ascii="宋体" w:hAnsi="宋体" w:cs="宋体" w:eastAsia="宋体" w:hint="default"/>
          <w:w w:val="100"/>
        </w:rPr>
        <w:t>2</w:t>
      </w:r>
      <w:r>
        <w:rPr>
          <w:rFonts w:ascii="宋体" w:hAnsi="宋体" w:cs="宋体" w:eastAsia="宋体" w:hint="default"/>
          <w:spacing w:val="-5"/>
          <w:w w:val="100"/>
        </w:rPr>
        <w:t>0</w:t>
      </w:r>
      <w:r>
        <w:rPr>
          <w:rFonts w:ascii="宋体" w:hAnsi="宋体" w:cs="宋体" w:eastAsia="宋体" w:hint="default"/>
          <w:w w:val="100"/>
        </w:rPr>
        <w:t>19</w:t>
      </w:r>
      <w:r>
        <w:rPr>
          <w:w w:val="100"/>
        </w:rPr>
        <w:t>年</w:t>
      </w:r>
      <w:r>
        <w:rPr>
          <w:rFonts w:ascii="宋体" w:hAnsi="宋体" w:cs="宋体" w:eastAsia="宋体" w:hint="default"/>
          <w:w w:val="100"/>
        </w:rPr>
        <w:t>8</w:t>
      </w:r>
      <w:r>
        <w:rPr>
          <w:w w:val="100"/>
        </w:rPr>
        <w:t>月</w:t>
      </w:r>
      <w:r>
        <w:rPr>
          <w:rFonts w:ascii="宋体" w:hAnsi="宋体" w:cs="宋体" w:eastAsia="宋体" w:hint="default"/>
          <w:spacing w:val="-5"/>
          <w:w w:val="100"/>
        </w:rPr>
        <w:t>1</w:t>
      </w:r>
      <w:r>
        <w:rPr>
          <w:rFonts w:ascii="宋体" w:hAnsi="宋体" w:cs="宋体" w:eastAsia="宋体" w:hint="default"/>
          <w:w w:val="100"/>
        </w:rPr>
        <w:t>0</w:t>
      </w:r>
      <w:r>
        <w:rPr>
          <w:w w:val="100"/>
        </w:rPr>
        <w:t>日，</w:t>
      </w:r>
      <w:r>
        <w:rPr>
          <w:spacing w:val="-5"/>
          <w:w w:val="100"/>
        </w:rPr>
        <w:t>公</w:t>
      </w:r>
      <w:r>
        <w:rPr>
          <w:w w:val="100"/>
        </w:rPr>
        <w:t>司披露</w:t>
      </w:r>
      <w:r>
        <w:rPr>
          <w:spacing w:val="-5"/>
          <w:w w:val="100"/>
        </w:rPr>
        <w:t>了</w:t>
      </w:r>
      <w:r>
        <w:rPr>
          <w:w w:val="100"/>
        </w:rPr>
        <w:t>《关于</w:t>
      </w:r>
      <w:r>
        <w:rPr>
          <w:spacing w:val="-5"/>
          <w:w w:val="100"/>
        </w:rPr>
        <w:t>筹</w:t>
      </w:r>
      <w:r>
        <w:rPr>
          <w:w w:val="100"/>
        </w:rPr>
        <w:t>划</w:t>
      </w:r>
      <w:r>
        <w:rPr>
          <w:spacing w:val="-5"/>
          <w:w w:val="100"/>
        </w:rPr>
        <w:t>非</w:t>
      </w:r>
      <w:r>
        <w:rPr>
          <w:w w:val="100"/>
        </w:rPr>
        <w:t>公开发行</w:t>
      </w:r>
      <w:r>
        <w:rPr>
          <w:spacing w:val="-5"/>
          <w:w w:val="100"/>
        </w:rPr>
        <w:t>股</w:t>
      </w:r>
      <w:r>
        <w:rPr>
          <w:w w:val="100"/>
        </w:rPr>
        <w:t>票的提</w:t>
      </w:r>
      <w:r>
        <w:rPr>
          <w:spacing w:val="-5"/>
          <w:w w:val="100"/>
        </w:rPr>
        <w:t>示</w:t>
      </w:r>
      <w:r>
        <w:rPr>
          <w:w w:val="100"/>
        </w:rPr>
        <w:t>性公告</w:t>
      </w:r>
      <w:r>
        <w:rPr>
          <w:spacing w:val="-106"/>
          <w:w w:val="100"/>
        </w:rPr>
        <w:t>》</w:t>
      </w:r>
      <w:r>
        <w:rPr>
          <w:w w:val="100"/>
        </w:rPr>
        <w:t>；</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240" w:lineRule="auto"/>
        <w:ind w:left="535" w:right="1002"/>
        <w:jc w:val="left"/>
      </w:pPr>
      <w:r>
        <w:rPr/>
        <w:t>（</w:t>
      </w: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27</w:t>
      </w:r>
      <w:r>
        <w:rPr/>
        <w:t>日，公司召开第八届董事会第九次会议，第八届监事会第七次会议，审议并通过了</w:t>
      </w:r>
    </w:p>
    <w:p>
      <w:pPr>
        <w:pStyle w:val="BodyText"/>
        <w:spacing w:line="350" w:lineRule="auto" w:before="123"/>
        <w:ind w:right="1127"/>
        <w:jc w:val="both"/>
      </w:pPr>
      <w:r>
        <w:rPr>
          <w:spacing w:val="-8"/>
          <w:w w:val="100"/>
        </w:rPr>
        <w:t>《关于公司符合非公开发行</w:t>
      </w:r>
      <w:r>
        <w:rPr>
          <w:rFonts w:ascii="宋体" w:hAnsi="宋体" w:cs="宋体" w:eastAsia="宋体" w:hint="default"/>
          <w:spacing w:val="-8"/>
          <w:w w:val="100"/>
        </w:rPr>
        <w:t>A</w:t>
      </w:r>
      <w:r>
        <w:rPr>
          <w:spacing w:val="-8"/>
          <w:w w:val="100"/>
        </w:rPr>
        <w:t>股股票条件的议案》、《关于公司</w:t>
      </w:r>
      <w:r>
        <w:rPr>
          <w:spacing w:val="30"/>
          <w:w w:val="100"/>
        </w:rPr>
        <w:t> </w:t>
      </w:r>
      <w:r>
        <w:rPr>
          <w:rFonts w:ascii="宋体" w:hAnsi="宋体" w:cs="宋体" w:eastAsia="宋体" w:hint="default"/>
          <w:w w:val="100"/>
        </w:rPr>
        <w:t>2019</w:t>
      </w:r>
      <w:r>
        <w:rPr>
          <w:w w:val="100"/>
        </w:rPr>
        <w:t>年度非公开发行</w:t>
      </w:r>
      <w:r>
        <w:rPr>
          <w:rFonts w:ascii="宋体" w:hAnsi="宋体" w:cs="宋体" w:eastAsia="宋体" w:hint="default"/>
          <w:w w:val="100"/>
        </w:rPr>
        <w:t>A</w:t>
      </w:r>
      <w:r>
        <w:rPr>
          <w:w w:val="100"/>
        </w:rPr>
        <w:t>股股票发行方案的议</w:t>
      </w:r>
      <w:r>
        <w:rPr>
          <w:spacing w:val="-101"/>
          <w:w w:val="100"/>
        </w:rPr>
        <w:t> </w:t>
      </w:r>
      <w:r>
        <w:rPr>
          <w:spacing w:val="-101"/>
          <w:w w:val="100"/>
        </w:rPr>
      </w:r>
      <w:r>
        <w:rPr>
          <w:spacing w:val="-10"/>
          <w:w w:val="100"/>
        </w:rPr>
        <w:t>案》、《关于公司</w:t>
      </w:r>
      <w:r>
        <w:rPr>
          <w:rFonts w:ascii="宋体" w:hAnsi="宋体" w:cs="宋体" w:eastAsia="宋体" w:hint="default"/>
          <w:spacing w:val="-10"/>
          <w:w w:val="100"/>
        </w:rPr>
        <w:t>2019</w:t>
      </w:r>
      <w:r>
        <w:rPr>
          <w:spacing w:val="-10"/>
          <w:w w:val="100"/>
        </w:rPr>
        <w:t>年度非公开发行</w:t>
      </w:r>
      <w:r>
        <w:rPr>
          <w:rFonts w:ascii="宋体" w:hAnsi="宋体" w:cs="宋体" w:eastAsia="宋体" w:hint="default"/>
          <w:spacing w:val="-10"/>
          <w:w w:val="100"/>
        </w:rPr>
        <w:t>A</w:t>
      </w:r>
      <w:r>
        <w:rPr>
          <w:spacing w:val="-10"/>
          <w:w w:val="100"/>
        </w:rPr>
        <w:t>股股票预案的议案》、《关于公司</w:t>
      </w:r>
      <w:r>
        <w:rPr>
          <w:rFonts w:ascii="宋体" w:hAnsi="宋体" w:cs="宋体" w:eastAsia="宋体" w:hint="default"/>
          <w:spacing w:val="-10"/>
          <w:w w:val="100"/>
        </w:rPr>
        <w:t>2019</w:t>
      </w:r>
      <w:r>
        <w:rPr>
          <w:spacing w:val="-10"/>
          <w:w w:val="100"/>
        </w:rPr>
        <w:t>年度非公开发行</w:t>
      </w:r>
      <w:r>
        <w:rPr>
          <w:rFonts w:ascii="宋体" w:hAnsi="宋体" w:cs="宋体" w:eastAsia="宋体" w:hint="default"/>
          <w:spacing w:val="-10"/>
          <w:w w:val="100"/>
        </w:rPr>
        <w:t>A</w:t>
      </w:r>
      <w:r>
        <w:rPr>
          <w:spacing w:val="-10"/>
          <w:w w:val="100"/>
        </w:rPr>
        <w:t>股股票募集资</w:t>
      </w:r>
      <w:r>
        <w:rPr>
          <w:spacing w:val="-79"/>
          <w:w w:val="100"/>
        </w:rPr>
        <w:t> </w:t>
      </w:r>
      <w:r>
        <w:rPr>
          <w:spacing w:val="-79"/>
          <w:w w:val="100"/>
        </w:rPr>
      </w:r>
      <w:r>
        <w:rPr/>
        <w:t>金使用可行性分析报告的议案》等相关议案；</w:t>
      </w:r>
    </w:p>
    <w:p>
      <w:pPr>
        <w:pStyle w:val="BodyText"/>
        <w:spacing w:line="348" w:lineRule="auto" w:before="70"/>
        <w:ind w:right="1124" w:firstLine="422"/>
        <w:jc w:val="both"/>
      </w:pPr>
      <w:r>
        <w:rPr/>
        <w:t>（</w:t>
      </w: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16</w:t>
      </w:r>
      <w:r>
        <w:rPr/>
        <w:t>日，公司召开了</w:t>
      </w:r>
      <w:r>
        <w:rPr>
          <w:rFonts w:ascii="宋体" w:hAnsi="宋体" w:cs="宋体" w:eastAsia="宋体" w:hint="default"/>
        </w:rPr>
        <w:t>2019</w:t>
      </w:r>
      <w:r>
        <w:rPr>
          <w:rFonts w:ascii="宋体" w:hAnsi="宋体" w:cs="宋体" w:eastAsia="宋体" w:hint="default"/>
          <w:spacing w:val="-21"/>
        </w:rPr>
        <w:t> </w:t>
      </w:r>
      <w:r>
        <w:rPr/>
        <w:t>年第三次临时股东大会，审议并通过上述董事会审议通过的</w:t>
      </w:r>
      <w:r>
        <w:rPr>
          <w:w w:val="100"/>
        </w:rPr>
        <w:t> </w:t>
      </w:r>
      <w:r>
        <w:rPr/>
        <w:t>所有议案；</w:t>
      </w:r>
    </w:p>
    <w:p>
      <w:pPr>
        <w:pStyle w:val="BodyText"/>
        <w:spacing w:line="348" w:lineRule="auto" w:before="72"/>
        <w:ind w:right="1122" w:firstLine="422"/>
        <w:jc w:val="both"/>
      </w:pPr>
      <w:r>
        <w:rPr>
          <w:spacing w:val="-2"/>
        </w:rPr>
        <w:t>（</w:t>
      </w:r>
      <w:r>
        <w:rPr>
          <w:rFonts w:ascii="宋体" w:hAnsi="宋体" w:cs="宋体" w:eastAsia="宋体" w:hint="default"/>
          <w:spacing w:val="-2"/>
        </w:rPr>
        <w:t>4</w:t>
      </w:r>
      <w:r>
        <w:rPr>
          <w:spacing w:val="-2"/>
        </w:rPr>
        <w:t>）公司按照规定，于</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w:t>
      </w:r>
      <w:r>
        <w:rPr>
          <w:spacing w:val="-2"/>
        </w:rPr>
        <w:t>日及时将非公开发行股票相关申报资料报送至证监会，</w:t>
      </w:r>
      <w:r>
        <w:rPr>
          <w:rFonts w:ascii="宋体" w:hAnsi="宋体" w:cs="宋体" w:eastAsia="宋体" w:hint="default"/>
          <w:spacing w:val="-2"/>
        </w:rPr>
        <w:t>2019</w:t>
      </w:r>
      <w:r>
        <w:rPr>
          <w:spacing w:val="-2"/>
        </w:rPr>
        <w:t>年</w:t>
      </w:r>
      <w:r>
        <w:rPr>
          <w:rFonts w:ascii="宋体" w:hAnsi="宋体" w:cs="宋体" w:eastAsia="宋体" w:hint="default"/>
          <w:spacing w:val="-2"/>
        </w:rPr>
        <w:t>11</w:t>
      </w:r>
      <w:r>
        <w:rPr>
          <w:rFonts w:ascii="宋体" w:hAnsi="宋体" w:cs="宋体" w:eastAsia="宋体" w:hint="default"/>
          <w:w w:val="100"/>
        </w:rPr>
        <w:t> </w:t>
      </w:r>
      <w:r>
        <w:rPr>
          <w:spacing w:val="-5"/>
          <w:w w:val="100"/>
        </w:rPr>
        <w:t>月</w:t>
      </w:r>
      <w:r>
        <w:rPr>
          <w:rFonts w:ascii="宋体" w:hAnsi="宋体" w:cs="宋体" w:eastAsia="宋体" w:hint="default"/>
          <w:spacing w:val="-5"/>
          <w:w w:val="100"/>
        </w:rPr>
        <w:t>7</w:t>
      </w:r>
      <w:r>
        <w:rPr>
          <w:spacing w:val="-5"/>
          <w:w w:val="100"/>
        </w:rPr>
        <w:t>日，公司披露了《关于非公开发行股票申请获得中国证监会受理的公告》；</w:t>
      </w:r>
    </w:p>
    <w:p>
      <w:pPr>
        <w:pStyle w:val="BodyText"/>
        <w:spacing w:line="348" w:lineRule="auto" w:before="72"/>
        <w:ind w:right="1124" w:firstLine="316"/>
        <w:jc w:val="both"/>
      </w:pPr>
      <w:r>
        <w:rPr>
          <w:spacing w:val="-2"/>
        </w:rPr>
        <w:t>（</w:t>
      </w:r>
      <w:r>
        <w:rPr>
          <w:rFonts w:ascii="宋体" w:hAnsi="宋体" w:cs="宋体" w:eastAsia="宋体" w:hint="default"/>
          <w:spacing w:val="-2"/>
        </w:rPr>
        <w:t>5</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16</w:t>
      </w:r>
      <w:r>
        <w:rPr>
          <w:spacing w:val="-2"/>
        </w:rPr>
        <w:t>日，公司收到中国证监会出具的《中国证监会行政许可项目审查一次反馈意见通知</w:t>
      </w:r>
      <w:r>
        <w:rPr>
          <w:w w:val="100"/>
        </w:rPr>
        <w:t> </w:t>
      </w:r>
      <w:r>
        <w:rPr>
          <w:spacing w:val="-8"/>
          <w:w w:val="100"/>
        </w:rPr>
        <w:t>书》（</w:t>
      </w:r>
      <w:r>
        <w:rPr>
          <w:rFonts w:ascii="宋体" w:hAnsi="宋体" w:cs="宋体" w:eastAsia="宋体" w:hint="default"/>
          <w:spacing w:val="-8"/>
          <w:w w:val="100"/>
        </w:rPr>
        <w:t>192733</w:t>
      </w:r>
      <w:r>
        <w:rPr>
          <w:spacing w:val="-8"/>
          <w:w w:val="100"/>
        </w:rPr>
        <w:t>号），</w:t>
      </w:r>
      <w:r>
        <w:rPr>
          <w:rFonts w:ascii="宋体" w:hAnsi="宋体" w:cs="宋体" w:eastAsia="宋体" w:hint="default"/>
          <w:spacing w:val="-8"/>
          <w:w w:val="100"/>
        </w:rPr>
        <w:t>2019</w:t>
      </w:r>
      <w:r>
        <w:rPr>
          <w:spacing w:val="-8"/>
          <w:w w:val="100"/>
        </w:rPr>
        <w:t>年</w:t>
      </w:r>
      <w:r>
        <w:rPr>
          <w:rFonts w:ascii="宋体" w:hAnsi="宋体" w:cs="宋体" w:eastAsia="宋体" w:hint="default"/>
          <w:spacing w:val="-8"/>
          <w:w w:val="100"/>
        </w:rPr>
        <w:t>12</w:t>
      </w:r>
      <w:r>
        <w:rPr>
          <w:spacing w:val="-8"/>
          <w:w w:val="100"/>
        </w:rPr>
        <w:t>月</w:t>
      </w:r>
      <w:r>
        <w:rPr>
          <w:rFonts w:ascii="宋体" w:hAnsi="宋体" w:cs="宋体" w:eastAsia="宋体" w:hint="default"/>
          <w:spacing w:val="-8"/>
          <w:w w:val="100"/>
        </w:rPr>
        <w:t>18</w:t>
      </w:r>
      <w:r>
        <w:rPr>
          <w:spacing w:val="-8"/>
          <w:w w:val="100"/>
        </w:rPr>
        <w:t>日，公司披露了《关于收到非公开发行股票反馈意见的公告》；</w:t>
      </w:r>
    </w:p>
    <w:p>
      <w:pPr>
        <w:pStyle w:val="BodyText"/>
        <w:spacing w:line="348" w:lineRule="auto" w:before="73"/>
        <w:ind w:right="1127" w:firstLine="316"/>
        <w:jc w:val="both"/>
      </w:pPr>
      <w:r>
        <w:rPr>
          <w:spacing w:val="-2"/>
        </w:rPr>
        <w:t>（</w:t>
      </w:r>
      <w:r>
        <w:rPr>
          <w:rFonts w:ascii="宋体" w:hAnsi="宋体" w:cs="宋体" w:eastAsia="宋体" w:hint="default"/>
          <w:spacing w:val="-2"/>
        </w:rPr>
        <w:t>6</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28</w:t>
      </w:r>
      <w:r>
        <w:rPr>
          <w:spacing w:val="-2"/>
        </w:rPr>
        <w:t>日，公司披露了《关于对</w:t>
      </w:r>
      <w:r>
        <w:rPr>
          <w:rFonts w:ascii="宋体" w:hAnsi="宋体" w:cs="宋体" w:eastAsia="宋体" w:hint="default"/>
          <w:spacing w:val="-2"/>
        </w:rPr>
        <w:t>&lt;</w:t>
      </w:r>
      <w:r>
        <w:rPr>
          <w:spacing w:val="-2"/>
        </w:rPr>
        <w:t>中国证监会行政许可项目审查一次反馈意见通知书</w:t>
      </w:r>
      <w:r>
        <w:rPr>
          <w:rFonts w:ascii="宋体" w:hAnsi="宋体" w:cs="宋体" w:eastAsia="宋体" w:hint="default"/>
          <w:spacing w:val="-2"/>
        </w:rPr>
        <w:t>&gt;</w:t>
      </w:r>
      <w:r>
        <w:rPr>
          <w:spacing w:val="-2"/>
        </w:rPr>
        <w:t>反馈</w:t>
      </w:r>
      <w:r>
        <w:rPr>
          <w:w w:val="100"/>
        </w:rPr>
        <w:t> </w:t>
      </w:r>
      <w:r>
        <w:rPr>
          <w:spacing w:val="-2"/>
          <w:w w:val="100"/>
        </w:rPr>
        <w:t>意见回复的公告》，同时披露了关于非公开发行股票申请文件反馈意见的回复；同日，非公开发行股票申</w:t>
      </w:r>
      <w:r>
        <w:rPr>
          <w:spacing w:val="-99"/>
          <w:w w:val="100"/>
        </w:rPr>
        <w:t> </w:t>
      </w:r>
      <w:r>
        <w:rPr>
          <w:spacing w:val="-99"/>
          <w:w w:val="100"/>
        </w:rPr>
      </w:r>
      <w:r>
        <w:rPr/>
        <w:t>请文件反馈意见的回复等有关资料按照规定及时报送至证监会；</w:t>
      </w:r>
    </w:p>
    <w:p>
      <w:pPr>
        <w:pStyle w:val="BodyText"/>
        <w:spacing w:line="240" w:lineRule="auto" w:before="72"/>
        <w:ind w:left="430" w:right="1002"/>
        <w:jc w:val="left"/>
      </w:pPr>
      <w:r>
        <w:rPr/>
        <w:t>（</w:t>
      </w:r>
      <w:r>
        <w:rPr>
          <w:rFonts w:ascii="宋体" w:hAnsi="宋体" w:cs="宋体" w:eastAsia="宋体" w:hint="default"/>
        </w:rPr>
        <w:t>7</w:t>
      </w:r>
      <w:r>
        <w:rPr/>
        <w:t>）截至本报告披露日且非本报告内，非公开发行股票进展事项，具体如下：</w:t>
      </w:r>
    </w:p>
    <w:p>
      <w:pPr>
        <w:pStyle w:val="BodyText"/>
        <w:spacing w:line="345" w:lineRule="auto" w:before="167"/>
        <w:ind w:right="1123" w:firstLine="422"/>
        <w:jc w:val="both"/>
      </w:pPr>
      <w:r>
        <w:rPr>
          <w:spacing w:val="-4"/>
          <w:w w:val="100"/>
        </w:rPr>
        <w:t>①根据</w:t>
      </w:r>
      <w:r>
        <w:rPr>
          <w:rFonts w:ascii="宋体" w:hAnsi="宋体" w:cs="宋体" w:eastAsia="宋体" w:hint="default"/>
          <w:spacing w:val="-4"/>
          <w:w w:val="100"/>
        </w:rPr>
        <w:t>2020</w:t>
      </w:r>
      <w:r>
        <w:rPr>
          <w:spacing w:val="-4"/>
          <w:w w:val="100"/>
        </w:rPr>
        <w:t>年</w:t>
      </w:r>
      <w:r>
        <w:rPr>
          <w:rFonts w:ascii="宋体" w:hAnsi="宋体" w:cs="宋体" w:eastAsia="宋体" w:hint="default"/>
          <w:spacing w:val="-4"/>
          <w:w w:val="100"/>
        </w:rPr>
        <w:t>2</w:t>
      </w:r>
      <w:r>
        <w:rPr>
          <w:spacing w:val="-4"/>
          <w:w w:val="100"/>
        </w:rPr>
        <w:t>月</w:t>
      </w:r>
      <w:r>
        <w:rPr>
          <w:rFonts w:ascii="宋体" w:hAnsi="宋体" w:cs="宋体" w:eastAsia="宋体" w:hint="default"/>
          <w:spacing w:val="-4"/>
          <w:w w:val="100"/>
        </w:rPr>
        <w:t>14</w:t>
      </w:r>
      <w:r>
        <w:rPr>
          <w:spacing w:val="-4"/>
          <w:w w:val="100"/>
        </w:rPr>
        <w:t>日中国证监会发布的《关于修改</w:t>
      </w:r>
      <w:r>
        <w:rPr>
          <w:rFonts w:ascii="宋体" w:hAnsi="宋体" w:cs="宋体" w:eastAsia="宋体" w:hint="default"/>
          <w:spacing w:val="-4"/>
          <w:w w:val="100"/>
        </w:rPr>
        <w:t>&lt;</w:t>
      </w:r>
      <w:r>
        <w:rPr>
          <w:spacing w:val="-4"/>
          <w:w w:val="100"/>
        </w:rPr>
        <w:t>上市公司证券发行管理办法</w:t>
      </w:r>
      <w:r>
        <w:rPr>
          <w:rFonts w:ascii="宋体" w:hAnsi="宋体" w:cs="宋体" w:eastAsia="宋体" w:hint="default"/>
          <w:spacing w:val="-4"/>
          <w:w w:val="100"/>
        </w:rPr>
        <w:t>&gt;</w:t>
      </w:r>
      <w:r>
        <w:rPr>
          <w:spacing w:val="-4"/>
          <w:w w:val="100"/>
        </w:rPr>
        <w:t>的决定》、《关于修</w:t>
      </w:r>
      <w:r>
        <w:rPr>
          <w:w w:val="100"/>
        </w:rPr>
        <w:t> </w:t>
      </w:r>
      <w:r>
        <w:rPr>
          <w:spacing w:val="-6"/>
          <w:w w:val="100"/>
        </w:rPr>
        <w:t>改</w:t>
      </w:r>
      <w:r>
        <w:rPr>
          <w:rFonts w:ascii="宋体" w:hAnsi="宋体" w:cs="宋体" w:eastAsia="宋体" w:hint="default"/>
          <w:spacing w:val="-6"/>
          <w:w w:val="100"/>
        </w:rPr>
        <w:t>&lt;</w:t>
      </w:r>
      <w:r>
        <w:rPr>
          <w:spacing w:val="-6"/>
          <w:w w:val="100"/>
        </w:rPr>
        <w:t>上市公司非公开发行股票实施细则</w:t>
      </w:r>
      <w:r>
        <w:rPr>
          <w:rFonts w:ascii="宋体" w:hAnsi="宋体" w:cs="宋体" w:eastAsia="宋体" w:hint="default"/>
          <w:spacing w:val="-6"/>
          <w:w w:val="100"/>
        </w:rPr>
        <w:t>&gt;</w:t>
      </w:r>
      <w:r>
        <w:rPr>
          <w:spacing w:val="-6"/>
          <w:w w:val="100"/>
        </w:rPr>
        <w:t>的决定》、《发行监管问答</w:t>
      </w:r>
      <w:r>
        <w:rPr>
          <w:rFonts w:ascii="Times New Roman" w:hAnsi="Times New Roman" w:cs="Times New Roman" w:eastAsia="Times New Roman" w:hint="default"/>
          <w:spacing w:val="-6"/>
          <w:w w:val="100"/>
        </w:rPr>
        <w:t>——</w:t>
      </w:r>
      <w:r>
        <w:rPr>
          <w:spacing w:val="-6"/>
          <w:w w:val="100"/>
        </w:rPr>
        <w:t>关于引导规范上市公司融资行为的监</w:t>
      </w:r>
      <w:r>
        <w:rPr>
          <w:spacing w:val="-102"/>
          <w:w w:val="100"/>
        </w:rPr>
        <w:t> </w:t>
      </w:r>
      <w:r>
        <w:rPr>
          <w:spacing w:val="-102"/>
          <w:w w:val="100"/>
        </w:rPr>
      </w:r>
      <w:r>
        <w:rPr>
          <w:spacing w:val="-2"/>
        </w:rPr>
        <w:t>管要求》以及证券市场变化情况，为保证本次非公开发行股票顺利实施，拟对前述公司非公开发行股票方</w:t>
      </w:r>
      <w:r>
        <w:rPr>
          <w:spacing w:val="-33"/>
        </w:rPr>
        <w:t> </w:t>
      </w:r>
      <w:r>
        <w:rPr>
          <w:spacing w:val="-33"/>
        </w:rPr>
      </w:r>
      <w:r>
        <w:rPr>
          <w:spacing w:val="-15"/>
          <w:w w:val="100"/>
        </w:rPr>
        <w:t>案中的“发行方式和发行时间”、“定价基准日、发行价格和定价原则”、“发行数量”、“发行对象及认购方</w:t>
      </w:r>
      <w:r>
        <w:rPr>
          <w:spacing w:val="-86"/>
          <w:w w:val="100"/>
        </w:rPr>
        <w:t> </w:t>
      </w:r>
      <w:r>
        <w:rPr>
          <w:spacing w:val="-86"/>
          <w:w w:val="100"/>
        </w:rPr>
      </w:r>
      <w:r>
        <w:rPr>
          <w:spacing w:val="-4"/>
          <w:w w:val="100"/>
        </w:rPr>
        <w:t>式”、“限售期”等进行调整修订；公司于</w:t>
      </w:r>
      <w:r>
        <w:rPr>
          <w:rFonts w:ascii="宋体" w:hAnsi="宋体" w:cs="宋体" w:eastAsia="宋体" w:hint="default"/>
          <w:spacing w:val="-4"/>
          <w:w w:val="100"/>
        </w:rPr>
        <w:t>2020</w:t>
      </w:r>
      <w:r>
        <w:rPr>
          <w:spacing w:val="-4"/>
          <w:w w:val="100"/>
        </w:rPr>
        <w:t>年</w:t>
      </w:r>
      <w:r>
        <w:rPr>
          <w:rFonts w:ascii="宋体" w:hAnsi="宋体" w:cs="宋体" w:eastAsia="宋体" w:hint="default"/>
          <w:spacing w:val="-4"/>
          <w:w w:val="100"/>
        </w:rPr>
        <w:t>2</w:t>
      </w:r>
      <w:r>
        <w:rPr>
          <w:spacing w:val="-4"/>
          <w:w w:val="100"/>
        </w:rPr>
        <w:t>月</w:t>
      </w:r>
      <w:r>
        <w:rPr>
          <w:rFonts w:ascii="宋体" w:hAnsi="宋体" w:cs="宋体" w:eastAsia="宋体" w:hint="default"/>
          <w:spacing w:val="-4"/>
          <w:w w:val="100"/>
        </w:rPr>
        <w:t>19</w:t>
      </w:r>
      <w:r>
        <w:rPr>
          <w:spacing w:val="-4"/>
          <w:w w:val="100"/>
        </w:rPr>
        <w:t>日召开第八届董事会第十二次会议和第八届监事会</w:t>
      </w:r>
      <w:r>
        <w:rPr>
          <w:spacing w:val="-95"/>
          <w:w w:val="100"/>
        </w:rPr>
        <w:t> </w:t>
      </w:r>
      <w:r>
        <w:rPr>
          <w:spacing w:val="-95"/>
          <w:w w:val="100"/>
        </w:rPr>
      </w:r>
      <w:r>
        <w:rPr>
          <w:spacing w:val="3"/>
        </w:rPr>
        <w:t>第十次会议对前述公司非公开发行股票方案中的部分发行条件进行调整修订，并在</w:t>
      </w:r>
      <w:r>
        <w:rPr>
          <w:rFonts w:ascii="宋体" w:hAnsi="宋体" w:cs="宋体" w:eastAsia="宋体" w:hint="default"/>
          <w:spacing w:val="3"/>
        </w:rPr>
        <w:t>2020</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12</w:t>
      </w:r>
      <w:r>
        <w:rPr>
          <w:spacing w:val="3"/>
        </w:rPr>
        <w:t>日召开</w:t>
      </w:r>
      <w:r>
        <w:rPr>
          <w:spacing w:val="14"/>
        </w:rPr>
        <w:t> </w:t>
      </w:r>
      <w:r>
        <w:rPr>
          <w:rFonts w:ascii="宋体" w:hAnsi="宋体" w:cs="宋体" w:eastAsia="宋体" w:hint="default"/>
        </w:rPr>
        <w:t>2020</w:t>
      </w:r>
      <w:r>
        <w:rPr/>
        <w:t>年第一次临时股东大会审议通过了关于非公开发行股票方案调整相关事项的议案；</w:t>
      </w:r>
    </w:p>
    <w:p>
      <w:pPr>
        <w:pStyle w:val="BodyText"/>
        <w:spacing w:line="350" w:lineRule="auto" w:before="69"/>
        <w:ind w:right="1123" w:firstLine="422"/>
        <w:jc w:val="both"/>
      </w:pPr>
      <w:r>
        <w:rPr>
          <w:spacing w:val="-2"/>
        </w:rPr>
        <w:t>②</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9</w:t>
      </w:r>
      <w:r>
        <w:rPr>
          <w:spacing w:val="-2"/>
        </w:rPr>
        <w:t>日，公司收到中国证监会出具的《关于请做好中电兴发非公开发行股票申请发审委会议</w:t>
      </w:r>
      <w:r>
        <w:rPr>
          <w:w w:val="100"/>
        </w:rPr>
        <w:t> </w:t>
      </w:r>
      <w:r>
        <w:rPr>
          <w:spacing w:val="-4"/>
          <w:w w:val="100"/>
        </w:rPr>
        <w:t>准备工作的函》，并就告知函所提问题逐条进行了认真的分析、核查以及回复说明；于</w:t>
      </w:r>
      <w:r>
        <w:rPr>
          <w:rFonts w:ascii="宋体" w:hAnsi="宋体" w:cs="宋体" w:eastAsia="宋体" w:hint="default"/>
          <w:spacing w:val="-4"/>
          <w:w w:val="100"/>
        </w:rPr>
        <w:t>2020</w:t>
      </w:r>
      <w:r>
        <w:rPr>
          <w:spacing w:val="-4"/>
          <w:w w:val="100"/>
        </w:rPr>
        <w:t>年</w:t>
      </w:r>
      <w:r>
        <w:rPr>
          <w:rFonts w:ascii="宋体" w:hAnsi="宋体" w:cs="宋体" w:eastAsia="宋体" w:hint="default"/>
          <w:spacing w:val="-4"/>
          <w:w w:val="100"/>
        </w:rPr>
        <w:t>4</w:t>
      </w:r>
      <w:r>
        <w:rPr>
          <w:spacing w:val="-4"/>
          <w:w w:val="100"/>
        </w:rPr>
        <w:t>月</w:t>
      </w:r>
      <w:r>
        <w:rPr>
          <w:rFonts w:ascii="宋体" w:hAnsi="宋体" w:cs="宋体" w:eastAsia="宋体" w:hint="default"/>
          <w:spacing w:val="-4"/>
          <w:w w:val="100"/>
        </w:rPr>
        <w:t>21</w:t>
      </w:r>
      <w:r>
        <w:rPr>
          <w:spacing w:val="-4"/>
          <w:w w:val="100"/>
        </w:rPr>
        <w:t>日披露</w:t>
      </w:r>
      <w:r>
        <w:rPr>
          <w:spacing w:val="-89"/>
          <w:w w:val="100"/>
        </w:rPr>
        <w:t> </w:t>
      </w:r>
      <w:r>
        <w:rPr>
          <w:spacing w:val="-89"/>
          <w:w w:val="100"/>
        </w:rPr>
      </w:r>
      <w:r>
        <w:rPr>
          <w:spacing w:val="-2"/>
        </w:rPr>
        <w:t>了《关于非公开发行股票发审委会议准备工作告知函回复的公告》和《安徽中电兴发与鑫龙科技股份有限</w:t>
      </w:r>
      <w:r>
        <w:rPr>
          <w:spacing w:val="-31"/>
        </w:rPr>
        <w:t> </w:t>
      </w:r>
      <w:r>
        <w:rPr>
          <w:spacing w:val="-31"/>
        </w:rPr>
      </w:r>
      <w:r>
        <w:rPr/>
        <w:t>公司与中航证券有限公司关于</w:t>
      </w:r>
      <w:r>
        <w:rPr>
          <w:rFonts w:ascii="宋体" w:hAnsi="宋体" w:cs="宋体" w:eastAsia="宋体" w:hint="default"/>
        </w:rPr>
        <w:t>&lt;</w:t>
      </w:r>
      <w:r>
        <w:rPr/>
        <w:t>关于请做好中电兴发非公开发行股票申请发审委会议准备工作的函</w:t>
      </w:r>
      <w:r>
        <w:rPr>
          <w:rFonts w:ascii="宋体" w:hAnsi="宋体" w:cs="宋体" w:eastAsia="宋体" w:hint="default"/>
        </w:rPr>
        <w:t>&gt;</w:t>
      </w:r>
      <w:r>
        <w:rPr/>
        <w:t>的回</w:t>
      </w:r>
      <w:r>
        <w:rPr>
          <w:spacing w:val="67"/>
        </w:rPr>
        <w:t> </w:t>
      </w:r>
      <w:r>
        <w:rPr>
          <w:spacing w:val="-36"/>
          <w:w w:val="100"/>
        </w:rPr>
        <w:t>复》；</w:t>
      </w:r>
    </w:p>
    <w:p>
      <w:pPr>
        <w:pStyle w:val="BodyText"/>
        <w:spacing w:line="352" w:lineRule="auto" w:before="65"/>
        <w:ind w:right="1211" w:firstLine="422"/>
        <w:jc w:val="both"/>
      </w:pPr>
      <w:r>
        <w:rPr>
          <w:spacing w:val="-2"/>
        </w:rPr>
        <w:t>③</w:t>
      </w: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日，中国证监会发行审核委员会对本公司非公开发行股票的申请进行了审核。根据审</w:t>
      </w:r>
      <w:r>
        <w:rPr>
          <w:w w:val="100"/>
        </w:rPr>
        <w:t> </w:t>
      </w:r>
      <w:r>
        <w:rPr/>
        <w:t>核结果，公司本次非公开发行股票申请获得通过，次日公司披露了相关公告。</w:t>
      </w:r>
    </w:p>
    <w:p>
      <w:pPr>
        <w:pStyle w:val="Heading5"/>
        <w:spacing w:line="240" w:lineRule="auto" w:before="68"/>
        <w:ind w:left="535" w:right="1002"/>
        <w:jc w:val="left"/>
        <w:rPr>
          <w:b w:val="0"/>
          <w:bCs w:val="0"/>
        </w:rPr>
      </w:pPr>
      <w:r>
        <w:rPr>
          <w:rFonts w:ascii="宋体" w:hAnsi="宋体" w:cs="宋体" w:eastAsia="宋体" w:hint="default"/>
        </w:rPr>
        <w:t>10</w:t>
      </w:r>
      <w:r>
        <w:rPr/>
        <w:t>、股东增减持公司股份</w:t>
      </w:r>
      <w:r>
        <w:rPr>
          <w:b w:val="0"/>
          <w:bCs w:val="0"/>
        </w:rPr>
      </w:r>
    </w:p>
    <w:p>
      <w:pPr>
        <w:pStyle w:val="BodyText"/>
        <w:spacing w:line="350" w:lineRule="auto" w:before="162"/>
        <w:ind w:right="1123" w:firstLine="316"/>
        <w:jc w:val="both"/>
      </w:pPr>
      <w:r>
        <w:rPr>
          <w:spacing w:val="-2"/>
        </w:rPr>
        <w:t>（</w:t>
      </w:r>
      <w:r>
        <w:rPr>
          <w:rFonts w:ascii="宋体" w:hAnsi="宋体" w:cs="宋体" w:eastAsia="宋体" w:hint="default"/>
          <w:spacing w:val="-2"/>
        </w:rPr>
        <w:t>1</w:t>
      </w:r>
      <w:r>
        <w:rPr>
          <w:spacing w:val="-2"/>
        </w:rPr>
        <w:t>）根据</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11</w:t>
      </w:r>
      <w:r>
        <w:rPr>
          <w:spacing w:val="-2"/>
        </w:rPr>
        <w:t>日公司披露了束龙胜先生减持股份预披露的公告和瞿洪桂先生计划增持公司股</w:t>
      </w:r>
      <w:r>
        <w:rPr>
          <w:w w:val="100"/>
        </w:rPr>
        <w:t> </w:t>
      </w:r>
      <w:r>
        <w:rPr/>
        <w:t>份的公告，主要内容：自本公告发布之日起</w:t>
      </w:r>
      <w:r>
        <w:rPr>
          <w:rFonts w:ascii="宋体" w:hAnsi="宋体" w:cs="宋体" w:eastAsia="宋体" w:hint="default"/>
        </w:rPr>
        <w:t>3</w:t>
      </w:r>
      <w:r>
        <w:rPr/>
        <w:t>个交易日后的六个月内以大宗交易方式增减持本公司股份不</w:t>
      </w:r>
      <w:r>
        <w:rPr>
          <w:spacing w:val="-29"/>
        </w:rPr>
        <w:t> </w:t>
      </w:r>
      <w:r>
        <w:rPr>
          <w:spacing w:val="-29"/>
        </w:rPr>
      </w:r>
      <w:r>
        <w:rPr>
          <w:spacing w:val="-2"/>
        </w:rPr>
        <w:t>超过</w:t>
      </w:r>
      <w:r>
        <w:rPr>
          <w:rFonts w:ascii="宋体" w:hAnsi="宋体" w:cs="宋体" w:eastAsia="宋体" w:hint="default"/>
          <w:spacing w:val="-2"/>
        </w:rPr>
        <w:t>1,626</w:t>
      </w:r>
      <w:r>
        <w:rPr>
          <w:spacing w:val="-2"/>
        </w:rPr>
        <w:t>万股（减持比例不超过本公司总股本的</w:t>
      </w:r>
      <w:r>
        <w:rPr>
          <w:rFonts w:ascii="宋体" w:hAnsi="宋体" w:cs="宋体" w:eastAsia="宋体" w:hint="default"/>
          <w:spacing w:val="-2"/>
        </w:rPr>
        <w:t>2.36%</w:t>
      </w:r>
      <w:r>
        <w:rPr>
          <w:spacing w:val="-2"/>
        </w:rPr>
        <w:t>，且任意连续</w:t>
      </w:r>
      <w:r>
        <w:rPr>
          <w:rFonts w:ascii="宋体" w:hAnsi="宋体" w:cs="宋体" w:eastAsia="宋体" w:hint="default"/>
          <w:spacing w:val="-2"/>
        </w:rPr>
        <w:t>90</w:t>
      </w:r>
      <w:r>
        <w:rPr>
          <w:spacing w:val="-2"/>
        </w:rPr>
        <w:t>个自然日内减持比例不超过本公司</w:t>
      </w:r>
      <w:r>
        <w:rPr>
          <w:spacing w:val="-20"/>
        </w:rPr>
        <w:t> </w:t>
      </w:r>
      <w:r>
        <w:rPr>
          <w:spacing w:val="-20"/>
        </w:rPr>
      </w:r>
      <w:r>
        <w:rPr>
          <w:spacing w:val="-2"/>
          <w:w w:val="100"/>
        </w:rPr>
        <w:t>总股本的</w:t>
      </w:r>
      <w:r>
        <w:rPr>
          <w:rFonts w:ascii="宋体" w:hAnsi="宋体" w:cs="宋体" w:eastAsia="宋体" w:hint="default"/>
          <w:spacing w:val="-2"/>
          <w:w w:val="100"/>
        </w:rPr>
        <w:t>2%</w:t>
      </w:r>
      <w:r>
        <w:rPr>
          <w:spacing w:val="-2"/>
          <w:w w:val="100"/>
        </w:rPr>
        <w:t>），符合相关规定；</w:t>
      </w:r>
      <w:r>
        <w:rPr>
          <w:rFonts w:ascii="宋体" w:hAnsi="宋体" w:cs="宋体" w:eastAsia="宋体" w:hint="default"/>
          <w:spacing w:val="-2"/>
          <w:w w:val="100"/>
        </w:rPr>
        <w:t>2018</w:t>
      </w:r>
      <w:r>
        <w:rPr>
          <w:spacing w:val="-2"/>
          <w:w w:val="100"/>
        </w:rPr>
        <w:t>年</w:t>
      </w:r>
      <w:r>
        <w:rPr>
          <w:rFonts w:ascii="宋体" w:hAnsi="宋体" w:cs="宋体" w:eastAsia="宋体" w:hint="default"/>
          <w:spacing w:val="-2"/>
          <w:w w:val="100"/>
        </w:rPr>
        <w:t>12</w:t>
      </w:r>
      <w:r>
        <w:rPr>
          <w:spacing w:val="-2"/>
          <w:w w:val="100"/>
        </w:rPr>
        <w:t>月</w:t>
      </w:r>
      <w:r>
        <w:rPr>
          <w:rFonts w:ascii="宋体" w:hAnsi="宋体" w:cs="宋体" w:eastAsia="宋体" w:hint="default"/>
          <w:spacing w:val="-2"/>
          <w:w w:val="100"/>
        </w:rPr>
        <w:t>17</w:t>
      </w:r>
      <w:r>
        <w:rPr>
          <w:spacing w:val="-2"/>
          <w:w w:val="100"/>
        </w:rPr>
        <w:t>日至</w:t>
      </w:r>
      <w:r>
        <w:rPr>
          <w:rFonts w:ascii="宋体" w:hAnsi="宋体" w:cs="宋体" w:eastAsia="宋体" w:hint="default"/>
          <w:spacing w:val="-2"/>
          <w:w w:val="100"/>
        </w:rPr>
        <w:t>12</w:t>
      </w:r>
      <w:r>
        <w:rPr>
          <w:spacing w:val="-2"/>
          <w:w w:val="100"/>
        </w:rPr>
        <w:t>月</w:t>
      </w:r>
      <w:r>
        <w:rPr>
          <w:rFonts w:ascii="宋体" w:hAnsi="宋体" w:cs="宋体" w:eastAsia="宋体" w:hint="default"/>
          <w:spacing w:val="-2"/>
          <w:w w:val="100"/>
        </w:rPr>
        <w:t>28</w:t>
      </w:r>
      <w:r>
        <w:rPr>
          <w:spacing w:val="-2"/>
          <w:w w:val="100"/>
        </w:rPr>
        <w:t>日，累计交易</w:t>
      </w:r>
      <w:r>
        <w:rPr>
          <w:rFonts w:ascii="宋体" w:hAnsi="宋体" w:cs="宋体" w:eastAsia="宋体" w:hint="default"/>
          <w:spacing w:val="-2"/>
          <w:w w:val="100"/>
        </w:rPr>
        <w:t>1308</w:t>
      </w:r>
      <w:r>
        <w:rPr>
          <w:spacing w:val="-2"/>
          <w:w w:val="100"/>
        </w:rPr>
        <w:t>万股，期间同时披露了《详式</w:t>
      </w:r>
    </w:p>
    <w:p>
      <w:pPr>
        <w:spacing w:after="0" w:line="35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240" w:lineRule="auto"/>
        <w:ind w:right="0"/>
        <w:jc w:val="both"/>
      </w:pPr>
      <w:r>
        <w:rPr>
          <w:w w:val="100"/>
        </w:rPr>
        <w:t>权益变动</w:t>
      </w:r>
      <w:r>
        <w:rPr>
          <w:spacing w:val="-5"/>
          <w:w w:val="100"/>
        </w:rPr>
        <w:t>报</w:t>
      </w:r>
      <w:r>
        <w:rPr>
          <w:w w:val="100"/>
        </w:rPr>
        <w:t>告书》</w:t>
      </w:r>
      <w:r>
        <w:rPr>
          <w:spacing w:val="-5"/>
          <w:w w:val="100"/>
        </w:rPr>
        <w:t>和</w:t>
      </w:r>
      <w:r>
        <w:rPr>
          <w:w w:val="100"/>
        </w:rPr>
        <w:t>《简式</w:t>
      </w:r>
      <w:r>
        <w:rPr>
          <w:spacing w:val="-5"/>
          <w:w w:val="100"/>
        </w:rPr>
        <w:t>权</w:t>
      </w:r>
      <w:r>
        <w:rPr>
          <w:w w:val="100"/>
        </w:rPr>
        <w:t>益变动</w:t>
      </w:r>
      <w:r>
        <w:rPr>
          <w:spacing w:val="-5"/>
          <w:w w:val="100"/>
        </w:rPr>
        <w:t>报</w:t>
      </w:r>
      <w:r>
        <w:rPr>
          <w:w w:val="100"/>
        </w:rPr>
        <w:t>告书</w:t>
      </w:r>
      <w:r>
        <w:rPr>
          <w:spacing w:val="-106"/>
          <w:w w:val="100"/>
        </w:rPr>
        <w:t>》</w:t>
      </w:r>
      <w:r>
        <w:rPr>
          <w:w w:val="100"/>
        </w:rPr>
        <w:t>；</w:t>
      </w:r>
    </w:p>
    <w:p>
      <w:pPr>
        <w:pStyle w:val="BodyText"/>
        <w:spacing w:line="350" w:lineRule="auto" w:before="166"/>
        <w:ind w:right="1103" w:firstLine="316"/>
        <w:jc w:val="both"/>
      </w:pPr>
      <w:r>
        <w:rPr>
          <w:spacing w:val="-2"/>
        </w:rPr>
        <w:t>（</w:t>
      </w:r>
      <w:r>
        <w:rPr>
          <w:rFonts w:ascii="宋体" w:hAnsi="宋体" w:cs="宋体" w:eastAsia="宋体" w:hint="default"/>
          <w:spacing w:val="-2"/>
        </w:rPr>
        <w:t>2</w:t>
      </w:r>
      <w:r>
        <w:rPr>
          <w:spacing w:val="-2"/>
        </w:rPr>
        <w:t>）报告期内，分别披露了束龙胜先生减持计划暨实施完毕的公告以及瞿洪桂先生增持股份计划暨实</w:t>
      </w:r>
      <w:r>
        <w:rPr>
          <w:w w:val="100"/>
        </w:rPr>
        <w:t> </w:t>
      </w:r>
      <w:r>
        <w:rPr>
          <w:spacing w:val="-2"/>
        </w:rPr>
        <w:t>施完毕的公告，主要内容：束龙胜先生于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日通过大宗交易的方式减持持有公司</w:t>
      </w:r>
      <w:r>
        <w:rPr>
          <w:rFonts w:ascii="宋体" w:hAnsi="宋体" w:cs="宋体" w:eastAsia="宋体" w:hint="default"/>
          <w:spacing w:val="-2"/>
        </w:rPr>
        <w:t>316</w:t>
      </w:r>
      <w:r>
        <w:rPr>
          <w:spacing w:val="-2"/>
        </w:rPr>
        <w:t>万股股票，</w:t>
      </w:r>
      <w:r>
        <w:rPr>
          <w:spacing w:val="-1"/>
        </w:rPr>
        <w:t> </w:t>
      </w:r>
      <w:r>
        <w:rPr>
          <w:spacing w:val="-1"/>
        </w:rPr>
      </w:r>
      <w:r>
        <w:rPr/>
        <w:t>云泽投资</w:t>
      </w:r>
      <w:r>
        <w:rPr>
          <w:rFonts w:ascii="宋体" w:hAnsi="宋体" w:cs="宋体" w:eastAsia="宋体" w:hint="default"/>
        </w:rPr>
        <w:t>1</w:t>
      </w:r>
      <w:r>
        <w:rPr/>
        <w:t>号基金同日受让</w:t>
      </w:r>
      <w:r>
        <w:rPr>
          <w:rFonts w:ascii="宋体" w:hAnsi="宋体" w:cs="宋体" w:eastAsia="宋体" w:hint="default"/>
        </w:rPr>
        <w:t>316</w:t>
      </w:r>
      <w:r>
        <w:rPr/>
        <w:t>万股股票，占公司总股本的</w:t>
      </w:r>
      <w:r>
        <w:rPr>
          <w:rFonts w:ascii="宋体" w:hAnsi="宋体" w:cs="宋体" w:eastAsia="宋体" w:hint="default"/>
        </w:rPr>
        <w:t>0.46%</w:t>
      </w:r>
      <w:r>
        <w:rPr/>
        <w:t>。自此，上述大股东增减持公司股份的交</w:t>
      </w:r>
      <w:r>
        <w:rPr>
          <w:spacing w:val="-30"/>
        </w:rPr>
        <w:t> </w:t>
      </w:r>
      <w:r>
        <w:rPr>
          <w:spacing w:val="-30"/>
        </w:rPr>
      </w:r>
      <w:r>
        <w:rPr/>
        <w:t>易事项按照计划全部完成。瞿洪桂先生直接持有公司</w:t>
      </w:r>
      <w:r>
        <w:rPr>
          <w:rFonts w:ascii="宋体" w:hAnsi="宋体" w:cs="宋体" w:eastAsia="宋体" w:hint="default"/>
        </w:rPr>
        <w:t>127,394,324</w:t>
      </w:r>
      <w:r>
        <w:rPr/>
        <w:t>股，占公司总股本比例的</w:t>
      </w:r>
      <w:r>
        <w:rPr>
          <w:rFonts w:ascii="宋体" w:hAnsi="宋体" w:cs="宋体" w:eastAsia="宋体" w:hint="default"/>
        </w:rPr>
        <w:t>18.42%</w:t>
      </w:r>
      <w:r>
        <w:rPr/>
        <w:t>，通过</w:t>
      </w:r>
      <w:r>
        <w:rPr>
          <w:spacing w:val="-27"/>
        </w:rPr>
        <w:t> </w:t>
      </w:r>
      <w:r>
        <w:rPr/>
        <w:t>其控制的云泽投资公司发行的云泽投资</w:t>
      </w:r>
      <w:r>
        <w:rPr>
          <w:rFonts w:ascii="宋体" w:hAnsi="宋体" w:cs="宋体" w:eastAsia="宋体" w:hint="default"/>
        </w:rPr>
        <w:t>1</w:t>
      </w:r>
      <w:r>
        <w:rPr/>
        <w:t>号私募证券投资基金间接持有公司</w:t>
      </w:r>
      <w:r>
        <w:rPr>
          <w:rFonts w:ascii="宋体" w:hAnsi="宋体" w:cs="宋体" w:eastAsia="宋体" w:hint="default"/>
        </w:rPr>
        <w:t>16,240,000</w:t>
      </w:r>
      <w:r>
        <w:rPr/>
        <w:t>股，占公司总股本</w:t>
      </w:r>
      <w:r>
        <w:rPr>
          <w:spacing w:val="-29"/>
        </w:rPr>
        <w:t> </w:t>
      </w:r>
      <w:r>
        <w:rPr>
          <w:spacing w:val="15"/>
        </w:rPr>
        <w:t>比例的</w:t>
      </w:r>
      <w:r>
        <w:rPr>
          <w:spacing w:val="-76"/>
        </w:rPr>
        <w:t> </w:t>
      </w:r>
      <w:r>
        <w:rPr>
          <w:rFonts w:ascii="宋体" w:hAnsi="宋体" w:cs="宋体" w:eastAsia="宋体" w:hint="default"/>
        </w:rPr>
        <w:t>2.35%</w:t>
      </w:r>
      <w:r>
        <w:rPr>
          <w:rFonts w:ascii="宋体" w:hAnsi="宋体" w:cs="宋体" w:eastAsia="宋体" w:hint="default"/>
          <w:spacing w:val="-76"/>
        </w:rPr>
        <w:t> </w:t>
      </w:r>
      <w:r>
        <w:rPr/>
        <w:t>，</w:t>
      </w:r>
      <w:r>
        <w:rPr>
          <w:spacing w:val="-77"/>
        </w:rPr>
        <w:t> </w:t>
      </w:r>
      <w:r>
        <w:rPr>
          <w:spacing w:val="14"/>
        </w:rPr>
        <w:t>即瞿洪</w:t>
      </w:r>
      <w:r>
        <w:rPr>
          <w:spacing w:val="-71"/>
        </w:rPr>
        <w:t> </w:t>
      </w:r>
      <w:r>
        <w:rPr>
          <w:spacing w:val="16"/>
        </w:rPr>
        <w:t>桂先生通</w:t>
      </w:r>
      <w:r>
        <w:rPr>
          <w:spacing w:val="-71"/>
        </w:rPr>
        <w:t> </w:t>
      </w:r>
      <w:r>
        <w:rPr>
          <w:spacing w:val="16"/>
        </w:rPr>
        <w:t>过其实际</w:t>
      </w:r>
      <w:r>
        <w:rPr>
          <w:spacing w:val="-71"/>
        </w:rPr>
        <w:t> </w:t>
      </w:r>
      <w:r>
        <w:rPr>
          <w:spacing w:val="14"/>
        </w:rPr>
        <w:t>控制的</w:t>
      </w:r>
      <w:r>
        <w:rPr>
          <w:spacing w:val="-71"/>
        </w:rPr>
        <w:t> </w:t>
      </w:r>
      <w:r>
        <w:rPr>
          <w:spacing w:val="18"/>
        </w:rPr>
        <w:t>云泽投资公司</w:t>
      </w:r>
      <w:r>
        <w:rPr>
          <w:spacing w:val="-71"/>
        </w:rPr>
        <w:t> </w:t>
      </w:r>
      <w:r>
        <w:rPr>
          <w:spacing w:val="16"/>
        </w:rPr>
        <w:t>发行的云</w:t>
      </w:r>
      <w:r>
        <w:rPr>
          <w:spacing w:val="-71"/>
        </w:rPr>
        <w:t> </w:t>
      </w:r>
      <w:r>
        <w:rPr/>
        <w:t>泽</w:t>
      </w:r>
      <w:r>
        <w:rPr>
          <w:spacing w:val="-69"/>
        </w:rPr>
        <w:t> </w:t>
      </w:r>
      <w:r>
        <w:rPr>
          <w:rFonts w:ascii="宋体" w:hAnsi="宋体" w:cs="宋体" w:eastAsia="宋体" w:hint="default"/>
        </w:rPr>
        <w:t>1</w:t>
      </w:r>
      <w:r>
        <w:rPr>
          <w:rFonts w:ascii="宋体" w:hAnsi="宋体" w:cs="宋体" w:eastAsia="宋体" w:hint="default"/>
          <w:spacing w:val="-76"/>
        </w:rPr>
        <w:t> </w:t>
      </w:r>
      <w:r>
        <w:rPr>
          <w:spacing w:val="11"/>
        </w:rPr>
        <w:t>号基</w:t>
      </w:r>
      <w:r>
        <w:rPr>
          <w:spacing w:val="-71"/>
        </w:rPr>
        <w:t> </w:t>
      </w:r>
      <w:r>
        <w:rPr>
          <w:spacing w:val="16"/>
        </w:rPr>
        <w:t>金合计持</w:t>
      </w:r>
      <w:r>
        <w:rPr>
          <w:spacing w:val="-71"/>
        </w:rPr>
        <w:t> </w:t>
      </w:r>
      <w:r>
        <w:rPr>
          <w:spacing w:val="14"/>
        </w:rPr>
        <w:t>有公司</w:t>
      </w:r>
      <w:r>
        <w:rPr>
          <w:spacing w:val="-91"/>
        </w:rPr>
        <w:t> </w:t>
      </w:r>
      <w:r>
        <w:rPr>
          <w:spacing w:val="-91"/>
        </w:rPr>
      </w:r>
      <w:r>
        <w:rPr>
          <w:rFonts w:ascii="宋体" w:hAnsi="宋体" w:cs="宋体" w:eastAsia="宋体" w:hint="default"/>
        </w:rPr>
        <w:t>143,634,324</w:t>
      </w:r>
      <w:r>
        <w:rPr/>
        <w:t>股，占公司总股本的</w:t>
      </w:r>
      <w:r>
        <w:rPr>
          <w:rFonts w:ascii="宋体" w:hAnsi="宋体" w:cs="宋体" w:eastAsia="宋体" w:hint="default"/>
        </w:rPr>
        <w:t>20.77%</w:t>
      </w:r>
      <w:r>
        <w:rPr/>
        <w:t>，为公司第一大股东、实际控制人。</w:t>
      </w:r>
    </w:p>
    <w:p>
      <w:pPr>
        <w:pStyle w:val="Heading5"/>
        <w:spacing w:line="240" w:lineRule="auto" w:before="65"/>
        <w:ind w:left="535" w:right="1002"/>
        <w:jc w:val="left"/>
        <w:rPr>
          <w:b w:val="0"/>
          <w:bCs w:val="0"/>
        </w:rPr>
      </w:pPr>
      <w:r>
        <w:rPr>
          <w:rFonts w:ascii="宋体" w:hAnsi="宋体" w:cs="宋体" w:eastAsia="宋体" w:hint="default"/>
        </w:rPr>
        <w:t>11</w:t>
      </w:r>
      <w:r>
        <w:rPr/>
        <w:t>、诉讼事项</w:t>
      </w:r>
      <w:r>
        <w:rPr>
          <w:b w:val="0"/>
          <w:bCs w:val="0"/>
        </w:rPr>
      </w:r>
    </w:p>
    <w:p>
      <w:pPr>
        <w:pStyle w:val="BodyText"/>
        <w:spacing w:line="350" w:lineRule="auto" w:before="166"/>
        <w:ind w:right="1125" w:firstLine="316"/>
        <w:jc w:val="both"/>
      </w:pPr>
      <w:r>
        <w:rPr>
          <w:spacing w:val="-4"/>
          <w:w w:val="100"/>
        </w:rPr>
        <w:t>（</w:t>
      </w:r>
      <w:r>
        <w:rPr>
          <w:rFonts w:ascii="宋体" w:hAnsi="宋体" w:cs="宋体" w:eastAsia="宋体" w:hint="default"/>
          <w:spacing w:val="-4"/>
          <w:w w:val="100"/>
        </w:rPr>
        <w:t>1</w:t>
      </w:r>
      <w:r>
        <w:rPr>
          <w:spacing w:val="-4"/>
          <w:w w:val="100"/>
        </w:rPr>
        <w:t>）</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3</w:t>
      </w:r>
      <w:r>
        <w:rPr>
          <w:spacing w:val="-4"/>
          <w:w w:val="100"/>
        </w:rPr>
        <w:t>月</w:t>
      </w:r>
      <w:r>
        <w:rPr>
          <w:rFonts w:ascii="宋体" w:hAnsi="宋体" w:cs="宋体" w:eastAsia="宋体" w:hint="default"/>
          <w:spacing w:val="-4"/>
          <w:w w:val="100"/>
        </w:rPr>
        <w:t>19</w:t>
      </w:r>
      <w:r>
        <w:rPr>
          <w:spacing w:val="-4"/>
          <w:w w:val="100"/>
        </w:rPr>
        <w:t>日，公司按照规定，披露了《关于诉讼事项的公告》，主要内容：公司全资子公司北</w:t>
      </w:r>
      <w:r>
        <w:rPr>
          <w:w w:val="100"/>
        </w:rPr>
        <w:t> </w:t>
      </w:r>
      <w:r>
        <w:rPr>
          <w:spacing w:val="-2"/>
        </w:rPr>
        <w:t>京中电兴发与典基网络科技（上海）有限公司发生经济纠纷，典基网络请求法院判令北京中电兴发向其赔</w:t>
      </w:r>
      <w:r>
        <w:rPr>
          <w:spacing w:val="-33"/>
        </w:rPr>
        <w:t> </w:t>
      </w:r>
      <w:r>
        <w:rPr>
          <w:spacing w:val="-33"/>
        </w:rPr>
      </w:r>
      <w:r>
        <w:rPr/>
        <w:t>偿损失</w:t>
      </w:r>
      <w:r>
        <w:rPr>
          <w:rFonts w:ascii="宋体" w:hAnsi="宋体" w:cs="宋体" w:eastAsia="宋体" w:hint="default"/>
        </w:rPr>
        <w:t>566,280,263</w:t>
      </w:r>
      <w:r>
        <w:rPr/>
        <w:t>元，承担律师费</w:t>
      </w:r>
      <w:r>
        <w:rPr>
          <w:spacing w:val="-1"/>
        </w:rPr>
        <w:t> </w:t>
      </w:r>
      <w:r>
        <w:rPr>
          <w:rFonts w:ascii="宋体" w:hAnsi="宋体" w:cs="宋体" w:eastAsia="宋体" w:hint="default"/>
        </w:rPr>
        <w:t>7,887,802</w:t>
      </w:r>
      <w:r>
        <w:rPr/>
        <w:t>元和本案诉讼费、保全费；</w:t>
      </w:r>
    </w:p>
    <w:p>
      <w:pPr>
        <w:pStyle w:val="BodyText"/>
        <w:spacing w:line="240" w:lineRule="auto" w:before="65"/>
        <w:ind w:left="430" w:right="1002"/>
        <w:jc w:val="left"/>
      </w:pPr>
      <w:r>
        <w:rPr>
          <w:w w:val="100"/>
        </w:rPr>
        <w:t>（</w:t>
      </w:r>
      <w:r>
        <w:rPr>
          <w:rFonts w:ascii="宋体" w:hAnsi="宋体" w:cs="宋体" w:eastAsia="宋体" w:hint="default"/>
          <w:w w:val="100"/>
        </w:rPr>
        <w:t>2</w:t>
      </w:r>
      <w:r>
        <w:rPr>
          <w:spacing w:val="-5"/>
          <w:w w:val="100"/>
        </w:rPr>
        <w:t>）</w:t>
      </w:r>
      <w:r>
        <w:rPr>
          <w:rFonts w:ascii="宋体" w:hAnsi="宋体" w:cs="宋体" w:eastAsia="宋体" w:hint="default"/>
          <w:w w:val="100"/>
        </w:rPr>
        <w:t>201</w:t>
      </w:r>
      <w:r>
        <w:rPr>
          <w:rFonts w:ascii="宋体" w:hAnsi="宋体" w:cs="宋体" w:eastAsia="宋体" w:hint="default"/>
          <w:spacing w:val="-5"/>
          <w:w w:val="100"/>
        </w:rPr>
        <w:t>9</w:t>
      </w:r>
      <w:r>
        <w:rPr>
          <w:w w:val="100"/>
        </w:rPr>
        <w:t>年</w:t>
      </w:r>
      <w:r>
        <w:rPr>
          <w:rFonts w:ascii="宋体" w:hAnsi="宋体" w:cs="宋体" w:eastAsia="宋体" w:hint="default"/>
          <w:w w:val="100"/>
        </w:rPr>
        <w:t>5</w:t>
      </w:r>
      <w:r>
        <w:rPr>
          <w:w w:val="100"/>
        </w:rPr>
        <w:t>月</w:t>
      </w:r>
      <w:r>
        <w:rPr>
          <w:rFonts w:ascii="宋体" w:hAnsi="宋体" w:cs="宋体" w:eastAsia="宋体" w:hint="default"/>
          <w:w w:val="100"/>
        </w:rPr>
        <w:t>11</w:t>
      </w:r>
      <w:r>
        <w:rPr>
          <w:w w:val="100"/>
        </w:rPr>
        <w:t>日</w:t>
      </w:r>
      <w:r>
        <w:rPr>
          <w:spacing w:val="-10"/>
          <w:w w:val="100"/>
        </w:rPr>
        <w:t>，</w:t>
      </w:r>
      <w:r>
        <w:rPr>
          <w:w w:val="100"/>
        </w:rPr>
        <w:t>公司</w:t>
      </w:r>
      <w:r>
        <w:rPr>
          <w:spacing w:val="-5"/>
          <w:w w:val="100"/>
        </w:rPr>
        <w:t>按</w:t>
      </w:r>
      <w:r>
        <w:rPr>
          <w:w w:val="100"/>
        </w:rPr>
        <w:t>照规定</w:t>
      </w:r>
      <w:r>
        <w:rPr>
          <w:spacing w:val="-5"/>
          <w:w w:val="100"/>
        </w:rPr>
        <w:t>，披</w:t>
      </w:r>
      <w:r>
        <w:rPr>
          <w:w w:val="100"/>
        </w:rPr>
        <w:t>露</w:t>
      </w:r>
      <w:r>
        <w:rPr>
          <w:spacing w:val="-5"/>
          <w:w w:val="100"/>
        </w:rPr>
        <w:t>了《</w:t>
      </w:r>
      <w:r>
        <w:rPr>
          <w:w w:val="100"/>
        </w:rPr>
        <w:t>关于诉讼</w:t>
      </w:r>
      <w:r>
        <w:rPr>
          <w:spacing w:val="-5"/>
          <w:w w:val="100"/>
        </w:rPr>
        <w:t>事</w:t>
      </w:r>
      <w:r>
        <w:rPr>
          <w:w w:val="100"/>
        </w:rPr>
        <w:t>项进展</w:t>
      </w:r>
      <w:r>
        <w:rPr>
          <w:spacing w:val="-5"/>
          <w:w w:val="100"/>
        </w:rPr>
        <w:t>的</w:t>
      </w:r>
      <w:r>
        <w:rPr>
          <w:w w:val="100"/>
        </w:rPr>
        <w:t>公告</w:t>
      </w:r>
      <w:r>
        <w:rPr>
          <w:spacing w:val="-106"/>
          <w:w w:val="100"/>
        </w:rPr>
        <w:t>》</w:t>
      </w:r>
      <w:r>
        <w:rPr>
          <w:spacing w:val="-5"/>
          <w:w w:val="100"/>
        </w:rPr>
        <w:t>，</w:t>
      </w:r>
      <w:r>
        <w:rPr>
          <w:w w:val="100"/>
        </w:rPr>
        <w:t>主</w:t>
      </w:r>
      <w:r>
        <w:rPr>
          <w:spacing w:val="-5"/>
          <w:w w:val="100"/>
        </w:rPr>
        <w:t>要</w:t>
      </w:r>
      <w:r>
        <w:rPr>
          <w:w w:val="100"/>
        </w:rPr>
        <w:t>内容</w:t>
      </w:r>
      <w:r>
        <w:rPr>
          <w:spacing w:val="-5"/>
          <w:w w:val="100"/>
        </w:rPr>
        <w:t>：典</w:t>
      </w:r>
      <w:r>
        <w:rPr>
          <w:w w:val="100"/>
        </w:rPr>
        <w:t>基网络</w:t>
      </w:r>
      <w:r>
        <w:rPr>
          <w:spacing w:val="-5"/>
          <w:w w:val="100"/>
        </w:rPr>
        <w:t>科</w:t>
      </w:r>
      <w:r>
        <w:rPr>
          <w:w w:val="100"/>
        </w:rPr>
        <w:t>技</w:t>
      </w:r>
    </w:p>
    <w:p>
      <w:pPr>
        <w:pStyle w:val="BodyText"/>
        <w:spacing w:line="348" w:lineRule="auto" w:before="128"/>
        <w:ind w:right="1122"/>
        <w:jc w:val="both"/>
      </w:pPr>
      <w:r>
        <w:rPr>
          <w:spacing w:val="-2"/>
        </w:rPr>
        <w:t>（上海）有限公司在提起诉讼的同时，向北京市高级人民法院提出财产保全申请，经法院裁定：冻结北京</w:t>
      </w:r>
      <w:r>
        <w:rPr>
          <w:spacing w:val="-33"/>
        </w:rPr>
        <w:t> </w:t>
      </w:r>
      <w:r>
        <w:rPr>
          <w:spacing w:val="-33"/>
        </w:rPr>
      </w:r>
      <w:r>
        <w:rPr>
          <w:spacing w:val="-4"/>
        </w:rPr>
        <w:t>中电兴发银行存款</w:t>
      </w:r>
      <w:r>
        <w:rPr>
          <w:rFonts w:ascii="宋体" w:hAnsi="宋体" w:cs="宋体" w:eastAsia="宋体" w:hint="default"/>
          <w:spacing w:val="-4"/>
        </w:rPr>
        <w:t>574,168,065</w:t>
      </w:r>
      <w:r>
        <w:rPr>
          <w:spacing w:val="-4"/>
        </w:rPr>
        <w:t>元或查封、扣押其他等值的财产，包括募集资金专户在内的</w:t>
      </w:r>
      <w:r>
        <w:rPr>
          <w:rFonts w:ascii="宋体" w:hAnsi="宋体" w:cs="宋体" w:eastAsia="宋体" w:hint="default"/>
          <w:spacing w:val="-4"/>
        </w:rPr>
        <w:t>156,414,006.64</w:t>
      </w:r>
      <w:r>
        <w:rPr>
          <w:rFonts w:ascii="宋体" w:hAnsi="宋体" w:cs="宋体" w:eastAsia="宋体" w:hint="default"/>
          <w:spacing w:val="7"/>
        </w:rPr>
        <w:t> </w:t>
      </w:r>
      <w:r>
        <w:rPr>
          <w:rFonts w:ascii="宋体" w:hAnsi="宋体" w:cs="宋体" w:eastAsia="宋体" w:hint="default"/>
          <w:spacing w:val="7"/>
        </w:rPr>
      </w:r>
      <w:r>
        <w:rPr/>
        <w:t>元银行存款暂时被冻结；</w:t>
      </w:r>
    </w:p>
    <w:p>
      <w:pPr>
        <w:pStyle w:val="BodyText"/>
        <w:spacing w:line="348" w:lineRule="auto" w:before="72"/>
        <w:ind w:right="1002" w:firstLine="528"/>
        <w:jc w:val="left"/>
      </w:pPr>
      <w:r>
        <w:rPr/>
        <w:t>报告期末并截至本报告披露日，上述案件已开庭审理，但尚未收到法院裁决书。后续公司将继续跟</w:t>
      </w:r>
      <w:r>
        <w:rPr>
          <w:w w:val="100"/>
        </w:rPr>
        <w:t> </w:t>
      </w:r>
      <w:r>
        <w:rPr/>
        <w:t>进该事项进展情况，并及时履行信息披露义务。</w:t>
      </w:r>
    </w:p>
    <w:p>
      <w:pPr>
        <w:pStyle w:val="BodyText"/>
        <w:spacing w:line="386" w:lineRule="auto" w:before="72"/>
        <w:ind w:left="535" w:right="1002"/>
        <w:jc w:val="left"/>
      </w:pPr>
      <w:r>
        <w:rPr>
          <w:rFonts w:ascii="宋体" w:hAnsi="宋体" w:cs="宋体" w:eastAsia="宋体" w:hint="default"/>
          <w:b/>
          <w:bCs/>
        </w:rPr>
        <w:t>12</w:t>
      </w:r>
      <w:r>
        <w:rPr>
          <w:rFonts w:ascii="宋体" w:hAnsi="宋体" w:cs="宋体" w:eastAsia="宋体" w:hint="default"/>
          <w:b/>
          <w:bCs/>
        </w:rPr>
        <w:t>、公司章程的修订</w:t>
      </w:r>
      <w:r>
        <w:rPr>
          <w:rFonts w:ascii="宋体" w:hAnsi="宋体" w:cs="宋体" w:eastAsia="宋体" w:hint="default"/>
          <w:b/>
          <w:bCs/>
          <w:spacing w:val="-104"/>
        </w:rPr>
        <w:t> </w:t>
      </w:r>
      <w:r>
        <w:rPr>
          <w:spacing w:val="-15"/>
          <w:w w:val="100"/>
        </w:rPr>
        <w:t>根据《公司法》、《证券法》、中国证监会新修订的《上市公司治理准则》（〔</w:t>
      </w:r>
      <w:r>
        <w:rPr>
          <w:rFonts w:ascii="宋体" w:hAnsi="宋体" w:cs="宋体" w:eastAsia="宋体" w:hint="default"/>
          <w:spacing w:val="-15"/>
          <w:w w:val="100"/>
        </w:rPr>
        <w:t>2018</w:t>
      </w:r>
      <w:r>
        <w:rPr>
          <w:spacing w:val="-15"/>
          <w:w w:val="100"/>
        </w:rPr>
        <w:t>〕</w:t>
      </w:r>
      <w:r>
        <w:rPr>
          <w:rFonts w:ascii="宋体" w:hAnsi="宋体" w:cs="宋体" w:eastAsia="宋体" w:hint="default"/>
          <w:spacing w:val="-15"/>
          <w:w w:val="100"/>
        </w:rPr>
        <w:t>29</w:t>
      </w:r>
      <w:r>
        <w:rPr>
          <w:spacing w:val="-15"/>
          <w:w w:val="100"/>
        </w:rPr>
        <w:t>号）和发布的《关</w:t>
      </w:r>
    </w:p>
    <w:p>
      <w:pPr>
        <w:pStyle w:val="BodyText"/>
        <w:spacing w:line="350" w:lineRule="auto" w:before="0"/>
        <w:ind w:right="1123"/>
        <w:jc w:val="both"/>
      </w:pPr>
      <w:r>
        <w:rPr>
          <w:spacing w:val="-2"/>
          <w:w w:val="100"/>
        </w:rPr>
        <w:t>于修改</w:t>
      </w:r>
      <w:r>
        <w:rPr>
          <w:rFonts w:ascii="宋体" w:hAnsi="宋体" w:cs="宋体" w:eastAsia="宋体" w:hint="default"/>
          <w:spacing w:val="-2"/>
          <w:w w:val="100"/>
        </w:rPr>
        <w:t>&lt;</w:t>
      </w:r>
      <w:r>
        <w:rPr>
          <w:spacing w:val="-2"/>
          <w:w w:val="100"/>
        </w:rPr>
        <w:t>上市公司章程指引</w:t>
      </w:r>
      <w:r>
        <w:rPr>
          <w:rFonts w:ascii="宋体" w:hAnsi="宋体" w:cs="宋体" w:eastAsia="宋体" w:hint="default"/>
          <w:spacing w:val="-2"/>
          <w:w w:val="100"/>
        </w:rPr>
        <w:t>&gt;</w:t>
      </w:r>
      <w:r>
        <w:rPr>
          <w:spacing w:val="-2"/>
          <w:w w:val="100"/>
        </w:rPr>
        <w:t>的决定》、深圳证券交易所《上市公司规范运作指引》和《股票上市规则》等</w:t>
      </w:r>
      <w:r>
        <w:rPr>
          <w:spacing w:val="-96"/>
          <w:w w:val="100"/>
        </w:rPr>
        <w:t> </w:t>
      </w:r>
      <w:r>
        <w:rPr>
          <w:spacing w:val="-96"/>
          <w:w w:val="100"/>
        </w:rPr>
      </w:r>
      <w:r>
        <w:rPr>
          <w:spacing w:val="-2"/>
        </w:rPr>
        <w:t>法律、法规和规范性文件以及《公司章程》等规定和公司实际情况，对《公司章程》的部分条款和内容进</w:t>
      </w:r>
      <w:r>
        <w:rPr>
          <w:spacing w:val="-30"/>
        </w:rPr>
        <w:t> </w:t>
      </w:r>
      <w:r>
        <w:rPr>
          <w:spacing w:val="-30"/>
        </w:rPr>
      </w:r>
      <w:r>
        <w:rPr/>
        <w:t>行修改，相关修改议案经</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24</w:t>
      </w:r>
      <w:r>
        <w:rPr/>
        <w:t>日召开的第八届董事会第三次会议和</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22</w:t>
      </w:r>
      <w:r>
        <w:rPr/>
        <w:t>日召开的</w:t>
      </w:r>
      <w:r>
        <w:rPr>
          <w:rFonts w:ascii="宋体" w:hAnsi="宋体" w:cs="宋体" w:eastAsia="宋体" w:hint="default"/>
        </w:rPr>
        <w:t>2018</w:t>
      </w:r>
      <w:r>
        <w:rPr>
          <w:rFonts w:ascii="宋体" w:hAnsi="宋体" w:cs="宋体" w:eastAsia="宋体" w:hint="default"/>
          <w:spacing w:val="62"/>
        </w:rPr>
        <w:t> </w:t>
      </w:r>
      <w:r>
        <w:rPr/>
        <w:t>年</w:t>
      </w:r>
      <w:r>
        <w:rPr>
          <w:spacing w:val="-92"/>
        </w:rPr>
        <w:t> </w:t>
      </w:r>
      <w:r>
        <w:rPr/>
        <w:t>度股东大会审议通过。</w:t>
      </w:r>
    </w:p>
    <w:p>
      <w:pPr>
        <w:spacing w:line="381" w:lineRule="auto" w:before="70"/>
        <w:ind w:left="641" w:right="1002" w:firstLine="0"/>
        <w:jc w:val="left"/>
        <w:rPr>
          <w:rFonts w:ascii="宋体" w:hAnsi="宋体" w:cs="宋体" w:eastAsia="宋体" w:hint="default"/>
          <w:sz w:val="21"/>
          <w:szCs w:val="21"/>
        </w:rPr>
      </w:pPr>
      <w:r>
        <w:rPr>
          <w:rFonts w:ascii="宋体" w:hAnsi="宋体" w:cs="宋体" w:eastAsia="宋体" w:hint="default"/>
          <w:b/>
          <w:bCs/>
          <w:sz w:val="21"/>
          <w:szCs w:val="21"/>
        </w:rPr>
        <w:t>13</w:t>
      </w:r>
      <w:r>
        <w:rPr>
          <w:rFonts w:ascii="宋体" w:hAnsi="宋体" w:cs="宋体" w:eastAsia="宋体" w:hint="default"/>
          <w:b/>
          <w:bCs/>
          <w:sz w:val="21"/>
          <w:szCs w:val="21"/>
        </w:rPr>
        <w:t>、募集资金进展情况</w:t>
      </w:r>
      <w:r>
        <w:rPr>
          <w:rFonts w:ascii="宋体" w:hAnsi="宋体" w:cs="宋体" w:eastAsia="宋体" w:hint="default"/>
          <w:b/>
          <w:bCs/>
          <w:spacing w:val="-103"/>
          <w:sz w:val="21"/>
          <w:szCs w:val="21"/>
        </w:rPr>
        <w:t> </w:t>
      </w:r>
      <w:r>
        <w:rPr>
          <w:rFonts w:ascii="宋体" w:hAnsi="宋体" w:cs="宋体" w:eastAsia="宋体" w:hint="default"/>
          <w:sz w:val="21"/>
          <w:szCs w:val="21"/>
        </w:rPr>
        <w:t>报告期内，公司于</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2</w:t>
      </w:r>
      <w:r>
        <w:rPr>
          <w:rFonts w:ascii="宋体" w:hAnsi="宋体" w:cs="宋体" w:eastAsia="宋体" w:hint="default"/>
          <w:sz w:val="21"/>
          <w:szCs w:val="21"/>
        </w:rPr>
        <w:t>月</w:t>
      </w:r>
      <w:r>
        <w:rPr>
          <w:rFonts w:ascii="宋体" w:hAnsi="宋体" w:cs="宋体" w:eastAsia="宋体" w:hint="default"/>
          <w:sz w:val="21"/>
          <w:szCs w:val="21"/>
        </w:rPr>
        <w:t>2</w:t>
      </w:r>
      <w:r>
        <w:rPr>
          <w:rFonts w:ascii="宋体" w:hAnsi="宋体" w:cs="宋体" w:eastAsia="宋体" w:hint="default"/>
          <w:sz w:val="21"/>
          <w:szCs w:val="21"/>
        </w:rPr>
        <w:t>日披露了《关于使用部分闲置募集资金购买银行保本型理财产品到期</w:t>
      </w:r>
    </w:p>
    <w:p>
      <w:pPr>
        <w:pStyle w:val="BodyText"/>
        <w:spacing w:line="348" w:lineRule="auto" w:before="4"/>
        <w:ind w:right="1138"/>
        <w:jc w:val="both"/>
      </w:pPr>
      <w:r>
        <w:rPr>
          <w:spacing w:val="-2"/>
          <w:w w:val="100"/>
        </w:rPr>
        <w:t>赎回的公告》（公告编号：</w:t>
      </w:r>
      <w:r>
        <w:rPr>
          <w:rFonts w:ascii="宋体" w:hAnsi="宋体" w:cs="宋体" w:eastAsia="宋体" w:hint="default"/>
          <w:spacing w:val="-2"/>
          <w:w w:val="100"/>
        </w:rPr>
        <w:t>2019-015</w:t>
      </w:r>
      <w:r>
        <w:rPr>
          <w:spacing w:val="-2"/>
          <w:w w:val="100"/>
        </w:rPr>
        <w:t>）汇总了截止日前十二个月内购买理财产品情况，截止报告期末，所</w:t>
      </w:r>
      <w:r>
        <w:rPr>
          <w:spacing w:val="-95"/>
          <w:w w:val="100"/>
        </w:rPr>
        <w:t> </w:t>
      </w:r>
      <w:r>
        <w:rPr>
          <w:spacing w:val="-95"/>
          <w:w w:val="100"/>
        </w:rPr>
      </w:r>
      <w:r>
        <w:rPr/>
        <w:t>有购买理财产品的本金和理财收益已全部划至募集资金专用账户。</w:t>
      </w:r>
    </w:p>
    <w:p>
      <w:pPr>
        <w:pStyle w:val="Heading5"/>
        <w:spacing w:line="240" w:lineRule="auto" w:before="72"/>
        <w:ind w:left="535" w:right="1002"/>
        <w:jc w:val="left"/>
        <w:rPr>
          <w:b w:val="0"/>
          <w:bCs w:val="0"/>
        </w:rPr>
      </w:pPr>
      <w:r>
        <w:rPr>
          <w:rFonts w:ascii="宋体" w:hAnsi="宋体" w:cs="宋体" w:eastAsia="宋体" w:hint="default"/>
        </w:rPr>
        <w:t>14</w:t>
      </w:r>
      <w:r>
        <w:rPr/>
        <w:t>、其他主要事项</w:t>
      </w:r>
      <w:r>
        <w:rPr>
          <w:b w:val="0"/>
          <w:bCs w:val="0"/>
        </w:rPr>
      </w:r>
    </w:p>
    <w:p>
      <w:pPr>
        <w:pStyle w:val="BodyText"/>
        <w:spacing w:line="240" w:lineRule="auto" w:before="162"/>
        <w:ind w:left="430" w:right="1002"/>
        <w:jc w:val="left"/>
      </w:pPr>
      <w:r>
        <w:rPr/>
        <w:t>（</w:t>
      </w:r>
      <w:r>
        <w:rPr>
          <w:rFonts w:ascii="宋体" w:hAnsi="宋体" w:cs="宋体" w:eastAsia="宋体" w:hint="default"/>
        </w:rPr>
        <w:t>1</w:t>
      </w:r>
      <w:r>
        <w:rPr/>
        <w:t>）报告期内中标及签订合同的相关公告</w:t>
      </w:r>
    </w:p>
    <w:p>
      <w:pPr>
        <w:pStyle w:val="BodyText"/>
        <w:spacing w:line="350" w:lineRule="auto" w:before="166"/>
        <w:ind w:right="1002" w:firstLine="422"/>
        <w:jc w:val="left"/>
      </w:pPr>
      <w:r>
        <w:rPr>
          <w:spacing w:val="-2"/>
        </w:rPr>
        <w:t>①</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月北京中电兴发在第七届世界军人运动会东西湖体育中心场馆智慧安保项目（信息化部分）</w:t>
      </w:r>
      <w:r>
        <w:rPr>
          <w:w w:val="100"/>
        </w:rPr>
        <w:t> </w:t>
      </w:r>
      <w:r>
        <w:rPr/>
        <w:t>设备采购及安装工程项目（</w:t>
      </w:r>
      <w:r>
        <w:rPr>
          <w:rFonts w:ascii="宋体" w:hAnsi="宋体" w:cs="宋体" w:eastAsia="宋体" w:hint="default"/>
        </w:rPr>
        <w:t>201812141225092269</w:t>
      </w:r>
      <w:r>
        <w:rPr/>
        <w:t>）中中标，中标总金额为人民币</w:t>
      </w:r>
      <w:r>
        <w:rPr>
          <w:spacing w:val="-8"/>
        </w:rPr>
        <w:t> </w:t>
      </w:r>
      <w:r>
        <w:rPr>
          <w:rFonts w:ascii="宋体" w:hAnsi="宋体" w:cs="宋体" w:eastAsia="宋体" w:hint="default"/>
        </w:rPr>
        <w:t>3826.02</w:t>
      </w:r>
      <w:r>
        <w:rPr/>
        <w:t>万元，并收到了</w:t>
      </w:r>
      <w:r>
        <w:rPr>
          <w:w w:val="100"/>
        </w:rPr>
        <w:t> </w:t>
      </w:r>
      <w:r>
        <w:rPr>
          <w:spacing w:val="7"/>
          <w:w w:val="100"/>
        </w:rPr>
        <w:t>该项目的中标通知书。具体详见《中电兴发：关于全资子公司收到中标通知书的公告》（公告编号：</w:t>
      </w:r>
      <w:r>
        <w:rPr>
          <w:w w:val="100"/>
        </w:rPr>
      </w:r>
    </w:p>
    <w:p>
      <w:pPr>
        <w:spacing w:after="0" w:line="35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240" w:lineRule="auto"/>
        <w:ind w:right="1002"/>
        <w:jc w:val="left"/>
      </w:pPr>
      <w:r>
        <w:rPr>
          <w:rFonts w:ascii="宋体" w:hAnsi="宋体" w:cs="宋体" w:eastAsia="宋体" w:hint="default"/>
          <w:w w:val="100"/>
        </w:rPr>
        <w:t>2019-020</w:t>
      </w:r>
      <w:r>
        <w:rPr>
          <w:spacing w:val="-106"/>
          <w:w w:val="100"/>
        </w:rPr>
        <w:t>）。</w:t>
      </w:r>
      <w:r>
        <w:rPr>
          <w:w w:val="100"/>
        </w:rPr>
      </w:r>
    </w:p>
    <w:p>
      <w:pPr>
        <w:pStyle w:val="BodyText"/>
        <w:spacing w:line="348" w:lineRule="auto" w:before="166"/>
        <w:ind w:right="1122" w:firstLine="422"/>
        <w:jc w:val="both"/>
      </w:pPr>
      <w:r>
        <w:rPr>
          <w:spacing w:val="-4"/>
        </w:rPr>
        <w:t>②</w:t>
      </w:r>
      <w:r>
        <w:rPr>
          <w:rFonts w:ascii="宋体" w:hAnsi="宋体" w:cs="宋体" w:eastAsia="宋体" w:hint="default"/>
          <w:spacing w:val="-4"/>
        </w:rPr>
        <w:t>2019</w:t>
      </w:r>
      <w:r>
        <w:rPr>
          <w:spacing w:val="-4"/>
        </w:rPr>
        <w:t>年</w:t>
      </w:r>
      <w:r>
        <w:rPr>
          <w:rFonts w:ascii="宋体" w:hAnsi="宋体" w:cs="宋体" w:eastAsia="宋体" w:hint="default"/>
          <w:spacing w:val="-4"/>
        </w:rPr>
        <w:t>4</w:t>
      </w:r>
      <w:r>
        <w:rPr>
          <w:spacing w:val="-4"/>
        </w:rPr>
        <w:t>月，北京中电兴发作为联合体牵头人在洛宁县土地后备资源开发复垦项目（宁财采</w:t>
      </w:r>
      <w:r>
        <w:rPr>
          <w:rFonts w:ascii="宋体" w:hAnsi="宋体" w:cs="宋体" w:eastAsia="宋体" w:hint="default"/>
          <w:spacing w:val="-4"/>
        </w:rPr>
        <w:t>20190308</w:t>
      </w:r>
      <w:r>
        <w:rPr>
          <w:rFonts w:ascii="宋体" w:hAnsi="宋体" w:cs="宋体" w:eastAsia="宋体" w:hint="default"/>
          <w:w w:val="100"/>
        </w:rPr>
        <w:t> </w:t>
      </w:r>
      <w:r>
        <w:rPr/>
        <w:t>号）中中标，中标总金额为人民币</w:t>
      </w:r>
      <w:r>
        <w:rPr>
          <w:rFonts w:ascii="宋体" w:hAnsi="宋体" w:cs="宋体" w:eastAsia="宋体" w:hint="default"/>
        </w:rPr>
        <w:t>29,190.00</w:t>
      </w:r>
      <w:r>
        <w:rPr/>
        <w:t>万元。具体详见《中电兴发：关于全资子公司收到中标通知</w:t>
      </w:r>
      <w:r>
        <w:rPr>
          <w:spacing w:val="-30"/>
        </w:rPr>
        <w:t> </w:t>
      </w:r>
      <w:r>
        <w:rPr>
          <w:spacing w:val="-30"/>
        </w:rPr>
      </w:r>
      <w:r>
        <w:rPr>
          <w:spacing w:val="-6"/>
          <w:w w:val="100"/>
        </w:rPr>
        <w:t>书的公告》（公告编号：</w:t>
      </w:r>
      <w:r>
        <w:rPr>
          <w:rFonts w:ascii="宋体" w:hAnsi="宋体" w:cs="宋体" w:eastAsia="宋体" w:hint="default"/>
          <w:spacing w:val="-6"/>
          <w:w w:val="100"/>
        </w:rPr>
        <w:t>2019-044</w:t>
      </w:r>
      <w:r>
        <w:rPr>
          <w:spacing w:val="-6"/>
          <w:w w:val="100"/>
        </w:rPr>
        <w:t>）。该项目的中标，是公司智慧国土业务的重大突破，为构建全域智慧社</w:t>
      </w:r>
      <w:r>
        <w:rPr>
          <w:spacing w:val="-91"/>
          <w:w w:val="100"/>
        </w:rPr>
        <w:t> </w:t>
      </w:r>
      <w:r>
        <w:rPr>
          <w:spacing w:val="-91"/>
          <w:w w:val="100"/>
        </w:rPr>
      </w:r>
      <w:r>
        <w:rPr/>
        <w:t>会打下了坚实基础。</w:t>
      </w:r>
      <w:r>
        <w:rPr>
          <w:rFonts w:ascii="宋体" w:hAnsi="宋体" w:cs="宋体" w:eastAsia="宋体" w:hint="default"/>
        </w:rPr>
        <w:t>2019</w:t>
      </w:r>
      <w:r>
        <w:rPr/>
        <w:t>年</w:t>
      </w:r>
      <w:r>
        <w:rPr>
          <w:rFonts w:ascii="宋体" w:hAnsi="宋体" w:cs="宋体" w:eastAsia="宋体" w:hint="default"/>
        </w:rPr>
        <w:t>7</w:t>
      </w:r>
      <w:r>
        <w:rPr/>
        <w:t>月，北京中电兴发就该项目已经签订了《中电兴发：洛宁县土地后备资源开</w:t>
      </w:r>
      <w:r>
        <w:rPr>
          <w:spacing w:val="-31"/>
        </w:rPr>
        <w:t> </w:t>
      </w:r>
      <w:r>
        <w:rPr>
          <w:spacing w:val="-31"/>
        </w:rPr>
      </w:r>
      <w:r>
        <w:rPr>
          <w:spacing w:val="-7"/>
          <w:w w:val="100"/>
        </w:rPr>
        <w:t>发复垦项目政府采购合同》，具体详见《中电兴发：关于全资子公司签订智慧国土项目合同的公告》（公告</w:t>
      </w:r>
      <w:r>
        <w:rPr>
          <w:spacing w:val="-69"/>
          <w:w w:val="100"/>
        </w:rPr>
        <w:t> </w:t>
      </w:r>
      <w:r>
        <w:rPr>
          <w:spacing w:val="-69"/>
          <w:w w:val="100"/>
        </w:rPr>
      </w:r>
      <w:r>
        <w:rPr>
          <w:spacing w:val="-17"/>
          <w:w w:val="100"/>
        </w:rPr>
        <w:t>编号：</w:t>
      </w:r>
      <w:r>
        <w:rPr>
          <w:rFonts w:ascii="宋体" w:hAnsi="宋体" w:cs="宋体" w:eastAsia="宋体" w:hint="default"/>
          <w:spacing w:val="-17"/>
          <w:w w:val="100"/>
        </w:rPr>
        <w:t>2019-067</w:t>
      </w:r>
      <w:r>
        <w:rPr>
          <w:spacing w:val="-17"/>
          <w:w w:val="100"/>
        </w:rPr>
        <w:t>）。</w:t>
      </w:r>
      <w:r>
        <w:rPr>
          <w:w w:val="100"/>
        </w:rPr>
      </w:r>
    </w:p>
    <w:p>
      <w:pPr>
        <w:pStyle w:val="BodyText"/>
        <w:spacing w:line="350" w:lineRule="auto" w:before="72"/>
        <w:ind w:right="1122" w:firstLine="422"/>
        <w:jc w:val="both"/>
      </w:pPr>
      <w:r>
        <w:rPr>
          <w:spacing w:val="-2"/>
        </w:rPr>
        <w:t>③</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月，公司作为云南联通项目建设</w:t>
      </w:r>
      <w:r>
        <w:rPr>
          <w:rFonts w:ascii="宋体" w:hAnsi="宋体" w:cs="宋体" w:eastAsia="宋体" w:hint="default"/>
          <w:spacing w:val="-2"/>
        </w:rPr>
        <w:t>6</w:t>
      </w:r>
      <w:r>
        <w:rPr>
          <w:spacing w:val="-2"/>
        </w:rPr>
        <w:t>亿元的总承包商与中国联合网络通信有限公司云南省分公</w:t>
      </w:r>
      <w:r>
        <w:rPr>
          <w:w w:val="100"/>
        </w:rPr>
        <w:t> </w:t>
      </w:r>
      <w:r>
        <w:rPr>
          <w:spacing w:val="-2"/>
        </w:rPr>
        <w:t>司签订了“双百行动”综合改革合作协议。本次合作协议的签署，将进一步强化公司与云南联通的协同合</w:t>
      </w:r>
      <w:r>
        <w:rPr>
          <w:spacing w:val="-33"/>
        </w:rPr>
        <w:t> </w:t>
      </w:r>
      <w:r>
        <w:rPr>
          <w:spacing w:val="-33"/>
        </w:rPr>
      </w:r>
      <w:r>
        <w:rPr>
          <w:spacing w:val="-2"/>
        </w:rPr>
        <w:t>作，并优先参与云南联通</w:t>
      </w:r>
      <w:r>
        <w:rPr>
          <w:rFonts w:ascii="宋体" w:hAnsi="宋体" w:cs="宋体" w:eastAsia="宋体" w:hint="default"/>
          <w:spacing w:val="-2"/>
        </w:rPr>
        <w:t>5G</w:t>
      </w:r>
      <w:r>
        <w:rPr>
          <w:spacing w:val="-2"/>
        </w:rPr>
        <w:t>的合作以及云南全省的智慧城市的建设与运营，同时也奠定“以智慧中国业务</w:t>
      </w:r>
      <w:r>
        <w:rPr>
          <w:spacing w:val="-29"/>
        </w:rPr>
        <w:t> </w:t>
      </w:r>
      <w:r>
        <w:rPr>
          <w:spacing w:val="-29"/>
        </w:rPr>
      </w:r>
      <w:r>
        <w:rPr>
          <w:spacing w:val="-2"/>
        </w:rPr>
        <w:t>为龙头，以新通信业务和新一代光纤网络业务为两翼”的主营业务加速发展格局，促进公司在智慧中国业</w:t>
      </w:r>
      <w:r>
        <w:rPr>
          <w:spacing w:val="-31"/>
        </w:rPr>
        <w:t> </w:t>
      </w:r>
      <w:r>
        <w:rPr>
          <w:spacing w:val="-31"/>
        </w:rPr>
      </w:r>
      <w:r>
        <w:rPr>
          <w:spacing w:val="-2"/>
        </w:rPr>
        <w:t>务的建设与运营等方面的更好发展。具体详见《中电兴发：关于全资子公司参与云南联通“双百行动”综</w:t>
      </w:r>
      <w:r>
        <w:rPr>
          <w:spacing w:val="-35"/>
        </w:rPr>
        <w:t> </w:t>
      </w:r>
      <w:r>
        <w:rPr>
          <w:spacing w:val="-35"/>
        </w:rPr>
      </w:r>
      <w:r>
        <w:rPr>
          <w:spacing w:val="-14"/>
          <w:w w:val="100"/>
        </w:rPr>
        <w:t>合改革项目的公告》（公告编号：</w:t>
      </w:r>
      <w:r>
        <w:rPr>
          <w:rFonts w:ascii="宋体" w:hAnsi="宋体" w:cs="宋体" w:eastAsia="宋体" w:hint="default"/>
          <w:spacing w:val="-14"/>
          <w:w w:val="100"/>
        </w:rPr>
        <w:t>2019-049</w:t>
      </w:r>
      <w:r>
        <w:rPr>
          <w:spacing w:val="-14"/>
          <w:w w:val="100"/>
        </w:rPr>
        <w:t>）。</w:t>
      </w:r>
      <w:r>
        <w:rPr>
          <w:w w:val="100"/>
        </w:rPr>
      </w:r>
    </w:p>
    <w:p>
      <w:pPr>
        <w:pStyle w:val="BodyText"/>
        <w:spacing w:line="350" w:lineRule="auto" w:before="65"/>
        <w:ind w:right="1134" w:firstLine="422"/>
        <w:jc w:val="both"/>
      </w:pPr>
      <w:r>
        <w:rPr/>
        <w:t>④</w:t>
      </w:r>
      <w:r>
        <w:rPr>
          <w:rFonts w:ascii="宋体" w:hAnsi="宋体" w:cs="宋体" w:eastAsia="宋体" w:hint="default"/>
        </w:rPr>
        <w:t>2019</w:t>
      </w:r>
      <w:r>
        <w:rPr/>
        <w:t>年</w:t>
      </w:r>
      <w:r>
        <w:rPr>
          <w:rFonts w:ascii="宋体" w:hAnsi="宋体" w:cs="宋体" w:eastAsia="宋体" w:hint="default"/>
        </w:rPr>
        <w:t>5</w:t>
      </w:r>
      <w:r>
        <w:rPr/>
        <w:t>月，公司中标中国移动云南公司保山分公司保山市立体化边境防控体系技防一期前后端数</w:t>
      </w:r>
      <w:r>
        <w:rPr>
          <w:w w:val="100"/>
        </w:rPr>
        <w:t> </w:t>
      </w:r>
      <w:r>
        <w:rPr>
          <w:spacing w:val="-4"/>
          <w:w w:val="100"/>
        </w:rPr>
        <w:t>据服务项目（二次）（</w:t>
      </w:r>
      <w:r>
        <w:rPr>
          <w:rFonts w:ascii="宋体" w:hAnsi="宋体" w:cs="宋体" w:eastAsia="宋体" w:hint="default"/>
          <w:spacing w:val="-4"/>
          <w:w w:val="100"/>
        </w:rPr>
        <w:t>YNYD20190000274</w:t>
      </w:r>
      <w:r>
        <w:rPr>
          <w:spacing w:val="-4"/>
          <w:w w:val="100"/>
        </w:rPr>
        <w:t>），并就该项目签订了《保山市立体化边境防控体系技防一期前后</w:t>
      </w:r>
      <w:r>
        <w:rPr>
          <w:spacing w:val="-79"/>
          <w:w w:val="100"/>
        </w:rPr>
        <w:t> </w:t>
      </w:r>
      <w:r>
        <w:rPr>
          <w:spacing w:val="-79"/>
          <w:w w:val="100"/>
        </w:rPr>
      </w:r>
      <w:r>
        <w:rPr>
          <w:spacing w:val="-2"/>
          <w:w w:val="100"/>
        </w:rPr>
        <w:t>端数据服务项目合同》，总金额为人民币</w:t>
      </w:r>
      <w:r>
        <w:rPr>
          <w:rFonts w:ascii="宋体" w:hAnsi="宋体" w:cs="宋体" w:eastAsia="宋体" w:hint="default"/>
          <w:spacing w:val="-2"/>
          <w:w w:val="100"/>
        </w:rPr>
        <w:t>5,924.78</w:t>
      </w:r>
      <w:r>
        <w:rPr>
          <w:spacing w:val="-2"/>
          <w:w w:val="100"/>
        </w:rPr>
        <w:t>万元。具体详见《中电兴发：关于全资子公司收到中标</w:t>
      </w:r>
      <w:r>
        <w:rPr>
          <w:spacing w:val="-94"/>
          <w:w w:val="100"/>
        </w:rPr>
        <w:t> </w:t>
      </w:r>
      <w:r>
        <w:rPr>
          <w:spacing w:val="-94"/>
          <w:w w:val="100"/>
        </w:rPr>
      </w:r>
      <w:r>
        <w:rPr>
          <w:spacing w:val="-13"/>
          <w:w w:val="100"/>
        </w:rPr>
        <w:t>通知书并签订合同的公告》（公告编号：</w:t>
      </w:r>
      <w:r>
        <w:rPr>
          <w:rFonts w:ascii="宋体" w:hAnsi="宋体" w:cs="宋体" w:eastAsia="宋体" w:hint="default"/>
          <w:spacing w:val="-13"/>
          <w:w w:val="100"/>
        </w:rPr>
        <w:t>2019-056</w:t>
      </w:r>
      <w:r>
        <w:rPr>
          <w:spacing w:val="-13"/>
          <w:w w:val="100"/>
        </w:rPr>
        <w:t>）。</w:t>
      </w:r>
      <w:r>
        <w:rPr>
          <w:w w:val="100"/>
        </w:rPr>
      </w:r>
    </w:p>
    <w:p>
      <w:pPr>
        <w:pStyle w:val="BodyText"/>
        <w:spacing w:line="348" w:lineRule="auto" w:before="70"/>
        <w:ind w:right="1128" w:firstLine="422"/>
        <w:jc w:val="both"/>
      </w:pPr>
      <w:r>
        <w:rPr/>
        <w:t>⑤</w:t>
      </w:r>
      <w:r>
        <w:rPr>
          <w:rFonts w:ascii="宋体" w:hAnsi="宋体" w:cs="宋体" w:eastAsia="宋体" w:hint="default"/>
        </w:rPr>
        <w:t>2019</w:t>
      </w:r>
      <w:r>
        <w:rPr/>
        <w:t>年</w:t>
      </w:r>
      <w:r>
        <w:rPr>
          <w:rFonts w:ascii="宋体" w:hAnsi="宋体" w:cs="宋体" w:eastAsia="宋体" w:hint="default"/>
        </w:rPr>
        <w:t>6</w:t>
      </w:r>
      <w:r>
        <w:rPr/>
        <w:t>月，北京中电兴发作为联合体牵头人在伊川县土地复垦和补充耕地指标开发建设项目（伊</w:t>
      </w:r>
      <w:r>
        <w:rPr>
          <w:w w:val="100"/>
        </w:rPr>
        <w:t> </w:t>
      </w:r>
      <w:r>
        <w:rPr>
          <w:spacing w:val="-2"/>
        </w:rPr>
        <w:t>公交易采【</w:t>
      </w:r>
      <w:r>
        <w:rPr>
          <w:rFonts w:ascii="宋体" w:hAnsi="宋体" w:cs="宋体" w:eastAsia="宋体" w:hint="default"/>
          <w:spacing w:val="-2"/>
        </w:rPr>
        <w:t>2019</w:t>
      </w:r>
      <w:r>
        <w:rPr>
          <w:spacing w:val="-2"/>
        </w:rPr>
        <w:t>】</w:t>
      </w:r>
      <w:r>
        <w:rPr>
          <w:rFonts w:ascii="宋体" w:hAnsi="宋体" w:cs="宋体" w:eastAsia="宋体" w:hint="default"/>
          <w:spacing w:val="-2"/>
        </w:rPr>
        <w:t>054</w:t>
      </w:r>
      <w:r>
        <w:rPr>
          <w:spacing w:val="-2"/>
        </w:rPr>
        <w:t>号）中中标，中标总金额为人民币</w:t>
      </w:r>
      <w:r>
        <w:rPr>
          <w:rFonts w:ascii="宋体" w:hAnsi="宋体" w:cs="宋体" w:eastAsia="宋体" w:hint="default"/>
          <w:spacing w:val="-2"/>
        </w:rPr>
        <w:t>29,190.00</w:t>
      </w:r>
      <w:r>
        <w:rPr>
          <w:spacing w:val="-2"/>
        </w:rPr>
        <w:t>万元，且已收到中标通知书。具体详见</w:t>
      </w:r>
    </w:p>
    <w:p>
      <w:pPr>
        <w:pStyle w:val="BodyText"/>
        <w:spacing w:line="240" w:lineRule="auto" w:before="34"/>
        <w:ind w:right="1002"/>
        <w:jc w:val="left"/>
      </w:pPr>
      <w:r>
        <w:rPr>
          <w:w w:val="100"/>
        </w:rPr>
        <w:t>《中电兴</w:t>
      </w:r>
      <w:r>
        <w:rPr>
          <w:spacing w:val="-5"/>
          <w:w w:val="100"/>
        </w:rPr>
        <w:t>发</w:t>
      </w:r>
      <w:r>
        <w:rPr>
          <w:w w:val="100"/>
        </w:rPr>
        <w:t>：关于</w:t>
      </w:r>
      <w:r>
        <w:rPr>
          <w:spacing w:val="-5"/>
          <w:w w:val="100"/>
        </w:rPr>
        <w:t>全</w:t>
      </w:r>
      <w:r>
        <w:rPr>
          <w:w w:val="100"/>
        </w:rPr>
        <w:t>资子公</w:t>
      </w:r>
      <w:r>
        <w:rPr>
          <w:spacing w:val="-5"/>
          <w:w w:val="100"/>
        </w:rPr>
        <w:t>司</w:t>
      </w:r>
      <w:r>
        <w:rPr>
          <w:w w:val="100"/>
        </w:rPr>
        <w:t>收到中</w:t>
      </w:r>
      <w:r>
        <w:rPr>
          <w:spacing w:val="-5"/>
          <w:w w:val="100"/>
        </w:rPr>
        <w:t>标</w:t>
      </w:r>
      <w:r>
        <w:rPr>
          <w:w w:val="100"/>
        </w:rPr>
        <w:t>通知书</w:t>
      </w:r>
      <w:r>
        <w:rPr>
          <w:spacing w:val="-5"/>
          <w:w w:val="100"/>
        </w:rPr>
        <w:t>的</w:t>
      </w:r>
      <w:r>
        <w:rPr>
          <w:w w:val="100"/>
        </w:rPr>
        <w:t>公</w:t>
      </w:r>
      <w:r>
        <w:rPr>
          <w:spacing w:val="-5"/>
          <w:w w:val="100"/>
        </w:rPr>
        <w:t>告</w:t>
      </w:r>
      <w:r>
        <w:rPr>
          <w:spacing w:val="-106"/>
          <w:w w:val="100"/>
        </w:rPr>
        <w:t>》</w:t>
      </w:r>
      <w:r>
        <w:rPr>
          <w:w w:val="100"/>
        </w:rPr>
        <w:t>（公告编</w:t>
      </w:r>
      <w:r>
        <w:rPr>
          <w:spacing w:val="-3"/>
          <w:w w:val="100"/>
        </w:rPr>
        <w:t>号</w:t>
      </w:r>
      <w:r>
        <w:rPr>
          <w:w w:val="100"/>
        </w:rPr>
        <w:t>：</w:t>
      </w:r>
      <w:r>
        <w:rPr>
          <w:rFonts w:ascii="宋体" w:hAnsi="宋体" w:cs="宋体" w:eastAsia="宋体" w:hint="default"/>
          <w:w w:val="100"/>
        </w:rPr>
        <w:t>2019-</w:t>
      </w:r>
      <w:r>
        <w:rPr>
          <w:rFonts w:ascii="宋体" w:hAnsi="宋体" w:cs="宋体" w:eastAsia="宋体" w:hint="default"/>
          <w:spacing w:val="-5"/>
          <w:w w:val="100"/>
        </w:rPr>
        <w:t>0</w:t>
      </w:r>
      <w:r>
        <w:rPr>
          <w:rFonts w:ascii="宋体" w:hAnsi="宋体" w:cs="宋体" w:eastAsia="宋体" w:hint="default"/>
          <w:w w:val="100"/>
        </w:rPr>
        <w:t>58</w:t>
      </w:r>
      <w:r>
        <w:rPr>
          <w:spacing w:val="-106"/>
          <w:w w:val="100"/>
        </w:rPr>
        <w:t>）。</w:t>
      </w:r>
      <w:r>
        <w:rPr>
          <w:w w:val="100"/>
        </w:rPr>
      </w:r>
    </w:p>
    <w:p>
      <w:pPr>
        <w:pStyle w:val="BodyText"/>
        <w:spacing w:line="240" w:lineRule="auto" w:before="162"/>
        <w:ind w:left="535" w:right="1002"/>
        <w:jc w:val="left"/>
        <w:rPr>
          <w:rFonts w:ascii="宋体" w:hAnsi="宋体" w:cs="宋体" w:eastAsia="宋体" w:hint="default"/>
        </w:rPr>
      </w:pPr>
      <w:r>
        <w:rPr>
          <w:w w:val="100"/>
        </w:rPr>
        <w:t>⑥</w:t>
      </w:r>
      <w:r>
        <w:rPr>
          <w:rFonts w:ascii="宋体" w:hAnsi="宋体" w:cs="宋体" w:eastAsia="宋体" w:hint="default"/>
          <w:w w:val="100"/>
        </w:rPr>
        <w:t>201</w:t>
      </w:r>
      <w:r>
        <w:rPr>
          <w:rFonts w:ascii="宋体" w:hAnsi="宋体" w:cs="宋体" w:eastAsia="宋体" w:hint="default"/>
          <w:spacing w:val="-5"/>
          <w:w w:val="100"/>
        </w:rPr>
        <w:t>9</w:t>
      </w:r>
      <w:r>
        <w:rPr>
          <w:w w:val="100"/>
        </w:rPr>
        <w:t>年</w:t>
      </w:r>
      <w:r>
        <w:rPr>
          <w:rFonts w:ascii="宋体" w:hAnsi="宋体" w:cs="宋体" w:eastAsia="宋体" w:hint="default"/>
          <w:w w:val="100"/>
        </w:rPr>
        <w:t>7</w:t>
      </w:r>
      <w:r>
        <w:rPr>
          <w:w w:val="100"/>
        </w:rPr>
        <w:t>月</w:t>
      </w:r>
      <w:r>
        <w:rPr>
          <w:spacing w:val="-87"/>
          <w:w w:val="100"/>
        </w:rPr>
        <w:t>，</w:t>
      </w:r>
      <w:r>
        <w:rPr>
          <w:w w:val="100"/>
        </w:rPr>
        <w:t>北</w:t>
      </w:r>
      <w:r>
        <w:rPr>
          <w:spacing w:val="-5"/>
          <w:w w:val="100"/>
        </w:rPr>
        <w:t>京</w:t>
      </w:r>
      <w:r>
        <w:rPr>
          <w:w w:val="100"/>
        </w:rPr>
        <w:t>中电兴</w:t>
      </w:r>
      <w:r>
        <w:rPr>
          <w:spacing w:val="-5"/>
          <w:w w:val="100"/>
        </w:rPr>
        <w:t>发</w:t>
      </w:r>
      <w:r>
        <w:rPr>
          <w:w w:val="100"/>
        </w:rPr>
        <w:t>在赫章</w:t>
      </w:r>
      <w:r>
        <w:rPr>
          <w:spacing w:val="-5"/>
          <w:w w:val="100"/>
        </w:rPr>
        <w:t>县</w:t>
      </w:r>
      <w:r>
        <w:rPr>
          <w:w w:val="100"/>
        </w:rPr>
        <w:t>智慧赫</w:t>
      </w:r>
      <w:r>
        <w:rPr>
          <w:spacing w:val="-5"/>
          <w:w w:val="100"/>
        </w:rPr>
        <w:t>章建</w:t>
      </w:r>
      <w:r>
        <w:rPr>
          <w:w w:val="100"/>
        </w:rPr>
        <w:t>设政府和</w:t>
      </w:r>
      <w:r>
        <w:rPr>
          <w:spacing w:val="-5"/>
          <w:w w:val="100"/>
        </w:rPr>
        <w:t>社</w:t>
      </w:r>
      <w:r>
        <w:rPr>
          <w:w w:val="100"/>
        </w:rPr>
        <w:t>会合</w:t>
      </w:r>
      <w:r>
        <w:rPr>
          <w:spacing w:val="-87"/>
          <w:w w:val="100"/>
        </w:rPr>
        <w:t>作</w:t>
      </w:r>
      <w:r>
        <w:rPr>
          <w:spacing w:val="2"/>
          <w:w w:val="100"/>
        </w:rPr>
        <w:t>（</w:t>
      </w:r>
      <w:r>
        <w:rPr>
          <w:rFonts w:ascii="宋体" w:hAnsi="宋体" w:cs="宋体" w:eastAsia="宋体" w:hint="default"/>
          <w:w w:val="100"/>
        </w:rPr>
        <w:t>PPP</w:t>
      </w:r>
      <w:r>
        <w:rPr>
          <w:spacing w:val="-87"/>
          <w:w w:val="100"/>
        </w:rPr>
        <w:t>）</w:t>
      </w:r>
      <w:r>
        <w:rPr>
          <w:spacing w:val="-5"/>
          <w:w w:val="100"/>
        </w:rPr>
        <w:t>项</w:t>
      </w:r>
      <w:r>
        <w:rPr>
          <w:w w:val="100"/>
        </w:rPr>
        <w:t>目</w:t>
      </w:r>
      <w:r>
        <w:rPr>
          <w:spacing w:val="1"/>
        </w:rPr>
        <w:t> </w:t>
      </w:r>
      <w:r>
        <w:rPr>
          <w:rFonts w:ascii="宋体" w:hAnsi="宋体" w:cs="宋体" w:eastAsia="宋体" w:hint="default"/>
          <w:w w:val="100"/>
        </w:rPr>
        <w:t>EPC</w:t>
      </w:r>
      <w:r>
        <w:rPr>
          <w:rFonts w:ascii="宋体" w:hAnsi="宋体" w:cs="宋体" w:eastAsia="宋体" w:hint="default"/>
        </w:rPr>
        <w:t> </w:t>
      </w:r>
      <w:r>
        <w:rPr>
          <w:spacing w:val="-5"/>
          <w:w w:val="100"/>
        </w:rPr>
        <w:t>总</w:t>
      </w:r>
      <w:r>
        <w:rPr>
          <w:w w:val="100"/>
        </w:rPr>
        <w:t>承包工</w:t>
      </w:r>
      <w:r>
        <w:rPr>
          <w:spacing w:val="-87"/>
          <w:w w:val="100"/>
        </w:rPr>
        <w:t>程</w:t>
      </w:r>
      <w:r>
        <w:rPr>
          <w:w w:val="100"/>
        </w:rPr>
        <w:t>【</w:t>
      </w:r>
      <w:r>
        <w:rPr>
          <w:rFonts w:ascii="宋体" w:hAnsi="宋体" w:cs="宋体" w:eastAsia="宋体" w:hint="default"/>
          <w:spacing w:val="-5"/>
          <w:w w:val="100"/>
        </w:rPr>
        <w:t>G</w:t>
      </w:r>
      <w:r>
        <w:rPr>
          <w:rFonts w:ascii="宋体" w:hAnsi="宋体" w:cs="宋体" w:eastAsia="宋体" w:hint="default"/>
          <w:w w:val="100"/>
        </w:rPr>
        <w:t>ZEF</w:t>
      </w:r>
    </w:p>
    <w:p>
      <w:pPr>
        <w:pStyle w:val="BodyText"/>
        <w:spacing w:line="350" w:lineRule="auto" w:before="128"/>
        <w:ind w:right="1017"/>
        <w:jc w:val="left"/>
      </w:pPr>
      <w:r>
        <w:rPr/>
        <w:t>（采）</w:t>
      </w:r>
      <w:r>
        <w:rPr>
          <w:rFonts w:ascii="宋体" w:hAnsi="宋体" w:cs="宋体" w:eastAsia="宋体" w:hint="default"/>
        </w:rPr>
        <w:t>2019-013</w:t>
      </w:r>
      <w:r>
        <w:rPr/>
        <w:t>】中中标，中标总金额为人民币 </w:t>
      </w:r>
      <w:r>
        <w:rPr>
          <w:rFonts w:ascii="宋体" w:hAnsi="宋体" w:cs="宋体" w:eastAsia="宋体" w:hint="default"/>
        </w:rPr>
        <w:t>66,650.447</w:t>
      </w:r>
      <w:r>
        <w:rPr>
          <w:rFonts w:ascii="宋体" w:hAnsi="宋体" w:cs="宋体" w:eastAsia="宋体" w:hint="default"/>
          <w:spacing w:val="-12"/>
        </w:rPr>
        <w:t> </w:t>
      </w:r>
      <w:r>
        <w:rPr/>
        <w:t>万元，且已收到中标通知书。具体详见《中</w:t>
      </w:r>
      <w:r>
        <w:rPr>
          <w:w w:val="100"/>
        </w:rPr>
        <w:t> </w:t>
      </w:r>
      <w:r>
        <w:rPr>
          <w:spacing w:val="-4"/>
          <w:w w:val="100"/>
        </w:rPr>
        <w:t>电兴发：关于全资子公司收到中标通知书的公告》（公告编号：</w:t>
      </w:r>
      <w:r>
        <w:rPr>
          <w:rFonts w:ascii="宋体" w:hAnsi="宋体" w:cs="宋体" w:eastAsia="宋体" w:hint="default"/>
          <w:spacing w:val="-4"/>
          <w:w w:val="100"/>
        </w:rPr>
        <w:t>2019-066</w:t>
      </w:r>
      <w:r>
        <w:rPr>
          <w:spacing w:val="-4"/>
          <w:w w:val="100"/>
        </w:rPr>
        <w:t>）。</w:t>
      </w:r>
      <w:r>
        <w:rPr>
          <w:rFonts w:ascii="宋体" w:hAnsi="宋体" w:cs="宋体" w:eastAsia="宋体" w:hint="default"/>
          <w:spacing w:val="-4"/>
          <w:w w:val="100"/>
        </w:rPr>
        <w:t>2019</w:t>
      </w:r>
      <w:r>
        <w:rPr>
          <w:spacing w:val="-4"/>
          <w:w w:val="100"/>
        </w:rPr>
        <w:t>年</w:t>
      </w:r>
      <w:r>
        <w:rPr>
          <w:rFonts w:ascii="宋体" w:hAnsi="宋体" w:cs="宋体" w:eastAsia="宋体" w:hint="default"/>
          <w:spacing w:val="-4"/>
          <w:w w:val="100"/>
        </w:rPr>
        <w:t>7</w:t>
      </w:r>
      <w:r>
        <w:rPr>
          <w:spacing w:val="-4"/>
          <w:w w:val="100"/>
        </w:rPr>
        <w:t>月，北京中电兴发就</w:t>
      </w:r>
      <w:r>
        <w:rPr>
          <w:spacing w:val="-82"/>
          <w:w w:val="100"/>
        </w:rPr>
        <w:t> </w:t>
      </w:r>
      <w:r>
        <w:rPr>
          <w:spacing w:val="-4"/>
          <w:w w:val="100"/>
        </w:rPr>
        <w:t>该项目签订了《中电兴发：赫章县智慧赫章建设政府和社会合作（</w:t>
      </w:r>
      <w:r>
        <w:rPr>
          <w:rFonts w:ascii="宋体" w:hAnsi="宋体" w:cs="宋体" w:eastAsia="宋体" w:hint="default"/>
          <w:spacing w:val="-4"/>
          <w:w w:val="100"/>
        </w:rPr>
        <w:t>PPP</w:t>
      </w:r>
      <w:r>
        <w:rPr>
          <w:spacing w:val="-4"/>
          <w:w w:val="100"/>
        </w:rPr>
        <w:t>）项目</w:t>
      </w:r>
      <w:r>
        <w:rPr>
          <w:rFonts w:ascii="宋体" w:hAnsi="宋体" w:cs="宋体" w:eastAsia="宋体" w:hint="default"/>
          <w:spacing w:val="-4"/>
          <w:w w:val="100"/>
        </w:rPr>
        <w:t>EPC</w:t>
      </w:r>
      <w:r>
        <w:rPr>
          <w:spacing w:val="-4"/>
          <w:w w:val="100"/>
        </w:rPr>
        <w:t>总承包工程合同协议书》。</w:t>
      </w:r>
      <w:r>
        <w:rPr>
          <w:spacing w:val="-86"/>
          <w:w w:val="100"/>
        </w:rPr>
        <w:t> </w:t>
      </w:r>
      <w:r>
        <w:rPr>
          <w:spacing w:val="-86"/>
          <w:w w:val="100"/>
        </w:rPr>
      </w:r>
      <w:r>
        <w:rPr>
          <w:spacing w:val="-8"/>
          <w:w w:val="100"/>
        </w:rPr>
        <w:t>具体详见《中电兴发：关于全资子公司签订智慧城市</w:t>
      </w:r>
      <w:r>
        <w:rPr>
          <w:rFonts w:ascii="宋体" w:hAnsi="宋体" w:cs="宋体" w:eastAsia="宋体" w:hint="default"/>
          <w:spacing w:val="-8"/>
          <w:w w:val="100"/>
        </w:rPr>
        <w:t>PPP</w:t>
      </w:r>
      <w:r>
        <w:rPr>
          <w:spacing w:val="-8"/>
          <w:w w:val="100"/>
        </w:rPr>
        <w:t>项目</w:t>
      </w:r>
      <w:r>
        <w:rPr>
          <w:rFonts w:ascii="宋体" w:hAnsi="宋体" w:cs="宋体" w:eastAsia="宋体" w:hint="default"/>
          <w:spacing w:val="-8"/>
          <w:w w:val="100"/>
        </w:rPr>
        <w:t>EPC</w:t>
      </w:r>
      <w:r>
        <w:rPr>
          <w:spacing w:val="-8"/>
          <w:w w:val="100"/>
        </w:rPr>
        <w:t>合同的公告》（公告编号：</w:t>
      </w:r>
      <w:r>
        <w:rPr>
          <w:rFonts w:ascii="宋体" w:hAnsi="宋体" w:cs="宋体" w:eastAsia="宋体" w:hint="default"/>
          <w:spacing w:val="-8"/>
          <w:w w:val="100"/>
        </w:rPr>
        <w:t>2019-068</w:t>
      </w:r>
      <w:r>
        <w:rPr>
          <w:spacing w:val="-8"/>
          <w:w w:val="100"/>
        </w:rPr>
        <w:t>）。</w:t>
      </w:r>
      <w:r>
        <w:rPr>
          <w:w w:val="100"/>
        </w:rPr>
      </w:r>
    </w:p>
    <w:p>
      <w:pPr>
        <w:pStyle w:val="BodyText"/>
        <w:spacing w:line="350" w:lineRule="auto" w:before="65"/>
        <w:ind w:right="1133" w:firstLine="422"/>
        <w:jc w:val="both"/>
      </w:pPr>
      <w:r>
        <w:rPr/>
        <w:t>⑦</w:t>
      </w:r>
      <w:r>
        <w:rPr>
          <w:rFonts w:ascii="宋体" w:hAnsi="宋体" w:cs="宋体" w:eastAsia="宋体" w:hint="default"/>
        </w:rPr>
        <w:t>2019</w:t>
      </w:r>
      <w:r>
        <w:rPr/>
        <w:t>年</w:t>
      </w:r>
      <w:r>
        <w:rPr>
          <w:rFonts w:ascii="宋体" w:hAnsi="宋体" w:cs="宋体" w:eastAsia="宋体" w:hint="default"/>
        </w:rPr>
        <w:t>8</w:t>
      </w:r>
      <w:r>
        <w:rPr/>
        <w:t>月，北京中电兴发作为联合体牵头人在河南省原阳县城乡建设用地增减挂钩和占补平衡项</w:t>
      </w:r>
      <w:r>
        <w:rPr>
          <w:w w:val="100"/>
        </w:rPr>
        <w:t> </w:t>
      </w:r>
      <w:r>
        <w:rPr>
          <w:spacing w:val="-2"/>
        </w:rPr>
        <w:t>目（</w:t>
      </w:r>
      <w:r>
        <w:rPr>
          <w:rFonts w:ascii="宋体" w:hAnsi="宋体" w:cs="宋体" w:eastAsia="宋体" w:hint="default"/>
          <w:spacing w:val="-2"/>
        </w:rPr>
        <w:t>HNZDCG-FW-2019-0717</w:t>
      </w:r>
      <w:r>
        <w:rPr>
          <w:spacing w:val="-2"/>
        </w:rPr>
        <w:t>）中中标，中标总金额为人民币</w:t>
      </w:r>
      <w:r>
        <w:rPr>
          <w:rFonts w:ascii="宋体" w:hAnsi="宋体" w:cs="宋体" w:eastAsia="宋体" w:hint="default"/>
          <w:spacing w:val="-2"/>
        </w:rPr>
        <w:t>34,900.00</w:t>
      </w:r>
      <w:r>
        <w:rPr>
          <w:spacing w:val="-2"/>
        </w:rPr>
        <w:t>万元，且已收到中标通知书。具体详</w:t>
      </w:r>
      <w:r>
        <w:rPr>
          <w:spacing w:val="-14"/>
        </w:rPr>
        <w:t> </w:t>
      </w:r>
      <w:r>
        <w:rPr>
          <w:spacing w:val="-14"/>
        </w:rPr>
      </w:r>
      <w:r>
        <w:rPr>
          <w:spacing w:val="-9"/>
          <w:w w:val="100"/>
        </w:rPr>
        <w:t>见《中电兴发：关于全资子公司收到中标通知书的公告》（公告编号：</w:t>
      </w:r>
      <w:r>
        <w:rPr>
          <w:rFonts w:ascii="宋体" w:hAnsi="宋体" w:cs="宋体" w:eastAsia="宋体" w:hint="default"/>
          <w:spacing w:val="-9"/>
          <w:w w:val="100"/>
        </w:rPr>
        <w:t>2019-070</w:t>
      </w:r>
      <w:r>
        <w:rPr>
          <w:spacing w:val="-9"/>
          <w:w w:val="100"/>
        </w:rPr>
        <w:t>）。</w:t>
      </w:r>
      <w:r>
        <w:rPr>
          <w:w w:val="100"/>
        </w:rPr>
      </w:r>
    </w:p>
    <w:p>
      <w:pPr>
        <w:pStyle w:val="BodyText"/>
        <w:spacing w:line="240" w:lineRule="auto" w:before="70"/>
        <w:ind w:left="535" w:right="1002"/>
        <w:jc w:val="left"/>
      </w:pPr>
      <w:r>
        <w:rPr/>
        <w:t>⑧</w:t>
      </w:r>
      <w:r>
        <w:rPr>
          <w:rFonts w:ascii="宋体" w:hAnsi="宋体" w:cs="宋体" w:eastAsia="宋体" w:hint="default"/>
        </w:rPr>
        <w:t>2019</w:t>
      </w:r>
      <w:r>
        <w:rPr/>
        <w:t>年</w:t>
      </w:r>
      <w:r>
        <w:rPr>
          <w:rFonts w:ascii="宋体" w:hAnsi="宋体" w:cs="宋体" w:eastAsia="宋体" w:hint="default"/>
        </w:rPr>
        <w:t>11</w:t>
      </w:r>
      <w:r>
        <w:rPr/>
        <w:t>月，北京中电兴发作为联合体牵头人在夏邑县后备资源全流程投资开发项目（夏财采购</w:t>
      </w:r>
    </w:p>
    <w:p>
      <w:pPr>
        <w:pStyle w:val="BodyText"/>
        <w:spacing w:line="240" w:lineRule="auto" w:before="123"/>
        <w:ind w:right="1002"/>
        <w:jc w:val="left"/>
      </w:pPr>
      <w:r>
        <w:rPr/>
        <w:t>【</w:t>
      </w:r>
      <w:r>
        <w:rPr>
          <w:rFonts w:ascii="宋体" w:hAnsi="宋体" w:cs="宋体" w:eastAsia="宋体" w:hint="default"/>
        </w:rPr>
        <w:t>2019</w:t>
      </w:r>
      <w:r>
        <w:rPr/>
        <w:t>】</w:t>
      </w:r>
      <w:r>
        <w:rPr>
          <w:rFonts w:ascii="宋体" w:hAnsi="宋体" w:cs="宋体" w:eastAsia="宋体" w:hint="default"/>
        </w:rPr>
        <w:t>268 </w:t>
      </w:r>
      <w:r>
        <w:rPr/>
        <w:t>号）中中标，中标总金额预估为人民币 </w:t>
      </w:r>
      <w:r>
        <w:rPr>
          <w:rFonts w:ascii="宋体" w:hAnsi="宋体" w:cs="宋体" w:eastAsia="宋体" w:hint="default"/>
        </w:rPr>
        <w:t>88,770.00</w:t>
      </w:r>
      <w:r>
        <w:rPr>
          <w:rFonts w:ascii="宋体" w:hAnsi="宋体" w:cs="宋体" w:eastAsia="宋体" w:hint="default"/>
          <w:spacing w:val="72"/>
        </w:rPr>
        <w:t> </w:t>
      </w:r>
      <w:r>
        <w:rPr/>
        <w:t>万元，且已收到中标通知书。具体详见</w:t>
      </w:r>
    </w:p>
    <w:p>
      <w:pPr>
        <w:pStyle w:val="BodyText"/>
        <w:spacing w:line="350" w:lineRule="auto" w:before="123"/>
        <w:ind w:right="1127"/>
        <w:jc w:val="both"/>
      </w:pPr>
      <w:r>
        <w:rPr>
          <w:w w:val="100"/>
        </w:rPr>
        <w:t>《中电兴发</w:t>
      </w:r>
      <w:r>
        <w:rPr>
          <w:spacing w:val="-10"/>
          <w:w w:val="100"/>
        </w:rPr>
        <w:t>：</w:t>
      </w:r>
      <w:r>
        <w:rPr>
          <w:w w:val="100"/>
        </w:rPr>
        <w:t>关于全</w:t>
      </w:r>
      <w:r>
        <w:rPr>
          <w:spacing w:val="-5"/>
          <w:w w:val="100"/>
        </w:rPr>
        <w:t>资</w:t>
      </w:r>
      <w:r>
        <w:rPr>
          <w:w w:val="100"/>
        </w:rPr>
        <w:t>子公</w:t>
      </w:r>
      <w:r>
        <w:rPr>
          <w:spacing w:val="-5"/>
          <w:w w:val="100"/>
        </w:rPr>
        <w:t>司</w:t>
      </w:r>
      <w:r>
        <w:rPr>
          <w:w w:val="100"/>
        </w:rPr>
        <w:t>收到中</w:t>
      </w:r>
      <w:r>
        <w:rPr>
          <w:spacing w:val="-5"/>
          <w:w w:val="100"/>
        </w:rPr>
        <w:t>标</w:t>
      </w:r>
      <w:r>
        <w:rPr>
          <w:w w:val="100"/>
        </w:rPr>
        <w:t>通知书</w:t>
      </w:r>
      <w:r>
        <w:rPr>
          <w:spacing w:val="-5"/>
          <w:w w:val="100"/>
        </w:rPr>
        <w:t>的</w:t>
      </w:r>
      <w:r>
        <w:rPr>
          <w:w w:val="100"/>
        </w:rPr>
        <w:t>公</w:t>
      </w:r>
      <w:r>
        <w:rPr>
          <w:spacing w:val="-5"/>
          <w:w w:val="100"/>
        </w:rPr>
        <w:t>告</w:t>
      </w:r>
      <w:r>
        <w:rPr>
          <w:spacing w:val="-111"/>
          <w:w w:val="100"/>
        </w:rPr>
        <w:t>》</w:t>
      </w:r>
      <w:r>
        <w:rPr>
          <w:w w:val="100"/>
        </w:rPr>
        <w:t>（公告编</w:t>
      </w:r>
      <w:r>
        <w:rPr>
          <w:spacing w:val="-5"/>
          <w:w w:val="100"/>
        </w:rPr>
        <w:t>号</w:t>
      </w:r>
      <w:r>
        <w:rPr>
          <w:spacing w:val="-3"/>
          <w:w w:val="100"/>
        </w:rPr>
        <w:t>：</w:t>
      </w:r>
      <w:r>
        <w:rPr>
          <w:rFonts w:ascii="宋体" w:hAnsi="宋体" w:cs="宋体" w:eastAsia="宋体" w:hint="default"/>
          <w:w w:val="100"/>
        </w:rPr>
        <w:t>2019-0</w:t>
      </w:r>
      <w:r>
        <w:rPr>
          <w:rFonts w:ascii="宋体" w:hAnsi="宋体" w:cs="宋体" w:eastAsia="宋体" w:hint="default"/>
          <w:spacing w:val="-5"/>
          <w:w w:val="100"/>
        </w:rPr>
        <w:t>9</w:t>
      </w:r>
      <w:r>
        <w:rPr>
          <w:rFonts w:ascii="宋体" w:hAnsi="宋体" w:cs="宋体" w:eastAsia="宋体" w:hint="default"/>
          <w:w w:val="100"/>
        </w:rPr>
        <w:t>2</w:t>
      </w:r>
      <w:r>
        <w:rPr>
          <w:spacing w:val="-106"/>
          <w:w w:val="100"/>
        </w:rPr>
        <w:t>）</w:t>
      </w:r>
      <w:r>
        <w:rPr>
          <w:spacing w:val="-5"/>
          <w:w w:val="100"/>
        </w:rPr>
        <w:t>。</w:t>
      </w:r>
      <w:r>
        <w:rPr>
          <w:rFonts w:ascii="宋体" w:hAnsi="宋体" w:cs="宋体" w:eastAsia="宋体" w:hint="default"/>
          <w:w w:val="100"/>
        </w:rPr>
        <w:t>201</w:t>
      </w:r>
      <w:r>
        <w:rPr>
          <w:rFonts w:ascii="宋体" w:hAnsi="宋体" w:cs="宋体" w:eastAsia="宋体" w:hint="default"/>
          <w:spacing w:val="-5"/>
          <w:w w:val="100"/>
        </w:rPr>
        <w:t>9</w:t>
      </w:r>
      <w:r>
        <w:rPr>
          <w:w w:val="100"/>
        </w:rPr>
        <w:t>年</w:t>
      </w:r>
      <w:r>
        <w:rPr>
          <w:rFonts w:ascii="宋体" w:hAnsi="宋体" w:cs="宋体" w:eastAsia="宋体" w:hint="default"/>
          <w:w w:val="100"/>
        </w:rPr>
        <w:t>12</w:t>
      </w:r>
      <w:r>
        <w:rPr>
          <w:w w:val="100"/>
        </w:rPr>
        <w:t>月</w:t>
      </w:r>
      <w:r>
        <w:rPr>
          <w:spacing w:val="-10"/>
          <w:w w:val="100"/>
        </w:rPr>
        <w:t>，</w:t>
      </w:r>
      <w:r>
        <w:rPr>
          <w:w w:val="100"/>
        </w:rPr>
        <w:t>北京中</w:t>
      </w:r>
      <w:r>
        <w:rPr>
          <w:spacing w:val="-5"/>
          <w:w w:val="100"/>
        </w:rPr>
        <w:t>电</w:t>
      </w:r>
      <w:r>
        <w:rPr>
          <w:w w:val="100"/>
        </w:rPr>
        <w:t>兴</w:t>
      </w:r>
      <w:r>
        <w:rPr>
          <w:w w:val="100"/>
        </w:rPr>
        <w:t> 发就该项目签订了《中</w:t>
      </w:r>
      <w:r>
        <w:rPr>
          <w:spacing w:val="4"/>
          <w:w w:val="100"/>
        </w:rPr>
        <w:t>电</w:t>
      </w:r>
      <w:r>
        <w:rPr>
          <w:w w:val="100"/>
        </w:rPr>
        <w:t>兴发：夏邑县后</w:t>
      </w:r>
      <w:r>
        <w:rPr>
          <w:spacing w:val="4"/>
          <w:w w:val="100"/>
        </w:rPr>
        <w:t>备</w:t>
      </w:r>
      <w:r>
        <w:rPr>
          <w:w w:val="100"/>
        </w:rPr>
        <w:t>资源全</w:t>
      </w:r>
      <w:r>
        <w:rPr>
          <w:spacing w:val="4"/>
          <w:w w:val="100"/>
        </w:rPr>
        <w:t>流</w:t>
      </w:r>
      <w:r>
        <w:rPr>
          <w:w w:val="100"/>
        </w:rPr>
        <w:t>程投资开发项目政府采</w:t>
      </w:r>
      <w:r>
        <w:rPr>
          <w:spacing w:val="4"/>
          <w:w w:val="100"/>
        </w:rPr>
        <w:t>购</w:t>
      </w:r>
      <w:r>
        <w:rPr>
          <w:w w:val="100"/>
        </w:rPr>
        <w:t>合同</w:t>
      </w:r>
      <w:r>
        <w:rPr>
          <w:spacing w:val="-101"/>
          <w:w w:val="100"/>
        </w:rPr>
        <w:t>》</w:t>
      </w:r>
      <w:r>
        <w:rPr>
          <w:w w:val="100"/>
        </w:rPr>
        <w:t>。具体详见《中电兴</w:t>
      </w:r>
      <w:r>
        <w:rPr>
          <w:w w:val="100"/>
        </w:rPr>
        <w:t> 发：关于</w:t>
      </w:r>
      <w:r>
        <w:rPr>
          <w:spacing w:val="-5"/>
          <w:w w:val="100"/>
        </w:rPr>
        <w:t>全</w:t>
      </w:r>
      <w:r>
        <w:rPr>
          <w:w w:val="100"/>
        </w:rPr>
        <w:t>资子公</w:t>
      </w:r>
      <w:r>
        <w:rPr>
          <w:spacing w:val="-5"/>
          <w:w w:val="100"/>
        </w:rPr>
        <w:t>司</w:t>
      </w:r>
      <w:r>
        <w:rPr>
          <w:w w:val="100"/>
        </w:rPr>
        <w:t>签订智</w:t>
      </w:r>
      <w:r>
        <w:rPr>
          <w:spacing w:val="-5"/>
          <w:w w:val="100"/>
        </w:rPr>
        <w:t>慧</w:t>
      </w:r>
      <w:r>
        <w:rPr>
          <w:w w:val="100"/>
        </w:rPr>
        <w:t>国土项</w:t>
      </w:r>
      <w:r>
        <w:rPr>
          <w:spacing w:val="-5"/>
          <w:w w:val="100"/>
        </w:rPr>
        <w:t>目</w:t>
      </w:r>
      <w:r>
        <w:rPr>
          <w:w w:val="100"/>
        </w:rPr>
        <w:t>合同的</w:t>
      </w:r>
      <w:r>
        <w:rPr>
          <w:spacing w:val="-5"/>
          <w:w w:val="100"/>
        </w:rPr>
        <w:t>公</w:t>
      </w:r>
      <w:r>
        <w:rPr>
          <w:w w:val="100"/>
        </w:rPr>
        <w:t>告</w:t>
      </w:r>
      <w:r>
        <w:rPr>
          <w:spacing w:val="-111"/>
          <w:w w:val="100"/>
        </w:rPr>
        <w:t>》</w:t>
      </w:r>
      <w:r>
        <w:rPr>
          <w:w w:val="100"/>
        </w:rPr>
        <w:t>（公告编</w:t>
      </w:r>
      <w:r>
        <w:rPr>
          <w:spacing w:val="-5"/>
          <w:w w:val="100"/>
        </w:rPr>
        <w:t>号</w:t>
      </w:r>
      <w:r>
        <w:rPr>
          <w:spacing w:val="2"/>
          <w:w w:val="100"/>
        </w:rPr>
        <w:t>：</w:t>
      </w:r>
      <w:r>
        <w:rPr>
          <w:rFonts w:ascii="宋体" w:hAnsi="宋体" w:cs="宋体" w:eastAsia="宋体" w:hint="default"/>
          <w:w w:val="100"/>
        </w:rPr>
        <w:t>2019-0</w:t>
      </w:r>
      <w:r>
        <w:rPr>
          <w:rFonts w:ascii="宋体" w:hAnsi="宋体" w:cs="宋体" w:eastAsia="宋体" w:hint="default"/>
          <w:spacing w:val="-5"/>
          <w:w w:val="100"/>
        </w:rPr>
        <w:t>9</w:t>
      </w:r>
      <w:r>
        <w:rPr>
          <w:rFonts w:ascii="宋体" w:hAnsi="宋体" w:cs="宋体" w:eastAsia="宋体" w:hint="default"/>
          <w:w w:val="100"/>
        </w:rPr>
        <w:t>8</w:t>
      </w:r>
      <w:r>
        <w:rPr>
          <w:spacing w:val="-106"/>
          <w:w w:val="100"/>
        </w:rPr>
        <w:t>）。</w:t>
      </w:r>
      <w:r>
        <w:rPr>
          <w:w w:val="100"/>
        </w:rPr>
      </w:r>
    </w:p>
    <w:p>
      <w:pPr>
        <w:pStyle w:val="BodyText"/>
        <w:spacing w:line="240" w:lineRule="auto" w:before="70"/>
        <w:ind w:left="535" w:right="1002"/>
        <w:jc w:val="left"/>
      </w:pPr>
      <w:r>
        <w:rPr/>
        <w:t>⑨</w:t>
      </w:r>
      <w:r>
        <w:rPr>
          <w:rFonts w:ascii="宋体" w:hAnsi="宋体" w:cs="宋体" w:eastAsia="宋体" w:hint="default"/>
        </w:rPr>
        <w:t>2019</w:t>
      </w:r>
      <w:r>
        <w:rPr/>
        <w:t>年</w:t>
      </w:r>
      <w:r>
        <w:rPr>
          <w:rFonts w:ascii="宋体" w:hAnsi="宋体" w:cs="宋体" w:eastAsia="宋体" w:hint="default"/>
        </w:rPr>
        <w:t>12</w:t>
      </w:r>
      <w:r>
        <w:rPr/>
        <w:t>月，北京中电兴发作为联合体牵头单位中标贵州省毕节市大方县全域智慧旅游信息化平台</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23"/>
        <w:jc w:val="both"/>
      </w:pPr>
      <w:r>
        <w:rPr>
          <w:w w:val="100"/>
        </w:rPr>
        <w:t>建设</w:t>
      </w:r>
      <w:r>
        <w:rPr/>
        <w:t> </w:t>
      </w:r>
      <w:r>
        <w:rPr>
          <w:rFonts w:ascii="宋体" w:hAnsi="宋体" w:cs="宋体" w:eastAsia="宋体" w:hint="default"/>
          <w:w w:val="100"/>
        </w:rPr>
        <w:t>PPP</w:t>
      </w:r>
      <w:r>
        <w:rPr>
          <w:rFonts w:ascii="宋体" w:hAnsi="宋体" w:cs="宋体" w:eastAsia="宋体" w:hint="default"/>
          <w:spacing w:val="1"/>
        </w:rPr>
        <w:t> </w:t>
      </w:r>
      <w:r>
        <w:rPr>
          <w:spacing w:val="-5"/>
          <w:w w:val="100"/>
        </w:rPr>
        <w:t>项</w:t>
      </w:r>
      <w:r>
        <w:rPr>
          <w:w w:val="100"/>
        </w:rPr>
        <w:t>目（</w:t>
      </w:r>
      <w:r>
        <w:rPr>
          <w:rFonts w:ascii="宋体" w:hAnsi="宋体" w:cs="宋体" w:eastAsia="宋体" w:hint="default"/>
          <w:w w:val="100"/>
        </w:rPr>
        <w:t>93-</w:t>
      </w:r>
      <w:r>
        <w:rPr>
          <w:rFonts w:ascii="宋体" w:hAnsi="宋体" w:cs="宋体" w:eastAsia="宋体" w:hint="default"/>
          <w:spacing w:val="-5"/>
          <w:w w:val="100"/>
        </w:rPr>
        <w:t>Z</w:t>
      </w:r>
      <w:r>
        <w:rPr>
          <w:rFonts w:ascii="宋体" w:hAnsi="宋体" w:cs="宋体" w:eastAsia="宋体" w:hint="default"/>
          <w:w w:val="100"/>
        </w:rPr>
        <w:t>C2018-7</w:t>
      </w:r>
      <w:r>
        <w:rPr>
          <w:rFonts w:ascii="宋体" w:hAnsi="宋体" w:cs="宋体" w:eastAsia="宋体" w:hint="default"/>
          <w:spacing w:val="-5"/>
          <w:w w:val="100"/>
        </w:rPr>
        <w:t>-</w:t>
      </w:r>
      <w:r>
        <w:rPr>
          <w:rFonts w:ascii="宋体" w:hAnsi="宋体" w:cs="宋体" w:eastAsia="宋体" w:hint="default"/>
          <w:w w:val="100"/>
        </w:rPr>
        <w:t>2</w:t>
      </w:r>
      <w:r>
        <w:rPr>
          <w:rFonts w:ascii="宋体" w:hAnsi="宋体" w:cs="宋体" w:eastAsia="宋体" w:hint="default"/>
          <w:spacing w:val="-24"/>
        </w:rPr>
        <w:t> </w:t>
      </w:r>
      <w:r>
        <w:rPr>
          <w:rFonts w:ascii="宋体" w:hAnsi="宋体" w:cs="宋体" w:eastAsia="宋体" w:hint="default"/>
          <w:w w:val="100"/>
        </w:rPr>
        <w:t>67</w:t>
      </w:r>
      <w:r>
        <w:rPr>
          <w:spacing w:val="-106"/>
          <w:w w:val="100"/>
        </w:rPr>
        <w:t>）</w:t>
      </w:r>
      <w:r>
        <w:rPr>
          <w:w w:val="100"/>
        </w:rPr>
        <w:t>，并</w:t>
      </w:r>
      <w:r>
        <w:rPr>
          <w:spacing w:val="-5"/>
          <w:w w:val="100"/>
        </w:rPr>
        <w:t>就</w:t>
      </w:r>
      <w:r>
        <w:rPr>
          <w:w w:val="100"/>
        </w:rPr>
        <w:t>该项目</w:t>
      </w:r>
      <w:r>
        <w:rPr>
          <w:spacing w:val="-5"/>
          <w:w w:val="100"/>
        </w:rPr>
        <w:t>与</w:t>
      </w:r>
      <w:r>
        <w:rPr>
          <w:w w:val="100"/>
        </w:rPr>
        <w:t>大方</w:t>
      </w:r>
      <w:r>
        <w:rPr>
          <w:spacing w:val="1"/>
          <w:w w:val="100"/>
        </w:rPr>
        <w:t>县</w:t>
      </w:r>
      <w:r>
        <w:rPr>
          <w:w w:val="100"/>
        </w:rPr>
        <w:t>文</w:t>
      </w:r>
      <w:r>
        <w:rPr>
          <w:spacing w:val="-5"/>
          <w:w w:val="100"/>
        </w:rPr>
        <w:t>体</w:t>
      </w:r>
      <w:r>
        <w:rPr>
          <w:w w:val="100"/>
        </w:rPr>
        <w:t>广电旅</w:t>
      </w:r>
      <w:r>
        <w:rPr>
          <w:spacing w:val="-5"/>
          <w:w w:val="100"/>
        </w:rPr>
        <w:t>游</w:t>
      </w:r>
      <w:r>
        <w:rPr>
          <w:w w:val="100"/>
        </w:rPr>
        <w:t>局签订</w:t>
      </w:r>
      <w:r>
        <w:rPr>
          <w:spacing w:val="-5"/>
          <w:w w:val="100"/>
        </w:rPr>
        <w:t>了</w:t>
      </w:r>
      <w:r>
        <w:rPr>
          <w:w w:val="100"/>
        </w:rPr>
        <w:t>《贵州</w:t>
      </w:r>
      <w:r>
        <w:rPr>
          <w:spacing w:val="-5"/>
          <w:w w:val="100"/>
        </w:rPr>
        <w:t>省</w:t>
      </w:r>
      <w:r>
        <w:rPr>
          <w:w w:val="100"/>
        </w:rPr>
        <w:t>毕节市</w:t>
      </w:r>
      <w:r>
        <w:rPr>
          <w:spacing w:val="-5"/>
          <w:w w:val="100"/>
        </w:rPr>
        <w:t>大</w:t>
      </w:r>
      <w:r>
        <w:rPr>
          <w:w w:val="100"/>
        </w:rPr>
        <w:t>方县</w:t>
      </w:r>
      <w:r>
        <w:rPr>
          <w:w w:val="100"/>
        </w:rPr>
        <w:t> 全域智慧旅游信息</w:t>
      </w:r>
      <w:r>
        <w:rPr>
          <w:spacing w:val="4"/>
          <w:w w:val="100"/>
        </w:rPr>
        <w:t>化</w:t>
      </w:r>
      <w:r>
        <w:rPr>
          <w:w w:val="100"/>
        </w:rPr>
        <w:t>平台建设</w:t>
      </w:r>
      <w:r>
        <w:rPr>
          <w:spacing w:val="1"/>
        </w:rPr>
        <w:t> </w:t>
      </w:r>
      <w:r>
        <w:rPr>
          <w:rFonts w:ascii="宋体" w:hAnsi="宋体" w:cs="宋体" w:eastAsia="宋体" w:hint="default"/>
          <w:w w:val="100"/>
        </w:rPr>
        <w:t>PPP</w:t>
      </w:r>
      <w:r>
        <w:rPr>
          <w:rFonts w:ascii="宋体" w:hAnsi="宋体" w:cs="宋体" w:eastAsia="宋体" w:hint="default"/>
          <w:spacing w:val="6"/>
        </w:rPr>
        <w:t> </w:t>
      </w:r>
      <w:r>
        <w:rPr>
          <w:w w:val="100"/>
        </w:rPr>
        <w:t>项目合同</w:t>
      </w:r>
      <w:r>
        <w:rPr>
          <w:spacing w:val="-101"/>
          <w:w w:val="100"/>
        </w:rPr>
        <w:t>》</w:t>
      </w:r>
      <w:r>
        <w:rPr>
          <w:w w:val="100"/>
        </w:rPr>
        <w:t>，项</w:t>
      </w:r>
      <w:r>
        <w:rPr>
          <w:spacing w:val="4"/>
          <w:w w:val="100"/>
        </w:rPr>
        <w:t>目</w:t>
      </w:r>
      <w:r>
        <w:rPr>
          <w:w w:val="100"/>
        </w:rPr>
        <w:t>建设总投资估算为</w:t>
      </w:r>
      <w:r>
        <w:rPr>
          <w:spacing w:val="4"/>
          <w:w w:val="100"/>
        </w:rPr>
        <w:t>人</w:t>
      </w:r>
      <w:r>
        <w:rPr>
          <w:w w:val="100"/>
        </w:rPr>
        <w:t>民币</w:t>
      </w:r>
      <w:r>
        <w:rPr>
          <w:spacing w:val="2"/>
        </w:rPr>
        <w:t> </w:t>
      </w:r>
      <w:r>
        <w:rPr>
          <w:rFonts w:ascii="宋体" w:hAnsi="宋体" w:cs="宋体" w:eastAsia="宋体" w:hint="default"/>
          <w:w w:val="100"/>
        </w:rPr>
        <w:t>10,493.55</w:t>
      </w:r>
      <w:r>
        <w:rPr>
          <w:rFonts w:ascii="宋体" w:hAnsi="宋体" w:cs="宋体" w:eastAsia="宋体" w:hint="default"/>
          <w:spacing w:val="1"/>
        </w:rPr>
        <w:t> </w:t>
      </w:r>
      <w:r>
        <w:rPr>
          <w:w w:val="100"/>
        </w:rPr>
        <w:t>万元。具体详 见《中电</w:t>
      </w:r>
      <w:r>
        <w:rPr>
          <w:spacing w:val="-5"/>
          <w:w w:val="100"/>
        </w:rPr>
        <w:t>兴</w:t>
      </w:r>
      <w:r>
        <w:rPr>
          <w:w w:val="100"/>
        </w:rPr>
        <w:t>发：关</w:t>
      </w:r>
      <w:r>
        <w:rPr>
          <w:spacing w:val="-5"/>
          <w:w w:val="100"/>
        </w:rPr>
        <w:t>于</w:t>
      </w:r>
      <w:r>
        <w:rPr>
          <w:w w:val="100"/>
        </w:rPr>
        <w:t>全资子</w:t>
      </w:r>
      <w:r>
        <w:rPr>
          <w:spacing w:val="-5"/>
          <w:w w:val="100"/>
        </w:rPr>
        <w:t>公</w:t>
      </w:r>
      <w:r>
        <w:rPr>
          <w:w w:val="100"/>
        </w:rPr>
        <w:t>司收到</w:t>
      </w:r>
      <w:r>
        <w:rPr>
          <w:spacing w:val="-5"/>
          <w:w w:val="100"/>
        </w:rPr>
        <w:t>中</w:t>
      </w:r>
      <w:r>
        <w:rPr>
          <w:w w:val="100"/>
        </w:rPr>
        <w:t>标通知</w:t>
      </w:r>
      <w:r>
        <w:rPr>
          <w:spacing w:val="-5"/>
          <w:w w:val="100"/>
        </w:rPr>
        <w:t>书</w:t>
      </w:r>
      <w:r>
        <w:rPr>
          <w:w w:val="100"/>
        </w:rPr>
        <w:t>并</w:t>
      </w:r>
      <w:r>
        <w:rPr>
          <w:spacing w:val="-5"/>
          <w:w w:val="100"/>
        </w:rPr>
        <w:t>签</w:t>
      </w:r>
      <w:r>
        <w:rPr>
          <w:w w:val="100"/>
        </w:rPr>
        <w:t>订合同的</w:t>
      </w:r>
      <w:r>
        <w:rPr>
          <w:spacing w:val="-5"/>
          <w:w w:val="100"/>
        </w:rPr>
        <w:t>公</w:t>
      </w:r>
      <w:r>
        <w:rPr>
          <w:w w:val="100"/>
        </w:rPr>
        <w:t>告</w:t>
      </w:r>
      <w:r>
        <w:rPr>
          <w:spacing w:val="-106"/>
          <w:w w:val="100"/>
        </w:rPr>
        <w:t>》</w:t>
      </w:r>
      <w:r>
        <w:rPr>
          <w:w w:val="100"/>
        </w:rPr>
        <w:t>（公</w:t>
      </w:r>
      <w:r>
        <w:rPr>
          <w:spacing w:val="-5"/>
          <w:w w:val="100"/>
        </w:rPr>
        <w:t>告</w:t>
      </w:r>
      <w:r>
        <w:rPr>
          <w:w w:val="100"/>
        </w:rPr>
        <w:t>编号</w:t>
      </w:r>
      <w:r>
        <w:rPr>
          <w:spacing w:val="3"/>
          <w:w w:val="100"/>
        </w:rPr>
        <w:t>：</w:t>
      </w:r>
      <w:r>
        <w:rPr>
          <w:rFonts w:ascii="宋体" w:hAnsi="宋体" w:cs="宋体" w:eastAsia="宋体" w:hint="default"/>
          <w:w w:val="100"/>
        </w:rPr>
        <w:t>2</w:t>
      </w:r>
      <w:r>
        <w:rPr>
          <w:rFonts w:ascii="宋体" w:hAnsi="宋体" w:cs="宋体" w:eastAsia="宋体" w:hint="default"/>
          <w:spacing w:val="-5"/>
          <w:w w:val="100"/>
        </w:rPr>
        <w:t>0</w:t>
      </w:r>
      <w:r>
        <w:rPr>
          <w:rFonts w:ascii="宋体" w:hAnsi="宋体" w:cs="宋体" w:eastAsia="宋体" w:hint="default"/>
          <w:w w:val="100"/>
        </w:rPr>
        <w:t>19-102</w:t>
      </w:r>
      <w:r>
        <w:rPr>
          <w:spacing w:val="-111"/>
          <w:w w:val="100"/>
        </w:rPr>
        <w:t>）。</w:t>
      </w:r>
      <w:r>
        <w:rPr>
          <w:w w:val="100"/>
        </w:rPr>
      </w:r>
    </w:p>
    <w:p>
      <w:pPr>
        <w:pStyle w:val="BodyText"/>
        <w:spacing w:line="240" w:lineRule="auto" w:before="65"/>
        <w:ind w:left="430" w:right="1002"/>
        <w:jc w:val="left"/>
      </w:pPr>
      <w:r>
        <w:rPr/>
        <w:t>（</w:t>
      </w:r>
      <w:r>
        <w:rPr>
          <w:rFonts w:ascii="宋体" w:hAnsi="宋体" w:cs="宋体" w:eastAsia="宋体" w:hint="default"/>
        </w:rPr>
        <w:t>2</w:t>
      </w:r>
      <w:r>
        <w:rPr/>
        <w:t>）截至报告披露日，签订项目或协议如下：</w:t>
      </w:r>
    </w:p>
    <w:p>
      <w:pPr>
        <w:pStyle w:val="BodyText"/>
        <w:spacing w:line="240" w:lineRule="auto" w:before="166"/>
        <w:ind w:left="535" w:right="1002"/>
        <w:jc w:val="left"/>
      </w:pPr>
      <w:r>
        <w:rPr/>
        <w:t>①</w:t>
      </w:r>
      <w:r>
        <w:rPr>
          <w:spacing w:val="-58"/>
        </w:rPr>
        <w:t> </w:t>
      </w:r>
      <w:r>
        <w:rPr>
          <w:rFonts w:ascii="宋体" w:hAnsi="宋体" w:cs="宋体" w:eastAsia="宋体" w:hint="default"/>
        </w:rPr>
        <w:t>2020</w:t>
      </w:r>
      <w:r>
        <w:rPr>
          <w:rFonts w:ascii="宋体" w:hAnsi="宋体" w:cs="宋体" w:eastAsia="宋体" w:hint="default"/>
          <w:spacing w:val="-58"/>
        </w:rPr>
        <w:t> </w:t>
      </w:r>
      <w:r>
        <w:rPr/>
        <w:t>年</w:t>
      </w:r>
      <w:r>
        <w:rPr>
          <w:spacing w:val="-58"/>
        </w:rPr>
        <w:t> </w:t>
      </w:r>
      <w:r>
        <w:rPr>
          <w:rFonts w:ascii="宋体" w:hAnsi="宋体" w:cs="宋体" w:eastAsia="宋体" w:hint="default"/>
        </w:rPr>
        <w:t>1</w:t>
      </w:r>
      <w:r>
        <w:rPr>
          <w:rFonts w:ascii="宋体" w:hAnsi="宋体" w:cs="宋体" w:eastAsia="宋体" w:hint="default"/>
          <w:spacing w:val="-68"/>
        </w:rPr>
        <w:t> </w:t>
      </w:r>
      <w:r>
        <w:rPr>
          <w:spacing w:val="20"/>
        </w:rPr>
        <w:t>月，公司作为联合体成员单位中标中方县城乡建设用地增减挂钩项目（</w:t>
      </w:r>
      <w:r>
        <w:rPr>
          <w:spacing w:val="-68"/>
        </w:rPr>
        <w:t> </w:t>
      </w:r>
      <w:r>
        <w:rPr>
          <w:spacing w:val="16"/>
        </w:rPr>
        <w:t>中财采计</w:t>
      </w:r>
    </w:p>
    <w:p>
      <w:pPr>
        <w:pStyle w:val="BodyText"/>
        <w:spacing w:line="331" w:lineRule="auto" w:before="123"/>
        <w:ind w:right="1129"/>
        <w:jc w:val="both"/>
      </w:pPr>
      <w:r>
        <w:rPr>
          <w:rFonts w:ascii="Times New Roman" w:hAnsi="Times New Roman" w:cs="Times New Roman" w:eastAsia="Times New Roman" w:hint="default"/>
          <w:spacing w:val="-5"/>
          <w:w w:val="100"/>
        </w:rPr>
        <w:t>-2019-2060</w:t>
      </w:r>
      <w:r>
        <w:rPr>
          <w:spacing w:val="-5"/>
          <w:w w:val="100"/>
        </w:rPr>
        <w:t>），并与中方县自然资源局签订了《中方县城乡建设用地增减挂钩项目政府采购合同》，合同总</w:t>
      </w:r>
      <w:r>
        <w:rPr>
          <w:spacing w:val="-66"/>
          <w:w w:val="100"/>
        </w:rPr>
        <w:t> </w:t>
      </w:r>
      <w:r>
        <w:rPr>
          <w:spacing w:val="-66"/>
          <w:w w:val="100"/>
        </w:rPr>
      </w:r>
      <w:r>
        <w:rPr/>
        <w:t>价暂定为人民币</w:t>
      </w:r>
      <w:r>
        <w:rPr>
          <w:spacing w:val="25"/>
        </w:rPr>
        <w:t> </w:t>
      </w:r>
      <w:r>
        <w:rPr>
          <w:rFonts w:ascii="Times New Roman" w:hAnsi="Times New Roman" w:cs="Times New Roman" w:eastAsia="Times New Roman" w:hint="default"/>
        </w:rPr>
        <w:t>119,600,000.00</w:t>
      </w:r>
      <w:r>
        <w:rPr>
          <w:rFonts w:ascii="Times New Roman" w:hAnsi="Times New Roman" w:cs="Times New Roman" w:eastAsia="Times New Roman" w:hint="default"/>
          <w:spacing w:val="19"/>
        </w:rPr>
        <w:t> </w:t>
      </w:r>
      <w:r>
        <w:rPr>
          <w:spacing w:val="-4"/>
        </w:rPr>
        <w:t>元，具体详见《中电兴发：关于全资子公司收到中标通知书并签订合同的</w:t>
      </w:r>
      <w:r>
        <w:rPr>
          <w:spacing w:val="-102"/>
        </w:rPr>
        <w:t> </w:t>
      </w:r>
      <w:r>
        <w:rPr>
          <w:spacing w:val="-102"/>
        </w:rPr>
      </w:r>
      <w:r>
        <w:rPr>
          <w:spacing w:val="-18"/>
          <w:w w:val="100"/>
        </w:rPr>
        <w:t>公告》（公告编号：</w:t>
      </w:r>
      <w:r>
        <w:rPr>
          <w:rFonts w:ascii="Times New Roman" w:hAnsi="Times New Roman" w:cs="Times New Roman" w:eastAsia="Times New Roman" w:hint="default"/>
          <w:spacing w:val="-18"/>
          <w:w w:val="100"/>
        </w:rPr>
        <w:t>2020-001</w:t>
      </w:r>
      <w:r>
        <w:rPr>
          <w:spacing w:val="-18"/>
          <w:w w:val="100"/>
        </w:rPr>
        <w:t>）；</w:t>
      </w:r>
      <w:r>
        <w:rPr>
          <w:w w:val="100"/>
        </w:rPr>
      </w:r>
    </w:p>
    <w:p>
      <w:pPr>
        <w:pStyle w:val="BodyText"/>
        <w:spacing w:line="338" w:lineRule="auto" w:before="62"/>
        <w:ind w:right="1122" w:firstLine="422"/>
        <w:jc w:val="both"/>
      </w:pPr>
      <w:r>
        <w:rPr/>
        <w:t>②</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月，子公司开封云聚锦尚数据管理有限公司与开封市祥符区国有资产投资经营有限责任公</w:t>
      </w:r>
      <w:r>
        <w:rPr>
          <w:w w:val="100"/>
        </w:rPr>
        <w:t> </w:t>
      </w:r>
      <w:r>
        <w:rPr>
          <w:spacing w:val="-6"/>
          <w:w w:val="100"/>
        </w:rPr>
        <w:t>司和河南锦尚土地整治有限公司签订了祥符区土地后备资源投资开发项目协议（以下简称“协议”），协议</w:t>
      </w:r>
      <w:r>
        <w:rPr>
          <w:w w:val="100"/>
        </w:rPr>
        <w:t> </w:t>
      </w:r>
      <w:r>
        <w:rPr/>
        <w:t>总价暂定为人民币</w:t>
      </w:r>
      <w:r>
        <w:rPr>
          <w:rFonts w:ascii="Times New Roman" w:hAnsi="Times New Roman" w:cs="Times New Roman" w:eastAsia="Times New Roman" w:hint="default"/>
        </w:rPr>
        <w:t>55,000</w:t>
      </w:r>
      <w:r>
        <w:rPr/>
        <w:t>万元。</w:t>
      </w:r>
    </w:p>
    <w:p>
      <w:pPr>
        <w:pStyle w:val="BodyText"/>
        <w:spacing w:line="364" w:lineRule="auto" w:before="56"/>
        <w:ind w:left="535" w:right="1002" w:hanging="106"/>
        <w:jc w:val="left"/>
      </w:pPr>
      <w:r>
        <w:rPr/>
        <w:t>（</w:t>
      </w:r>
      <w:r>
        <w:rPr>
          <w:rFonts w:ascii="Times New Roman" w:hAnsi="Times New Roman" w:cs="Times New Roman" w:eastAsia="Times New Roman" w:hint="default"/>
        </w:rPr>
        <w:t>3</w:t>
      </w:r>
      <w:r>
        <w:rPr/>
        <w:t>）截至本报告披露日，资质及荣誉方面</w:t>
      </w:r>
      <w:r>
        <w:rPr>
          <w:spacing w:val="-103"/>
        </w:rPr>
        <w:t> </w:t>
      </w:r>
      <w:r>
        <w:rPr>
          <w:spacing w:val="-103"/>
        </w:rPr>
      </w:r>
      <w:r>
        <w:rPr>
          <w:spacing w:val="-2"/>
        </w:rPr>
        <w:t>公司全资子公司北京中电兴发凭借自身的技术和资质优势、品牌影响力等强大综合实力荣登由工业和</w:t>
      </w:r>
    </w:p>
    <w:p>
      <w:pPr>
        <w:pStyle w:val="BodyText"/>
        <w:spacing w:line="340" w:lineRule="auto" w:before="14"/>
        <w:ind w:right="1122"/>
        <w:jc w:val="both"/>
      </w:pPr>
      <w:r>
        <w:rPr>
          <w:spacing w:val="-2"/>
        </w:rPr>
        <w:t>信息化部指导、中国电子信息行业联合会主办的“</w:t>
      </w:r>
      <w:r>
        <w:rPr>
          <w:rFonts w:ascii="Times New Roman" w:hAnsi="Times New Roman" w:cs="Times New Roman" w:eastAsia="Times New Roman" w:hint="default"/>
          <w:spacing w:val="-2"/>
        </w:rPr>
        <w:t>2019</w:t>
      </w:r>
      <w:r>
        <w:rPr>
          <w:spacing w:val="-2"/>
        </w:rPr>
        <w:t>中国软件和信息技术服务综合竞争力百强企业”榜</w:t>
      </w:r>
      <w:r>
        <w:rPr>
          <w:spacing w:val="-27"/>
        </w:rPr>
        <w:t> </w:t>
      </w:r>
      <w:r>
        <w:rPr>
          <w:spacing w:val="-27"/>
        </w:rPr>
      </w:r>
      <w:r>
        <w:rPr>
          <w:spacing w:val="-2"/>
        </w:rPr>
        <w:t>单。中电兴发正式加入中国保密协会，成为中国保密协会会员单位。公司自主研发的视频专用云存储节点</w:t>
      </w:r>
      <w:r>
        <w:rPr>
          <w:spacing w:val="-33"/>
        </w:rPr>
        <w:t> </w:t>
      </w:r>
      <w:r>
        <w:rPr>
          <w:spacing w:val="-33"/>
        </w:rPr>
      </w:r>
      <w:r>
        <w:rPr>
          <w:spacing w:val="-2"/>
        </w:rPr>
        <w:t>设备产品荣获“雪亮工程十大创新产品”称号。另外，北京中电兴发承建的芜湖市公共安全视频监控建设</w:t>
      </w:r>
      <w:r>
        <w:rPr>
          <w:spacing w:val="-32"/>
        </w:rPr>
        <w:t> </w:t>
      </w:r>
      <w:r>
        <w:rPr>
          <w:spacing w:val="-32"/>
        </w:rPr>
      </w:r>
      <w:r>
        <w:rPr>
          <w:spacing w:val="-2"/>
        </w:rPr>
        <w:t>联网应用项目（雪亮工程）取得“雪亮工程十大创新案例”排名第一的成绩。公司还荣获</w:t>
      </w:r>
      <w:r>
        <w:rPr>
          <w:rFonts w:ascii="Times New Roman" w:hAnsi="Times New Roman" w:cs="Times New Roman" w:eastAsia="Times New Roman" w:hint="default"/>
          <w:spacing w:val="-2"/>
        </w:rPr>
        <w:t>2019</w:t>
      </w:r>
      <w:r>
        <w:rPr>
          <w:spacing w:val="-2"/>
        </w:rPr>
        <w:t>智慧城市最</w:t>
      </w:r>
      <w:r>
        <w:rPr>
          <w:spacing w:val="-31"/>
        </w:rPr>
        <w:t> </w:t>
      </w:r>
      <w:r>
        <w:rPr>
          <w:spacing w:val="-31"/>
        </w:rPr>
      </w:r>
      <w:r>
        <w:rPr>
          <w:spacing w:val="-2"/>
        </w:rPr>
        <w:t>佳服务运营商、</w:t>
      </w:r>
      <w:r>
        <w:rPr>
          <w:rFonts w:ascii="Times New Roman" w:hAnsi="Times New Roman" w:cs="Times New Roman" w:eastAsia="Times New Roman" w:hint="default"/>
          <w:spacing w:val="-2"/>
        </w:rPr>
        <w:t>2019</w:t>
      </w:r>
      <w:r>
        <w:rPr>
          <w:spacing w:val="-2"/>
        </w:rPr>
        <w:t>智慧城市最佳解决方案、</w:t>
      </w:r>
      <w:r>
        <w:rPr>
          <w:rFonts w:ascii="Times New Roman" w:hAnsi="Times New Roman" w:cs="Times New Roman" w:eastAsia="Times New Roman" w:hint="default"/>
          <w:spacing w:val="-2"/>
        </w:rPr>
        <w:t>2019</w:t>
      </w:r>
      <w:r>
        <w:rPr>
          <w:spacing w:val="-2"/>
        </w:rPr>
        <w:t>智慧城市最佳产品等多项殊荣。公司董事长瞿洪桂先生</w:t>
      </w:r>
      <w:r>
        <w:rPr>
          <w:spacing w:val="-24"/>
        </w:rPr>
        <w:t> </w:t>
      </w:r>
      <w:r>
        <w:rPr>
          <w:spacing w:val="-24"/>
        </w:rPr>
      </w:r>
      <w:r>
        <w:rPr>
          <w:spacing w:val="-2"/>
          <w:w w:val="100"/>
        </w:rPr>
        <w:t>在第九届中国智慧城市大会上荣获“中国智慧城市发展十周年领袖人物”，公司智慧治理与雪亮工程解决</w:t>
      </w:r>
      <w:r>
        <w:rPr>
          <w:spacing w:val="-98"/>
          <w:w w:val="100"/>
        </w:rPr>
        <w:t> </w:t>
      </w:r>
      <w:r>
        <w:rPr>
          <w:spacing w:val="-98"/>
          <w:w w:val="100"/>
        </w:rPr>
      </w:r>
      <w:r>
        <w:rPr>
          <w:spacing w:val="-6"/>
          <w:w w:val="100"/>
        </w:rPr>
        <w:t>方案荣获“中国智慧城市发展十周年优秀方案”。</w:t>
      </w:r>
    </w:p>
    <w:p>
      <w:pPr>
        <w:pStyle w:val="BodyText"/>
        <w:spacing w:line="328" w:lineRule="auto" w:before="78"/>
        <w:ind w:left="535" w:right="1002" w:hanging="106"/>
        <w:jc w:val="left"/>
      </w:pPr>
      <w:r>
        <w:rPr/>
        <w:t>（</w:t>
      </w:r>
      <w:r>
        <w:rPr>
          <w:rFonts w:ascii="Times New Roman" w:hAnsi="Times New Roman" w:cs="Times New Roman" w:eastAsia="Times New Roman" w:hint="default"/>
        </w:rPr>
        <w:t>4</w:t>
      </w:r>
      <w:r>
        <w:rPr/>
        <w:t>）全资子公司签署框架协议</w:t>
      </w:r>
      <w:r>
        <w:rPr>
          <w:w w:val="100"/>
        </w:rPr>
        <w:t> </w:t>
      </w:r>
      <w:r>
        <w:rPr>
          <w:rFonts w:ascii="宋体" w:hAnsi="宋体" w:cs="宋体" w:eastAsia="宋体" w:hint="default"/>
          <w:spacing w:val="-2"/>
        </w:rPr>
        <w:t>2019</w:t>
      </w:r>
      <w:r>
        <w:rPr>
          <w:spacing w:val="-2"/>
        </w:rPr>
        <w:t>年</w:t>
      </w:r>
      <w:r>
        <w:rPr>
          <w:rFonts w:ascii="宋体" w:hAnsi="宋体" w:cs="宋体" w:eastAsia="宋体" w:hint="default"/>
          <w:spacing w:val="-2"/>
        </w:rPr>
        <w:t>2</w:t>
      </w:r>
      <w:r>
        <w:rPr>
          <w:spacing w:val="-2"/>
        </w:rPr>
        <w:t>月，北京中电兴发与中国航发贵州黎阳航空动力有限公司签署了战略合作框架协议。本次战</w:t>
      </w:r>
    </w:p>
    <w:p>
      <w:pPr>
        <w:pStyle w:val="BodyText"/>
        <w:spacing w:line="350" w:lineRule="auto" w:before="46"/>
        <w:ind w:right="1020"/>
        <w:jc w:val="left"/>
      </w:pPr>
      <w:r>
        <w:rPr/>
        <w:t>略合作协议的签署，将充分融合双方技术、资源、人才优势，构建极具竞争力的军民融合智慧生态，推动</w:t>
      </w:r>
      <w:r>
        <w:rPr>
          <w:w w:val="100"/>
        </w:rPr>
        <w:t> </w:t>
      </w:r>
      <w:r>
        <w:rPr>
          <w:spacing w:val="-4"/>
        </w:rPr>
        <w:t>双方重点业务和产业链融合创新发展，培育新的产业增长点。对北京中电兴发在智慧社会领域的技术精进、</w:t>
      </w:r>
      <w:r>
        <w:rPr>
          <w:spacing w:val="-42"/>
        </w:rPr>
        <w:t> </w:t>
      </w:r>
      <w:r>
        <w:rPr>
          <w:spacing w:val="-42"/>
        </w:rPr>
      </w:r>
      <w:r>
        <w:rPr/>
        <w:t>产品研发、业务发展以及市场拓展将产生积极的推动作用，有利于促进北京中电兴发在智慧中国基础设施</w:t>
      </w:r>
      <w:r>
        <w:rPr>
          <w:w w:val="100"/>
        </w:rPr>
        <w:t> </w:t>
      </w:r>
      <w:r>
        <w:rPr/>
        <w:t>层、通用支撑层、智慧应用层的核心技术、先进产品的研究和开发，并增强全面解决方案能力，从而提升</w:t>
      </w:r>
      <w:r>
        <w:rPr>
          <w:w w:val="100"/>
        </w:rPr>
        <w:t> </w:t>
      </w:r>
      <w:r>
        <w:rPr/>
        <w:t>公司整体竞争力和盈利能力，进一步提升公司未来的经营业绩，符合公司整体发展战略，有利于公司的长</w:t>
      </w:r>
      <w:r>
        <w:rPr>
          <w:w w:val="100"/>
        </w:rPr>
        <w:t> </w:t>
      </w:r>
      <w:r>
        <w:rPr>
          <w:spacing w:val="-8"/>
          <w:w w:val="100"/>
        </w:rPr>
        <w:t>远发展。具体详见《中电兴发：关于全资子公司签署战略合作框架协议的公告》（编号：</w:t>
      </w:r>
      <w:r>
        <w:rPr>
          <w:rFonts w:ascii="宋体" w:hAnsi="宋体" w:cs="宋体" w:eastAsia="宋体" w:hint="default"/>
          <w:spacing w:val="-8"/>
          <w:w w:val="100"/>
        </w:rPr>
        <w:t>2019-018</w:t>
      </w:r>
      <w:r>
        <w:rPr>
          <w:spacing w:val="-8"/>
          <w:w w:val="100"/>
        </w:rPr>
        <w:t>）。</w:t>
      </w:r>
      <w:r>
        <w:rPr>
          <w:w w:val="100"/>
        </w:rPr>
      </w:r>
    </w:p>
    <w:p>
      <w:pPr>
        <w:spacing w:line="240" w:lineRule="auto" w:before="12"/>
        <w:rPr>
          <w:rFonts w:ascii="宋体" w:hAnsi="宋体" w:cs="宋体" w:eastAsia="宋体" w:hint="default"/>
          <w:sz w:val="15"/>
          <w:szCs w:val="15"/>
        </w:rPr>
      </w:pPr>
    </w:p>
    <w:p>
      <w:pPr>
        <w:pStyle w:val="Heading2"/>
        <w:spacing w:line="240" w:lineRule="auto"/>
        <w:ind w:right="0"/>
        <w:jc w:val="both"/>
        <w:rPr>
          <w:b w:val="0"/>
          <w:bCs w:val="0"/>
        </w:rPr>
      </w:pPr>
      <w:bookmarkStart w:name="二、主营业务分析" w:id="25"/>
      <w:bookmarkEnd w:id="25"/>
      <w:r>
        <w:rPr>
          <w:b w:val="0"/>
          <w:bCs w:val="0"/>
        </w:rPr>
      </w:r>
      <w:r>
        <w:rPr/>
        <w:t>二、主营业务分析</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0"/>
        <w:jc w:val="both"/>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10"/>
        <w:rPr>
          <w:rFonts w:ascii="宋体" w:hAnsi="宋体" w:cs="宋体" w:eastAsia="宋体" w:hint="default"/>
          <w:b/>
          <w:bCs/>
          <w:sz w:val="26"/>
          <w:szCs w:val="26"/>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pacing w:val="-3"/>
          <w:sz w:val="18"/>
          <w:szCs w:val="18"/>
        </w:rPr>
        <w:t>参见“经营情况讨论与分析”中的“一、概述”相关内容。</w:t>
      </w:r>
    </w:p>
    <w:p>
      <w:pPr>
        <w:spacing w:after="0"/>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left="413"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413"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408" w:type="dxa"/>
        <w:tblLayout w:type="fixed"/>
        <w:tblCellMar>
          <w:top w:w="0" w:type="dxa"/>
          <w:left w:w="0" w:type="dxa"/>
          <w:bottom w:w="0" w:type="dxa"/>
          <w:right w:w="0" w:type="dxa"/>
        </w:tblCellMar>
        <w:tblLook w:val="01E0"/>
      </w:tblPr>
      <w:tblGrid>
        <w:gridCol w:w="1753"/>
        <w:gridCol w:w="1787"/>
        <w:gridCol w:w="1248"/>
        <w:gridCol w:w="1810"/>
        <w:gridCol w:w="1378"/>
        <w:gridCol w:w="1594"/>
      </w:tblGrid>
      <w:tr>
        <w:trPr>
          <w:trHeight w:val="403" w:hRule="exact"/>
        </w:trPr>
        <w:tc>
          <w:tcPr>
            <w:tcW w:w="1753" w:type="dxa"/>
            <w:vMerge w:val="restart"/>
            <w:tcBorders>
              <w:top w:val="single" w:sz="4" w:space="0" w:color="000000"/>
              <w:left w:val="single" w:sz="4" w:space="0" w:color="000000"/>
              <w:right w:val="single" w:sz="4" w:space="0" w:color="000000"/>
            </w:tcBorders>
            <w:shd w:val="clear" w:color="auto" w:fill="D2D2D2"/>
          </w:tcPr>
          <w:p>
            <w:pPr/>
          </w:p>
        </w:tc>
        <w:tc>
          <w:tcPr>
            <w:tcW w:w="30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10" w:hRule="exact"/>
        </w:trPr>
        <w:tc>
          <w:tcPr>
            <w:tcW w:w="1753" w:type="dxa"/>
            <w:vMerge/>
            <w:tcBorders>
              <w:left w:val="single" w:sz="4" w:space="0" w:color="000000"/>
              <w:bottom w:val="single" w:sz="4" w:space="0" w:color="000000"/>
              <w:right w:val="single" w:sz="4" w:space="0" w:color="000000"/>
            </w:tcBorders>
            <w:shd w:val="clear" w:color="auto" w:fill="D2D2D2"/>
          </w:tcPr>
          <w:p>
            <w:pPr/>
          </w:p>
        </w:tc>
        <w:tc>
          <w:tcPr>
            <w:tcW w:w="1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07" w:right="190" w:hanging="106"/>
              <w:jc w:val="left"/>
              <w:rPr>
                <w:rFonts w:ascii="宋体" w:hAnsi="宋体" w:cs="宋体" w:eastAsia="宋体" w:hint="default"/>
                <w:sz w:val="21"/>
                <w:szCs w:val="21"/>
              </w:rPr>
            </w:pPr>
            <w:r>
              <w:rPr>
                <w:rFonts w:ascii="宋体" w:hAnsi="宋体" w:cs="宋体" w:eastAsia="宋体" w:hint="default"/>
                <w:sz w:val="21"/>
                <w:szCs w:val="21"/>
              </w:rPr>
              <w:t>占营业收</w:t>
            </w:r>
            <w:r>
              <w:rPr>
                <w:rFonts w:ascii="宋体" w:hAnsi="宋体" w:cs="宋体" w:eastAsia="宋体" w:hint="default"/>
                <w:spacing w:val="-101"/>
                <w:sz w:val="21"/>
                <w:szCs w:val="21"/>
              </w:rPr>
              <w:t> </w:t>
            </w:r>
            <w:r>
              <w:rPr>
                <w:rFonts w:ascii="宋体" w:hAnsi="宋体" w:cs="宋体" w:eastAsia="宋体" w:hint="default"/>
                <w:sz w:val="21"/>
                <w:szCs w:val="21"/>
              </w:rPr>
              <w:t>入比重</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75" w:right="152" w:hanging="318"/>
              <w:jc w:val="left"/>
              <w:rPr>
                <w:rFonts w:ascii="宋体" w:hAnsi="宋体" w:cs="宋体" w:eastAsia="宋体" w:hint="default"/>
                <w:sz w:val="21"/>
                <w:szCs w:val="21"/>
              </w:rPr>
            </w:pPr>
            <w:r>
              <w:rPr>
                <w:rFonts w:ascii="宋体" w:hAnsi="宋体" w:cs="宋体" w:eastAsia="宋体" w:hint="default"/>
                <w:sz w:val="21"/>
                <w:szCs w:val="21"/>
              </w:rPr>
              <w:t>占营业收入</w:t>
            </w:r>
            <w:r>
              <w:rPr>
                <w:rFonts w:ascii="宋体" w:hAnsi="宋体" w:cs="宋体" w:eastAsia="宋体" w:hint="default"/>
                <w:spacing w:val="-99"/>
                <w:sz w:val="21"/>
                <w:szCs w:val="21"/>
              </w:rPr>
              <w:t> </w:t>
            </w:r>
            <w:r>
              <w:rPr>
                <w:rFonts w:ascii="宋体" w:hAnsi="宋体" w:cs="宋体" w:eastAsia="宋体" w:hint="default"/>
                <w:sz w:val="21"/>
                <w:szCs w:val="21"/>
              </w:rPr>
              <w:t>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营业收入合计</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pacing w:val="-1"/>
                <w:sz w:val="21"/>
              </w:rPr>
              <w:t>2,755,676,412.10</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96"/>
              <w:jc w:val="right"/>
              <w:rPr>
                <w:rFonts w:ascii="Times New Roman" w:hAnsi="Times New Roman" w:cs="Times New Roman" w:eastAsia="Times New Roman" w:hint="default"/>
                <w:sz w:val="21"/>
                <w:szCs w:val="21"/>
              </w:rPr>
            </w:pPr>
            <w:r>
              <w:rPr>
                <w:rFonts w:ascii="Times New Roman"/>
                <w:sz w:val="21"/>
              </w:rPr>
              <w:t>100%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2,455,958,521.31</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100"/>
              <w:jc w:val="right"/>
              <w:rPr>
                <w:rFonts w:ascii="Times New Roman" w:hAnsi="Times New Roman" w:cs="Times New Roman" w:eastAsia="Times New Roman" w:hint="default"/>
                <w:sz w:val="21"/>
                <w:szCs w:val="21"/>
              </w:rPr>
            </w:pPr>
            <w:r>
              <w:rPr>
                <w:rFonts w:ascii="Times New Roman"/>
                <w:sz w:val="21"/>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12.20%</w:t>
            </w:r>
          </w:p>
        </w:tc>
      </w:tr>
      <w:tr>
        <w:trPr>
          <w:trHeight w:val="398"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715"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61"/>
              <w:jc w:val="left"/>
              <w:rPr>
                <w:rFonts w:ascii="宋体" w:hAnsi="宋体" w:cs="宋体" w:eastAsia="宋体" w:hint="default"/>
                <w:sz w:val="21"/>
                <w:szCs w:val="21"/>
              </w:rPr>
            </w:pPr>
            <w:r>
              <w:rPr>
                <w:rFonts w:ascii="宋体" w:hAnsi="宋体" w:cs="宋体" w:eastAsia="宋体" w:hint="default"/>
                <w:sz w:val="21"/>
                <w:szCs w:val="21"/>
              </w:rPr>
              <w:t>软件和信息技术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服务业</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2,755,676,412.10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2,455,958,521.31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12.20%</w:t>
            </w:r>
          </w:p>
        </w:tc>
      </w:tr>
      <w:tr>
        <w:trPr>
          <w:trHeight w:val="399"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3"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1,705,653,863.11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61.90%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1,577,178,940.08</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64.22%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8.15%</w:t>
            </w:r>
          </w:p>
        </w:tc>
      </w:tr>
      <w:tr>
        <w:trPr>
          <w:trHeight w:val="403"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公共安全与反恐</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1,029,759,867.62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37.37%</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859,775,049.51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35.01%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19.77%</w:t>
            </w:r>
          </w:p>
        </w:tc>
      </w:tr>
      <w:tr>
        <w:trPr>
          <w:trHeight w:val="403"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20,262,681.37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0.73%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19,004,531.72</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6.62%</w:t>
            </w:r>
          </w:p>
        </w:tc>
      </w:tr>
      <w:tr>
        <w:trPr>
          <w:trHeight w:val="399"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3"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587,049,586.36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21.30%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522,540,921.79</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21.28%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12.35%</w:t>
            </w:r>
          </w:p>
        </w:tc>
      </w:tr>
      <w:tr>
        <w:trPr>
          <w:trHeight w:val="403"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1,045,412,881.38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37.94%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857,796,963.37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34.93%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21.87%</w:t>
            </w:r>
          </w:p>
        </w:tc>
      </w:tr>
      <w:tr>
        <w:trPr>
          <w:trHeight w:val="403"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72,512,491.28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2.63%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15,789,518.46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359.24%</w:t>
            </w:r>
          </w:p>
        </w:tc>
      </w:tr>
      <w:tr>
        <w:trPr>
          <w:trHeight w:val="399"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841,374,208.18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30.53%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101,842,708.35</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726.15%</w:t>
            </w:r>
          </w:p>
        </w:tc>
      </w:tr>
      <w:tr>
        <w:trPr>
          <w:trHeight w:val="403"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104,299,141.34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3.78%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226,792,563.37</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-54.01%</w:t>
            </w:r>
          </w:p>
        </w:tc>
      </w:tr>
      <w:tr>
        <w:trPr>
          <w:trHeight w:val="403"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96,758,673.09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3.51%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704,153,317.41</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28.67%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-86.26%</w:t>
            </w:r>
          </w:p>
        </w:tc>
      </w:tr>
      <w:tr>
        <w:trPr>
          <w:trHeight w:val="403" w:hRule="exact"/>
        </w:trPr>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8,269,430.47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0.31%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27,042,528.56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-69.42%</w:t>
            </w:r>
          </w:p>
        </w:tc>
      </w:tr>
    </w:tbl>
    <w:p>
      <w:pPr>
        <w:spacing w:before="53"/>
        <w:ind w:left="4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号——上市公司从事软件与信息技术服务业务》的披露要求</w:t>
      </w:r>
    </w:p>
    <w:p>
      <w:pPr>
        <w:spacing w:before="102"/>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408" w:type="dxa"/>
        <w:tblLayout w:type="fixed"/>
        <w:tblCellMar>
          <w:top w:w="0" w:type="dxa"/>
          <w:left w:w="0" w:type="dxa"/>
          <w:bottom w:w="0" w:type="dxa"/>
          <w:right w:w="0" w:type="dxa"/>
        </w:tblCellMar>
        <w:tblLook w:val="01E0"/>
      </w:tblPr>
      <w:tblGrid>
        <w:gridCol w:w="1517"/>
        <w:gridCol w:w="1008"/>
        <w:gridCol w:w="1013"/>
        <w:gridCol w:w="1008"/>
        <w:gridCol w:w="1013"/>
        <w:gridCol w:w="1004"/>
        <w:gridCol w:w="1004"/>
        <w:gridCol w:w="1004"/>
        <w:gridCol w:w="1006"/>
      </w:tblGrid>
      <w:tr>
        <w:trPr>
          <w:trHeight w:val="401" w:hRule="exact"/>
        </w:trPr>
        <w:tc>
          <w:tcPr>
            <w:tcW w:w="1517" w:type="dxa"/>
            <w:vMerge w:val="restart"/>
            <w:tcBorders>
              <w:top w:val="single" w:sz="4" w:space="0" w:color="000000"/>
              <w:left w:val="single" w:sz="4" w:space="0" w:color="000000"/>
              <w:right w:val="single" w:sz="4" w:space="0" w:color="000000"/>
            </w:tcBorders>
            <w:shd w:val="clear" w:color="auto" w:fill="D2D2D2"/>
          </w:tcPr>
          <w:p>
            <w:pPr/>
          </w:p>
        </w:tc>
        <w:tc>
          <w:tcPr>
            <w:tcW w:w="404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401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1517"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43"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第四季度</w:t>
            </w:r>
          </w:p>
        </w:tc>
      </w:tr>
    </w:tbl>
    <w:p>
      <w:pPr>
        <w:spacing w:before="53"/>
        <w:ind w:left="413" w:right="0" w:firstLine="0"/>
        <w:jc w:val="left"/>
        <w:rPr>
          <w:rFonts w:ascii="宋体" w:hAnsi="宋体" w:cs="宋体" w:eastAsia="宋体" w:hint="default"/>
          <w:sz w:val="18"/>
          <w:szCs w:val="18"/>
        </w:rPr>
      </w:pPr>
      <w:r>
        <w:rPr>
          <w:rFonts w:ascii="宋体" w:hAnsi="宋体" w:cs="宋体" w:eastAsia="宋体" w:hint="default"/>
          <w:spacing w:val="-3"/>
          <w:sz w:val="18"/>
          <w:szCs w:val="18"/>
        </w:rPr>
        <w:t>说明经营季节性（或周期性）发生的原因及波动风险</w:t>
      </w:r>
    </w:p>
    <w:p>
      <w:pPr>
        <w:spacing w:line="240" w:lineRule="auto" w:before="9"/>
        <w:rPr>
          <w:rFonts w:ascii="宋体" w:hAnsi="宋体" w:cs="宋体" w:eastAsia="宋体" w:hint="default"/>
          <w:sz w:val="26"/>
          <w:szCs w:val="26"/>
        </w:rPr>
      </w:pPr>
    </w:p>
    <w:p>
      <w:pPr>
        <w:pStyle w:val="Heading5"/>
        <w:spacing w:line="240" w:lineRule="auto"/>
        <w:ind w:left="413"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3"/>
          <w:pgSz w:w="11910" w:h="16840"/>
          <w:pgMar w:header="906" w:footer="1022" w:top="1100" w:bottom="1220" w:left="720" w:right="0"/>
        </w:sectPr>
      </w:pPr>
    </w:p>
    <w:p>
      <w:pPr>
        <w:spacing w:before="46"/>
        <w:ind w:left="413" w:right="-1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413" w:right="-13"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720" w:right="0"/>
          <w:cols w:num="2" w:equalWidth="0">
            <w:col w:w="9330" w:space="40"/>
            <w:col w:w="1820"/>
          </w:cols>
        </w:sectPr>
      </w:pPr>
    </w:p>
    <w:p>
      <w:pPr>
        <w:spacing w:line="240" w:lineRule="auto" w:before="8"/>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397"/>
        <w:gridCol w:w="1800"/>
        <w:gridCol w:w="1695"/>
        <w:gridCol w:w="878"/>
        <w:gridCol w:w="1522"/>
        <w:gridCol w:w="1484"/>
        <w:gridCol w:w="1349"/>
      </w:tblGrid>
      <w:tr>
        <w:trPr>
          <w:trHeight w:val="715" w:hRule="exact"/>
        </w:trPr>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5" w:right="123" w:hanging="101"/>
              <w:jc w:val="left"/>
              <w:rPr>
                <w:rFonts w:ascii="宋体" w:hAnsi="宋体" w:cs="宋体" w:eastAsia="宋体" w:hint="default"/>
                <w:sz w:val="21"/>
                <w:szCs w:val="21"/>
              </w:rPr>
            </w:pPr>
            <w:r>
              <w:rPr>
                <w:rFonts w:ascii="宋体" w:hAnsi="宋体" w:cs="宋体" w:eastAsia="宋体" w:hint="default"/>
                <w:sz w:val="21"/>
                <w:szCs w:val="21"/>
              </w:rPr>
              <w:t>营业收入比上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年同期增减</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07" w:right="104" w:hanging="101"/>
              <w:jc w:val="left"/>
              <w:rPr>
                <w:rFonts w:ascii="宋体" w:hAnsi="宋体" w:cs="宋体" w:eastAsia="宋体" w:hint="default"/>
                <w:sz w:val="21"/>
                <w:szCs w:val="21"/>
              </w:rPr>
            </w:pPr>
            <w:r>
              <w:rPr>
                <w:rFonts w:ascii="宋体" w:hAnsi="宋体" w:cs="宋体" w:eastAsia="宋体" w:hint="default"/>
                <w:sz w:val="21"/>
                <w:szCs w:val="21"/>
              </w:rPr>
              <w:t>营业成本比上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年同期增减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44" w:right="137"/>
              <w:jc w:val="left"/>
              <w:rPr>
                <w:rFonts w:ascii="宋体" w:hAnsi="宋体" w:cs="宋体" w:eastAsia="宋体" w:hint="default"/>
                <w:sz w:val="21"/>
                <w:szCs w:val="21"/>
              </w:rPr>
            </w:pPr>
            <w:r>
              <w:rPr>
                <w:rFonts w:ascii="宋体" w:hAnsi="宋体" w:cs="宋体" w:eastAsia="宋体" w:hint="default"/>
                <w:sz w:val="21"/>
                <w:szCs w:val="21"/>
              </w:rPr>
              <w:t>毛利率比上</w:t>
            </w:r>
            <w:r>
              <w:rPr>
                <w:rFonts w:ascii="宋体" w:hAnsi="宋体" w:cs="宋体" w:eastAsia="宋体" w:hint="default"/>
                <w:spacing w:val="-99"/>
                <w:sz w:val="21"/>
                <w:szCs w:val="21"/>
              </w:rPr>
              <w:t> </w:t>
            </w:r>
            <w:r>
              <w:rPr>
                <w:rFonts w:ascii="宋体" w:hAnsi="宋体" w:cs="宋体" w:eastAsia="宋体" w:hint="default"/>
                <w:sz w:val="21"/>
                <w:szCs w:val="21"/>
              </w:rPr>
              <w:t>年同期增减</w:t>
            </w:r>
          </w:p>
        </w:tc>
      </w:tr>
    </w:tbl>
    <w:p>
      <w:pPr>
        <w:spacing w:after="0" w:line="273" w:lineRule="auto"/>
        <w:jc w:val="left"/>
        <w:rPr>
          <w:rFonts w:ascii="宋体" w:hAnsi="宋体" w:cs="宋体" w:eastAsia="宋体" w:hint="default"/>
          <w:sz w:val="21"/>
          <w:szCs w:val="21"/>
        </w:rPr>
        <w:sectPr>
          <w:type w:val="continuous"/>
          <w:pgSz w:w="11910" w:h="16840"/>
          <w:pgMar w:top="1100" w:bottom="1220" w:left="720" w:right="0"/>
        </w:sectPr>
      </w:pPr>
    </w:p>
    <w:p>
      <w:pPr>
        <w:spacing w:line="240" w:lineRule="auto" w:before="7"/>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1397"/>
        <w:gridCol w:w="1800"/>
        <w:gridCol w:w="1695"/>
        <w:gridCol w:w="878"/>
        <w:gridCol w:w="1522"/>
        <w:gridCol w:w="1484"/>
        <w:gridCol w:w="1349"/>
      </w:tblGrid>
      <w:tr>
        <w:trPr>
          <w:trHeight w:val="403" w:hRule="exact"/>
        </w:trPr>
        <w:tc>
          <w:tcPr>
            <w:tcW w:w="1012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分客户所处行业</w:t>
            </w:r>
          </w:p>
        </w:tc>
      </w:tr>
      <w:tr>
        <w:trPr>
          <w:trHeight w:val="71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24"/>
              <w:jc w:val="left"/>
              <w:rPr>
                <w:rFonts w:ascii="宋体" w:hAnsi="宋体" w:cs="宋体" w:eastAsia="宋体" w:hint="default"/>
                <w:sz w:val="21"/>
                <w:szCs w:val="21"/>
              </w:rPr>
            </w:pPr>
            <w:r>
              <w:rPr>
                <w:rFonts w:ascii="宋体" w:hAnsi="宋体" w:cs="宋体" w:eastAsia="宋体" w:hint="default"/>
                <w:sz w:val="21"/>
                <w:szCs w:val="21"/>
              </w:rPr>
              <w:t>软件和信息</w:t>
            </w:r>
            <w:r>
              <w:rPr>
                <w:rFonts w:ascii="宋体" w:hAnsi="宋体" w:cs="宋体" w:eastAsia="宋体" w:hint="default"/>
                <w:spacing w:val="-99"/>
                <w:sz w:val="21"/>
                <w:szCs w:val="21"/>
              </w:rPr>
              <w:t> </w:t>
            </w:r>
            <w:r>
              <w:rPr>
                <w:rFonts w:ascii="宋体" w:hAnsi="宋体" w:cs="宋体" w:eastAsia="宋体" w:hint="default"/>
                <w:sz w:val="21"/>
                <w:szCs w:val="21"/>
              </w:rPr>
              <w:t>技术服务业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2,755,676,412.10</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1,815,273,030.54</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34.13%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12.20%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3.91%</w:t>
            </w:r>
          </w:p>
        </w:tc>
      </w:tr>
      <w:tr>
        <w:trPr>
          <w:trHeight w:val="401" w:hRule="exact"/>
        </w:trPr>
        <w:tc>
          <w:tcPr>
            <w:tcW w:w="1012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pacing w:val="-1"/>
                <w:sz w:val="21"/>
              </w:rPr>
              <w:t>1,705,653,863.11</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1,139,212,430.51</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Times New Roman" w:hAnsi="Times New Roman" w:cs="Times New Roman" w:eastAsia="Times New Roman" w:hint="default"/>
                <w:sz w:val="21"/>
                <w:szCs w:val="21"/>
              </w:rPr>
            </w:pPr>
            <w:r>
              <w:rPr>
                <w:rFonts w:ascii="Times New Roman"/>
                <w:sz w:val="21"/>
              </w:rPr>
              <w:t>33.21%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8.15%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3.43%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3.05%</w:t>
            </w:r>
          </w:p>
        </w:tc>
      </w:tr>
      <w:tr>
        <w:trPr>
          <w:trHeight w:val="715"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24"/>
              <w:jc w:val="left"/>
              <w:rPr>
                <w:rFonts w:ascii="宋体" w:hAnsi="宋体" w:cs="宋体" w:eastAsia="宋体" w:hint="default"/>
                <w:sz w:val="21"/>
                <w:szCs w:val="21"/>
              </w:rPr>
            </w:pPr>
            <w:r>
              <w:rPr>
                <w:rFonts w:ascii="宋体" w:hAnsi="宋体" w:cs="宋体" w:eastAsia="宋体" w:hint="default"/>
                <w:sz w:val="21"/>
                <w:szCs w:val="21"/>
              </w:rPr>
              <w:t>公共安全与</w:t>
            </w:r>
            <w:r>
              <w:rPr>
                <w:rFonts w:ascii="宋体" w:hAnsi="宋体" w:cs="宋体" w:eastAsia="宋体" w:hint="default"/>
                <w:spacing w:val="-99"/>
                <w:sz w:val="21"/>
                <w:szCs w:val="21"/>
              </w:rPr>
              <w:t> </w:t>
            </w:r>
            <w:r>
              <w:rPr>
                <w:rFonts w:ascii="宋体" w:hAnsi="宋体" w:cs="宋体" w:eastAsia="宋体" w:hint="default"/>
                <w:sz w:val="21"/>
                <w:szCs w:val="21"/>
              </w:rPr>
              <w:t>反恐</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1,029,759,867.62</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663,165,354.75</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35.60%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19.77%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10.53%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5.38%</w:t>
            </w:r>
          </w:p>
        </w:tc>
      </w:tr>
      <w:tr>
        <w:trPr>
          <w:trHeight w:val="71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24"/>
              <w:jc w:val="left"/>
              <w:rPr>
                <w:rFonts w:ascii="宋体" w:hAnsi="宋体" w:cs="宋体" w:eastAsia="宋体" w:hint="default"/>
                <w:sz w:val="21"/>
                <w:szCs w:val="21"/>
              </w:rPr>
            </w:pPr>
            <w:r>
              <w:rPr>
                <w:rFonts w:ascii="宋体" w:hAnsi="宋体" w:cs="宋体" w:eastAsia="宋体" w:hint="default"/>
                <w:sz w:val="21"/>
                <w:szCs w:val="21"/>
              </w:rPr>
              <w:t>其他业务收</w:t>
            </w:r>
            <w:r>
              <w:rPr>
                <w:rFonts w:ascii="宋体" w:hAnsi="宋体" w:cs="宋体" w:eastAsia="宋体" w:hint="default"/>
                <w:spacing w:val="-99"/>
                <w:sz w:val="21"/>
                <w:szCs w:val="21"/>
              </w:rPr>
              <w:t> </w:t>
            </w:r>
            <w:r>
              <w:rPr>
                <w:rFonts w:ascii="宋体" w:hAnsi="宋体" w:cs="宋体" w:eastAsia="宋体" w:hint="default"/>
                <w:sz w:val="21"/>
                <w:szCs w:val="21"/>
              </w:rPr>
              <w:t>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20,262,681.37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12,895,245.28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36.36%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6.62%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1.43%</w:t>
            </w:r>
          </w:p>
        </w:tc>
      </w:tr>
      <w:tr>
        <w:trPr>
          <w:trHeight w:val="401" w:hRule="exact"/>
        </w:trPr>
        <w:tc>
          <w:tcPr>
            <w:tcW w:w="1012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587,049,586.36</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385,523,785.98</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Times New Roman" w:hAnsi="Times New Roman" w:cs="Times New Roman" w:eastAsia="Times New Roman" w:hint="default"/>
                <w:sz w:val="21"/>
                <w:szCs w:val="21"/>
              </w:rPr>
            </w:pPr>
            <w:r>
              <w:rPr>
                <w:rFonts w:ascii="Times New Roman"/>
                <w:sz w:val="21"/>
              </w:rPr>
              <w:t>34.33%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12.35%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5.95%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3.97%</w:t>
            </w:r>
          </w:p>
        </w:tc>
      </w:tr>
      <w:tr>
        <w:trPr>
          <w:trHeight w:val="40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1,045,412,881.38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694,840,076.37</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Times New Roman" w:hAnsi="Times New Roman" w:cs="Times New Roman" w:eastAsia="Times New Roman" w:hint="default"/>
                <w:sz w:val="21"/>
                <w:szCs w:val="21"/>
              </w:rPr>
            </w:pPr>
            <w:r>
              <w:rPr>
                <w:rFonts w:ascii="Times New Roman"/>
                <w:sz w:val="21"/>
              </w:rPr>
              <w:t>33.53%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21.87%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14.42%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4.32%</w:t>
            </w:r>
          </w:p>
        </w:tc>
      </w:tr>
      <w:tr>
        <w:trPr>
          <w:trHeight w:val="398"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72,512,491.28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50,424,181.22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Times New Roman" w:hAnsi="Times New Roman" w:cs="Times New Roman" w:eastAsia="Times New Roman" w:hint="default"/>
                <w:sz w:val="21"/>
                <w:szCs w:val="21"/>
              </w:rPr>
            </w:pPr>
            <w:r>
              <w:rPr>
                <w:rFonts w:ascii="Times New Roman"/>
                <w:sz w:val="21"/>
              </w:rPr>
              <w:t>30.46%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359.24%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320.80%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6.35%</w:t>
            </w: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841,374,208.18</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538,647,898.19</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5" w:right="0"/>
              <w:jc w:val="left"/>
              <w:rPr>
                <w:rFonts w:ascii="Times New Roman" w:hAnsi="Times New Roman" w:cs="Times New Roman" w:eastAsia="Times New Roman" w:hint="default"/>
                <w:sz w:val="21"/>
                <w:szCs w:val="21"/>
              </w:rPr>
            </w:pPr>
            <w:r>
              <w:rPr>
                <w:rFonts w:ascii="Times New Roman"/>
                <w:sz w:val="21"/>
              </w:rPr>
              <w:t>35.98%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1"/>
                <w:szCs w:val="21"/>
              </w:rPr>
            </w:pPr>
            <w:r>
              <w:rPr>
                <w:rFonts w:ascii="Times New Roman"/>
                <w:sz w:val="21"/>
              </w:rPr>
              <w:t>726.15%</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0"/>
              <w:jc w:val="right"/>
              <w:rPr>
                <w:rFonts w:ascii="Times New Roman" w:hAnsi="Times New Roman" w:cs="Times New Roman" w:eastAsia="Times New Roman" w:hint="default"/>
                <w:sz w:val="21"/>
                <w:szCs w:val="21"/>
              </w:rPr>
            </w:pPr>
            <w:r>
              <w:rPr>
                <w:rFonts w:ascii="Times New Roman"/>
                <w:sz w:val="21"/>
              </w:rPr>
              <w:t>645.15%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6"/>
              <w:jc w:val="right"/>
              <w:rPr>
                <w:rFonts w:ascii="Times New Roman" w:hAnsi="Times New Roman" w:cs="Times New Roman" w:eastAsia="Times New Roman" w:hint="default"/>
                <w:sz w:val="21"/>
                <w:szCs w:val="21"/>
              </w:rPr>
            </w:pPr>
            <w:r>
              <w:rPr>
                <w:rFonts w:ascii="Times New Roman"/>
                <w:sz w:val="21"/>
              </w:rPr>
              <w:t>6.96%</w:t>
            </w: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104,299,141.34</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81,495,982.50</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Times New Roman" w:hAnsi="Times New Roman" w:cs="Times New Roman" w:eastAsia="Times New Roman" w:hint="default"/>
                <w:sz w:val="21"/>
                <w:szCs w:val="21"/>
              </w:rPr>
            </w:pPr>
            <w:r>
              <w:rPr>
                <w:rFonts w:ascii="Times New Roman"/>
                <w:sz w:val="21"/>
              </w:rPr>
              <w:t>21.86%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pacing w:val="-1"/>
                <w:sz w:val="21"/>
              </w:rPr>
              <w:t>-54.01%</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pacing w:val="-1"/>
                <w:sz w:val="21"/>
              </w:rPr>
              <w:t>-51.76%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-3.65%</w:t>
            </w:r>
          </w:p>
        </w:tc>
      </w:tr>
      <w:tr>
        <w:trPr>
          <w:trHeight w:val="40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96,758,673.09</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57,715,179.66</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Times New Roman" w:hAnsi="Times New Roman" w:cs="Times New Roman" w:eastAsia="Times New Roman" w:hint="default"/>
                <w:sz w:val="21"/>
                <w:szCs w:val="21"/>
              </w:rPr>
            </w:pPr>
            <w:r>
              <w:rPr>
                <w:rFonts w:ascii="Times New Roman"/>
                <w:sz w:val="21"/>
              </w:rPr>
              <w:t>40.35%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pacing w:val="-1"/>
                <w:sz w:val="21"/>
              </w:rPr>
              <w:t>-86.26%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pacing w:val="-1"/>
                <w:sz w:val="21"/>
              </w:rPr>
              <w:t>-87.73%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7.12%</w:t>
            </w:r>
          </w:p>
        </w:tc>
      </w:tr>
      <w:tr>
        <w:trPr>
          <w:trHeight w:val="40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8,269,430.47</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6,625,926.62</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Times New Roman" w:hAnsi="Times New Roman" w:cs="Times New Roman" w:eastAsia="Times New Roman" w:hint="default"/>
                <w:sz w:val="21"/>
                <w:szCs w:val="21"/>
              </w:rPr>
            </w:pPr>
            <w:r>
              <w:rPr>
                <w:rFonts w:ascii="Times New Roman"/>
                <w:sz w:val="21"/>
              </w:rPr>
              <w:t>19.87%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pacing w:val="-1"/>
                <w:sz w:val="21"/>
              </w:rPr>
              <w:t>-69.42%</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pacing w:val="-1"/>
                <w:sz w:val="21"/>
              </w:rPr>
              <w:t>-65.65%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-8.80%</w:t>
            </w:r>
          </w:p>
        </w:tc>
      </w:tr>
    </w:tbl>
    <w:p>
      <w:pPr>
        <w:spacing w:before="53"/>
        <w:ind w:left="413" w:right="0" w:firstLine="0"/>
        <w:jc w:val="left"/>
        <w:rPr>
          <w:rFonts w:ascii="宋体" w:hAnsi="宋体" w:cs="宋体" w:eastAsia="宋体" w:hint="default"/>
          <w:sz w:val="18"/>
          <w:szCs w:val="18"/>
        </w:rPr>
      </w:pPr>
      <w:r>
        <w:rPr>
          <w:rFonts w:ascii="宋体" w:hAnsi="宋体" w:cs="宋体" w:eastAsia="宋体" w:hint="default"/>
          <w:spacing w:val="-3"/>
          <w:sz w:val="18"/>
          <w:szCs w:val="18"/>
        </w:rPr>
        <w:t>公司主营业务数据统计口径在报告期发生调整的情况下，公司最近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年按报告期末口径调整后的主营业务数据</w:t>
      </w:r>
    </w:p>
    <w:p>
      <w:pPr>
        <w:spacing w:before="101"/>
        <w:ind w:left="4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6"/>
          <w:szCs w:val="26"/>
        </w:rPr>
      </w:pPr>
    </w:p>
    <w:p>
      <w:pPr>
        <w:pStyle w:val="Heading5"/>
        <w:spacing w:line="240" w:lineRule="auto"/>
        <w:ind w:left="413"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spacing w:before="0"/>
        <w:ind w:left="41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26"/>
          <w:szCs w:val="26"/>
        </w:rPr>
      </w:pPr>
    </w:p>
    <w:p>
      <w:pPr>
        <w:pStyle w:val="Heading5"/>
        <w:spacing w:line="240" w:lineRule="auto"/>
        <w:ind w:left="413"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spacing w:before="0"/>
        <w:ind w:left="4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left="413"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720" w:right="0"/>
        </w:sectPr>
      </w:pPr>
    </w:p>
    <w:p>
      <w:pPr>
        <w:spacing w:line="357" w:lineRule="auto" w:before="46"/>
        <w:ind w:left="413" w:right="-7" w:firstLine="0"/>
        <w:jc w:val="left"/>
        <w:rPr>
          <w:rFonts w:ascii="宋体" w:hAnsi="宋体" w:cs="宋体" w:eastAsia="宋体" w:hint="default"/>
          <w:sz w:val="18"/>
          <w:szCs w:val="18"/>
        </w:rPr>
      </w:pPr>
      <w:r>
        <w:rPr>
          <w:rFonts w:ascii="宋体" w:hAnsi="宋体" w:cs="宋体" w:eastAsia="宋体" w:hint="default"/>
          <w:spacing w:val="-2"/>
          <w:sz w:val="18"/>
          <w:szCs w:val="18"/>
        </w:rPr>
        <w:t>行业分类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spacing w:before="0"/>
        <w:ind w:left="4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720" w:right="0"/>
          <w:cols w:num="2" w:equalWidth="0">
            <w:col w:w="1139" w:space="7783"/>
            <w:col w:w="2268"/>
          </w:cols>
        </w:sectPr>
      </w:pPr>
    </w:p>
    <w:p>
      <w:pPr>
        <w:spacing w:line="240" w:lineRule="auto" w:before="8"/>
        <w:rPr>
          <w:rFonts w:ascii="宋体" w:hAnsi="宋体" w:cs="宋体" w:eastAsia="宋体" w:hint="default"/>
          <w:sz w:val="7"/>
          <w:szCs w:val="7"/>
        </w:rPr>
      </w:pPr>
    </w:p>
    <w:tbl>
      <w:tblPr>
        <w:tblW w:w="0" w:type="auto"/>
        <w:jc w:val="left"/>
        <w:tblInd w:w="408" w:type="dxa"/>
        <w:tblLayout w:type="fixed"/>
        <w:tblCellMar>
          <w:top w:w="0" w:type="dxa"/>
          <w:left w:w="0" w:type="dxa"/>
          <w:bottom w:w="0" w:type="dxa"/>
          <w:right w:w="0" w:type="dxa"/>
        </w:tblCellMar>
        <w:tblLook w:val="01E0"/>
      </w:tblPr>
      <w:tblGrid>
        <w:gridCol w:w="1369"/>
        <w:gridCol w:w="1368"/>
        <w:gridCol w:w="1791"/>
        <w:gridCol w:w="1186"/>
        <w:gridCol w:w="1758"/>
        <w:gridCol w:w="1138"/>
        <w:gridCol w:w="965"/>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8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9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374" w:right="156" w:hanging="212"/>
              <w:jc w:val="left"/>
              <w:rPr>
                <w:rFonts w:ascii="宋体" w:hAnsi="宋体" w:cs="宋体" w:eastAsia="宋体" w:hint="default"/>
                <w:sz w:val="21"/>
                <w:szCs w:val="21"/>
              </w:rPr>
            </w:pPr>
            <w:r>
              <w:rPr>
                <w:rFonts w:ascii="宋体" w:hAnsi="宋体" w:cs="宋体" w:eastAsia="宋体" w:hint="default"/>
                <w:sz w:val="21"/>
                <w:szCs w:val="21"/>
              </w:rPr>
              <w:t>同比增</w:t>
            </w:r>
            <w:r>
              <w:rPr>
                <w:rFonts w:ascii="宋体" w:hAnsi="宋体" w:cs="宋体" w:eastAsia="宋体" w:hint="default"/>
                <w:spacing w:val="-102"/>
                <w:sz w:val="21"/>
                <w:szCs w:val="21"/>
              </w:rPr>
              <w:t> </w:t>
            </w:r>
            <w:r>
              <w:rPr>
                <w:rFonts w:ascii="宋体" w:hAnsi="宋体" w:cs="宋体" w:eastAsia="宋体" w:hint="default"/>
                <w:sz w:val="21"/>
                <w:szCs w:val="21"/>
              </w:rPr>
              <w:t>减</w:t>
            </w:r>
          </w:p>
        </w:tc>
      </w:tr>
      <w:tr>
        <w:trPr>
          <w:trHeight w:val="715"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74" w:right="161" w:hanging="106"/>
              <w:jc w:val="left"/>
              <w:rPr>
                <w:rFonts w:ascii="宋体" w:hAnsi="宋体" w:cs="宋体" w:eastAsia="宋体" w:hint="default"/>
                <w:sz w:val="21"/>
                <w:szCs w:val="21"/>
              </w:rPr>
            </w:pPr>
            <w:r>
              <w:rPr>
                <w:rFonts w:ascii="宋体" w:hAnsi="宋体" w:cs="宋体" w:eastAsia="宋体" w:hint="default"/>
                <w:sz w:val="21"/>
                <w:szCs w:val="21"/>
              </w:rPr>
              <w:t>占营业成</w:t>
            </w:r>
            <w:r>
              <w:rPr>
                <w:rFonts w:ascii="宋体" w:hAnsi="宋体" w:cs="宋体" w:eastAsia="宋体" w:hint="default"/>
                <w:spacing w:val="-101"/>
                <w:sz w:val="21"/>
                <w:szCs w:val="21"/>
              </w:rPr>
              <w:t> </w:t>
            </w:r>
            <w:r>
              <w:rPr>
                <w:rFonts w:ascii="宋体" w:hAnsi="宋体" w:cs="宋体" w:eastAsia="宋体" w:hint="default"/>
                <w:sz w:val="21"/>
                <w:szCs w:val="21"/>
              </w:rPr>
              <w:t>本比重</w:t>
            </w:r>
          </w:p>
        </w:tc>
        <w:tc>
          <w:tcPr>
            <w:tcW w:w="1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44" w:right="142" w:hanging="106"/>
              <w:jc w:val="left"/>
              <w:rPr>
                <w:rFonts w:ascii="宋体" w:hAnsi="宋体" w:cs="宋体" w:eastAsia="宋体" w:hint="default"/>
                <w:sz w:val="21"/>
                <w:szCs w:val="21"/>
              </w:rPr>
            </w:pPr>
            <w:r>
              <w:rPr>
                <w:rFonts w:ascii="宋体" w:hAnsi="宋体" w:cs="宋体" w:eastAsia="宋体" w:hint="default"/>
                <w:sz w:val="21"/>
                <w:szCs w:val="21"/>
              </w:rPr>
              <w:t>占营业成</w:t>
            </w:r>
            <w:r>
              <w:rPr>
                <w:rFonts w:ascii="宋体" w:hAnsi="宋体" w:cs="宋体" w:eastAsia="宋体" w:hint="default"/>
                <w:spacing w:val="-101"/>
                <w:sz w:val="21"/>
                <w:szCs w:val="21"/>
              </w:rPr>
              <w:t> </w:t>
            </w:r>
            <w:r>
              <w:rPr>
                <w:rFonts w:ascii="宋体" w:hAnsi="宋体" w:cs="宋体" w:eastAsia="宋体" w:hint="default"/>
                <w:sz w:val="21"/>
                <w:szCs w:val="21"/>
              </w:rPr>
              <w:t>本比重</w:t>
            </w:r>
          </w:p>
        </w:tc>
        <w:tc>
          <w:tcPr>
            <w:tcW w:w="965"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105" w:right="195"/>
              <w:jc w:val="left"/>
              <w:rPr>
                <w:rFonts w:ascii="宋体" w:hAnsi="宋体" w:cs="宋体" w:eastAsia="宋体" w:hint="default"/>
                <w:sz w:val="21"/>
                <w:szCs w:val="21"/>
              </w:rPr>
            </w:pPr>
            <w:r>
              <w:rPr>
                <w:rFonts w:ascii="宋体" w:hAnsi="宋体" w:cs="宋体" w:eastAsia="宋体" w:hint="default"/>
                <w:sz w:val="21"/>
                <w:szCs w:val="21"/>
              </w:rPr>
              <w:t>软件和信息</w:t>
            </w:r>
            <w:r>
              <w:rPr>
                <w:rFonts w:ascii="宋体" w:hAnsi="宋体" w:cs="宋体" w:eastAsia="宋体" w:hint="default"/>
                <w:spacing w:val="-99"/>
                <w:sz w:val="21"/>
                <w:szCs w:val="21"/>
              </w:rPr>
              <w:t> </w:t>
            </w:r>
            <w:r>
              <w:rPr>
                <w:rFonts w:ascii="宋体" w:hAnsi="宋体" w:cs="宋体" w:eastAsia="宋体" w:hint="default"/>
                <w:sz w:val="21"/>
                <w:szCs w:val="21"/>
              </w:rPr>
              <w:t>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4" w:right="0"/>
              <w:jc w:val="center"/>
              <w:rPr>
                <w:rFonts w:ascii="Times New Roman" w:hAnsi="Times New Roman" w:cs="Times New Roman" w:eastAsia="Times New Roman" w:hint="default"/>
                <w:sz w:val="21"/>
                <w:szCs w:val="21"/>
              </w:rPr>
            </w:pPr>
            <w:r>
              <w:rPr>
                <w:rFonts w:ascii="Times New Roman"/>
                <w:sz w:val="21"/>
              </w:rPr>
              <w:t>1,815,273,030.54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1,713,831,630.34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100.00%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21"/>
                <w:szCs w:val="21"/>
              </w:rPr>
            </w:pPr>
            <w:r>
              <w:rPr>
                <w:rFonts w:ascii="宋体" w:hAnsi="宋体" w:cs="宋体" w:eastAsia="宋体" w:hint="default"/>
                <w:sz w:val="21"/>
                <w:szCs w:val="21"/>
              </w:rPr>
              <w:t>软件和信息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直接材料</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4" w:right="0"/>
              <w:jc w:val="center"/>
              <w:rPr>
                <w:rFonts w:ascii="Times New Roman" w:hAnsi="Times New Roman" w:cs="Times New Roman" w:eastAsia="Times New Roman" w:hint="default"/>
                <w:sz w:val="21"/>
                <w:szCs w:val="21"/>
              </w:rPr>
            </w:pPr>
            <w:r>
              <w:rPr>
                <w:rFonts w:ascii="Times New Roman"/>
                <w:sz w:val="21"/>
              </w:rPr>
              <w:t>1,592,340,687.75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87.72%</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1" w:right="0"/>
              <w:jc w:val="center"/>
              <w:rPr>
                <w:rFonts w:ascii="Times New Roman" w:hAnsi="Times New Roman" w:cs="Times New Roman" w:eastAsia="Times New Roman" w:hint="default"/>
                <w:sz w:val="21"/>
                <w:szCs w:val="21"/>
              </w:rPr>
            </w:pPr>
            <w:r>
              <w:rPr>
                <w:rFonts w:ascii="Times New Roman"/>
                <w:sz w:val="21"/>
              </w:rPr>
              <w:t>1,513,273,696.10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88.30%</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-0.58%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220" w:left="7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791"/>
        <w:gridCol w:w="1186"/>
        <w:gridCol w:w="1758"/>
        <w:gridCol w:w="1138"/>
        <w:gridCol w:w="965"/>
      </w:tblGrid>
      <w:tr>
        <w:trPr>
          <w:trHeight w:val="36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技术服务业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758"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95"/>
              <w:jc w:val="left"/>
              <w:rPr>
                <w:rFonts w:ascii="宋体" w:hAnsi="宋体" w:cs="宋体" w:eastAsia="宋体" w:hint="default"/>
                <w:sz w:val="21"/>
                <w:szCs w:val="21"/>
              </w:rPr>
            </w:pPr>
            <w:r>
              <w:rPr>
                <w:rFonts w:ascii="宋体" w:hAnsi="宋体" w:cs="宋体" w:eastAsia="宋体" w:hint="default"/>
                <w:sz w:val="21"/>
                <w:szCs w:val="21"/>
              </w:rPr>
              <w:t>软件和信息</w:t>
            </w:r>
            <w:r>
              <w:rPr>
                <w:rFonts w:ascii="宋体" w:hAnsi="宋体" w:cs="宋体" w:eastAsia="宋体" w:hint="default"/>
                <w:spacing w:val="-99"/>
                <w:sz w:val="21"/>
                <w:szCs w:val="21"/>
              </w:rPr>
              <w:t> </w:t>
            </w:r>
            <w:r>
              <w:rPr>
                <w:rFonts w:ascii="宋体" w:hAnsi="宋体" w:cs="宋体" w:eastAsia="宋体" w:hint="default"/>
                <w:sz w:val="21"/>
                <w:szCs w:val="21"/>
              </w:rPr>
              <w:t>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人员工资</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69,005,435.08</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3.80%</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59,059,781.53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3.45%</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0.35%</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95"/>
              <w:jc w:val="left"/>
              <w:rPr>
                <w:rFonts w:ascii="宋体" w:hAnsi="宋体" w:cs="宋体" w:eastAsia="宋体" w:hint="default"/>
                <w:sz w:val="21"/>
                <w:szCs w:val="21"/>
              </w:rPr>
            </w:pPr>
            <w:r>
              <w:rPr>
                <w:rFonts w:ascii="宋体" w:hAnsi="宋体" w:cs="宋体" w:eastAsia="宋体" w:hint="default"/>
                <w:sz w:val="21"/>
                <w:szCs w:val="21"/>
              </w:rPr>
              <w:t>软件和信息</w:t>
            </w:r>
            <w:r>
              <w:rPr>
                <w:rFonts w:ascii="宋体" w:hAnsi="宋体" w:cs="宋体" w:eastAsia="宋体" w:hint="default"/>
                <w:spacing w:val="-99"/>
                <w:sz w:val="21"/>
                <w:szCs w:val="21"/>
              </w:rPr>
              <w:t> </w:t>
            </w:r>
            <w:r>
              <w:rPr>
                <w:rFonts w:ascii="宋体" w:hAnsi="宋体" w:cs="宋体" w:eastAsia="宋体" w:hint="default"/>
                <w:sz w:val="21"/>
                <w:szCs w:val="21"/>
              </w:rPr>
              <w:t>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2"/>
                <w:sz w:val="21"/>
              </w:rPr>
              <w:t>111,312,780.45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6.13%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2"/>
                <w:sz w:val="21"/>
              </w:rPr>
              <w:t>111,084,890.05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6.48%</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-0.35%</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5"/>
              <w:jc w:val="left"/>
              <w:rPr>
                <w:rFonts w:ascii="宋体" w:hAnsi="宋体" w:cs="宋体" w:eastAsia="宋体" w:hint="default"/>
                <w:sz w:val="21"/>
                <w:szCs w:val="21"/>
              </w:rPr>
            </w:pPr>
            <w:r>
              <w:rPr>
                <w:rFonts w:ascii="宋体" w:hAnsi="宋体" w:cs="宋体" w:eastAsia="宋体" w:hint="default"/>
                <w:sz w:val="21"/>
                <w:szCs w:val="21"/>
              </w:rPr>
              <w:t>软件和信息</w:t>
            </w:r>
            <w:r>
              <w:rPr>
                <w:rFonts w:ascii="宋体" w:hAnsi="宋体" w:cs="宋体" w:eastAsia="宋体" w:hint="default"/>
                <w:spacing w:val="-99"/>
                <w:sz w:val="21"/>
                <w:szCs w:val="21"/>
              </w:rPr>
              <w:t> </w:t>
            </w:r>
            <w:r>
              <w:rPr>
                <w:rFonts w:ascii="宋体" w:hAnsi="宋体" w:cs="宋体" w:eastAsia="宋体" w:hint="default"/>
                <w:sz w:val="21"/>
                <w:szCs w:val="21"/>
              </w:rPr>
              <w:t>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动力</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2,052,466.89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2"/>
                <w:sz w:val="21"/>
              </w:rPr>
              <w:t>0.11%</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1,931,797.28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0.11%</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0.00%</w:t>
            </w: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5"/>
              <w:jc w:val="left"/>
              <w:rPr>
                <w:rFonts w:ascii="宋体" w:hAnsi="宋体" w:cs="宋体" w:eastAsia="宋体" w:hint="default"/>
                <w:sz w:val="21"/>
                <w:szCs w:val="21"/>
              </w:rPr>
            </w:pPr>
            <w:r>
              <w:rPr>
                <w:rFonts w:ascii="宋体" w:hAnsi="宋体" w:cs="宋体" w:eastAsia="宋体" w:hint="default"/>
                <w:sz w:val="21"/>
                <w:szCs w:val="21"/>
              </w:rPr>
              <w:t>软件和信息</w:t>
            </w:r>
            <w:r>
              <w:rPr>
                <w:rFonts w:ascii="宋体" w:hAnsi="宋体" w:cs="宋体" w:eastAsia="宋体" w:hint="default"/>
                <w:spacing w:val="-99"/>
                <w:sz w:val="21"/>
                <w:szCs w:val="21"/>
              </w:rPr>
              <w:t> </w:t>
            </w:r>
            <w:r>
              <w:rPr>
                <w:rFonts w:ascii="宋体" w:hAnsi="宋体" w:cs="宋体" w:eastAsia="宋体" w:hint="default"/>
                <w:sz w:val="21"/>
                <w:szCs w:val="21"/>
              </w:rPr>
              <w:t>技术服务业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4"/>
              <w:jc w:val="left"/>
              <w:rPr>
                <w:rFonts w:ascii="宋体" w:hAnsi="宋体" w:cs="宋体" w:eastAsia="宋体" w:hint="default"/>
                <w:sz w:val="21"/>
                <w:szCs w:val="21"/>
              </w:rPr>
            </w:pPr>
            <w:r>
              <w:rPr>
                <w:rFonts w:ascii="宋体" w:hAnsi="宋体" w:cs="宋体" w:eastAsia="宋体" w:hint="default"/>
                <w:sz w:val="21"/>
                <w:szCs w:val="21"/>
              </w:rPr>
              <w:t>其他制造费</w:t>
            </w:r>
            <w:r>
              <w:rPr>
                <w:rFonts w:ascii="宋体" w:hAnsi="宋体" w:cs="宋体" w:eastAsia="宋体" w:hint="default"/>
                <w:spacing w:val="-99"/>
                <w:sz w:val="21"/>
                <w:szCs w:val="21"/>
              </w:rPr>
              <w:t> </w:t>
            </w:r>
            <w:r>
              <w:rPr>
                <w:rFonts w:ascii="宋体" w:hAnsi="宋体" w:cs="宋体" w:eastAsia="宋体" w:hint="default"/>
                <w:sz w:val="21"/>
                <w:szCs w:val="21"/>
              </w:rPr>
              <w:t>用</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40,561,660.37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2.23%</w:t>
            </w:r>
          </w:p>
        </w:tc>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28,481,465.38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1.66%</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0.57%</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before="53"/>
        <w:ind w:left="113" w:right="-12"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38" w:lineRule="auto" w:before="119"/>
        <w:ind w:left="113" w:right="-12"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号——上市公司从事软件与信息技术服务业务》的披露要求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spacing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9030" w:space="40"/>
            <w:col w:w="1820"/>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before="110"/>
        <w:ind w:left="473" w:right="1002" w:firstLine="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、本期新纳入合并范围的子公司、特殊目的主体、通过受托经营或承租等方式形成控制权的经营实体</w:t>
      </w:r>
    </w:p>
    <w:p>
      <w:pPr>
        <w:spacing w:line="240" w:lineRule="auto" w:before="0"/>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885"/>
        <w:gridCol w:w="4648"/>
      </w:tblGrid>
      <w:tr>
        <w:trPr>
          <w:trHeight w:val="350"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变更原因</w:t>
            </w:r>
          </w:p>
        </w:tc>
      </w:tr>
      <w:tr>
        <w:trPr>
          <w:trHeight w:val="346"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湖北楚兴联怡网络技术有限公司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恒联通达信息科技河北有限公司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50"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四川恒联通达信息科技有限公司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湖南时空大数据管理有限公司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新疆云尚智慧科技有限公司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中电兴发智享科技（成都）有限公司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51"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四川中电兴发云尚科技有限公司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中电兴发工程管理（北京）有限公司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湖南易晟通信网络技术有限公司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非同一控制下购并</w:t>
            </w:r>
          </w:p>
        </w:tc>
      </w:tr>
      <w:tr>
        <w:trPr>
          <w:trHeight w:val="350"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芜湖中电兴发科技有限公司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开封云聚锦尚数据管理有限公司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赫章县融源信息技术有限公司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非同一控制下购并</w:t>
            </w:r>
          </w:p>
        </w:tc>
      </w:tr>
      <w:tr>
        <w:trPr>
          <w:trHeight w:val="346"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湖南中电兴发科技有限公司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50" w:hRule="exact"/>
        </w:trPr>
        <w:tc>
          <w:tcPr>
            <w:tcW w:w="38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陕西中电兴发智享科技有限公司</w:t>
            </w:r>
          </w:p>
        </w:tc>
        <w:tc>
          <w:tcPr>
            <w:tcW w:w="464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新设成立</w:t>
            </w:r>
          </w:p>
        </w:tc>
      </w:tr>
    </w:tbl>
    <w:p>
      <w:pPr>
        <w:spacing w:line="240" w:lineRule="auto" w:before="6"/>
        <w:rPr>
          <w:rFonts w:ascii="宋体" w:hAnsi="宋体" w:cs="宋体" w:eastAsia="宋体" w:hint="default"/>
          <w:sz w:val="6"/>
          <w:szCs w:val="6"/>
        </w:rPr>
      </w:pPr>
    </w:p>
    <w:p>
      <w:pPr>
        <w:spacing w:before="46"/>
        <w:ind w:left="314" w:right="1002" w:firstLine="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、本期不再纳入合并范围的子公司、特殊目的主体、通过委托经营或出租等方式丧失控制权的经营实体</w:t>
      </w:r>
    </w:p>
    <w:p>
      <w:pPr>
        <w:spacing w:line="240" w:lineRule="auto" w:before="0"/>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837"/>
        <w:gridCol w:w="4696"/>
      </w:tblGrid>
      <w:tr>
        <w:trPr>
          <w:trHeight w:val="346"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sz w:val="21"/>
                <w:szCs w:val="21"/>
              </w:rPr>
              <w:t>变更原因</w:t>
            </w:r>
          </w:p>
        </w:tc>
      </w:tr>
      <w:tr>
        <w:trPr>
          <w:trHeight w:val="346"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亳州鑫龙电气有限公司</w:t>
            </w:r>
          </w:p>
        </w:tc>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注销</w:t>
            </w:r>
          </w:p>
        </w:tc>
      </w:tr>
      <w:tr>
        <w:trPr>
          <w:trHeight w:val="350" w:hRule="exact"/>
        </w:trPr>
        <w:tc>
          <w:tcPr>
            <w:tcW w:w="38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安徽杰偌新材料技术有限公司</w:t>
            </w:r>
          </w:p>
        </w:tc>
        <w:tc>
          <w:tcPr>
            <w:tcW w:w="469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4" w:right="0"/>
              <w:jc w:val="center"/>
              <w:rPr>
                <w:rFonts w:ascii="宋体" w:hAnsi="宋体" w:cs="宋体" w:eastAsia="宋体" w:hint="default"/>
                <w:sz w:val="21"/>
                <w:szCs w:val="21"/>
              </w:rPr>
            </w:pPr>
            <w:r>
              <w:rPr>
                <w:rFonts w:ascii="宋体" w:hAnsi="宋体" w:cs="宋体" w:eastAsia="宋体" w:hint="default"/>
                <w:sz w:val="21"/>
                <w:szCs w:val="21"/>
              </w:rPr>
              <w:t>注销</w:t>
            </w:r>
          </w:p>
        </w:tc>
      </w:tr>
    </w:tbl>
    <w:p>
      <w:pPr>
        <w:spacing w:after="0" w:line="274" w:lineRule="exact"/>
        <w:jc w:val="center"/>
        <w:rPr>
          <w:rFonts w:ascii="宋体" w:hAnsi="宋体" w:cs="宋体" w:eastAsia="宋体" w:hint="default"/>
          <w:sz w:val="21"/>
          <w:szCs w:val="21"/>
        </w:rPr>
        <w:sectPr>
          <w:type w:val="continuous"/>
          <w:pgSz w:w="11910" w:h="16840"/>
          <w:pgMar w:top="1100" w:bottom="1220" w:left="1020" w:right="0"/>
        </w:sectPr>
      </w:pPr>
    </w:p>
    <w:p>
      <w:pPr>
        <w:spacing w:line="240" w:lineRule="auto" w:before="10"/>
        <w:rPr>
          <w:rFonts w:ascii="宋体" w:hAnsi="宋体" w:cs="宋体" w:eastAsia="宋体" w:hint="default"/>
          <w:sz w:val="22"/>
          <w:szCs w:val="22"/>
        </w:rPr>
      </w:pPr>
    </w:p>
    <w:p>
      <w:pPr>
        <w:spacing w:before="46"/>
        <w:ind w:left="1083" w:right="1002" w:firstLine="0"/>
        <w:jc w:val="left"/>
        <w:rPr>
          <w:rFonts w:ascii="宋体" w:hAnsi="宋体" w:cs="宋体" w:eastAsia="宋体" w:hint="default"/>
          <w:sz w:val="18"/>
          <w:szCs w:val="18"/>
        </w:rPr>
      </w:pPr>
      <w:r>
        <w:rPr>
          <w:rFonts w:ascii="宋体" w:hAnsi="宋体" w:cs="宋体" w:eastAsia="宋体" w:hint="default"/>
          <w:w w:val="101"/>
          <w:sz w:val="18"/>
          <w:szCs w:val="18"/>
        </w:rPr>
        <w:t>合</w:t>
      </w:r>
      <w:r>
        <w:rPr>
          <w:rFonts w:ascii="宋体" w:hAnsi="宋体" w:cs="宋体" w:eastAsia="宋体" w:hint="default"/>
          <w:spacing w:val="-5"/>
          <w:w w:val="101"/>
          <w:sz w:val="18"/>
          <w:szCs w:val="18"/>
        </w:rPr>
        <w:t>并</w:t>
      </w:r>
      <w:r>
        <w:rPr>
          <w:rFonts w:ascii="宋体" w:hAnsi="宋体" w:cs="宋体" w:eastAsia="宋体" w:hint="default"/>
          <w:w w:val="101"/>
          <w:sz w:val="18"/>
          <w:szCs w:val="18"/>
        </w:rPr>
        <w:t>范</w:t>
      </w:r>
      <w:r>
        <w:rPr>
          <w:rFonts w:ascii="宋体" w:hAnsi="宋体" w:cs="宋体" w:eastAsia="宋体" w:hint="default"/>
          <w:spacing w:val="-5"/>
          <w:w w:val="101"/>
          <w:sz w:val="18"/>
          <w:szCs w:val="18"/>
        </w:rPr>
        <w:t>围</w:t>
      </w:r>
      <w:r>
        <w:rPr>
          <w:rFonts w:ascii="宋体" w:hAnsi="宋体" w:cs="宋体" w:eastAsia="宋体" w:hint="default"/>
          <w:w w:val="101"/>
          <w:sz w:val="18"/>
          <w:szCs w:val="18"/>
        </w:rPr>
        <w:t>变</w:t>
      </w:r>
      <w:r>
        <w:rPr>
          <w:rFonts w:ascii="宋体" w:hAnsi="宋体" w:cs="宋体" w:eastAsia="宋体" w:hint="default"/>
          <w:spacing w:val="-5"/>
          <w:w w:val="101"/>
          <w:sz w:val="18"/>
          <w:szCs w:val="18"/>
        </w:rPr>
        <w:t>更</w:t>
      </w:r>
      <w:r>
        <w:rPr>
          <w:rFonts w:ascii="宋体" w:hAnsi="宋体" w:cs="宋体" w:eastAsia="宋体" w:hint="default"/>
          <w:w w:val="101"/>
          <w:sz w:val="18"/>
          <w:szCs w:val="18"/>
        </w:rPr>
        <w:t>主</w:t>
      </w:r>
      <w:r>
        <w:rPr>
          <w:rFonts w:ascii="宋体" w:hAnsi="宋体" w:cs="宋体" w:eastAsia="宋体" w:hint="default"/>
          <w:spacing w:val="-5"/>
          <w:w w:val="101"/>
          <w:sz w:val="18"/>
          <w:szCs w:val="18"/>
        </w:rPr>
        <w:t>体</w:t>
      </w:r>
      <w:r>
        <w:rPr>
          <w:rFonts w:ascii="宋体" w:hAnsi="宋体" w:cs="宋体" w:eastAsia="宋体" w:hint="default"/>
          <w:w w:val="101"/>
          <w:sz w:val="18"/>
          <w:szCs w:val="18"/>
        </w:rPr>
        <w:t>的</w:t>
      </w:r>
      <w:r>
        <w:rPr>
          <w:rFonts w:ascii="宋体" w:hAnsi="宋体" w:cs="宋体" w:eastAsia="宋体" w:hint="default"/>
          <w:spacing w:val="-5"/>
          <w:w w:val="101"/>
          <w:sz w:val="18"/>
          <w:szCs w:val="18"/>
        </w:rPr>
        <w:t>具</w:t>
      </w:r>
      <w:r>
        <w:rPr>
          <w:rFonts w:ascii="宋体" w:hAnsi="宋体" w:cs="宋体" w:eastAsia="宋体" w:hint="default"/>
          <w:w w:val="101"/>
          <w:sz w:val="18"/>
          <w:szCs w:val="18"/>
        </w:rPr>
        <w:t>体</w:t>
      </w:r>
      <w:r>
        <w:rPr>
          <w:rFonts w:ascii="宋体" w:hAnsi="宋体" w:cs="宋体" w:eastAsia="宋体" w:hint="default"/>
          <w:spacing w:val="-5"/>
          <w:w w:val="101"/>
          <w:sz w:val="18"/>
          <w:szCs w:val="18"/>
        </w:rPr>
        <w:t>信</w:t>
      </w:r>
      <w:r>
        <w:rPr>
          <w:rFonts w:ascii="宋体" w:hAnsi="宋体" w:cs="宋体" w:eastAsia="宋体" w:hint="default"/>
          <w:w w:val="101"/>
          <w:sz w:val="18"/>
          <w:szCs w:val="18"/>
        </w:rPr>
        <w:t>息</w:t>
      </w:r>
      <w:r>
        <w:rPr>
          <w:rFonts w:ascii="宋体" w:hAnsi="宋体" w:cs="宋体" w:eastAsia="宋体" w:hint="default"/>
          <w:spacing w:val="-5"/>
          <w:w w:val="101"/>
          <w:sz w:val="18"/>
          <w:szCs w:val="18"/>
        </w:rPr>
        <w:t>详</w:t>
      </w:r>
      <w:r>
        <w:rPr>
          <w:rFonts w:ascii="宋体" w:hAnsi="宋体" w:cs="宋体" w:eastAsia="宋体" w:hint="default"/>
          <w:w w:val="101"/>
          <w:sz w:val="18"/>
          <w:szCs w:val="18"/>
        </w:rPr>
        <w:t>见</w:t>
      </w:r>
      <w:r>
        <w:rPr>
          <w:rFonts w:ascii="宋体" w:hAnsi="宋体" w:cs="宋体" w:eastAsia="宋体" w:hint="default"/>
          <w:spacing w:val="-5"/>
          <w:w w:val="101"/>
          <w:sz w:val="18"/>
          <w:szCs w:val="18"/>
        </w:rPr>
        <w:t>审</w:t>
      </w:r>
      <w:r>
        <w:rPr>
          <w:rFonts w:ascii="宋体" w:hAnsi="宋体" w:cs="宋体" w:eastAsia="宋体" w:hint="default"/>
          <w:w w:val="101"/>
          <w:sz w:val="18"/>
          <w:szCs w:val="18"/>
        </w:rPr>
        <w:t>计</w:t>
      </w:r>
      <w:r>
        <w:rPr>
          <w:rFonts w:ascii="宋体" w:hAnsi="宋体" w:cs="宋体" w:eastAsia="宋体" w:hint="default"/>
          <w:spacing w:val="-5"/>
          <w:w w:val="101"/>
          <w:sz w:val="18"/>
          <w:szCs w:val="18"/>
        </w:rPr>
        <w:t>报</w:t>
      </w:r>
      <w:r>
        <w:rPr>
          <w:rFonts w:ascii="宋体" w:hAnsi="宋体" w:cs="宋体" w:eastAsia="宋体" w:hint="default"/>
          <w:w w:val="101"/>
          <w:sz w:val="18"/>
          <w:szCs w:val="18"/>
        </w:rPr>
        <w:t>告</w:t>
      </w:r>
      <w:r>
        <w:rPr>
          <w:rFonts w:ascii="宋体" w:hAnsi="宋体" w:cs="宋体" w:eastAsia="宋体" w:hint="default"/>
          <w:spacing w:val="-5"/>
          <w:w w:val="101"/>
          <w:sz w:val="18"/>
          <w:szCs w:val="18"/>
        </w:rPr>
        <w:t>“</w:t>
      </w:r>
      <w:r>
        <w:rPr>
          <w:rFonts w:ascii="宋体" w:hAnsi="宋体" w:cs="宋体" w:eastAsia="宋体" w:hint="default"/>
          <w:w w:val="101"/>
          <w:sz w:val="18"/>
          <w:szCs w:val="18"/>
        </w:rPr>
        <w:t>附</w:t>
      </w:r>
      <w:r>
        <w:rPr>
          <w:rFonts w:ascii="宋体" w:hAnsi="宋体" w:cs="宋体" w:eastAsia="宋体" w:hint="default"/>
          <w:spacing w:val="-5"/>
          <w:w w:val="101"/>
          <w:sz w:val="18"/>
          <w:szCs w:val="18"/>
        </w:rPr>
        <w:t>注</w:t>
      </w:r>
      <w:r>
        <w:rPr>
          <w:rFonts w:ascii="宋体" w:hAnsi="宋体" w:cs="宋体" w:eastAsia="宋体" w:hint="default"/>
          <w:w w:val="101"/>
          <w:sz w:val="18"/>
          <w:szCs w:val="18"/>
        </w:rPr>
        <w:t>七</w:t>
      </w:r>
      <w:r>
        <w:rPr>
          <w:rFonts w:ascii="宋体" w:hAnsi="宋体" w:cs="宋体" w:eastAsia="宋体" w:hint="default"/>
          <w:spacing w:val="-5"/>
          <w:w w:val="101"/>
          <w:sz w:val="18"/>
          <w:szCs w:val="18"/>
        </w:rPr>
        <w:t>、</w:t>
      </w:r>
      <w:r>
        <w:rPr>
          <w:rFonts w:ascii="宋体" w:hAnsi="宋体" w:cs="宋体" w:eastAsia="宋体" w:hint="default"/>
          <w:w w:val="101"/>
          <w:sz w:val="18"/>
          <w:szCs w:val="18"/>
        </w:rPr>
        <w:t>合</w:t>
      </w:r>
      <w:r>
        <w:rPr>
          <w:rFonts w:ascii="宋体" w:hAnsi="宋体" w:cs="宋体" w:eastAsia="宋体" w:hint="default"/>
          <w:spacing w:val="-5"/>
          <w:w w:val="101"/>
          <w:sz w:val="18"/>
          <w:szCs w:val="18"/>
        </w:rPr>
        <w:t>并范</w:t>
      </w:r>
      <w:r>
        <w:rPr>
          <w:rFonts w:ascii="宋体" w:hAnsi="宋体" w:cs="宋体" w:eastAsia="宋体" w:hint="default"/>
          <w:w w:val="101"/>
          <w:sz w:val="18"/>
          <w:szCs w:val="18"/>
        </w:rPr>
        <w:t>围</w:t>
      </w:r>
      <w:r>
        <w:rPr>
          <w:rFonts w:ascii="宋体" w:hAnsi="宋体" w:cs="宋体" w:eastAsia="宋体" w:hint="default"/>
          <w:spacing w:val="-5"/>
          <w:w w:val="101"/>
          <w:sz w:val="18"/>
          <w:szCs w:val="18"/>
        </w:rPr>
        <w:t>的</w:t>
      </w:r>
      <w:r>
        <w:rPr>
          <w:rFonts w:ascii="宋体" w:hAnsi="宋体" w:cs="宋体" w:eastAsia="宋体" w:hint="default"/>
          <w:w w:val="101"/>
          <w:sz w:val="18"/>
          <w:szCs w:val="18"/>
        </w:rPr>
        <w:t>变更</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pStyle w:val="Heading5"/>
        <w:spacing w:line="240" w:lineRule="auto" w:before="118"/>
        <w:ind w:right="1002"/>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0"/>
        <w:rPr>
          <w:rFonts w:ascii="宋体" w:hAnsi="宋体" w:cs="宋体" w:eastAsia="宋体" w:hint="default"/>
          <w:b/>
          <w:bCs/>
          <w:sz w:val="26"/>
          <w:szCs w:val="26"/>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26"/>
          <w:szCs w:val="26"/>
        </w:rPr>
      </w:pPr>
    </w:p>
    <w:p>
      <w:pPr>
        <w:pStyle w:val="Heading5"/>
        <w:spacing w:line="240" w:lineRule="auto"/>
        <w:ind w:right="1002"/>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5685"/>
        <w:gridCol w:w="3885"/>
      </w:tblGrid>
      <w:tr>
        <w:trPr>
          <w:trHeight w:val="403" w:hRule="exact"/>
        </w:trPr>
        <w:tc>
          <w:tcPr>
            <w:tcW w:w="5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3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905,836,025.44</w:t>
            </w:r>
          </w:p>
        </w:tc>
      </w:tr>
      <w:tr>
        <w:trPr>
          <w:trHeight w:val="398" w:hRule="exact"/>
        </w:trPr>
        <w:tc>
          <w:tcPr>
            <w:tcW w:w="5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3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32.87%</w:t>
            </w:r>
          </w:p>
        </w:tc>
      </w:tr>
      <w:tr>
        <w:trPr>
          <w:trHeight w:val="403" w:hRule="exact"/>
        </w:trPr>
        <w:tc>
          <w:tcPr>
            <w:tcW w:w="5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前五名客户销售额中关联方销售额占年度销售总额比例</w:t>
            </w:r>
          </w:p>
        </w:tc>
        <w:tc>
          <w:tcPr>
            <w:tcW w:w="3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0.00%</w:t>
            </w:r>
          </w:p>
        </w:tc>
      </w:tr>
    </w:tbl>
    <w:p>
      <w:pPr>
        <w:spacing w:before="53"/>
        <w:ind w:left="113" w:right="100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大客户资料</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4"/>
        <w:gridCol w:w="3140"/>
      </w:tblGrid>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87"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19"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w w:val="100"/>
                <w:sz w:val="21"/>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390,262,163.92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14.16%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w w:val="100"/>
                <w:sz w:val="21"/>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181,393,835.04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6.58%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w w:val="100"/>
                <w:sz w:val="21"/>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178,623,282.67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6.48%</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w w:val="100"/>
                <w:sz w:val="21"/>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91,440,247.00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3.32%</w:t>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w w:val="100"/>
                <w:sz w:val="21"/>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64,116,496.81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2.33%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9" w:right="0"/>
              <w:jc w:val="center"/>
              <w:rPr>
                <w:rFonts w:ascii="Times New Roman" w:hAnsi="Times New Roman" w:cs="Times New Roman" w:eastAsia="Times New Roman" w:hint="default"/>
                <w:sz w:val="21"/>
                <w:szCs w:val="21"/>
              </w:rPr>
            </w:pPr>
            <w:r>
              <w:rPr>
                <w:rFonts w:ascii="Times New Roman"/>
                <w:sz w:val="21"/>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905,836,025.44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32.87%</w:t>
            </w:r>
          </w:p>
        </w:tc>
      </w:tr>
    </w:tbl>
    <w:p>
      <w:pPr>
        <w:spacing w:before="53"/>
        <w:ind w:left="113" w:right="1002"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57" w:lineRule="auto" w:before="120"/>
        <w:ind w:left="113" w:right="766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pacing w:val="-3"/>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公司主要供应商情况</w:t>
      </w:r>
    </w:p>
    <w:tbl>
      <w:tblPr>
        <w:tblW w:w="0" w:type="auto"/>
        <w:jc w:val="left"/>
        <w:tblInd w:w="108" w:type="dxa"/>
        <w:tblLayout w:type="fixed"/>
        <w:tblCellMar>
          <w:top w:w="0" w:type="dxa"/>
          <w:left w:w="0" w:type="dxa"/>
          <w:bottom w:w="0" w:type="dxa"/>
          <w:right w:w="0" w:type="dxa"/>
        </w:tblCellMar>
        <w:tblLook w:val="01E0"/>
      </w:tblPr>
      <w:tblGrid>
        <w:gridCol w:w="5637"/>
        <w:gridCol w:w="3933"/>
      </w:tblGrid>
      <w:tr>
        <w:trPr>
          <w:trHeight w:val="398" w:hRule="exact"/>
        </w:trPr>
        <w:tc>
          <w:tcPr>
            <w:tcW w:w="5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3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317,821,691.78</w:t>
            </w:r>
          </w:p>
        </w:tc>
      </w:tr>
      <w:tr>
        <w:trPr>
          <w:trHeight w:val="403" w:hRule="exact"/>
        </w:trPr>
        <w:tc>
          <w:tcPr>
            <w:tcW w:w="5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3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20.59%</w:t>
            </w:r>
          </w:p>
        </w:tc>
      </w:tr>
      <w:tr>
        <w:trPr>
          <w:trHeight w:val="404" w:hRule="exact"/>
        </w:trPr>
        <w:tc>
          <w:tcPr>
            <w:tcW w:w="5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前五名供应商采购额中关联方采购额占年度采购总额比例</w:t>
            </w:r>
          </w:p>
        </w:tc>
        <w:tc>
          <w:tcPr>
            <w:tcW w:w="3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0.00%</w:t>
            </w:r>
          </w:p>
        </w:tc>
      </w:tr>
    </w:tbl>
    <w:p>
      <w:pPr>
        <w:spacing w:before="70"/>
        <w:ind w:left="113" w:right="1002"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937"/>
        <w:gridCol w:w="3169"/>
        <w:gridCol w:w="2324"/>
        <w:gridCol w:w="3140"/>
      </w:tblGrid>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5" w:right="0"/>
              <w:jc w:val="left"/>
              <w:rPr>
                <w:rFonts w:ascii="宋体" w:hAnsi="宋体" w:cs="宋体" w:eastAsia="宋体" w:hint="default"/>
                <w:sz w:val="21"/>
                <w:szCs w:val="21"/>
              </w:rPr>
            </w:pPr>
            <w:r>
              <w:rPr>
                <w:rFonts w:ascii="宋体" w:hAnsi="宋体" w:cs="宋体" w:eastAsia="宋体" w:hint="default"/>
                <w:sz w:val="21"/>
                <w:szCs w:val="21"/>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9"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w w:val="100"/>
                <w:sz w:val="21"/>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191,228,460.32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12.39%</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w w:val="100"/>
                <w:sz w:val="21"/>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42,928,838.03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2.78%</w:t>
            </w:r>
          </w:p>
        </w:tc>
      </w:tr>
      <w:tr>
        <w:trPr>
          <w:trHeight w:val="404"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w w:val="100"/>
                <w:sz w:val="21"/>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36,560,813.04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2.37%</w:t>
            </w:r>
          </w:p>
        </w:tc>
      </w:tr>
      <w:tr>
        <w:trPr>
          <w:trHeight w:val="398"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w w:val="100"/>
                <w:sz w:val="21"/>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29,213,071.08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1.89%</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w w:val="100"/>
                <w:sz w:val="21"/>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17,890,509.30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1.16%</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9" w:right="0"/>
              <w:jc w:val="center"/>
              <w:rPr>
                <w:rFonts w:ascii="Times New Roman" w:hAnsi="Times New Roman" w:cs="Times New Roman" w:eastAsia="Times New Roman" w:hint="default"/>
                <w:sz w:val="21"/>
                <w:szCs w:val="21"/>
              </w:rPr>
            </w:pPr>
            <w:r>
              <w:rPr>
                <w:rFonts w:ascii="Times New Roman"/>
                <w:sz w:val="21"/>
              </w:rPr>
              <w:t>--</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317,821,691.78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20.59%</w:t>
            </w:r>
          </w:p>
        </w:tc>
      </w:tr>
    </w:tbl>
    <w:p>
      <w:pPr>
        <w:spacing w:before="54"/>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主要供应商其他情况说明</w:t>
      </w:r>
    </w:p>
    <w:p>
      <w:pPr>
        <w:spacing w:before="119"/>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638"/>
        <w:gridCol w:w="1637"/>
        <w:gridCol w:w="1460"/>
        <w:gridCol w:w="2919"/>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07"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26"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252,496,743.35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208,921,082.00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20.86%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167,021,876.73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133,453,529.27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25.15%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22,952,324.56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13,035,209.22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76.08%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66"/>
              <w:jc w:val="left"/>
              <w:rPr>
                <w:rFonts w:ascii="宋体" w:hAnsi="宋体" w:cs="宋体" w:eastAsia="宋体" w:hint="default"/>
                <w:sz w:val="21"/>
                <w:szCs w:val="21"/>
              </w:rPr>
            </w:pPr>
            <w:r>
              <w:rPr>
                <w:rFonts w:ascii="宋体" w:hAnsi="宋体" w:cs="宋体" w:eastAsia="宋体" w:hint="default"/>
                <w:sz w:val="21"/>
                <w:szCs w:val="21"/>
              </w:rPr>
              <w:t>主要系本期公司银行利息收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入减少，以及银行借款增加导</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
                <w:sz w:val="21"/>
                <w:szCs w:val="21"/>
              </w:rPr>
              <w:t>致利息费用相应增加等所致。</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134,950,645.63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123,579,819.32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9.20%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10"/>
        <w:rPr>
          <w:rFonts w:ascii="宋体" w:hAnsi="宋体" w:cs="宋体" w:eastAsia="宋体" w:hint="default"/>
          <w:b/>
          <w:bCs/>
          <w:sz w:val="26"/>
          <w:szCs w:val="26"/>
        </w:rPr>
      </w:pPr>
    </w:p>
    <w:p>
      <w:pPr>
        <w:spacing w:line="357" w:lineRule="auto" w:before="0"/>
        <w:ind w:left="473" w:right="1002" w:hanging="36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报告期内，公司坚持自主创新，全年研发项目总支出为</w:t>
      </w:r>
      <w:r>
        <w:rPr>
          <w:rFonts w:ascii="宋体" w:hAnsi="宋体" w:cs="宋体" w:eastAsia="宋体" w:hint="default"/>
          <w:spacing w:val="-4"/>
          <w:sz w:val="18"/>
          <w:szCs w:val="18"/>
        </w:rPr>
        <w:t>13,495.06</w:t>
      </w:r>
      <w:r>
        <w:rPr>
          <w:rFonts w:ascii="宋体" w:hAnsi="宋体" w:cs="宋体" w:eastAsia="宋体" w:hint="default"/>
          <w:spacing w:val="-4"/>
          <w:sz w:val="18"/>
          <w:szCs w:val="18"/>
        </w:rPr>
        <w:t>万元，占营业收入的</w:t>
      </w:r>
      <w:r>
        <w:rPr>
          <w:rFonts w:ascii="宋体" w:hAnsi="宋体" w:cs="宋体" w:eastAsia="宋体" w:hint="default"/>
          <w:spacing w:val="-4"/>
          <w:sz w:val="18"/>
          <w:szCs w:val="18"/>
        </w:rPr>
        <w:t>4.90%</w:t>
      </w:r>
      <w:r>
        <w:rPr>
          <w:rFonts w:ascii="宋体" w:hAnsi="宋体" w:cs="宋体" w:eastAsia="宋体" w:hint="default"/>
          <w:spacing w:val="-4"/>
          <w:sz w:val="18"/>
          <w:szCs w:val="18"/>
        </w:rPr>
        <w:t>，较上年同期下降</w:t>
      </w:r>
      <w:r>
        <w:rPr>
          <w:rFonts w:ascii="宋体" w:hAnsi="宋体" w:cs="宋体" w:eastAsia="宋体" w:hint="default"/>
          <w:spacing w:val="-4"/>
          <w:sz w:val="18"/>
          <w:szCs w:val="18"/>
        </w:rPr>
        <w:t>0.13</w:t>
      </w:r>
      <w:r>
        <w:rPr>
          <w:rFonts w:ascii="宋体" w:hAnsi="宋体" w:cs="宋体" w:eastAsia="宋体" w:hint="default"/>
          <w:spacing w:val="-4"/>
          <w:sz w:val="18"/>
          <w:szCs w:val="18"/>
        </w:rPr>
        <w:t>个百</w:t>
      </w:r>
      <w:r>
        <w:rPr>
          <w:rFonts w:ascii="宋体" w:hAnsi="宋体" w:cs="宋体" w:eastAsia="宋体" w:hint="default"/>
          <w:sz w:val="18"/>
          <w:szCs w:val="18"/>
        </w:rPr>
      </w:r>
    </w:p>
    <w:p>
      <w:pPr>
        <w:spacing w:line="224" w:lineRule="exact"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分点。本报告期研发支出占公司最近一期经审计净资产比例为</w:t>
      </w:r>
      <w:r>
        <w:rPr>
          <w:rFonts w:ascii="宋体" w:hAnsi="宋体" w:cs="宋体" w:eastAsia="宋体" w:hint="default"/>
          <w:spacing w:val="-3"/>
          <w:sz w:val="18"/>
          <w:szCs w:val="18"/>
        </w:rPr>
        <w:t>2.94%</w:t>
      </w:r>
      <w:r>
        <w:rPr>
          <w:rFonts w:ascii="宋体" w:hAnsi="宋体" w:cs="宋体" w:eastAsia="宋体" w:hint="default"/>
          <w:spacing w:val="-3"/>
          <w:sz w:val="18"/>
          <w:szCs w:val="18"/>
        </w:rPr>
        <w:t>。</w:t>
      </w:r>
    </w:p>
    <w:p>
      <w:pPr>
        <w:spacing w:before="119"/>
        <w:ind w:left="113" w:right="1002"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434"/>
        <w:gridCol w:w="2103"/>
        <w:gridCol w:w="2070"/>
        <w:gridCol w:w="1964"/>
      </w:tblGrid>
      <w:tr>
        <w:trPr>
          <w:trHeight w:val="404" w:hRule="exact"/>
        </w:trPr>
        <w:tc>
          <w:tcPr>
            <w:tcW w:w="34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6" w:right="0"/>
              <w:jc w:val="left"/>
              <w:rPr>
                <w:rFonts w:ascii="宋体" w:hAnsi="宋体" w:cs="宋体" w:eastAsia="宋体" w:hint="default"/>
                <w:sz w:val="21"/>
                <w:szCs w:val="21"/>
              </w:rPr>
            </w:pPr>
            <w:r>
              <w:rPr>
                <w:rFonts w:ascii="宋体" w:hAnsi="宋体" w:cs="宋体" w:eastAsia="宋体" w:hint="default"/>
                <w:sz w:val="21"/>
                <w:szCs w:val="21"/>
              </w:rPr>
              <w:t>变动比例</w:t>
            </w:r>
          </w:p>
        </w:tc>
      </w:tr>
      <w:tr>
        <w:trPr>
          <w:trHeight w:val="403" w:hRule="exact"/>
        </w:trPr>
        <w:tc>
          <w:tcPr>
            <w:tcW w:w="3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研发人员数量（人）</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371</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327</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13.46%</w:t>
            </w:r>
          </w:p>
        </w:tc>
      </w:tr>
      <w:tr>
        <w:trPr>
          <w:trHeight w:val="398" w:hRule="exact"/>
        </w:trPr>
        <w:tc>
          <w:tcPr>
            <w:tcW w:w="3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研发人员数量占比</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13.06%</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16.33%</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-3.27%</w:t>
            </w:r>
          </w:p>
        </w:tc>
      </w:tr>
      <w:tr>
        <w:trPr>
          <w:trHeight w:val="403" w:hRule="exact"/>
        </w:trPr>
        <w:tc>
          <w:tcPr>
            <w:tcW w:w="3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134,950,645.63</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123,579,819.32</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sz w:val="21"/>
              </w:rPr>
              <w:t>9.20%</w:t>
            </w:r>
          </w:p>
        </w:tc>
      </w:tr>
      <w:tr>
        <w:trPr>
          <w:trHeight w:val="404" w:hRule="exact"/>
        </w:trPr>
        <w:tc>
          <w:tcPr>
            <w:tcW w:w="3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4.90%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5.03%</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-0.13%</w:t>
            </w:r>
          </w:p>
        </w:tc>
      </w:tr>
      <w:tr>
        <w:trPr>
          <w:trHeight w:val="403" w:hRule="exact"/>
        </w:trPr>
        <w:tc>
          <w:tcPr>
            <w:tcW w:w="3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研发投入资本化的金额（元）</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0.00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0.00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3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资本化研发投入占研发投入的比例</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0.00%</w:t>
            </w:r>
          </w:p>
        </w:tc>
        <w:tc>
          <w:tcPr>
            <w:tcW w:w="2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0.00%</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0.00%</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before="53"/>
        <w:ind w:left="113" w:right="-12" w:firstLine="0"/>
        <w:jc w:val="left"/>
        <w:rPr>
          <w:rFonts w:ascii="宋体" w:hAnsi="宋体" w:cs="宋体" w:eastAsia="宋体" w:hint="default"/>
          <w:sz w:val="18"/>
          <w:szCs w:val="18"/>
        </w:rPr>
      </w:pPr>
      <w:r>
        <w:rPr>
          <w:rFonts w:ascii="宋体" w:hAnsi="宋体" w:cs="宋体" w:eastAsia="宋体" w:hint="default"/>
          <w:spacing w:val="-3"/>
          <w:sz w:val="18"/>
          <w:szCs w:val="18"/>
        </w:rPr>
        <w:t>研发投入总额占营业收入的比重较上年发生显著变化的原因</w:t>
      </w:r>
    </w:p>
    <w:p>
      <w:pPr>
        <w:spacing w:before="115"/>
        <w:ind w:left="113" w:right="-1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20"/>
        <w:ind w:left="113" w:right="-12"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before="0"/>
        <w:ind w:left="-35"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9030" w:space="40"/>
            <w:col w:w="1820"/>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sz w:val="21"/>
                <w:szCs w:val="21"/>
              </w:rPr>
              <w:t>研发资本化金额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9" w:right="0"/>
              <w:jc w:val="left"/>
              <w:rPr>
                <w:rFonts w:ascii="宋体" w:hAnsi="宋体" w:cs="宋体" w:eastAsia="宋体" w:hint="default"/>
                <w:sz w:val="21"/>
                <w:szCs w:val="21"/>
              </w:rPr>
            </w:pPr>
            <w:r>
              <w:rPr>
                <w:rFonts w:ascii="宋体" w:hAnsi="宋体" w:cs="宋体" w:eastAsia="宋体" w:hint="default"/>
                <w:sz w:val="21"/>
                <w:szCs w:val="21"/>
              </w:rPr>
              <w:t>相关项目的基本情况</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2" w:right="0"/>
              <w:jc w:val="left"/>
              <w:rPr>
                <w:rFonts w:ascii="宋体" w:hAnsi="宋体" w:cs="宋体" w:eastAsia="宋体" w:hint="default"/>
                <w:sz w:val="21"/>
                <w:szCs w:val="21"/>
              </w:rPr>
            </w:pPr>
            <w:r>
              <w:rPr>
                <w:rFonts w:ascii="宋体" w:hAnsi="宋体" w:cs="宋体" w:eastAsia="宋体" w:hint="default"/>
                <w:sz w:val="21"/>
                <w:szCs w:val="21"/>
              </w:rPr>
              <w:t>实施进度</w:t>
            </w:r>
          </w:p>
        </w:tc>
      </w:tr>
    </w:tbl>
    <w:p>
      <w:pPr>
        <w:spacing w:before="53"/>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研发投入资本化率大幅变动的原因及其合理性说明</w:t>
      </w:r>
    </w:p>
    <w:p>
      <w:pPr>
        <w:spacing w:before="12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1002"/>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6"/>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16"/>
        <w:gridCol w:w="2180"/>
        <w:gridCol w:w="2295"/>
        <w:gridCol w:w="1978"/>
      </w:tblGrid>
      <w:tr>
        <w:trPr>
          <w:trHeight w:val="404"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3"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1,847,020,777.50</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2,342,698,816.45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-21.16%</w:t>
            </w:r>
          </w:p>
        </w:tc>
      </w:tr>
      <w:tr>
        <w:trPr>
          <w:trHeight w:val="403"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2,192,059,168.52</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2,545,401,665.41</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-13.88%</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16"/>
        <w:gridCol w:w="2180"/>
        <w:gridCol w:w="2295"/>
        <w:gridCol w:w="1978"/>
      </w:tblGrid>
      <w:tr>
        <w:trPr>
          <w:trHeight w:val="403"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-345,038,391.02</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-202,702,848.96</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-70.22%</w:t>
            </w:r>
          </w:p>
        </w:tc>
      </w:tr>
      <w:tr>
        <w:trPr>
          <w:trHeight w:val="398"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101,256,316.69</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226,803,838.93</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-55.36%</w:t>
            </w:r>
          </w:p>
        </w:tc>
      </w:tr>
      <w:tr>
        <w:trPr>
          <w:trHeight w:val="404"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pacing w:val="-1"/>
                <w:sz w:val="21"/>
              </w:rPr>
              <w:t>215,813,873.21</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pacing w:val="-1"/>
                <w:sz w:val="21"/>
              </w:rPr>
              <w:t>258,042,388.82</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5"/>
              <w:jc w:val="right"/>
              <w:rPr>
                <w:rFonts w:ascii="Times New Roman" w:hAnsi="Times New Roman" w:cs="Times New Roman" w:eastAsia="Times New Roman" w:hint="default"/>
                <w:sz w:val="21"/>
                <w:szCs w:val="21"/>
              </w:rPr>
            </w:pPr>
            <w:r>
              <w:rPr>
                <w:rFonts w:ascii="Times New Roman"/>
                <w:spacing w:val="-1"/>
                <w:sz w:val="21"/>
              </w:rPr>
              <w:t>-16.36%</w:t>
            </w:r>
          </w:p>
        </w:tc>
      </w:tr>
      <w:tr>
        <w:trPr>
          <w:trHeight w:val="403"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-114,557,556.52</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-31,238,549.89</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-266.72%</w:t>
            </w:r>
          </w:p>
        </w:tc>
      </w:tr>
      <w:tr>
        <w:trPr>
          <w:trHeight w:val="403"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909,921,250.00</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1,249,740,300.00</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-27.19%</w:t>
            </w:r>
          </w:p>
        </w:tc>
      </w:tr>
      <w:tr>
        <w:trPr>
          <w:trHeight w:val="398"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739,387,268.96</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1,485,023,851.01</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-50.21%</w:t>
            </w:r>
          </w:p>
        </w:tc>
      </w:tr>
      <w:tr>
        <w:trPr>
          <w:trHeight w:val="404"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170,533,981.04</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-235,283,551.01</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sz w:val="21"/>
              </w:rPr>
              <w:t>172.48%</w:t>
            </w:r>
          </w:p>
        </w:tc>
      </w:tr>
      <w:tr>
        <w:trPr>
          <w:trHeight w:val="403" w:hRule="exact"/>
        </w:trPr>
        <w:tc>
          <w:tcPr>
            <w:tcW w:w="3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-289,142,885.11</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-469,581,442.35</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38.43%</w:t>
            </w:r>
          </w:p>
        </w:tc>
      </w:tr>
    </w:tbl>
    <w:p>
      <w:pPr>
        <w:spacing w:before="53"/>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相关数据同比发生重大变动的主要影响因素说明</w:t>
      </w:r>
    </w:p>
    <w:p>
      <w:pPr>
        <w:spacing w:before="119"/>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3"/>
          <w:szCs w:val="13"/>
        </w:rPr>
      </w:pPr>
    </w:p>
    <w:p>
      <w:pPr>
        <w:pStyle w:val="BodyText"/>
        <w:spacing w:line="328" w:lineRule="auto" w:before="0"/>
        <w:ind w:right="1002" w:firstLine="360"/>
        <w:jc w:val="left"/>
      </w:pPr>
      <w:r>
        <w:rPr>
          <w:rFonts w:ascii="Times New Roman" w:hAnsi="Times New Roman" w:cs="Times New Roman" w:eastAsia="Times New Roman" w:hint="default"/>
          <w:spacing w:val="-3"/>
        </w:rPr>
        <w:t>1</w:t>
      </w:r>
      <w:r>
        <w:rPr>
          <w:spacing w:val="-3"/>
        </w:rPr>
        <w:t>、本报告期，经营活动产生的现金流量净额较上年同期下降</w:t>
      </w:r>
      <w:r>
        <w:rPr>
          <w:rFonts w:ascii="Times New Roman" w:hAnsi="Times New Roman" w:cs="Times New Roman" w:eastAsia="Times New Roman" w:hint="default"/>
          <w:spacing w:val="-3"/>
        </w:rPr>
        <w:t>70.22%</w:t>
      </w:r>
      <w:r>
        <w:rPr>
          <w:spacing w:val="-3"/>
        </w:rPr>
        <w:t>，主要系公司本期法院冻结款项受</w:t>
      </w:r>
      <w:r>
        <w:rPr>
          <w:w w:val="100"/>
        </w:rPr>
        <w:t> </w:t>
      </w:r>
      <w:r>
        <w:rPr/>
        <w:t>限所致。</w:t>
      </w:r>
    </w:p>
    <w:p>
      <w:pPr>
        <w:pStyle w:val="BodyText"/>
        <w:spacing w:line="328" w:lineRule="auto" w:before="50"/>
        <w:ind w:right="1002" w:firstLine="360"/>
        <w:jc w:val="left"/>
      </w:pPr>
      <w:r>
        <w:rPr>
          <w:rFonts w:ascii="Times New Roman" w:hAnsi="Times New Roman" w:cs="Times New Roman" w:eastAsia="Times New Roman" w:hint="default"/>
          <w:spacing w:val="-2"/>
        </w:rPr>
        <w:t>2</w:t>
      </w:r>
      <w:r>
        <w:rPr>
          <w:spacing w:val="-2"/>
        </w:rPr>
        <w:t>、本报告期，投资活动产生的现金流量净额较上年同期下降</w:t>
      </w:r>
      <w:r>
        <w:rPr>
          <w:rFonts w:ascii="Times New Roman" w:hAnsi="Times New Roman" w:cs="Times New Roman" w:eastAsia="Times New Roman" w:hint="default"/>
          <w:spacing w:val="-2"/>
        </w:rPr>
        <w:t>266.72%</w:t>
      </w:r>
      <w:r>
        <w:rPr>
          <w:spacing w:val="-2"/>
        </w:rPr>
        <w:t>，主要系本期子公司对外投资、</w:t>
      </w:r>
      <w:r>
        <w:rPr>
          <w:w w:val="100"/>
        </w:rPr>
        <w:t> </w:t>
      </w:r>
      <w:r>
        <w:rPr/>
        <w:t>收购所致。</w:t>
      </w:r>
    </w:p>
    <w:p>
      <w:pPr>
        <w:spacing w:line="333" w:lineRule="auto" w:before="84"/>
        <w:ind w:left="113" w:right="1002" w:firstLine="0"/>
        <w:jc w:val="left"/>
        <w:rPr>
          <w:rFonts w:ascii="宋体" w:hAnsi="宋体" w:cs="宋体" w:eastAsia="宋体" w:hint="default"/>
          <w:sz w:val="18"/>
          <w:szCs w:val="18"/>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、本报告期，筹资活动产生的现金流量净额较上年同期增长</w:t>
      </w:r>
      <w:r>
        <w:rPr>
          <w:rFonts w:ascii="Times New Roman" w:hAnsi="Times New Roman" w:cs="Times New Roman" w:eastAsia="Times New Roman" w:hint="default"/>
          <w:spacing w:val="-2"/>
          <w:sz w:val="21"/>
          <w:szCs w:val="21"/>
        </w:rPr>
        <w:t>172.48%</w:t>
      </w:r>
      <w:r>
        <w:rPr>
          <w:rFonts w:ascii="宋体" w:hAnsi="宋体" w:cs="宋体" w:eastAsia="宋体" w:hint="default"/>
          <w:spacing w:val="-2"/>
          <w:sz w:val="21"/>
          <w:szCs w:val="21"/>
        </w:rPr>
        <w:t>，主要系公司本期银行借款净流入增</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加，以及上年同期公司回购股份支付现金等所致。</w:t>
      </w:r>
      <w:r>
        <w:rPr>
          <w:rFonts w:ascii="宋体" w:hAnsi="宋体" w:cs="宋体" w:eastAsia="宋体" w:hint="default"/>
          <w:w w:val="100"/>
          <w:sz w:val="21"/>
          <w:szCs w:val="21"/>
        </w:rPr>
        <w:t> </w:t>
      </w:r>
      <w:r>
        <w:rPr>
          <w:rFonts w:ascii="宋体" w:hAnsi="宋体" w:cs="宋体" w:eastAsia="宋体" w:hint="default"/>
          <w:spacing w:val="-3"/>
          <w:sz w:val="18"/>
          <w:szCs w:val="18"/>
        </w:rPr>
        <w:t>报告期内公司经营活动产生的现金净流量与本年度净利润存在重大差异的原因说明</w:t>
      </w:r>
    </w:p>
    <w:p>
      <w:pPr>
        <w:pStyle w:val="BodyText"/>
        <w:spacing w:line="307" w:lineRule="auto" w:before="19"/>
        <w:ind w:left="535" w:right="1824" w:hanging="423"/>
        <w:jc w:val="left"/>
      </w:pPr>
      <w:r>
        <w:rPr>
          <w:sz w:val="18"/>
          <w:szCs w:val="18"/>
        </w:rPr>
        <w:t>√ </w:t>
      </w:r>
      <w:r>
        <w:rPr/>
        <w:t>适用 □ 不适用</w:t>
      </w:r>
      <w:r>
        <w:rPr>
          <w:spacing w:val="-85"/>
        </w:rPr>
        <w:t> </w:t>
      </w:r>
      <w:r>
        <w:rPr>
          <w:spacing w:val="-85"/>
        </w:rPr>
      </w:r>
      <w:r>
        <w:rPr>
          <w:spacing w:val="-2"/>
        </w:rPr>
        <w:t>主要系公司本期经营性垫资项目建设期大量投入以及法院冻结款项受限等所致。</w:t>
      </w:r>
    </w:p>
    <w:p>
      <w:pPr>
        <w:spacing w:line="240" w:lineRule="auto" w:before="11"/>
        <w:rPr>
          <w:rFonts w:ascii="宋体" w:hAnsi="宋体" w:cs="宋体" w:eastAsia="宋体" w:hint="default"/>
          <w:sz w:val="18"/>
          <w:szCs w:val="18"/>
        </w:rPr>
      </w:pPr>
    </w:p>
    <w:p>
      <w:pPr>
        <w:pStyle w:val="Heading2"/>
        <w:spacing w:line="240" w:lineRule="auto"/>
        <w:ind w:right="1002"/>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906" w:footer="1022" w:top="1100" w:bottom="1220" w:left="1020" w:right="0"/>
        </w:sectPr>
      </w:pPr>
    </w:p>
    <w:p>
      <w:pPr>
        <w:spacing w:before="46"/>
        <w:ind w:left="113" w:right="-18"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8"/>
          <w:szCs w:val="28"/>
        </w:rPr>
      </w:pPr>
      <w:r>
        <w:rPr/>
        <w:br w:type="column"/>
      </w:r>
      <w:r>
        <w:rPr>
          <w:rFonts w:ascii="宋体"/>
          <w:sz w:val="28"/>
        </w:rPr>
      </w:r>
    </w:p>
    <w:p>
      <w:pPr>
        <w:pStyle w:val="BodyText"/>
        <w:spacing w:line="240" w:lineRule="auto" w:before="0"/>
        <w:ind w:right="0"/>
        <w:jc w:val="left"/>
      </w:pPr>
      <w:r>
        <w:rPr/>
        <w:t>单位：元</w:t>
      </w:r>
    </w:p>
    <w:p>
      <w:pPr>
        <w:spacing w:after="0" w:line="240" w:lineRule="auto"/>
        <w:jc w:val="left"/>
        <w:sectPr>
          <w:type w:val="continuous"/>
          <w:pgSz w:w="11910" w:h="16840"/>
          <w:pgMar w:top="1100" w:bottom="1220" w:left="1020" w:right="0"/>
          <w:cols w:num="2" w:equalWidth="0">
            <w:col w:w="1650" w:space="7151"/>
            <w:col w:w="2089"/>
          </w:cols>
        </w:sectPr>
      </w:pP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22"/>
        <w:gridCol w:w="1642"/>
        <w:gridCol w:w="1902"/>
        <w:gridCol w:w="2511"/>
        <w:gridCol w:w="1997"/>
      </w:tblGrid>
      <w:tr>
        <w:trPr>
          <w:trHeight w:val="403"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6" w:right="0"/>
              <w:jc w:val="left"/>
              <w:rPr>
                <w:rFonts w:ascii="宋体" w:hAnsi="宋体" w:cs="宋体" w:eastAsia="宋体" w:hint="default"/>
                <w:sz w:val="21"/>
                <w:szCs w:val="21"/>
              </w:rPr>
            </w:pPr>
            <w:r>
              <w:rPr>
                <w:rFonts w:ascii="宋体" w:hAnsi="宋体" w:cs="宋体" w:eastAsia="宋体" w:hint="default"/>
                <w:sz w:val="21"/>
                <w:szCs w:val="21"/>
              </w:rPr>
              <w:t>占利润总额比例</w:t>
            </w:r>
          </w:p>
        </w:tc>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9" w:right="0"/>
              <w:jc w:val="left"/>
              <w:rPr>
                <w:rFonts w:ascii="宋体" w:hAnsi="宋体" w:cs="宋体" w:eastAsia="宋体" w:hint="default"/>
                <w:sz w:val="21"/>
                <w:szCs w:val="21"/>
              </w:rPr>
            </w:pPr>
            <w:r>
              <w:rPr>
                <w:rFonts w:ascii="宋体" w:hAnsi="宋体" w:cs="宋体" w:eastAsia="宋体" w:hint="default"/>
                <w:sz w:val="21"/>
                <w:szCs w:val="21"/>
              </w:rPr>
              <w:t>形成原因说明</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8" w:right="0"/>
              <w:jc w:val="left"/>
              <w:rPr>
                <w:rFonts w:ascii="宋体" w:hAnsi="宋体" w:cs="宋体" w:eastAsia="宋体" w:hint="default"/>
                <w:sz w:val="21"/>
                <w:szCs w:val="21"/>
              </w:rPr>
            </w:pPr>
            <w:r>
              <w:rPr>
                <w:rFonts w:ascii="宋体" w:hAnsi="宋体" w:cs="宋体" w:eastAsia="宋体" w:hint="default"/>
                <w:sz w:val="21"/>
                <w:szCs w:val="21"/>
              </w:rPr>
              <w:t>是否具有可持续性</w:t>
            </w:r>
          </w:p>
        </w:tc>
      </w:tr>
      <w:tr>
        <w:trPr>
          <w:trHeight w:val="1028"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4,105,871.80</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1.23%</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100" w:right="296"/>
              <w:jc w:val="both"/>
              <w:rPr>
                <w:rFonts w:ascii="宋体" w:hAnsi="宋体" w:cs="宋体" w:eastAsia="宋体" w:hint="default"/>
                <w:sz w:val="21"/>
                <w:szCs w:val="21"/>
              </w:rPr>
            </w:pPr>
            <w:r>
              <w:rPr>
                <w:rFonts w:ascii="宋体" w:hAnsi="宋体" w:cs="宋体" w:eastAsia="宋体" w:hint="default"/>
                <w:spacing w:val="-1"/>
                <w:sz w:val="21"/>
                <w:szCs w:val="21"/>
              </w:rPr>
              <w:t>主要系本期处置部分长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
                <w:sz w:val="21"/>
                <w:szCs w:val="21"/>
              </w:rPr>
              <w:t>期股权投资以及购买理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
                <w:sz w:val="21"/>
                <w:szCs w:val="21"/>
              </w:rPr>
              <w:t>财产品投资收益等所致</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42"/>
              <w:jc w:val="left"/>
              <w:rPr>
                <w:rFonts w:ascii="宋体" w:hAnsi="宋体" w:cs="宋体" w:eastAsia="宋体" w:hint="default"/>
                <w:sz w:val="21"/>
                <w:szCs w:val="21"/>
              </w:rPr>
            </w:pPr>
            <w:r>
              <w:rPr>
                <w:rFonts w:ascii="宋体" w:hAnsi="宋体" w:cs="宋体" w:eastAsia="宋体" w:hint="default"/>
                <w:sz w:val="21"/>
                <w:szCs w:val="21"/>
              </w:rPr>
              <w:t>公允价值变动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损益</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545,498.43</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0.16%</w:t>
            </w:r>
          </w:p>
        </w:tc>
        <w:tc>
          <w:tcPr>
            <w:tcW w:w="2511"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资产减值</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33,836,676.65</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10.11%</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296"/>
              <w:jc w:val="left"/>
              <w:rPr>
                <w:rFonts w:ascii="宋体" w:hAnsi="宋体" w:cs="宋体" w:eastAsia="宋体" w:hint="default"/>
                <w:sz w:val="21"/>
                <w:szCs w:val="21"/>
              </w:rPr>
            </w:pPr>
            <w:r>
              <w:rPr>
                <w:rFonts w:ascii="宋体" w:hAnsi="宋体" w:cs="宋体" w:eastAsia="宋体" w:hint="default"/>
                <w:spacing w:val="-1"/>
                <w:sz w:val="21"/>
                <w:szCs w:val="21"/>
              </w:rPr>
              <w:t>主要系本期计提资产减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值准备所致</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1,259,265.66</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0.38%</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0" w:right="296"/>
              <w:jc w:val="left"/>
              <w:rPr>
                <w:rFonts w:ascii="宋体" w:hAnsi="宋体" w:cs="宋体" w:eastAsia="宋体" w:hint="default"/>
                <w:sz w:val="21"/>
                <w:szCs w:val="21"/>
              </w:rPr>
            </w:pPr>
            <w:r>
              <w:rPr>
                <w:rFonts w:ascii="宋体" w:hAnsi="宋体" w:cs="宋体" w:eastAsia="宋体" w:hint="default"/>
                <w:spacing w:val="-1"/>
                <w:sz w:val="21"/>
                <w:szCs w:val="21"/>
              </w:rPr>
              <w:t>主要系本期违约赔偿收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入等</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营业外支出</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2,202,093.21</w:t>
            </w:r>
          </w:p>
        </w:tc>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0"/>
              <w:jc w:val="right"/>
              <w:rPr>
                <w:rFonts w:ascii="Times New Roman" w:hAnsi="Times New Roman" w:cs="Times New Roman" w:eastAsia="Times New Roman" w:hint="default"/>
                <w:sz w:val="21"/>
                <w:szCs w:val="21"/>
              </w:rPr>
            </w:pPr>
            <w:r>
              <w:rPr>
                <w:rFonts w:ascii="Times New Roman"/>
                <w:sz w:val="21"/>
              </w:rPr>
              <w:t>0.66%</w:t>
            </w:r>
          </w:p>
        </w:tc>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宋体" w:hAnsi="宋体" w:cs="宋体" w:eastAsia="宋体" w:hint="default"/>
                <w:sz w:val="21"/>
                <w:szCs w:val="21"/>
              </w:rPr>
              <w:t>主要系本期对外捐赠等</w:t>
            </w:r>
          </w:p>
        </w:tc>
        <w:tc>
          <w:tcPr>
            <w:tcW w:w="19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left="533" w:right="1117"/>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533" w:right="1117"/>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600" w:right="0"/>
        </w:sectPr>
      </w:pPr>
    </w:p>
    <w:p>
      <w:pPr>
        <w:spacing w:before="46"/>
        <w:ind w:left="533" w:right="-13" w:firstLine="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37"/>
          <w:sz w:val="18"/>
          <w:szCs w:val="18"/>
        </w:rPr>
        <w:t> </w:t>
      </w:r>
      <w:r>
        <w:rPr>
          <w:rFonts w:ascii="宋体" w:hAnsi="宋体" w:cs="宋体" w:eastAsia="宋体" w:hint="default"/>
          <w:spacing w:val="-3"/>
          <w:sz w:val="18"/>
          <w:szCs w:val="18"/>
        </w:rPr>
        <w:t>年起首次执行新金融工具准则、新收入准则或新租赁准则且调整执行当年年初财务报表相关项目</w:t>
      </w:r>
    </w:p>
    <w:p>
      <w:pPr>
        <w:spacing w:before="101"/>
        <w:ind w:left="533" w:right="-1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0"/>
        <w:ind w:left="383" w:right="0"/>
        <w:jc w:val="left"/>
      </w:pPr>
      <w:r>
        <w:rPr/>
        <w:t>单位：元</w:t>
      </w:r>
    </w:p>
    <w:p>
      <w:pPr>
        <w:spacing w:after="0" w:line="240" w:lineRule="auto"/>
        <w:jc w:val="left"/>
        <w:sectPr>
          <w:type w:val="continuous"/>
          <w:pgSz w:w="11910" w:h="16840"/>
          <w:pgMar w:top="1100" w:bottom="1220" w:left="600" w:right="0"/>
          <w:cols w:num="2" w:equalWidth="0">
            <w:col w:w="8912" w:space="40"/>
            <w:col w:w="2358"/>
          </w:cols>
        </w:sectPr>
      </w:pPr>
    </w:p>
    <w:p>
      <w:pPr>
        <w:spacing w:line="240" w:lineRule="auto" w:before="1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791"/>
        <w:gridCol w:w="1210"/>
        <w:gridCol w:w="1018"/>
        <w:gridCol w:w="1320"/>
        <w:gridCol w:w="936"/>
        <w:gridCol w:w="802"/>
        <w:gridCol w:w="2920"/>
      </w:tblGrid>
      <w:tr>
        <w:trPr>
          <w:trHeight w:val="398" w:hRule="exact"/>
        </w:trPr>
        <w:tc>
          <w:tcPr>
            <w:tcW w:w="1791"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年末</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7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年初</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76" w:lineRule="auto"/>
              <w:ind w:left="187" w:right="180"/>
              <w:jc w:val="left"/>
              <w:rPr>
                <w:rFonts w:ascii="宋体" w:hAnsi="宋体" w:cs="宋体" w:eastAsia="宋体" w:hint="default"/>
                <w:sz w:val="21"/>
                <w:szCs w:val="21"/>
              </w:rPr>
            </w:pPr>
            <w:r>
              <w:rPr>
                <w:rFonts w:ascii="宋体" w:hAnsi="宋体" w:cs="宋体" w:eastAsia="宋体" w:hint="default"/>
                <w:sz w:val="21"/>
                <w:szCs w:val="21"/>
              </w:rPr>
              <w:t>比重</w:t>
            </w:r>
            <w:r>
              <w:rPr>
                <w:rFonts w:ascii="宋体" w:hAnsi="宋体" w:cs="宋体" w:eastAsia="宋体" w:hint="default"/>
                <w:spacing w:val="-103"/>
                <w:sz w:val="21"/>
                <w:szCs w:val="21"/>
              </w:rPr>
              <w:t> </w:t>
            </w:r>
            <w:r>
              <w:rPr>
                <w:rFonts w:ascii="宋体" w:hAnsi="宋体" w:cs="宋体" w:eastAsia="宋体" w:hint="default"/>
                <w:sz w:val="21"/>
                <w:szCs w:val="21"/>
              </w:rPr>
              <w:t>增减</w:t>
            </w:r>
          </w:p>
        </w:tc>
        <w:tc>
          <w:tcPr>
            <w:tcW w:w="2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821"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716" w:hRule="exact"/>
        </w:trPr>
        <w:tc>
          <w:tcPr>
            <w:tcW w:w="1791" w:type="dxa"/>
            <w:vMerge/>
            <w:tcBorders>
              <w:left w:val="single" w:sz="4" w:space="0" w:color="000000"/>
              <w:bottom w:val="single" w:sz="4" w:space="0" w:color="000000"/>
              <w:right w:val="single" w:sz="4" w:space="0" w:color="000000"/>
            </w:tcBorders>
            <w:shd w:val="clear" w:color="auto" w:fill="D2D2D2"/>
          </w:tcPr>
          <w:p>
            <w:pP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92" w:right="182"/>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产比例</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48" w:right="142"/>
              <w:jc w:val="left"/>
              <w:rPr>
                <w:rFonts w:ascii="宋体" w:hAnsi="宋体" w:cs="宋体" w:eastAsia="宋体" w:hint="default"/>
                <w:sz w:val="21"/>
                <w:szCs w:val="21"/>
              </w:rPr>
            </w:pPr>
            <w:r>
              <w:rPr>
                <w:rFonts w:ascii="宋体" w:hAnsi="宋体" w:cs="宋体" w:eastAsia="宋体" w:hint="default"/>
                <w:sz w:val="21"/>
                <w:szCs w:val="21"/>
              </w:rPr>
              <w:t>占总资</w:t>
            </w:r>
            <w:r>
              <w:rPr>
                <w:rFonts w:ascii="宋体" w:hAnsi="宋体" w:cs="宋体" w:eastAsia="宋体" w:hint="default"/>
                <w:spacing w:val="-102"/>
                <w:sz w:val="21"/>
                <w:szCs w:val="21"/>
              </w:rPr>
              <w:t> </w:t>
            </w:r>
            <w:r>
              <w:rPr>
                <w:rFonts w:ascii="宋体" w:hAnsi="宋体" w:cs="宋体" w:eastAsia="宋体" w:hint="default"/>
                <w:sz w:val="21"/>
                <w:szCs w:val="21"/>
              </w:rPr>
              <w:t>产比例</w:t>
            </w: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734,151,19</w:t>
            </w:r>
          </w:p>
          <w:p>
            <w:pPr>
              <w:pStyle w:val="TableParagraph"/>
              <w:spacing w:line="240" w:lineRule="auto" w:before="70"/>
              <w:ind w:left="730" w:right="0"/>
              <w:jc w:val="left"/>
              <w:rPr>
                <w:rFonts w:ascii="Times New Roman" w:hAnsi="Times New Roman" w:cs="Times New Roman" w:eastAsia="Times New Roman" w:hint="default"/>
                <w:sz w:val="21"/>
                <w:szCs w:val="21"/>
              </w:rPr>
            </w:pPr>
            <w:r>
              <w:rPr>
                <w:rFonts w:ascii="Times New Roman"/>
                <w:sz w:val="21"/>
              </w:rPr>
              <w:t>6.22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10.30%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786,236,356.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85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12.75%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9" w:right="0"/>
              <w:jc w:val="left"/>
              <w:rPr>
                <w:rFonts w:ascii="Times New Roman" w:hAnsi="Times New Roman" w:cs="Times New Roman" w:eastAsia="Times New Roman" w:hint="default"/>
                <w:sz w:val="21"/>
                <w:szCs w:val="21"/>
              </w:rPr>
            </w:pPr>
            <w:r>
              <w:rPr>
                <w:rFonts w:ascii="Times New Roman"/>
                <w:sz w:val="21"/>
              </w:rPr>
              <w:t>-2.45</w:t>
            </w:r>
          </w:p>
          <w:p>
            <w:pPr>
              <w:pStyle w:val="TableParagraph"/>
              <w:spacing w:line="240" w:lineRule="auto" w:before="70"/>
              <w:ind w:left="513" w:right="0"/>
              <w:jc w:val="left"/>
              <w:rPr>
                <w:rFonts w:ascii="Times New Roman" w:hAnsi="Times New Roman" w:cs="Times New Roman" w:eastAsia="Times New Roman" w:hint="default"/>
                <w:sz w:val="21"/>
                <w:szCs w:val="21"/>
              </w:rPr>
            </w:pPr>
            <w:r>
              <w:rPr>
                <w:rFonts w:ascii="Times New Roman"/>
                <w:w w:val="100"/>
                <w:sz w:val="21"/>
              </w:rPr>
              <w:t>%</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6" w:right="0"/>
              <w:jc w:val="left"/>
              <w:rPr>
                <w:rFonts w:ascii="Times New Roman" w:hAnsi="Times New Roman" w:cs="Times New Roman" w:eastAsia="Times New Roman" w:hint="default"/>
                <w:sz w:val="21"/>
                <w:szCs w:val="21"/>
              </w:rPr>
            </w:pPr>
            <w:r>
              <w:rPr>
                <w:rFonts w:ascii="Times New Roman"/>
                <w:sz w:val="21"/>
              </w:rPr>
              <w:t>1,295,182,</w:t>
            </w:r>
          </w:p>
          <w:p>
            <w:pPr>
              <w:pStyle w:val="TableParagraph"/>
              <w:spacing w:line="240" w:lineRule="auto" w:before="71"/>
              <w:ind w:left="523" w:right="0"/>
              <w:jc w:val="left"/>
              <w:rPr>
                <w:rFonts w:ascii="Times New Roman" w:hAnsi="Times New Roman" w:cs="Times New Roman" w:eastAsia="Times New Roman" w:hint="default"/>
                <w:sz w:val="21"/>
                <w:szCs w:val="21"/>
              </w:rPr>
            </w:pPr>
            <w:r>
              <w:rPr>
                <w:rFonts w:ascii="Times New Roman"/>
                <w:sz w:val="21"/>
              </w:rPr>
              <w:t>421.34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18.18%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904,267,374.</w:t>
            </w:r>
          </w:p>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sz w:val="21"/>
              </w:rPr>
              <w:t>41</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14.66%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3.52%</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99"/>
              <w:jc w:val="left"/>
              <w:rPr>
                <w:rFonts w:ascii="宋体" w:hAnsi="宋体" w:cs="宋体" w:eastAsia="宋体" w:hint="default"/>
                <w:sz w:val="21"/>
                <w:szCs w:val="21"/>
              </w:rPr>
            </w:pPr>
            <w:r>
              <w:rPr>
                <w:rFonts w:ascii="宋体" w:hAnsi="宋体" w:cs="宋体" w:eastAsia="宋体" w:hint="default"/>
                <w:spacing w:val="-3"/>
                <w:sz w:val="21"/>
                <w:szCs w:val="21"/>
              </w:rPr>
              <w:t>主要系本期公司销售增长，未</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到期结算所致。</w:t>
            </w:r>
          </w:p>
        </w:tc>
      </w:tr>
      <w:tr>
        <w:trPr>
          <w:trHeight w:val="1022" w:hRule="exact"/>
        </w:trPr>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1,747,728,</w:t>
            </w:r>
          </w:p>
          <w:p>
            <w:pPr>
              <w:pStyle w:val="TableParagraph"/>
              <w:spacing w:line="240" w:lineRule="auto" w:before="70"/>
              <w:ind w:left="523" w:right="0"/>
              <w:jc w:val="left"/>
              <w:rPr>
                <w:rFonts w:ascii="Times New Roman" w:hAnsi="Times New Roman" w:cs="Times New Roman" w:eastAsia="Times New Roman" w:hint="default"/>
                <w:sz w:val="21"/>
                <w:szCs w:val="21"/>
              </w:rPr>
            </w:pPr>
            <w:r>
              <w:rPr>
                <w:rFonts w:ascii="Times New Roman"/>
                <w:sz w:val="21"/>
              </w:rPr>
              <w:t>459.26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24.53%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1,096,880,82</w:t>
            </w:r>
          </w:p>
          <w:p>
            <w:pPr>
              <w:pStyle w:val="TableParagraph"/>
              <w:spacing w:line="240" w:lineRule="auto" w:before="70"/>
              <w:ind w:left="839" w:right="0"/>
              <w:jc w:val="left"/>
              <w:rPr>
                <w:rFonts w:ascii="Times New Roman" w:hAnsi="Times New Roman" w:cs="Times New Roman" w:eastAsia="Times New Roman" w:hint="default"/>
                <w:sz w:val="21"/>
                <w:szCs w:val="21"/>
              </w:rPr>
            </w:pPr>
            <w:r>
              <w:rPr>
                <w:rFonts w:ascii="Times New Roman"/>
                <w:sz w:val="21"/>
              </w:rPr>
              <w:t>5.42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17.79%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6.74%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99"/>
              <w:jc w:val="left"/>
              <w:rPr>
                <w:rFonts w:ascii="宋体" w:hAnsi="宋体" w:cs="宋体" w:eastAsia="宋体" w:hint="default"/>
                <w:sz w:val="21"/>
                <w:szCs w:val="21"/>
              </w:rPr>
            </w:pPr>
            <w:r>
              <w:rPr>
                <w:rFonts w:ascii="宋体" w:hAnsi="宋体" w:cs="宋体" w:eastAsia="宋体" w:hint="default"/>
                <w:sz w:val="21"/>
                <w:szCs w:val="21"/>
              </w:rPr>
              <w:t>主要系本期公司经营性项目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3"/>
                <w:sz w:val="21"/>
                <w:szCs w:val="21"/>
              </w:rPr>
              <w:t>投入较大，建造合同形成的已</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完工未结算资产增加所致。</w:t>
            </w:r>
          </w:p>
        </w:tc>
      </w:tr>
      <w:tr>
        <w:trPr>
          <w:trHeight w:val="716" w:hRule="exact"/>
        </w:trPr>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57,917,738</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.95</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0.81%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85,801,256.3</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1.39%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49" w:right="0"/>
              <w:jc w:val="left"/>
              <w:rPr>
                <w:rFonts w:ascii="Times New Roman" w:hAnsi="Times New Roman" w:cs="Times New Roman" w:eastAsia="Times New Roman" w:hint="default"/>
                <w:sz w:val="21"/>
                <w:szCs w:val="21"/>
              </w:rPr>
            </w:pPr>
            <w:r>
              <w:rPr>
                <w:rFonts w:ascii="Times New Roman"/>
                <w:sz w:val="21"/>
              </w:rPr>
              <w:t>-0.58</w:t>
            </w:r>
          </w:p>
          <w:p>
            <w:pPr>
              <w:pStyle w:val="TableParagraph"/>
              <w:spacing w:line="240" w:lineRule="auto" w:before="75"/>
              <w:ind w:left="513" w:right="0"/>
              <w:jc w:val="left"/>
              <w:rPr>
                <w:rFonts w:ascii="Times New Roman" w:hAnsi="Times New Roman" w:cs="Times New Roman" w:eastAsia="Times New Roman" w:hint="default"/>
                <w:sz w:val="21"/>
                <w:szCs w:val="21"/>
              </w:rPr>
            </w:pPr>
            <w:r>
              <w:rPr>
                <w:rFonts w:ascii="Times New Roman"/>
                <w:w w:val="100"/>
                <w:sz w:val="21"/>
              </w:rPr>
              <w:t>%</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0" w:right="282"/>
              <w:jc w:val="left"/>
              <w:rPr>
                <w:rFonts w:ascii="宋体" w:hAnsi="宋体" w:cs="宋体" w:eastAsia="宋体" w:hint="default"/>
                <w:sz w:val="21"/>
                <w:szCs w:val="21"/>
              </w:rPr>
            </w:pPr>
            <w:r>
              <w:rPr>
                <w:rFonts w:ascii="宋体" w:hAnsi="宋体" w:cs="宋体" w:eastAsia="宋体" w:hint="default"/>
                <w:spacing w:val="-1"/>
                <w:sz w:val="21"/>
                <w:szCs w:val="21"/>
              </w:rPr>
              <w:t>主要系本期公司自用房产重</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分类转入固定资产所致。</w:t>
            </w:r>
          </w:p>
        </w:tc>
      </w:tr>
      <w:tr>
        <w:trPr>
          <w:trHeight w:val="715" w:hRule="exact"/>
        </w:trPr>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41,882,218</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.27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0.59%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21,852,780.8</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0.24%</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71"/>
              <w:jc w:val="left"/>
              <w:rPr>
                <w:rFonts w:ascii="宋体" w:hAnsi="宋体" w:cs="宋体" w:eastAsia="宋体" w:hint="default"/>
                <w:sz w:val="21"/>
                <w:szCs w:val="21"/>
              </w:rPr>
            </w:pPr>
            <w:r>
              <w:rPr>
                <w:rFonts w:ascii="宋体" w:hAnsi="宋体" w:cs="宋体" w:eastAsia="宋体" w:hint="default"/>
                <w:sz w:val="21"/>
                <w:szCs w:val="21"/>
              </w:rPr>
              <w:t>主要系本期公司新增加对云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南联通新通信有限公司投资。</w:t>
            </w:r>
          </w:p>
        </w:tc>
      </w:tr>
      <w:tr>
        <w:trPr>
          <w:trHeight w:val="716" w:hRule="exact"/>
        </w:trPr>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559,790,07</w:t>
            </w:r>
          </w:p>
          <w:p>
            <w:pPr>
              <w:pStyle w:val="TableParagraph"/>
              <w:spacing w:line="240" w:lineRule="auto" w:before="71"/>
              <w:ind w:left="730" w:right="0"/>
              <w:jc w:val="left"/>
              <w:rPr>
                <w:rFonts w:ascii="Times New Roman" w:hAnsi="Times New Roman" w:cs="Times New Roman" w:eastAsia="Times New Roman" w:hint="default"/>
                <w:sz w:val="21"/>
                <w:szCs w:val="21"/>
              </w:rPr>
            </w:pPr>
            <w:r>
              <w:rPr>
                <w:rFonts w:ascii="Times New Roman"/>
                <w:sz w:val="21"/>
              </w:rPr>
              <w:t>2.73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7.86%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581,933,466.</w:t>
            </w:r>
          </w:p>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sz w:val="21"/>
              </w:rPr>
              <w:t>35</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9.44%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9" w:right="0"/>
              <w:jc w:val="left"/>
              <w:rPr>
                <w:rFonts w:ascii="Times New Roman" w:hAnsi="Times New Roman" w:cs="Times New Roman" w:eastAsia="Times New Roman" w:hint="default"/>
                <w:sz w:val="21"/>
                <w:szCs w:val="21"/>
              </w:rPr>
            </w:pPr>
            <w:r>
              <w:rPr>
                <w:rFonts w:ascii="Times New Roman"/>
                <w:sz w:val="21"/>
              </w:rPr>
              <w:t>-1.58</w:t>
            </w:r>
          </w:p>
          <w:p>
            <w:pPr>
              <w:pStyle w:val="TableParagraph"/>
              <w:spacing w:line="240" w:lineRule="auto" w:before="71"/>
              <w:ind w:left="513" w:right="0"/>
              <w:jc w:val="left"/>
              <w:rPr>
                <w:rFonts w:ascii="Times New Roman" w:hAnsi="Times New Roman" w:cs="Times New Roman" w:eastAsia="Times New Roman" w:hint="default"/>
                <w:sz w:val="21"/>
                <w:szCs w:val="21"/>
              </w:rPr>
            </w:pPr>
            <w:r>
              <w:rPr>
                <w:rFonts w:ascii="Times New Roman"/>
                <w:w w:val="100"/>
                <w:sz w:val="21"/>
              </w:rPr>
              <w:t>%</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1,895,510.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36</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0.03%</w:t>
            </w:r>
          </w:p>
        </w:tc>
        <w:tc>
          <w:tcPr>
            <w:tcW w:w="132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0.03%</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769,321,25</w:t>
            </w:r>
          </w:p>
          <w:p>
            <w:pPr>
              <w:pStyle w:val="TableParagraph"/>
              <w:spacing w:line="240" w:lineRule="auto" w:before="70"/>
              <w:ind w:left="730" w:right="0"/>
              <w:jc w:val="left"/>
              <w:rPr>
                <w:rFonts w:ascii="Times New Roman" w:hAnsi="Times New Roman" w:cs="Times New Roman" w:eastAsia="Times New Roman" w:hint="default"/>
                <w:sz w:val="21"/>
                <w:szCs w:val="21"/>
              </w:rPr>
            </w:pPr>
            <w:r>
              <w:rPr>
                <w:rFonts w:ascii="Times New Roman"/>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10.80%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493,500,000.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8.00%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2.80%</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0" w:right="99"/>
              <w:jc w:val="both"/>
              <w:rPr>
                <w:rFonts w:ascii="宋体" w:hAnsi="宋体" w:cs="宋体" w:eastAsia="宋体" w:hint="default"/>
                <w:sz w:val="21"/>
                <w:szCs w:val="21"/>
              </w:rPr>
            </w:pPr>
            <w:r>
              <w:rPr>
                <w:rFonts w:ascii="宋体" w:hAnsi="宋体" w:cs="宋体" w:eastAsia="宋体" w:hint="default"/>
                <w:spacing w:val="-3"/>
                <w:sz w:val="21"/>
                <w:szCs w:val="21"/>
              </w:rPr>
              <w:t>主要系本期公司销售增长，资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金需求增加，导致银行借款增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加所致。</w:t>
            </w:r>
          </w:p>
        </w:tc>
      </w:tr>
      <w:tr>
        <w:trPr>
          <w:trHeight w:val="1027" w:hRule="exact"/>
        </w:trPr>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21"/>
                <w:szCs w:val="21"/>
              </w:rPr>
            </w:pPr>
            <w:r>
              <w:rPr>
                <w:rFonts w:ascii="Times New Roman"/>
                <w:sz w:val="21"/>
              </w:rPr>
              <w:t>112,000,00</w:t>
            </w:r>
          </w:p>
          <w:p>
            <w:pPr>
              <w:pStyle w:val="TableParagraph"/>
              <w:spacing w:line="240" w:lineRule="auto" w:before="70"/>
              <w:ind w:left="730" w:right="0"/>
              <w:jc w:val="left"/>
              <w:rPr>
                <w:rFonts w:ascii="Times New Roman" w:hAnsi="Times New Roman" w:cs="Times New Roman" w:eastAsia="Times New Roman" w:hint="default"/>
                <w:sz w:val="21"/>
                <w:szCs w:val="21"/>
              </w:rPr>
            </w:pPr>
            <w:r>
              <w:rPr>
                <w:rFonts w:ascii="Times New Roman"/>
                <w:sz w:val="21"/>
              </w:rPr>
              <w:t>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1.57%</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90,000,000.0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1.46%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0.11%</w:t>
            </w:r>
          </w:p>
        </w:tc>
        <w:tc>
          <w:tcPr>
            <w:tcW w:w="29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99"/>
              <w:jc w:val="both"/>
              <w:rPr>
                <w:rFonts w:ascii="宋体" w:hAnsi="宋体" w:cs="宋体" w:eastAsia="宋体" w:hint="default"/>
                <w:sz w:val="21"/>
                <w:szCs w:val="21"/>
              </w:rPr>
            </w:pPr>
            <w:r>
              <w:rPr>
                <w:rFonts w:ascii="宋体" w:hAnsi="宋体" w:cs="宋体" w:eastAsia="宋体" w:hint="default"/>
                <w:spacing w:val="-3"/>
                <w:sz w:val="21"/>
                <w:szCs w:val="21"/>
              </w:rPr>
              <w:t>主要系本期公司销售增长，资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3"/>
                <w:sz w:val="21"/>
                <w:szCs w:val="21"/>
              </w:rPr>
              <w:t>金需求增加，导致银行借款增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加所致。</w:t>
            </w:r>
          </w:p>
        </w:tc>
      </w:tr>
    </w:tbl>
    <w:p>
      <w:pPr>
        <w:spacing w:line="240" w:lineRule="auto" w:before="3"/>
        <w:rPr>
          <w:rFonts w:ascii="宋体" w:hAnsi="宋体" w:cs="宋体" w:eastAsia="宋体" w:hint="default"/>
          <w:sz w:val="19"/>
          <w:szCs w:val="19"/>
        </w:rPr>
      </w:pPr>
    </w:p>
    <w:p>
      <w:pPr>
        <w:pStyle w:val="Heading5"/>
        <w:spacing w:line="240" w:lineRule="auto" w:before="36"/>
        <w:ind w:left="533" w:right="1117"/>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spacing w:before="0"/>
        <w:ind w:left="533" w:right="111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left="533" w:right="1117"/>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6"/>
          <w:szCs w:val="26"/>
        </w:rPr>
      </w:pPr>
    </w:p>
    <w:p>
      <w:pPr>
        <w:spacing w:before="0"/>
        <w:ind w:left="1292" w:right="1117" w:firstLine="0"/>
        <w:jc w:val="left"/>
        <w:rPr>
          <w:rFonts w:ascii="宋体" w:hAnsi="宋体" w:cs="宋体" w:eastAsia="宋体" w:hint="default"/>
          <w:sz w:val="18"/>
          <w:szCs w:val="18"/>
        </w:rPr>
      </w:pPr>
      <w:r>
        <w:rPr>
          <w:rFonts w:ascii="宋体" w:hAnsi="宋体" w:cs="宋体" w:eastAsia="宋体" w:hint="default"/>
          <w:spacing w:val="-3"/>
          <w:sz w:val="18"/>
          <w:szCs w:val="18"/>
        </w:rPr>
        <w:t>截至报告期末，公司的资产权利受限情况如下：</w:t>
      </w:r>
    </w:p>
    <w:p>
      <w:pPr>
        <w:spacing w:line="240" w:lineRule="auto" w:before="0"/>
        <w:rPr>
          <w:rFonts w:ascii="宋体" w:hAnsi="宋体" w:cs="宋体" w:eastAsia="宋体" w:hint="default"/>
          <w:sz w:val="5"/>
          <w:szCs w:val="5"/>
        </w:rPr>
      </w:pPr>
    </w:p>
    <w:tbl>
      <w:tblPr>
        <w:tblW w:w="0" w:type="auto"/>
        <w:jc w:val="left"/>
        <w:tblInd w:w="898" w:type="dxa"/>
        <w:tblLayout w:type="fixed"/>
        <w:tblCellMar>
          <w:top w:w="0" w:type="dxa"/>
          <w:left w:w="0" w:type="dxa"/>
          <w:bottom w:w="0" w:type="dxa"/>
          <w:right w:w="0" w:type="dxa"/>
        </w:tblCellMar>
        <w:tblLook w:val="01E0"/>
      </w:tblPr>
      <w:tblGrid>
        <w:gridCol w:w="1498"/>
        <w:gridCol w:w="2238"/>
        <w:gridCol w:w="5248"/>
      </w:tblGrid>
      <w:tr>
        <w:trPr>
          <w:trHeight w:val="350"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524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346"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266,532,759.83</w:t>
            </w:r>
          </w:p>
        </w:tc>
        <w:tc>
          <w:tcPr>
            <w:tcW w:w="52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票据保证金、保函保证金、法院冻结款等</w:t>
            </w:r>
          </w:p>
        </w:tc>
      </w:tr>
    </w:tbl>
    <w:p>
      <w:pPr>
        <w:spacing w:after="0" w:line="270" w:lineRule="exact"/>
        <w:jc w:val="center"/>
        <w:rPr>
          <w:rFonts w:ascii="宋体" w:hAnsi="宋体" w:cs="宋体" w:eastAsia="宋体" w:hint="default"/>
          <w:sz w:val="21"/>
          <w:szCs w:val="21"/>
        </w:rPr>
        <w:sectPr>
          <w:type w:val="continuous"/>
          <w:pgSz w:w="11910" w:h="16840"/>
          <w:pgMar w:top="1100" w:bottom="1220" w:left="600" w:right="0"/>
        </w:sectPr>
      </w:pPr>
    </w:p>
    <w:p>
      <w:pPr>
        <w:spacing w:line="240" w:lineRule="auto" w:before="7"/>
        <w:rPr>
          <w:rFonts w:ascii="宋体" w:hAnsi="宋体" w:cs="宋体" w:eastAsia="宋体" w:hint="default"/>
          <w:sz w:val="25"/>
          <w:szCs w:val="25"/>
        </w:rPr>
      </w:pPr>
    </w:p>
    <w:tbl>
      <w:tblPr>
        <w:tblW w:w="0" w:type="auto"/>
        <w:jc w:val="left"/>
        <w:tblInd w:w="478" w:type="dxa"/>
        <w:tblLayout w:type="fixed"/>
        <w:tblCellMar>
          <w:top w:w="0" w:type="dxa"/>
          <w:left w:w="0" w:type="dxa"/>
          <w:bottom w:w="0" w:type="dxa"/>
          <w:right w:w="0" w:type="dxa"/>
        </w:tblCellMar>
        <w:tblLook w:val="01E0"/>
      </w:tblPr>
      <w:tblGrid>
        <w:gridCol w:w="1498"/>
        <w:gridCol w:w="2238"/>
        <w:gridCol w:w="5248"/>
      </w:tblGrid>
      <w:tr>
        <w:trPr>
          <w:trHeight w:val="346"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27" w:right="0"/>
              <w:jc w:val="left"/>
              <w:rPr>
                <w:rFonts w:ascii="宋体" w:hAnsi="宋体" w:cs="宋体" w:eastAsia="宋体" w:hint="default"/>
                <w:sz w:val="21"/>
                <w:szCs w:val="21"/>
              </w:rPr>
            </w:pPr>
            <w:r>
              <w:rPr>
                <w:rFonts w:ascii="宋体"/>
                <w:sz w:val="21"/>
              </w:rPr>
              <w:t>23,875,336.81</w:t>
            </w:r>
          </w:p>
        </w:tc>
        <w:tc>
          <w:tcPr>
            <w:tcW w:w="52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借款抵押</w:t>
            </w:r>
          </w:p>
        </w:tc>
      </w:tr>
      <w:tr>
        <w:trPr>
          <w:trHeight w:val="350" w:hRule="exact"/>
        </w:trPr>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74" w:right="0"/>
              <w:jc w:val="left"/>
              <w:rPr>
                <w:rFonts w:ascii="宋体" w:hAnsi="宋体" w:cs="宋体" w:eastAsia="宋体" w:hint="default"/>
                <w:sz w:val="21"/>
                <w:szCs w:val="21"/>
              </w:rPr>
            </w:pPr>
            <w:r>
              <w:rPr>
                <w:rFonts w:ascii="宋体"/>
                <w:sz w:val="21"/>
              </w:rPr>
              <w:t>290,408,096.64</w:t>
            </w:r>
          </w:p>
        </w:tc>
        <w:tc>
          <w:tcPr>
            <w:tcW w:w="52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right="1002"/>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002"/>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42" w:type="dxa"/>
        <w:tblLayout w:type="fixed"/>
        <w:tblCellMar>
          <w:top w:w="0" w:type="dxa"/>
          <w:left w:w="0" w:type="dxa"/>
          <w:bottom w:w="0" w:type="dxa"/>
          <w:right w:w="0" w:type="dxa"/>
        </w:tblCellMar>
        <w:tblLook w:val="01E0"/>
      </w:tblPr>
      <w:tblGrid>
        <w:gridCol w:w="3188"/>
        <w:gridCol w:w="3193"/>
        <w:gridCol w:w="3194"/>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2"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66" w:right="0"/>
              <w:jc w:val="left"/>
              <w:rPr>
                <w:rFonts w:ascii="Times New Roman" w:hAnsi="Times New Roman" w:cs="Times New Roman" w:eastAsia="Times New Roman" w:hint="default"/>
                <w:sz w:val="21"/>
                <w:szCs w:val="21"/>
              </w:rPr>
            </w:pPr>
            <w:r>
              <w:rPr>
                <w:rFonts w:ascii="Times New Roman"/>
                <w:sz w:val="21"/>
              </w:rPr>
              <w:t>225,747,000.00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72" w:right="0"/>
              <w:jc w:val="left"/>
              <w:rPr>
                <w:rFonts w:ascii="Times New Roman" w:hAnsi="Times New Roman" w:cs="Times New Roman" w:eastAsia="Times New Roman" w:hint="default"/>
                <w:sz w:val="21"/>
                <w:szCs w:val="21"/>
              </w:rPr>
            </w:pPr>
            <w:r>
              <w:rPr>
                <w:rFonts w:ascii="Times New Roman"/>
                <w:sz w:val="21"/>
              </w:rPr>
              <w:t>308,991,700.00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pacing w:val="-1"/>
                <w:sz w:val="21"/>
              </w:rPr>
              <w:t>-26.94%</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6"/>
          <w:szCs w:val="26"/>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1002"/>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5"/>
        <w:spacing w:line="240" w:lineRule="auto"/>
        <w:ind w:right="1002"/>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5"/>
        <w:spacing w:line="240" w:lineRule="auto"/>
        <w:ind w:right="1002"/>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1002"/>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7"/>
        <w:rPr>
          <w:rFonts w:ascii="宋体" w:hAnsi="宋体" w:cs="宋体" w:eastAsia="宋体" w:hint="default"/>
          <w:b/>
          <w:bCs/>
          <w:sz w:val="23"/>
          <w:szCs w:val="23"/>
        </w:rPr>
      </w:pPr>
    </w:p>
    <w:p>
      <w:pPr>
        <w:spacing w:before="46"/>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64"/>
        <w:gridCol w:w="864"/>
        <w:gridCol w:w="879"/>
        <w:gridCol w:w="869"/>
        <w:gridCol w:w="869"/>
        <w:gridCol w:w="869"/>
        <w:gridCol w:w="874"/>
        <w:gridCol w:w="869"/>
        <w:gridCol w:w="869"/>
        <w:gridCol w:w="1037"/>
        <w:gridCol w:w="932"/>
      </w:tblGrid>
      <w:tr>
        <w:trPr>
          <w:trHeight w:val="164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6" w:lineRule="auto"/>
              <w:ind w:left="321" w:right="104" w:hanging="207"/>
              <w:jc w:val="left"/>
              <w:rPr>
                <w:rFonts w:ascii="宋体" w:hAnsi="宋体" w:cs="宋体" w:eastAsia="宋体" w:hint="default"/>
                <w:sz w:val="21"/>
                <w:szCs w:val="21"/>
              </w:rPr>
            </w:pPr>
            <w:r>
              <w:rPr>
                <w:rFonts w:ascii="宋体" w:hAnsi="宋体" w:cs="宋体" w:eastAsia="宋体" w:hint="default"/>
                <w:sz w:val="21"/>
                <w:szCs w:val="21"/>
              </w:rPr>
              <w:t>募集年</w:t>
            </w:r>
            <w:r>
              <w:rPr>
                <w:rFonts w:ascii="宋体" w:hAnsi="宋体" w:cs="宋体" w:eastAsia="宋体" w:hint="default"/>
                <w:spacing w:val="-102"/>
                <w:sz w:val="21"/>
                <w:szCs w:val="21"/>
              </w:rPr>
              <w:t> </w:t>
            </w:r>
            <w:r>
              <w:rPr>
                <w:rFonts w:ascii="宋体" w:hAnsi="宋体" w:cs="宋体" w:eastAsia="宋体" w:hint="default"/>
                <w:sz w:val="21"/>
                <w:szCs w:val="21"/>
              </w:rPr>
              <w:t>份</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6" w:lineRule="auto"/>
              <w:ind w:left="321" w:right="103" w:hanging="207"/>
              <w:jc w:val="left"/>
              <w:rPr>
                <w:rFonts w:ascii="宋体" w:hAnsi="宋体" w:cs="宋体" w:eastAsia="宋体" w:hint="default"/>
                <w:sz w:val="21"/>
                <w:szCs w:val="21"/>
              </w:rPr>
            </w:pPr>
            <w:r>
              <w:rPr>
                <w:rFonts w:ascii="宋体" w:hAnsi="宋体" w:cs="宋体" w:eastAsia="宋体" w:hint="default"/>
                <w:sz w:val="21"/>
                <w:szCs w:val="21"/>
              </w:rPr>
              <w:t>募集方</w:t>
            </w:r>
            <w:r>
              <w:rPr>
                <w:rFonts w:ascii="宋体" w:hAnsi="宋体" w:cs="宋体" w:eastAsia="宋体" w:hint="default"/>
                <w:spacing w:val="-102"/>
                <w:sz w:val="21"/>
                <w:szCs w:val="21"/>
              </w:rPr>
              <w:t> </w:t>
            </w:r>
            <w:r>
              <w:rPr>
                <w:rFonts w:ascii="宋体" w:hAnsi="宋体" w:cs="宋体" w:eastAsia="宋体" w:hint="default"/>
                <w:sz w:val="21"/>
                <w:szCs w:val="21"/>
              </w:rPr>
              <w:t>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6" w:lineRule="auto"/>
              <w:ind w:left="120" w:right="113"/>
              <w:jc w:val="left"/>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5" w:right="110"/>
              <w:jc w:val="both"/>
              <w:rPr>
                <w:rFonts w:ascii="宋体" w:hAnsi="宋体" w:cs="宋体" w:eastAsia="宋体" w:hint="default"/>
                <w:sz w:val="21"/>
                <w:szCs w:val="21"/>
              </w:rPr>
            </w:pPr>
            <w:r>
              <w:rPr>
                <w:rFonts w:ascii="宋体" w:hAnsi="宋体" w:cs="宋体" w:eastAsia="宋体" w:hint="default"/>
                <w:sz w:val="21"/>
                <w:szCs w:val="21"/>
              </w:rPr>
              <w:t>本期已</w:t>
            </w:r>
            <w:r>
              <w:rPr>
                <w:rFonts w:ascii="宋体" w:hAnsi="宋体" w:cs="宋体" w:eastAsia="宋体" w:hint="default"/>
                <w:spacing w:val="-102"/>
                <w:sz w:val="21"/>
                <w:szCs w:val="21"/>
              </w:rPr>
              <w:t> </w:t>
            </w:r>
            <w:r>
              <w:rPr>
                <w:rFonts w:ascii="宋体" w:hAnsi="宋体" w:cs="宋体" w:eastAsia="宋体" w:hint="default"/>
                <w:sz w:val="21"/>
                <w:szCs w:val="21"/>
              </w:rPr>
              <w:t>使用募</w:t>
            </w:r>
            <w:r>
              <w:rPr>
                <w:rFonts w:ascii="宋体" w:hAnsi="宋体" w:cs="宋体" w:eastAsia="宋体" w:hint="default"/>
                <w:spacing w:val="-102"/>
                <w:sz w:val="21"/>
                <w:szCs w:val="21"/>
              </w:rPr>
              <w:t> </w:t>
            </w:r>
            <w:r>
              <w:rPr>
                <w:rFonts w:ascii="宋体" w:hAnsi="宋体" w:cs="宋体" w:eastAsia="宋体" w:hint="default"/>
                <w:sz w:val="21"/>
                <w:szCs w:val="21"/>
              </w:rPr>
              <w:t>集资金</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5" w:right="108"/>
              <w:jc w:val="both"/>
              <w:rPr>
                <w:rFonts w:ascii="宋体" w:hAnsi="宋体" w:cs="宋体" w:eastAsia="宋体" w:hint="default"/>
                <w:sz w:val="21"/>
                <w:szCs w:val="21"/>
              </w:rPr>
            </w:pPr>
            <w:r>
              <w:rPr>
                <w:rFonts w:ascii="宋体" w:hAnsi="宋体" w:cs="宋体" w:eastAsia="宋体" w:hint="default"/>
                <w:sz w:val="21"/>
                <w:szCs w:val="21"/>
              </w:rPr>
              <w:t>已累计</w:t>
            </w:r>
            <w:r>
              <w:rPr>
                <w:rFonts w:ascii="宋体" w:hAnsi="宋体" w:cs="宋体" w:eastAsia="宋体" w:hint="default"/>
                <w:spacing w:val="-102"/>
                <w:sz w:val="21"/>
                <w:szCs w:val="21"/>
              </w:rPr>
              <w:t> </w:t>
            </w:r>
            <w:r>
              <w:rPr>
                <w:rFonts w:ascii="宋体" w:hAnsi="宋体" w:cs="宋体" w:eastAsia="宋体" w:hint="default"/>
                <w:sz w:val="21"/>
                <w:szCs w:val="21"/>
              </w:rPr>
              <w:t>使用募</w:t>
            </w:r>
            <w:r>
              <w:rPr>
                <w:rFonts w:ascii="宋体" w:hAnsi="宋体" w:cs="宋体" w:eastAsia="宋体" w:hint="default"/>
                <w:spacing w:val="-102"/>
                <w:sz w:val="21"/>
                <w:szCs w:val="21"/>
              </w:rPr>
              <w:t> </w:t>
            </w:r>
            <w:r>
              <w:rPr>
                <w:rFonts w:ascii="宋体" w:hAnsi="宋体" w:cs="宋体" w:eastAsia="宋体" w:hint="default"/>
                <w:sz w:val="21"/>
                <w:szCs w:val="21"/>
              </w:rPr>
              <w:t>集资金</w:t>
            </w:r>
            <w:r>
              <w:rPr>
                <w:rFonts w:ascii="宋体" w:hAnsi="宋体" w:cs="宋体" w:eastAsia="宋体" w:hint="default"/>
                <w:spacing w:val="-102"/>
                <w:sz w:val="21"/>
                <w:szCs w:val="21"/>
              </w:rPr>
              <w:t> </w:t>
            </w:r>
            <w:r>
              <w:rPr>
                <w:rFonts w:ascii="宋体" w:hAnsi="宋体" w:cs="宋体" w:eastAsia="宋体" w:hint="default"/>
                <w:sz w:val="21"/>
                <w:szCs w:val="21"/>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08"/>
              <w:jc w:val="both"/>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pacing w:val="-102"/>
                <w:sz w:val="21"/>
                <w:szCs w:val="21"/>
              </w:rPr>
              <w:t> </w:t>
            </w:r>
            <w:r>
              <w:rPr>
                <w:rFonts w:ascii="宋体" w:hAnsi="宋体" w:cs="宋体" w:eastAsia="宋体" w:hint="default"/>
                <w:sz w:val="21"/>
                <w:szCs w:val="21"/>
              </w:rPr>
              <w:t>内变更</w:t>
            </w:r>
            <w:r>
              <w:rPr>
                <w:rFonts w:ascii="宋体" w:hAnsi="宋体" w:cs="宋体" w:eastAsia="宋体" w:hint="default"/>
                <w:spacing w:val="-102"/>
                <w:sz w:val="21"/>
                <w:szCs w:val="21"/>
              </w:rPr>
              <w:t> </w:t>
            </w:r>
            <w:r>
              <w:rPr>
                <w:rFonts w:ascii="宋体" w:hAnsi="宋体" w:cs="宋体" w:eastAsia="宋体" w:hint="default"/>
                <w:sz w:val="21"/>
                <w:szCs w:val="21"/>
              </w:rPr>
              <w:t>用途的</w:t>
            </w:r>
            <w:r>
              <w:rPr>
                <w:rFonts w:ascii="宋体" w:hAnsi="宋体" w:cs="宋体" w:eastAsia="宋体" w:hint="default"/>
                <w:spacing w:val="-102"/>
                <w:sz w:val="21"/>
                <w:szCs w:val="21"/>
              </w:rPr>
              <w:t> </w:t>
            </w: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13"/>
              <w:jc w:val="center"/>
              <w:rPr>
                <w:rFonts w:ascii="宋体" w:hAnsi="宋体" w:cs="宋体" w:eastAsia="宋体" w:hint="default"/>
                <w:sz w:val="21"/>
                <w:szCs w:val="21"/>
              </w:rPr>
            </w:pPr>
            <w:r>
              <w:rPr>
                <w:rFonts w:ascii="宋体" w:hAnsi="宋体" w:cs="宋体" w:eastAsia="宋体" w:hint="default"/>
                <w:sz w:val="21"/>
                <w:szCs w:val="21"/>
              </w:rPr>
              <w:t>累计变</w:t>
            </w:r>
            <w:r>
              <w:rPr>
                <w:rFonts w:ascii="宋体" w:hAnsi="宋体" w:cs="宋体" w:eastAsia="宋体" w:hint="default"/>
                <w:w w:val="100"/>
                <w:sz w:val="21"/>
                <w:szCs w:val="21"/>
              </w:rPr>
              <w:t> </w:t>
            </w:r>
            <w:r>
              <w:rPr>
                <w:rFonts w:ascii="宋体" w:hAnsi="宋体" w:cs="宋体" w:eastAsia="宋体" w:hint="default"/>
                <w:sz w:val="21"/>
                <w:szCs w:val="21"/>
              </w:rPr>
              <w:t>更用途</w:t>
            </w:r>
            <w:r>
              <w:rPr>
                <w:rFonts w:ascii="宋体" w:hAnsi="宋体" w:cs="宋体" w:eastAsia="宋体" w:hint="default"/>
                <w:w w:val="100"/>
                <w:sz w:val="21"/>
                <w:szCs w:val="21"/>
              </w:rPr>
              <w:t> </w:t>
            </w:r>
            <w:r>
              <w:rPr>
                <w:rFonts w:ascii="宋体" w:hAnsi="宋体" w:cs="宋体" w:eastAsia="宋体" w:hint="default"/>
                <w:sz w:val="21"/>
                <w:szCs w:val="21"/>
              </w:rPr>
              <w:t>的募集</w:t>
            </w:r>
            <w:r>
              <w:rPr>
                <w:rFonts w:ascii="宋体" w:hAnsi="宋体" w:cs="宋体" w:eastAsia="宋体" w:hint="default"/>
                <w:w w:val="100"/>
                <w:sz w:val="21"/>
                <w:szCs w:val="21"/>
              </w:rPr>
              <w:t> </w:t>
            </w:r>
            <w:r>
              <w:rPr>
                <w:rFonts w:ascii="宋体" w:hAnsi="宋体" w:cs="宋体" w:eastAsia="宋体" w:hint="default"/>
                <w:sz w:val="21"/>
                <w:szCs w:val="21"/>
              </w:rPr>
              <w:t>资金总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0" w:right="113"/>
              <w:jc w:val="both"/>
              <w:rPr>
                <w:rFonts w:ascii="宋体" w:hAnsi="宋体" w:cs="宋体" w:eastAsia="宋体" w:hint="default"/>
                <w:sz w:val="21"/>
                <w:szCs w:val="21"/>
              </w:rPr>
            </w:pPr>
            <w:r>
              <w:rPr>
                <w:rFonts w:ascii="宋体" w:hAnsi="宋体" w:cs="宋体" w:eastAsia="宋体" w:hint="default"/>
                <w:sz w:val="21"/>
                <w:szCs w:val="21"/>
              </w:rPr>
              <w:t>累计变</w:t>
            </w:r>
            <w:r>
              <w:rPr>
                <w:rFonts w:ascii="宋体" w:hAnsi="宋体" w:cs="宋体" w:eastAsia="宋体" w:hint="default"/>
                <w:spacing w:val="-102"/>
                <w:sz w:val="21"/>
                <w:szCs w:val="21"/>
              </w:rPr>
              <w:t> </w:t>
            </w:r>
            <w:r>
              <w:rPr>
                <w:rFonts w:ascii="宋体" w:hAnsi="宋体" w:cs="宋体" w:eastAsia="宋体" w:hint="default"/>
                <w:sz w:val="21"/>
                <w:szCs w:val="21"/>
              </w:rPr>
              <w:t>更用途</w:t>
            </w:r>
            <w:r>
              <w:rPr>
                <w:rFonts w:ascii="宋体" w:hAnsi="宋体" w:cs="宋体" w:eastAsia="宋体" w:hint="default"/>
                <w:spacing w:val="-102"/>
                <w:sz w:val="21"/>
                <w:szCs w:val="21"/>
              </w:rPr>
              <w:t> </w:t>
            </w:r>
            <w:r>
              <w:rPr>
                <w:rFonts w:ascii="宋体" w:hAnsi="宋体" w:cs="宋体" w:eastAsia="宋体" w:hint="default"/>
                <w:sz w:val="21"/>
                <w:szCs w:val="21"/>
              </w:rPr>
              <w:t>的募集</w:t>
            </w:r>
            <w:r>
              <w:rPr>
                <w:rFonts w:ascii="宋体" w:hAnsi="宋体" w:cs="宋体" w:eastAsia="宋体" w:hint="default"/>
                <w:spacing w:val="-102"/>
                <w:sz w:val="21"/>
                <w:szCs w:val="21"/>
              </w:rPr>
              <w:t> </w:t>
            </w:r>
            <w:r>
              <w:rPr>
                <w:rFonts w:ascii="宋体" w:hAnsi="宋体" w:cs="宋体" w:eastAsia="宋体" w:hint="default"/>
                <w:sz w:val="21"/>
                <w:szCs w:val="21"/>
              </w:rPr>
              <w:t>资金总</w:t>
            </w:r>
            <w:r>
              <w:rPr>
                <w:rFonts w:ascii="宋体" w:hAnsi="宋体" w:cs="宋体" w:eastAsia="宋体" w:hint="default"/>
                <w:spacing w:val="-102"/>
                <w:sz w:val="21"/>
                <w:szCs w:val="21"/>
              </w:rPr>
              <w:t> </w:t>
            </w:r>
            <w:r>
              <w:rPr>
                <w:rFonts w:ascii="宋体" w:hAnsi="宋体" w:cs="宋体" w:eastAsia="宋体" w:hint="default"/>
                <w:sz w:val="21"/>
                <w:szCs w:val="21"/>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15" w:right="108"/>
              <w:jc w:val="center"/>
              <w:rPr>
                <w:rFonts w:ascii="宋体" w:hAnsi="宋体" w:cs="宋体" w:eastAsia="宋体" w:hint="default"/>
                <w:sz w:val="21"/>
                <w:szCs w:val="21"/>
              </w:rPr>
            </w:pPr>
            <w:r>
              <w:rPr>
                <w:rFonts w:ascii="宋体" w:hAnsi="宋体" w:cs="宋体" w:eastAsia="宋体" w:hint="default"/>
                <w:sz w:val="21"/>
                <w:szCs w:val="21"/>
              </w:rPr>
              <w:t>尚未使</w:t>
            </w:r>
            <w:r>
              <w:rPr>
                <w:rFonts w:ascii="宋体" w:hAnsi="宋体" w:cs="宋体" w:eastAsia="宋体" w:hint="default"/>
                <w:w w:val="100"/>
                <w:sz w:val="21"/>
                <w:szCs w:val="21"/>
              </w:rPr>
              <w:t> </w:t>
            </w:r>
            <w:r>
              <w:rPr>
                <w:rFonts w:ascii="宋体" w:hAnsi="宋体" w:cs="宋体" w:eastAsia="宋体" w:hint="default"/>
                <w:sz w:val="21"/>
                <w:szCs w:val="21"/>
              </w:rPr>
              <w:t>用募集</w:t>
            </w:r>
            <w:r>
              <w:rPr>
                <w:rFonts w:ascii="宋体" w:hAnsi="宋体" w:cs="宋体" w:eastAsia="宋体" w:hint="default"/>
                <w:w w:val="100"/>
                <w:sz w:val="21"/>
                <w:szCs w:val="21"/>
              </w:rPr>
              <w:t> </w:t>
            </w:r>
            <w:r>
              <w:rPr>
                <w:rFonts w:ascii="宋体" w:hAnsi="宋体" w:cs="宋体" w:eastAsia="宋体" w:hint="default"/>
                <w:sz w:val="21"/>
                <w:szCs w:val="21"/>
              </w:rPr>
              <w:t>资金总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01" w:right="191"/>
              <w:jc w:val="center"/>
              <w:rPr>
                <w:rFonts w:ascii="宋体" w:hAnsi="宋体" w:cs="宋体" w:eastAsia="宋体" w:hint="default"/>
                <w:sz w:val="21"/>
                <w:szCs w:val="21"/>
              </w:rPr>
            </w:pPr>
            <w:r>
              <w:rPr>
                <w:rFonts w:ascii="宋体" w:hAnsi="宋体" w:cs="宋体" w:eastAsia="宋体" w:hint="default"/>
                <w:sz w:val="21"/>
                <w:szCs w:val="21"/>
              </w:rPr>
              <w:t>尚未使</w:t>
            </w:r>
            <w:r>
              <w:rPr>
                <w:rFonts w:ascii="宋体" w:hAnsi="宋体" w:cs="宋体" w:eastAsia="宋体" w:hint="default"/>
                <w:w w:val="100"/>
                <w:sz w:val="21"/>
                <w:szCs w:val="21"/>
              </w:rPr>
              <w:t> </w:t>
            </w:r>
            <w:r>
              <w:rPr>
                <w:rFonts w:ascii="宋体" w:hAnsi="宋体" w:cs="宋体" w:eastAsia="宋体" w:hint="default"/>
                <w:sz w:val="21"/>
                <w:szCs w:val="21"/>
              </w:rPr>
              <w:t>用募集</w:t>
            </w:r>
            <w:r>
              <w:rPr>
                <w:rFonts w:ascii="宋体" w:hAnsi="宋体" w:cs="宋体" w:eastAsia="宋体" w:hint="default"/>
                <w:w w:val="100"/>
                <w:sz w:val="21"/>
                <w:szCs w:val="21"/>
              </w:rPr>
              <w:t> </w:t>
            </w:r>
            <w:r>
              <w:rPr>
                <w:rFonts w:ascii="宋体" w:hAnsi="宋体" w:cs="宋体" w:eastAsia="宋体" w:hint="default"/>
                <w:sz w:val="21"/>
                <w:szCs w:val="21"/>
              </w:rPr>
              <w:t>资金用</w:t>
            </w:r>
            <w:r>
              <w:rPr>
                <w:rFonts w:ascii="宋体" w:hAnsi="宋体" w:cs="宋体" w:eastAsia="宋体" w:hint="default"/>
                <w:w w:val="100"/>
                <w:sz w:val="21"/>
                <w:szCs w:val="21"/>
              </w:rPr>
              <w:t> </w:t>
            </w:r>
            <w:r>
              <w:rPr>
                <w:rFonts w:ascii="宋体" w:hAnsi="宋体" w:cs="宋体" w:eastAsia="宋体" w:hint="default"/>
                <w:sz w:val="21"/>
                <w:szCs w:val="21"/>
              </w:rPr>
              <w:t>途及去</w:t>
            </w:r>
            <w:r>
              <w:rPr>
                <w:rFonts w:ascii="宋体" w:hAnsi="宋体" w:cs="宋体" w:eastAsia="宋体" w:hint="default"/>
                <w:w w:val="100"/>
                <w:sz w:val="21"/>
                <w:szCs w:val="21"/>
              </w:rPr>
              <w:t> </w:t>
            </w:r>
            <w:r>
              <w:rPr>
                <w:rFonts w:ascii="宋体" w:hAnsi="宋体" w:cs="宋体" w:eastAsia="宋体" w:hint="default"/>
                <w:sz w:val="21"/>
                <w:szCs w:val="21"/>
              </w:rPr>
              <w:t>向</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48" w:right="137"/>
              <w:jc w:val="both"/>
              <w:rPr>
                <w:rFonts w:ascii="宋体" w:hAnsi="宋体" w:cs="宋体" w:eastAsia="宋体" w:hint="default"/>
                <w:sz w:val="21"/>
                <w:szCs w:val="21"/>
              </w:rPr>
            </w:pPr>
            <w:r>
              <w:rPr>
                <w:rFonts w:ascii="宋体" w:hAnsi="宋体" w:cs="宋体" w:eastAsia="宋体" w:hint="default"/>
                <w:sz w:val="21"/>
                <w:szCs w:val="21"/>
              </w:rPr>
              <w:t>闲置两</w:t>
            </w:r>
            <w:r>
              <w:rPr>
                <w:rFonts w:ascii="宋体" w:hAnsi="宋体" w:cs="宋体" w:eastAsia="宋体" w:hint="default"/>
                <w:spacing w:val="-102"/>
                <w:sz w:val="21"/>
                <w:szCs w:val="21"/>
              </w:rPr>
              <w:t> </w:t>
            </w:r>
            <w:r>
              <w:rPr>
                <w:rFonts w:ascii="宋体" w:hAnsi="宋体" w:cs="宋体" w:eastAsia="宋体" w:hint="default"/>
                <w:sz w:val="21"/>
                <w:szCs w:val="21"/>
              </w:rPr>
              <w:t>年以上</w:t>
            </w:r>
            <w:r>
              <w:rPr>
                <w:rFonts w:ascii="宋体" w:hAnsi="宋体" w:cs="宋体" w:eastAsia="宋体" w:hint="default"/>
                <w:spacing w:val="-102"/>
                <w:sz w:val="21"/>
                <w:szCs w:val="21"/>
              </w:rPr>
              <w:t> </w:t>
            </w: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金金额</w:t>
            </w:r>
          </w:p>
        </w:tc>
      </w:tr>
      <w:tr>
        <w:trPr>
          <w:trHeight w:val="196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2016</w:t>
            </w:r>
          </w:p>
          <w:p>
            <w:pPr>
              <w:pStyle w:val="TableParagraph"/>
              <w:spacing w:line="240" w:lineRule="auto" w:before="22"/>
              <w:ind w:left="105"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105" w:right="113"/>
              <w:jc w:val="left"/>
              <w:rPr>
                <w:rFonts w:ascii="宋体" w:hAnsi="宋体" w:cs="宋体" w:eastAsia="宋体" w:hint="default"/>
                <w:sz w:val="21"/>
                <w:szCs w:val="21"/>
              </w:rPr>
            </w:pPr>
            <w:r>
              <w:rPr>
                <w:rFonts w:ascii="宋体" w:hAnsi="宋体" w:cs="宋体" w:eastAsia="宋体" w:hint="default"/>
                <w:sz w:val="21"/>
                <w:szCs w:val="21"/>
              </w:rPr>
              <w:t>非公开</w:t>
            </w:r>
            <w:r>
              <w:rPr>
                <w:rFonts w:ascii="宋体" w:hAnsi="宋体" w:cs="宋体" w:eastAsia="宋体" w:hint="default"/>
                <w:spacing w:val="-102"/>
                <w:sz w:val="21"/>
                <w:szCs w:val="21"/>
              </w:rPr>
              <w:t> </w:t>
            </w:r>
            <w:r>
              <w:rPr>
                <w:rFonts w:ascii="宋体" w:hAnsi="宋体" w:cs="宋体" w:eastAsia="宋体" w:hint="default"/>
                <w:sz w:val="21"/>
                <w:szCs w:val="21"/>
              </w:rPr>
              <w:t>募集</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103,11</w:t>
            </w:r>
          </w:p>
          <w:p>
            <w:pPr>
              <w:pStyle w:val="TableParagraph"/>
              <w:spacing w:line="240" w:lineRule="auto" w:before="71"/>
              <w:ind w:left="398" w:right="0"/>
              <w:jc w:val="left"/>
              <w:rPr>
                <w:rFonts w:ascii="Times New Roman" w:hAnsi="Times New Roman" w:cs="Times New Roman" w:eastAsia="Times New Roman" w:hint="default"/>
                <w:sz w:val="21"/>
                <w:szCs w:val="21"/>
              </w:rPr>
            </w:pPr>
            <w:r>
              <w:rPr>
                <w:rFonts w:ascii="Times New Roman"/>
                <w:sz w:val="21"/>
              </w:rPr>
              <w:t>4.52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4,277.5</w:t>
            </w:r>
          </w:p>
          <w:p>
            <w:pPr>
              <w:pStyle w:val="TableParagraph"/>
              <w:spacing w:line="240" w:lineRule="auto" w:before="71"/>
              <w:ind w:right="99"/>
              <w:jc w:val="right"/>
              <w:rPr>
                <w:rFonts w:ascii="Times New Roman" w:hAnsi="Times New Roman" w:cs="Times New Roman" w:eastAsia="Times New Roman" w:hint="default"/>
                <w:sz w:val="21"/>
                <w:szCs w:val="21"/>
              </w:rPr>
            </w:pPr>
            <w:r>
              <w:rPr>
                <w:rFonts w:ascii="Times New Roman"/>
                <w:w w:val="100"/>
                <w:sz w:val="21"/>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93,288.</w:t>
            </w:r>
          </w:p>
          <w:p>
            <w:pPr>
              <w:pStyle w:val="TableParagraph"/>
              <w:spacing w:line="240" w:lineRule="auto" w:before="71"/>
              <w:ind w:left="556" w:right="0"/>
              <w:jc w:val="left"/>
              <w:rPr>
                <w:rFonts w:ascii="Times New Roman" w:hAnsi="Times New Roman" w:cs="Times New Roman" w:eastAsia="Times New Roman" w:hint="default"/>
                <w:sz w:val="21"/>
                <w:szCs w:val="21"/>
              </w:rPr>
            </w:pPr>
            <w:r>
              <w:rPr>
                <w:rFonts w:ascii="Times New Roman"/>
                <w:spacing w:val="-10"/>
                <w:sz w:val="21"/>
              </w:rPr>
              <w:t>11</w:t>
            </w:r>
            <w:r>
              <w:rPr>
                <w:rFonts w:ascii="Times New Roman"/>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102,96</w:t>
            </w:r>
          </w:p>
          <w:p>
            <w:pPr>
              <w:pStyle w:val="TableParagraph"/>
              <w:spacing w:line="240" w:lineRule="auto" w:before="71"/>
              <w:ind w:left="388" w:right="0"/>
              <w:jc w:val="left"/>
              <w:rPr>
                <w:rFonts w:ascii="Times New Roman" w:hAnsi="Times New Roman" w:cs="Times New Roman" w:eastAsia="Times New Roman" w:hint="default"/>
                <w:sz w:val="21"/>
                <w:szCs w:val="21"/>
              </w:rPr>
            </w:pPr>
            <w:r>
              <w:rPr>
                <w:rFonts w:ascii="Times New Roman"/>
                <w:sz w:val="21"/>
              </w:rPr>
              <w:t>7.56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99.86%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35" w:right="0"/>
              <w:jc w:val="left"/>
              <w:rPr>
                <w:rFonts w:ascii="Times New Roman" w:hAnsi="Times New Roman" w:cs="Times New Roman" w:eastAsia="Times New Roman" w:hint="default"/>
                <w:sz w:val="21"/>
                <w:szCs w:val="21"/>
              </w:rPr>
            </w:pPr>
            <w:r>
              <w:rPr>
                <w:rFonts w:ascii="Times New Roman"/>
                <w:sz w:val="21"/>
              </w:rPr>
              <w:t>11,600.</w:t>
            </w:r>
          </w:p>
          <w:p>
            <w:pPr>
              <w:pStyle w:val="TableParagraph"/>
              <w:spacing w:line="240" w:lineRule="auto" w:before="71"/>
              <w:ind w:left="547" w:right="0"/>
              <w:jc w:val="left"/>
              <w:rPr>
                <w:rFonts w:ascii="Times New Roman" w:hAnsi="Times New Roman" w:cs="Times New Roman" w:eastAsia="Times New Roman" w:hint="default"/>
                <w:sz w:val="21"/>
                <w:szCs w:val="21"/>
              </w:rPr>
            </w:pPr>
            <w:r>
              <w:rPr>
                <w:rFonts w:ascii="Times New Roman"/>
                <w:sz w:val="21"/>
              </w:rPr>
              <w:t>72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3"/>
              <w:ind w:left="105" w:right="190"/>
              <w:jc w:val="both"/>
              <w:rPr>
                <w:rFonts w:ascii="宋体" w:hAnsi="宋体" w:cs="宋体" w:eastAsia="宋体" w:hint="default"/>
                <w:sz w:val="21"/>
                <w:szCs w:val="21"/>
              </w:rPr>
            </w:pPr>
            <w:r>
              <w:rPr>
                <w:rFonts w:ascii="宋体" w:hAnsi="宋体" w:cs="宋体" w:eastAsia="宋体" w:hint="default"/>
                <w:sz w:val="21"/>
                <w:szCs w:val="21"/>
              </w:rPr>
              <w:t>存放于</w:t>
            </w:r>
            <w:r>
              <w:rPr>
                <w:rFonts w:ascii="宋体" w:hAnsi="宋体" w:cs="宋体" w:eastAsia="宋体" w:hint="default"/>
                <w:spacing w:val="-102"/>
                <w:sz w:val="21"/>
                <w:szCs w:val="21"/>
              </w:rPr>
              <w:t> </w:t>
            </w:r>
            <w:r>
              <w:rPr>
                <w:rFonts w:ascii="宋体" w:hAnsi="宋体" w:cs="宋体" w:eastAsia="宋体" w:hint="default"/>
                <w:sz w:val="21"/>
                <w:szCs w:val="21"/>
              </w:rPr>
              <w:t>募集资</w:t>
            </w:r>
            <w:r>
              <w:rPr>
                <w:rFonts w:ascii="宋体" w:hAnsi="宋体" w:cs="宋体" w:eastAsia="宋体" w:hint="default"/>
                <w:spacing w:val="-102"/>
                <w:sz w:val="21"/>
                <w:szCs w:val="21"/>
              </w:rPr>
              <w:t> </w:t>
            </w:r>
            <w:r>
              <w:rPr>
                <w:rFonts w:ascii="宋体" w:hAnsi="宋体" w:cs="宋体" w:eastAsia="宋体" w:hint="default"/>
                <w:sz w:val="21"/>
                <w:szCs w:val="21"/>
              </w:rPr>
              <w:t>金专户</w:t>
            </w:r>
            <w:r>
              <w:rPr>
                <w:rFonts w:ascii="宋体" w:hAnsi="宋体" w:cs="宋体" w:eastAsia="宋体" w:hint="default"/>
                <w:spacing w:val="-102"/>
                <w:sz w:val="21"/>
                <w:szCs w:val="21"/>
              </w:rPr>
              <w:t> </w:t>
            </w:r>
            <w:r>
              <w:rPr>
                <w:rFonts w:ascii="宋体" w:hAnsi="宋体" w:cs="宋体" w:eastAsia="宋体" w:hint="default"/>
                <w:sz w:val="21"/>
                <w:szCs w:val="21"/>
              </w:rPr>
              <w:t>余额为</w:t>
            </w:r>
          </w:p>
          <w:p>
            <w:pPr>
              <w:pStyle w:val="TableParagraph"/>
              <w:spacing w:line="240" w:lineRule="auto" w:before="59"/>
              <w:ind w:left="105" w:right="0"/>
              <w:jc w:val="both"/>
              <w:rPr>
                <w:rFonts w:ascii="Times New Roman" w:hAnsi="Times New Roman" w:cs="Times New Roman" w:eastAsia="Times New Roman" w:hint="default"/>
                <w:sz w:val="21"/>
                <w:szCs w:val="21"/>
              </w:rPr>
            </w:pPr>
            <w:r>
              <w:rPr>
                <w:rFonts w:ascii="Times New Roman"/>
                <w:sz w:val="21"/>
              </w:rPr>
              <w:t>116,007,</w:t>
            </w:r>
          </w:p>
          <w:p>
            <w:pPr>
              <w:pStyle w:val="TableParagraph"/>
              <w:spacing w:line="240" w:lineRule="auto" w:before="26"/>
              <w:ind w:left="105"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248.14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元</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864"/>
        <w:gridCol w:w="864"/>
        <w:gridCol w:w="879"/>
        <w:gridCol w:w="869"/>
        <w:gridCol w:w="869"/>
        <w:gridCol w:w="869"/>
        <w:gridCol w:w="874"/>
        <w:gridCol w:w="869"/>
        <w:gridCol w:w="869"/>
        <w:gridCol w:w="1037"/>
        <w:gridCol w:w="932"/>
      </w:tblGrid>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6" w:right="0"/>
              <w:jc w:val="left"/>
              <w:rPr>
                <w:rFonts w:ascii="Times New Roman" w:hAnsi="Times New Roman" w:cs="Times New Roman" w:eastAsia="Times New Roman" w:hint="default"/>
                <w:sz w:val="21"/>
                <w:szCs w:val="21"/>
              </w:rPr>
            </w:pPr>
            <w:r>
              <w:rPr>
                <w:rFonts w:ascii="Times New Roman"/>
                <w:sz w:val="21"/>
              </w:rPr>
              <w:t>103,11</w:t>
            </w:r>
          </w:p>
          <w:p>
            <w:pPr>
              <w:pStyle w:val="TableParagraph"/>
              <w:spacing w:line="240" w:lineRule="auto" w:before="70"/>
              <w:ind w:left="398" w:right="0"/>
              <w:jc w:val="left"/>
              <w:rPr>
                <w:rFonts w:ascii="Times New Roman" w:hAnsi="Times New Roman" w:cs="Times New Roman" w:eastAsia="Times New Roman" w:hint="default"/>
                <w:sz w:val="21"/>
                <w:szCs w:val="21"/>
              </w:rPr>
            </w:pPr>
            <w:r>
              <w:rPr>
                <w:rFonts w:ascii="Times New Roman"/>
                <w:sz w:val="21"/>
              </w:rPr>
              <w:t>4.52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4,277.5</w:t>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w w:val="100"/>
                <w:sz w:val="21"/>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9" w:right="0"/>
              <w:jc w:val="left"/>
              <w:rPr>
                <w:rFonts w:ascii="Times New Roman" w:hAnsi="Times New Roman" w:cs="Times New Roman" w:eastAsia="Times New Roman" w:hint="default"/>
                <w:sz w:val="21"/>
                <w:szCs w:val="21"/>
              </w:rPr>
            </w:pPr>
            <w:r>
              <w:rPr>
                <w:rFonts w:ascii="Times New Roman"/>
                <w:sz w:val="21"/>
              </w:rPr>
              <w:t>93,288.</w:t>
            </w:r>
          </w:p>
          <w:p>
            <w:pPr>
              <w:pStyle w:val="TableParagraph"/>
              <w:spacing w:line="240" w:lineRule="auto" w:before="70"/>
              <w:ind w:left="556" w:right="0"/>
              <w:jc w:val="left"/>
              <w:rPr>
                <w:rFonts w:ascii="Times New Roman" w:hAnsi="Times New Roman" w:cs="Times New Roman" w:eastAsia="Times New Roman" w:hint="default"/>
                <w:sz w:val="21"/>
                <w:szCs w:val="21"/>
              </w:rPr>
            </w:pPr>
            <w:r>
              <w:rPr>
                <w:rFonts w:ascii="Times New Roman"/>
                <w:spacing w:val="-10"/>
                <w:sz w:val="21"/>
              </w:rPr>
              <w:t>11</w:t>
            </w:r>
            <w:r>
              <w:rPr>
                <w:rFonts w:ascii="Times New Roman"/>
                <w:sz w:val="21"/>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Times New Roman" w:hAnsi="Times New Roman" w:cs="Times New Roman" w:eastAsia="Times New Roman" w:hint="default"/>
                <w:sz w:val="21"/>
                <w:szCs w:val="21"/>
              </w:rPr>
            </w:pPr>
            <w:r>
              <w:rPr>
                <w:rFonts w:ascii="Times New Roman"/>
                <w:sz w:val="21"/>
              </w:rPr>
              <w:t>102,96</w:t>
            </w:r>
          </w:p>
          <w:p>
            <w:pPr>
              <w:pStyle w:val="TableParagraph"/>
              <w:spacing w:line="240" w:lineRule="auto" w:before="70"/>
              <w:ind w:left="388" w:right="0"/>
              <w:jc w:val="left"/>
              <w:rPr>
                <w:rFonts w:ascii="Times New Roman" w:hAnsi="Times New Roman" w:cs="Times New Roman" w:eastAsia="Times New Roman" w:hint="default"/>
                <w:sz w:val="21"/>
                <w:szCs w:val="21"/>
              </w:rPr>
            </w:pPr>
            <w:r>
              <w:rPr>
                <w:rFonts w:ascii="Times New Roman"/>
                <w:sz w:val="21"/>
              </w:rPr>
              <w:t>7.56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99.86%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5" w:right="0"/>
              <w:jc w:val="left"/>
              <w:rPr>
                <w:rFonts w:ascii="Times New Roman" w:hAnsi="Times New Roman" w:cs="Times New Roman" w:eastAsia="Times New Roman" w:hint="default"/>
                <w:sz w:val="21"/>
                <w:szCs w:val="21"/>
              </w:rPr>
            </w:pPr>
            <w:r>
              <w:rPr>
                <w:rFonts w:ascii="Times New Roman"/>
                <w:sz w:val="21"/>
              </w:rPr>
              <w:t>11,600.</w:t>
            </w:r>
          </w:p>
          <w:p>
            <w:pPr>
              <w:pStyle w:val="TableParagraph"/>
              <w:spacing w:line="240" w:lineRule="auto" w:before="70"/>
              <w:ind w:left="547" w:right="0"/>
              <w:jc w:val="left"/>
              <w:rPr>
                <w:rFonts w:ascii="Times New Roman" w:hAnsi="Times New Roman" w:cs="Times New Roman" w:eastAsia="Times New Roman" w:hint="default"/>
                <w:sz w:val="21"/>
                <w:szCs w:val="21"/>
              </w:rPr>
            </w:pPr>
            <w:r>
              <w:rPr>
                <w:rFonts w:ascii="Times New Roman"/>
                <w:sz w:val="21"/>
              </w:rPr>
              <w:t>72</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99" w:hRule="exact"/>
        </w:trPr>
        <w:tc>
          <w:tcPr>
            <w:tcW w:w="979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1339" w:hRule="exact"/>
        </w:trPr>
        <w:tc>
          <w:tcPr>
            <w:tcW w:w="97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截至</w:t>
            </w:r>
            <w:r>
              <w:rPr>
                <w:rFonts w:ascii="宋体" w:hAnsi="宋体" w:cs="宋体" w:eastAsia="宋体" w:hint="default"/>
                <w:spacing w:val="-67"/>
                <w:sz w:val="21"/>
                <w:szCs w:val="21"/>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14"/>
                <w:sz w:val="21"/>
                <w:szCs w:val="21"/>
              </w:rPr>
              <w:t> </w:t>
            </w:r>
            <w:r>
              <w:rPr>
                <w:rFonts w:ascii="宋体" w:hAnsi="宋体" w:cs="宋体" w:eastAsia="宋体" w:hint="default"/>
                <w:w w:val="100"/>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w w:val="100"/>
                <w:sz w:val="21"/>
                <w:szCs w:val="21"/>
              </w:rPr>
              <w:t>月</w:t>
            </w:r>
            <w:r>
              <w:rPr>
                <w:rFonts w:ascii="宋体" w:hAnsi="宋体" w:cs="宋体" w:eastAsia="宋体" w:hint="default"/>
                <w:spacing w:val="-67"/>
                <w:sz w:val="21"/>
                <w:szCs w:val="21"/>
              </w:rPr>
              <w:t> </w:t>
            </w:r>
            <w:r>
              <w:rPr>
                <w:rFonts w:ascii="Times New Roman" w:hAnsi="Times New Roman" w:cs="Times New Roman" w:eastAsia="Times New Roman" w:hint="default"/>
                <w:w w:val="100"/>
                <w:sz w:val="21"/>
                <w:szCs w:val="21"/>
              </w:rPr>
              <w:t>31</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日止</w:t>
            </w:r>
            <w:r>
              <w:rPr>
                <w:rFonts w:ascii="宋体" w:hAnsi="宋体" w:cs="宋体" w:eastAsia="宋体" w:hint="default"/>
                <w:spacing w:val="-106"/>
                <w:w w:val="100"/>
                <w:sz w:val="21"/>
                <w:szCs w:val="21"/>
              </w:rPr>
              <w:t>，</w:t>
            </w:r>
            <w:r>
              <w:rPr>
                <w:rFonts w:ascii="宋体" w:hAnsi="宋体" w:cs="宋体" w:eastAsia="宋体" w:hint="default"/>
                <w:w w:val="100"/>
                <w:sz w:val="21"/>
                <w:szCs w:val="21"/>
              </w:rPr>
              <w:t>尚</w:t>
            </w:r>
            <w:r>
              <w:rPr>
                <w:rFonts w:ascii="宋体" w:hAnsi="宋体" w:cs="宋体" w:eastAsia="宋体" w:hint="default"/>
                <w:spacing w:val="-5"/>
                <w:w w:val="100"/>
                <w:sz w:val="21"/>
                <w:szCs w:val="21"/>
              </w:rPr>
              <w:t>未</w:t>
            </w:r>
            <w:r>
              <w:rPr>
                <w:rFonts w:ascii="宋体" w:hAnsi="宋体" w:cs="宋体" w:eastAsia="宋体" w:hint="default"/>
                <w:w w:val="100"/>
                <w:sz w:val="21"/>
                <w:szCs w:val="21"/>
              </w:rPr>
              <w:t>使用募</w:t>
            </w:r>
            <w:r>
              <w:rPr>
                <w:rFonts w:ascii="宋体" w:hAnsi="宋体" w:cs="宋体" w:eastAsia="宋体" w:hint="default"/>
                <w:spacing w:val="-5"/>
                <w:w w:val="100"/>
                <w:sz w:val="21"/>
                <w:szCs w:val="21"/>
              </w:rPr>
              <w:t>集</w:t>
            </w:r>
            <w:r>
              <w:rPr>
                <w:rFonts w:ascii="宋体" w:hAnsi="宋体" w:cs="宋体" w:eastAsia="宋体" w:hint="default"/>
                <w:w w:val="100"/>
                <w:sz w:val="21"/>
                <w:szCs w:val="21"/>
              </w:rPr>
              <w:t>资金</w:t>
            </w:r>
            <w:r>
              <w:rPr>
                <w:rFonts w:ascii="宋体" w:hAnsi="宋体" w:cs="宋体" w:eastAsia="宋体" w:hint="default"/>
                <w:spacing w:val="-5"/>
                <w:w w:val="100"/>
                <w:sz w:val="21"/>
                <w:szCs w:val="21"/>
              </w:rPr>
              <w:t>金</w:t>
            </w:r>
            <w:r>
              <w:rPr>
                <w:rFonts w:ascii="宋体" w:hAnsi="宋体" w:cs="宋体" w:eastAsia="宋体" w:hint="default"/>
                <w:w w:val="100"/>
                <w:sz w:val="21"/>
                <w:szCs w:val="21"/>
              </w:rPr>
              <w:t>额为</w:t>
            </w:r>
            <w:r>
              <w:rPr>
                <w:rFonts w:ascii="宋体" w:hAnsi="宋体" w:cs="宋体" w:eastAsia="宋体" w:hint="default"/>
                <w:spacing w:val="-66"/>
                <w:sz w:val="21"/>
                <w:szCs w:val="21"/>
              </w:rPr>
              <w:t> </w:t>
            </w:r>
            <w:r>
              <w:rPr>
                <w:rFonts w:ascii="Times New Roman" w:hAnsi="Times New Roman" w:cs="Times New Roman" w:eastAsia="Times New Roman" w:hint="default"/>
                <w:spacing w:val="-5"/>
                <w:w w:val="100"/>
                <w:sz w:val="21"/>
                <w:szCs w:val="21"/>
              </w:rPr>
              <w:t>9</w:t>
            </w:r>
            <w:r>
              <w:rPr>
                <w:rFonts w:ascii="Times New Roman" w:hAnsi="Times New Roman" w:cs="Times New Roman" w:eastAsia="Times New Roman" w:hint="default"/>
                <w:w w:val="100"/>
                <w:sz w:val="21"/>
                <w:szCs w:val="21"/>
              </w:rPr>
              <w:t>8,264,078.35</w:t>
            </w:r>
            <w:r>
              <w:rPr>
                <w:rFonts w:ascii="Times New Roman" w:hAnsi="Times New Roman" w:cs="Times New Roman" w:eastAsia="Times New Roman" w:hint="default"/>
                <w:spacing w:val="-19"/>
                <w:sz w:val="21"/>
                <w:szCs w:val="21"/>
              </w:rPr>
              <w:t> </w:t>
            </w:r>
            <w:r>
              <w:rPr>
                <w:rFonts w:ascii="宋体" w:hAnsi="宋体" w:cs="宋体" w:eastAsia="宋体" w:hint="default"/>
                <w:w w:val="100"/>
                <w:sz w:val="21"/>
                <w:szCs w:val="21"/>
              </w:rPr>
              <w:t>元</w:t>
            </w:r>
            <w:r>
              <w:rPr>
                <w:rFonts w:ascii="宋体" w:hAnsi="宋体" w:cs="宋体" w:eastAsia="宋体" w:hint="default"/>
                <w:spacing w:val="-106"/>
                <w:w w:val="100"/>
                <w:sz w:val="21"/>
                <w:szCs w:val="21"/>
              </w:rPr>
              <w:t>，</w:t>
            </w:r>
            <w:r>
              <w:rPr>
                <w:rFonts w:ascii="宋体" w:hAnsi="宋体" w:cs="宋体" w:eastAsia="宋体" w:hint="default"/>
                <w:w w:val="100"/>
                <w:sz w:val="21"/>
                <w:szCs w:val="21"/>
              </w:rPr>
              <w:t>募</w:t>
            </w:r>
            <w:r>
              <w:rPr>
                <w:rFonts w:ascii="宋体" w:hAnsi="宋体" w:cs="宋体" w:eastAsia="宋体" w:hint="default"/>
                <w:spacing w:val="-5"/>
                <w:w w:val="100"/>
                <w:sz w:val="21"/>
                <w:szCs w:val="21"/>
              </w:rPr>
              <w:t>集</w:t>
            </w:r>
            <w:r>
              <w:rPr>
                <w:rFonts w:ascii="宋体" w:hAnsi="宋体" w:cs="宋体" w:eastAsia="宋体" w:hint="default"/>
                <w:w w:val="100"/>
                <w:sz w:val="21"/>
                <w:szCs w:val="21"/>
              </w:rPr>
              <w:t>资金专</w:t>
            </w:r>
            <w:r>
              <w:rPr>
                <w:rFonts w:ascii="宋体" w:hAnsi="宋体" w:cs="宋体" w:eastAsia="宋体" w:hint="default"/>
                <w:spacing w:val="-5"/>
                <w:w w:val="100"/>
                <w:sz w:val="21"/>
                <w:szCs w:val="21"/>
              </w:rPr>
              <w:t>户</w:t>
            </w:r>
            <w:r>
              <w:rPr>
                <w:rFonts w:ascii="宋体" w:hAnsi="宋体" w:cs="宋体" w:eastAsia="宋体" w:hint="default"/>
                <w:w w:val="100"/>
                <w:sz w:val="21"/>
                <w:szCs w:val="21"/>
              </w:rPr>
              <w:t>余额为</w:t>
            </w:r>
            <w:r>
              <w:rPr>
                <w:rFonts w:ascii="宋体" w:hAnsi="宋体" w:cs="宋体" w:eastAsia="宋体" w:hint="default"/>
                <w:spacing w:val="-66"/>
                <w:sz w:val="21"/>
                <w:szCs w:val="21"/>
              </w:rPr>
              <w:t> </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16,0</w:t>
            </w:r>
            <w:r>
              <w:rPr>
                <w:rFonts w:ascii="Times New Roman" w:hAnsi="Times New Roman" w:cs="Times New Roman" w:eastAsia="Times New Roman" w:hint="default"/>
                <w:spacing w:val="-5"/>
                <w:w w:val="100"/>
                <w:sz w:val="21"/>
                <w:szCs w:val="21"/>
              </w:rPr>
              <w:t>0</w:t>
            </w:r>
            <w:r>
              <w:rPr>
                <w:rFonts w:ascii="Times New Roman" w:hAnsi="Times New Roman" w:cs="Times New Roman" w:eastAsia="Times New Roman" w:hint="default"/>
                <w:w w:val="100"/>
                <w:sz w:val="21"/>
                <w:szCs w:val="21"/>
              </w:rPr>
              <w:t>7,248.14</w:t>
            </w:r>
          </w:p>
          <w:p>
            <w:pPr>
              <w:pStyle w:val="TableParagraph"/>
              <w:spacing w:line="240" w:lineRule="auto" w:before="16"/>
              <w:ind w:left="105" w:right="0"/>
              <w:jc w:val="left"/>
              <w:rPr>
                <w:rFonts w:ascii="宋体" w:hAnsi="宋体" w:cs="宋体" w:eastAsia="宋体" w:hint="default"/>
                <w:sz w:val="21"/>
                <w:szCs w:val="21"/>
              </w:rPr>
            </w:pPr>
            <w:r>
              <w:rPr>
                <w:rFonts w:ascii="宋体" w:hAnsi="宋体" w:cs="宋体" w:eastAsia="宋体" w:hint="default"/>
                <w:sz w:val="21"/>
                <w:szCs w:val="21"/>
              </w:rPr>
              <w:t>元，与尚未使用募集资金余额的差异</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17,743,169.79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元，其中：差异</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18,670,150.92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元系募集资金专户累计</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利息收入扣除手续费后的净额，差异 </w:t>
            </w:r>
            <w:r>
              <w:rPr>
                <w:rFonts w:ascii="Times New Roman" w:hAnsi="Times New Roman" w:cs="Times New Roman" w:eastAsia="Times New Roman" w:hint="default"/>
                <w:sz w:val="21"/>
                <w:szCs w:val="21"/>
              </w:rPr>
              <w:t>200,000.00  </w:t>
            </w:r>
            <w:r>
              <w:rPr>
                <w:rFonts w:ascii="宋体" w:hAnsi="宋体" w:cs="宋体" w:eastAsia="宋体" w:hint="default"/>
                <w:sz w:val="21"/>
                <w:szCs w:val="21"/>
              </w:rPr>
              <w:t>元系企业非募集资金户支付的发行费用未置换，差异</w:t>
            </w:r>
          </w:p>
          <w:p>
            <w:pPr>
              <w:pStyle w:val="TableParagraph"/>
              <w:spacing w:line="240" w:lineRule="auto" w:before="2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-1,126,981.13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元系发行费用对应的增值税进项税。</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6"/>
        <w:rPr>
          <w:rFonts w:ascii="宋体" w:hAnsi="宋体" w:cs="宋体" w:eastAsia="宋体" w:hint="default"/>
          <w:b/>
          <w:bCs/>
          <w:sz w:val="23"/>
          <w:szCs w:val="23"/>
        </w:rPr>
      </w:pPr>
    </w:p>
    <w:p>
      <w:pPr>
        <w:spacing w:before="46"/>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772"/>
        <w:gridCol w:w="778"/>
        <w:gridCol w:w="783"/>
        <w:gridCol w:w="778"/>
        <w:gridCol w:w="778"/>
        <w:gridCol w:w="782"/>
        <w:gridCol w:w="778"/>
        <w:gridCol w:w="932"/>
        <w:gridCol w:w="826"/>
        <w:gridCol w:w="778"/>
        <w:gridCol w:w="994"/>
      </w:tblGrid>
      <w:tr>
        <w:trPr>
          <w:trHeight w:val="1964"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6" w:lineRule="auto"/>
              <w:ind w:left="254" w:right="137" w:hanging="106"/>
              <w:jc w:val="left"/>
              <w:rPr>
                <w:rFonts w:ascii="宋体" w:hAnsi="宋体" w:cs="宋体" w:eastAsia="宋体" w:hint="default"/>
                <w:sz w:val="21"/>
                <w:szCs w:val="21"/>
              </w:rPr>
            </w:pPr>
            <w:r>
              <w:rPr>
                <w:rFonts w:ascii="宋体" w:hAnsi="宋体" w:cs="宋体" w:eastAsia="宋体" w:hint="default"/>
                <w:sz w:val="21"/>
                <w:szCs w:val="21"/>
              </w:rPr>
              <w:t>承诺投资项目和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超募资金投向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34" w:right="137" w:firstLine="38"/>
              <w:jc w:val="both"/>
              <w:rPr>
                <w:rFonts w:ascii="Times New Roman" w:hAnsi="Times New Roman" w:cs="Times New Roman" w:eastAsia="Times New Roman" w:hint="default"/>
                <w:sz w:val="21"/>
                <w:szCs w:val="21"/>
              </w:rPr>
            </w:pPr>
            <w:r>
              <w:rPr>
                <w:rFonts w:ascii="宋体" w:hAnsi="宋体" w:cs="宋体" w:eastAsia="宋体" w:hint="default"/>
                <w:sz w:val="21"/>
                <w:szCs w:val="21"/>
              </w:rPr>
              <w:t>是否</w:t>
            </w:r>
            <w:r>
              <w:rPr>
                <w:rFonts w:ascii="宋体" w:hAnsi="宋体" w:cs="宋体" w:eastAsia="宋体" w:hint="default"/>
                <w:w w:val="100"/>
                <w:sz w:val="21"/>
                <w:szCs w:val="21"/>
              </w:rPr>
              <w:t> </w:t>
            </w:r>
            <w:r>
              <w:rPr>
                <w:rFonts w:ascii="宋体" w:hAnsi="宋体" w:cs="宋体" w:eastAsia="宋体" w:hint="default"/>
                <w:sz w:val="21"/>
                <w:szCs w:val="21"/>
              </w:rPr>
              <w:t>已变</w:t>
            </w:r>
            <w:r>
              <w:rPr>
                <w:rFonts w:ascii="宋体" w:hAnsi="宋体" w:cs="宋体" w:eastAsia="宋体" w:hint="default"/>
                <w:spacing w:val="-103"/>
                <w:sz w:val="21"/>
                <w:szCs w:val="21"/>
              </w:rPr>
              <w:t> </w:t>
            </w:r>
            <w:r>
              <w:rPr>
                <w:rFonts w:ascii="宋体" w:hAnsi="宋体" w:cs="宋体" w:eastAsia="宋体" w:hint="default"/>
                <w:sz w:val="21"/>
                <w:szCs w:val="21"/>
              </w:rPr>
              <w:t>更项</w:t>
            </w:r>
            <w:r>
              <w:rPr>
                <w:rFonts w:ascii="宋体" w:hAnsi="宋体" w:cs="宋体" w:eastAsia="宋体" w:hint="default"/>
                <w:spacing w:val="-103"/>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102"/>
                <w:sz w:val="21"/>
                <w:szCs w:val="21"/>
              </w:rPr>
              <w:t> </w:t>
            </w:r>
            <w:r>
              <w:rPr>
                <w:rFonts w:ascii="宋体" w:hAnsi="宋体" w:cs="宋体" w:eastAsia="宋体" w:hint="default"/>
                <w:sz w:val="21"/>
                <w:szCs w:val="21"/>
              </w:rPr>
              <w:t>部分</w:t>
            </w:r>
            <w:r>
              <w:rPr>
                <w:rFonts w:ascii="宋体" w:hAnsi="宋体" w:cs="宋体" w:eastAsia="宋体" w:hint="default"/>
                <w:spacing w:val="-103"/>
                <w:sz w:val="21"/>
                <w:szCs w:val="21"/>
              </w:rPr>
              <w:t> </w:t>
            </w:r>
            <w:r>
              <w:rPr>
                <w:rFonts w:ascii="宋体" w:hAnsi="宋体" w:cs="宋体" w:eastAsia="宋体" w:hint="default"/>
                <w:sz w:val="21"/>
                <w:szCs w:val="21"/>
              </w:rPr>
              <w:t>变更</w:t>
            </w:r>
            <w:r>
              <w:rPr>
                <w:rFonts w:ascii="Times New Roman" w:hAnsi="Times New Roman" w:cs="Times New Roman" w:eastAsia="Times New Roman" w:hint="default"/>
                <w:sz w:val="21"/>
                <w:szCs w:val="21"/>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77" w:right="171"/>
              <w:jc w:val="both"/>
              <w:rPr>
                <w:rFonts w:ascii="宋体" w:hAnsi="宋体" w:cs="宋体" w:eastAsia="宋体" w:hint="default"/>
                <w:sz w:val="21"/>
                <w:szCs w:val="21"/>
              </w:rPr>
            </w:pP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承诺</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总额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153" w:right="153" w:firstLine="19"/>
              <w:jc w:val="both"/>
              <w:rPr>
                <w:rFonts w:ascii="Times New Roman" w:hAnsi="Times New Roman" w:cs="Times New Roman" w:eastAsia="Times New Roman" w:hint="default"/>
                <w:sz w:val="21"/>
                <w:szCs w:val="21"/>
              </w:rPr>
            </w:pPr>
            <w:r>
              <w:rPr>
                <w:rFonts w:ascii="宋体" w:hAnsi="宋体" w:cs="宋体" w:eastAsia="宋体" w:hint="default"/>
                <w:sz w:val="21"/>
                <w:szCs w:val="21"/>
              </w:rPr>
              <w:t>调整</w:t>
            </w:r>
            <w:r>
              <w:rPr>
                <w:rFonts w:ascii="宋体" w:hAnsi="宋体" w:cs="宋体" w:eastAsia="宋体" w:hint="default"/>
                <w:w w:val="100"/>
                <w:sz w:val="21"/>
                <w:szCs w:val="21"/>
              </w:rPr>
              <w:t> </w:t>
            </w:r>
            <w:r>
              <w:rPr>
                <w:rFonts w:ascii="宋体" w:hAnsi="宋体" w:cs="宋体" w:eastAsia="宋体" w:hint="default"/>
                <w:sz w:val="21"/>
                <w:szCs w:val="21"/>
              </w:rPr>
              <w:t>后投</w:t>
            </w:r>
            <w:r>
              <w:rPr>
                <w:rFonts w:ascii="宋体" w:hAnsi="宋体" w:cs="宋体" w:eastAsia="宋体" w:hint="default"/>
                <w:spacing w:val="-103"/>
                <w:sz w:val="21"/>
                <w:szCs w:val="21"/>
              </w:rPr>
              <w:t> </w:t>
            </w:r>
            <w:r>
              <w:rPr>
                <w:rFonts w:ascii="宋体" w:hAnsi="宋体" w:cs="宋体" w:eastAsia="宋体" w:hint="default"/>
                <w:sz w:val="21"/>
                <w:szCs w:val="21"/>
              </w:rPr>
              <w:t>资总</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177" w:right="166"/>
              <w:jc w:val="both"/>
              <w:rPr>
                <w:rFonts w:ascii="宋体" w:hAnsi="宋体" w:cs="宋体" w:eastAsia="宋体" w:hint="default"/>
                <w:sz w:val="21"/>
                <w:szCs w:val="21"/>
              </w:rPr>
            </w:pPr>
            <w:r>
              <w:rPr>
                <w:rFonts w:ascii="宋体" w:hAnsi="宋体" w:cs="宋体" w:eastAsia="宋体" w:hint="default"/>
                <w:sz w:val="21"/>
                <w:szCs w:val="21"/>
              </w:rPr>
              <w:t>本报</w:t>
            </w:r>
            <w:r>
              <w:rPr>
                <w:rFonts w:ascii="宋体" w:hAnsi="宋体" w:cs="宋体" w:eastAsia="宋体" w:hint="default"/>
                <w:spacing w:val="-103"/>
                <w:sz w:val="21"/>
                <w:szCs w:val="21"/>
              </w:rPr>
              <w:t> </w:t>
            </w:r>
            <w:r>
              <w:rPr>
                <w:rFonts w:ascii="宋体" w:hAnsi="宋体" w:cs="宋体" w:eastAsia="宋体" w:hint="default"/>
                <w:sz w:val="21"/>
                <w:szCs w:val="21"/>
              </w:rPr>
              <w:t>告期</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77" w:right="170"/>
              <w:jc w:val="both"/>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金额</w:t>
            </w:r>
          </w:p>
          <w:p>
            <w:pPr>
              <w:pStyle w:val="TableParagraph"/>
              <w:spacing w:line="240" w:lineRule="auto" w:before="62"/>
              <w:ind w:left="2" w:right="0"/>
              <w:jc w:val="center"/>
              <w:rPr>
                <w:rFonts w:ascii="Times New Roman" w:hAnsi="Times New Roman" w:cs="Times New Roman" w:eastAsia="Times New Roman" w:hint="default"/>
                <w:sz w:val="21"/>
                <w:szCs w:val="21"/>
              </w:rPr>
            </w:pPr>
            <w:r>
              <w:rPr>
                <w:rFonts w:ascii="Times New Roman"/>
                <w:sz w:val="21"/>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28"/>
              <w:ind w:left="110" w:right="106" w:firstLine="67"/>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w:t>
            </w:r>
            <w:r>
              <w:rPr>
                <w:rFonts w:ascii="宋体" w:hAnsi="宋体" w:cs="宋体" w:eastAsia="宋体" w:hint="default"/>
                <w:w w:val="100"/>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进度</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101"/>
                <w:sz w:val="21"/>
                <w:szCs w:val="21"/>
              </w:rPr>
              <w:t> </w:t>
            </w:r>
            <w:r>
              <w:rPr>
                <w:rFonts w:ascii="Times New Roman" w:hAnsi="Times New Roman" w:cs="Times New Roman" w:eastAsia="Times New Roman" w:hint="default"/>
                <w:sz w:val="21"/>
                <w:szCs w:val="21"/>
              </w:rPr>
              <w:t>(2)/(1)</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48" w:right="137"/>
              <w:jc w:val="center"/>
              <w:rPr>
                <w:rFonts w:ascii="宋体" w:hAnsi="宋体" w:cs="宋体" w:eastAsia="宋体" w:hint="default"/>
                <w:sz w:val="21"/>
                <w:szCs w:val="21"/>
              </w:rPr>
            </w:pPr>
            <w:r>
              <w:rPr>
                <w:rFonts w:ascii="宋体" w:hAnsi="宋体" w:cs="宋体" w:eastAsia="宋体" w:hint="default"/>
                <w:sz w:val="21"/>
                <w:szCs w:val="21"/>
              </w:rPr>
              <w:t>项目达</w:t>
            </w:r>
            <w:r>
              <w:rPr>
                <w:rFonts w:ascii="宋体" w:hAnsi="宋体" w:cs="宋体" w:eastAsia="宋体" w:hint="default"/>
                <w:w w:val="100"/>
                <w:sz w:val="21"/>
                <w:szCs w:val="21"/>
              </w:rPr>
              <w:t> </w:t>
            </w:r>
            <w:r>
              <w:rPr>
                <w:rFonts w:ascii="宋体" w:hAnsi="宋体" w:cs="宋体" w:eastAsia="宋体" w:hint="default"/>
                <w:sz w:val="21"/>
                <w:szCs w:val="21"/>
              </w:rPr>
              <w:t>到预定</w:t>
            </w:r>
            <w:r>
              <w:rPr>
                <w:rFonts w:ascii="宋体" w:hAnsi="宋体" w:cs="宋体" w:eastAsia="宋体" w:hint="default"/>
                <w:w w:val="100"/>
                <w:sz w:val="21"/>
                <w:szCs w:val="21"/>
              </w:rPr>
              <w:t> </w:t>
            </w:r>
            <w:r>
              <w:rPr>
                <w:rFonts w:ascii="宋体" w:hAnsi="宋体" w:cs="宋体" w:eastAsia="宋体" w:hint="default"/>
                <w:sz w:val="21"/>
                <w:szCs w:val="21"/>
              </w:rPr>
              <w:t>可使用</w:t>
            </w:r>
            <w:r>
              <w:rPr>
                <w:rFonts w:ascii="宋体" w:hAnsi="宋体" w:cs="宋体" w:eastAsia="宋体" w:hint="default"/>
                <w:w w:val="100"/>
                <w:sz w:val="21"/>
                <w:szCs w:val="21"/>
              </w:rPr>
              <w:t> </w:t>
            </w:r>
            <w:r>
              <w:rPr>
                <w:rFonts w:ascii="宋体" w:hAnsi="宋体" w:cs="宋体" w:eastAsia="宋体" w:hint="default"/>
                <w:sz w:val="21"/>
                <w:szCs w:val="21"/>
              </w:rPr>
              <w:t>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201" w:right="191"/>
              <w:jc w:val="both"/>
              <w:rPr>
                <w:rFonts w:ascii="宋体" w:hAnsi="宋体" w:cs="宋体" w:eastAsia="宋体" w:hint="default"/>
                <w:sz w:val="21"/>
                <w:szCs w:val="21"/>
              </w:rPr>
            </w:pPr>
            <w:r>
              <w:rPr>
                <w:rFonts w:ascii="宋体" w:hAnsi="宋体" w:cs="宋体" w:eastAsia="宋体" w:hint="default"/>
                <w:sz w:val="21"/>
                <w:szCs w:val="21"/>
              </w:rPr>
              <w:t>本报</w:t>
            </w:r>
            <w:r>
              <w:rPr>
                <w:rFonts w:ascii="宋体" w:hAnsi="宋体" w:cs="宋体" w:eastAsia="宋体" w:hint="default"/>
                <w:spacing w:val="-103"/>
                <w:sz w:val="21"/>
                <w:szCs w:val="21"/>
              </w:rPr>
              <w:t> </w:t>
            </w:r>
            <w:r>
              <w:rPr>
                <w:rFonts w:ascii="宋体" w:hAnsi="宋体" w:cs="宋体" w:eastAsia="宋体" w:hint="default"/>
                <w:sz w:val="21"/>
                <w:szCs w:val="21"/>
              </w:rPr>
              <w:t>告期</w:t>
            </w:r>
            <w:r>
              <w:rPr>
                <w:rFonts w:ascii="宋体" w:hAnsi="宋体" w:cs="宋体" w:eastAsia="宋体" w:hint="default"/>
                <w:spacing w:val="-103"/>
                <w:sz w:val="21"/>
                <w:szCs w:val="21"/>
              </w:rPr>
              <w:t> </w:t>
            </w:r>
            <w:r>
              <w:rPr>
                <w:rFonts w:ascii="宋体" w:hAnsi="宋体" w:cs="宋体" w:eastAsia="宋体" w:hint="default"/>
                <w:sz w:val="21"/>
                <w:szCs w:val="21"/>
              </w:rPr>
              <w:t>实现</w:t>
            </w:r>
            <w:r>
              <w:rPr>
                <w:rFonts w:ascii="宋体" w:hAnsi="宋体" w:cs="宋体" w:eastAsia="宋体" w:hint="default"/>
                <w:spacing w:val="-103"/>
                <w:sz w:val="21"/>
                <w:szCs w:val="21"/>
              </w:rPr>
              <w:t> </w:t>
            </w:r>
            <w:r>
              <w:rPr>
                <w:rFonts w:ascii="宋体" w:hAnsi="宋体" w:cs="宋体" w:eastAsia="宋体" w:hint="default"/>
                <w:sz w:val="21"/>
                <w:szCs w:val="21"/>
              </w:rPr>
              <w:t>的效</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173" w:right="170"/>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77" w:right="171"/>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100"/>
                <w:sz w:val="21"/>
                <w:szCs w:val="21"/>
              </w:rPr>
              <w:t> </w:t>
            </w: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404" w:hRule="exact"/>
        </w:trPr>
        <w:tc>
          <w:tcPr>
            <w:tcW w:w="997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80"/>
              <w:jc w:val="both"/>
              <w:rPr>
                <w:rFonts w:ascii="宋体" w:hAnsi="宋体" w:cs="宋体" w:eastAsia="宋体" w:hint="default"/>
                <w:sz w:val="21"/>
                <w:szCs w:val="21"/>
              </w:rPr>
            </w:pPr>
            <w:r>
              <w:rPr>
                <w:rFonts w:ascii="宋体" w:hAnsi="宋体" w:cs="宋体" w:eastAsia="宋体" w:hint="default"/>
                <w:sz w:val="21"/>
                <w:szCs w:val="21"/>
              </w:rPr>
              <w:t>公共安全与反恐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领域机器人及无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人机产业</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75"/>
              <w:ind w:right="104"/>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7" w:right="0"/>
              <w:jc w:val="center"/>
              <w:rPr>
                <w:rFonts w:ascii="Times New Roman" w:hAnsi="Times New Roman" w:cs="Times New Roman" w:eastAsia="Times New Roman" w:hint="default"/>
                <w:sz w:val="21"/>
                <w:szCs w:val="21"/>
              </w:rPr>
            </w:pPr>
            <w:r>
              <w:rPr>
                <w:rFonts w:ascii="Times New Roman"/>
                <w:sz w:val="21"/>
              </w:rPr>
              <w:t>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100" w:right="24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33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105" w:right="122"/>
              <w:jc w:val="both"/>
              <w:rPr>
                <w:rFonts w:ascii="宋体" w:hAnsi="宋体" w:cs="宋体" w:eastAsia="宋体" w:hint="default"/>
                <w:sz w:val="21"/>
                <w:szCs w:val="21"/>
              </w:rPr>
            </w:pPr>
            <w:r>
              <w:rPr>
                <w:rFonts w:ascii="宋体" w:hAnsi="宋体" w:cs="宋体" w:eastAsia="宋体" w:hint="default"/>
                <w:sz w:val="21"/>
                <w:szCs w:val="21"/>
              </w:rPr>
              <w:t>基于有线</w:t>
            </w:r>
            <w:r>
              <w:rPr>
                <w:rFonts w:ascii="Times New Roman" w:hAnsi="Times New Roman" w:cs="Times New Roman" w:eastAsia="Times New Roman" w:hint="default"/>
                <w:sz w:val="21"/>
                <w:szCs w:val="21"/>
              </w:rPr>
              <w:t>/</w:t>
            </w:r>
            <w:r>
              <w:rPr>
                <w:rFonts w:ascii="宋体" w:hAnsi="宋体" w:cs="宋体" w:eastAsia="宋体" w:hint="default"/>
                <w:sz w:val="21"/>
                <w:szCs w:val="21"/>
              </w:rPr>
              <w:t>无线传</w:t>
            </w:r>
            <w:r>
              <w:rPr>
                <w:rFonts w:ascii="宋体" w:hAnsi="宋体" w:cs="宋体" w:eastAsia="宋体" w:hint="default"/>
                <w:w w:val="100"/>
                <w:sz w:val="21"/>
                <w:szCs w:val="21"/>
              </w:rPr>
              <w:t> </w:t>
            </w:r>
            <w:r>
              <w:rPr>
                <w:rFonts w:ascii="宋体" w:hAnsi="宋体" w:cs="宋体" w:eastAsia="宋体" w:hint="default"/>
                <w:sz w:val="21"/>
                <w:szCs w:val="21"/>
              </w:rPr>
              <w:t>输的电动汽车自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适应智能充电桩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w:t>
            </w:r>
          </w:p>
          <w:p>
            <w:pPr>
              <w:pStyle w:val="TableParagraph"/>
              <w:spacing w:line="240" w:lineRule="auto" w:before="70"/>
              <w:ind w:right="104"/>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128.5</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128.5</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1"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70"/>
              <w:ind w:left="291" w:right="0"/>
              <w:jc w:val="center"/>
              <w:rPr>
                <w:rFonts w:ascii="Times New Roman" w:hAnsi="Times New Roman" w:cs="Times New Roman" w:eastAsia="Times New Roman" w:hint="default"/>
                <w:sz w:val="21"/>
                <w:szCs w:val="21"/>
              </w:rPr>
            </w:pPr>
            <w:r>
              <w:rPr>
                <w:rFonts w:ascii="Times New Roman"/>
                <w:sz w:val="21"/>
              </w:rPr>
              <w:t>0%</w:t>
            </w:r>
          </w:p>
        </w:tc>
        <w:tc>
          <w:tcPr>
            <w:tcW w:w="93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73" w:lineRule="auto"/>
              <w:ind w:left="100" w:right="24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80"/>
              <w:jc w:val="both"/>
              <w:rPr>
                <w:rFonts w:ascii="宋体" w:hAnsi="宋体" w:cs="宋体" w:eastAsia="宋体" w:hint="default"/>
                <w:sz w:val="21"/>
                <w:szCs w:val="21"/>
              </w:rPr>
            </w:pPr>
            <w:r>
              <w:rPr>
                <w:rFonts w:ascii="宋体" w:hAnsi="宋体" w:cs="宋体" w:eastAsia="宋体" w:hint="default"/>
                <w:sz w:val="21"/>
                <w:szCs w:val="21"/>
              </w:rPr>
              <w:t>智能远动（高铁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信号）电力保障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系统生产线</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25,00</w:t>
            </w:r>
          </w:p>
          <w:p>
            <w:pPr>
              <w:pStyle w:val="TableParagraph"/>
              <w:spacing w:line="240" w:lineRule="auto" w:before="71"/>
              <w:ind w:right="104"/>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18.41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18.41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01"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71"/>
              <w:ind w:left="291" w:right="0"/>
              <w:jc w:val="center"/>
              <w:rPr>
                <w:rFonts w:ascii="Times New Roman" w:hAnsi="Times New Roman" w:cs="Times New Roman" w:eastAsia="Times New Roman" w:hint="default"/>
                <w:sz w:val="21"/>
                <w:szCs w:val="21"/>
              </w:rPr>
            </w:pPr>
            <w:r>
              <w:rPr>
                <w:rFonts w:ascii="Times New Roman"/>
                <w:sz w:val="21"/>
              </w:rPr>
              <w:t>0%</w:t>
            </w:r>
          </w:p>
        </w:tc>
        <w:tc>
          <w:tcPr>
            <w:tcW w:w="93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00" w:right="243"/>
              <w:jc w:val="left"/>
              <w:rPr>
                <w:rFonts w:ascii="宋体" w:hAnsi="宋体" w:cs="宋体" w:eastAsia="宋体" w:hint="default"/>
                <w:sz w:val="21"/>
                <w:szCs w:val="21"/>
              </w:rPr>
            </w:pPr>
            <w:r>
              <w:rPr>
                <w:rFonts w:ascii="宋体" w:hAnsi="宋体" w:cs="宋体" w:eastAsia="宋体" w:hint="default"/>
                <w:sz w:val="21"/>
                <w:szCs w:val="21"/>
              </w:rPr>
              <w:t>不适</w:t>
            </w:r>
            <w:r>
              <w:rPr>
                <w:rFonts w:ascii="宋体" w:hAnsi="宋体" w:cs="宋体" w:eastAsia="宋体" w:hint="default"/>
                <w:spacing w:val="-103"/>
                <w:sz w:val="21"/>
                <w:szCs w:val="21"/>
              </w:rPr>
              <w:t> </w:t>
            </w:r>
            <w:r>
              <w:rPr>
                <w:rFonts w:ascii="宋体" w:hAnsi="宋体" w:cs="宋体" w:eastAsia="宋体" w:hint="default"/>
                <w:sz w:val="21"/>
                <w:szCs w:val="21"/>
              </w:rPr>
              <w:t>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2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80"/>
              <w:jc w:val="left"/>
              <w:rPr>
                <w:rFonts w:ascii="宋体" w:hAnsi="宋体" w:cs="宋体" w:eastAsia="宋体" w:hint="default"/>
                <w:sz w:val="21"/>
                <w:szCs w:val="21"/>
              </w:rPr>
            </w:pPr>
            <w:r>
              <w:rPr>
                <w:rFonts w:ascii="宋体" w:hAnsi="宋体" w:cs="宋体" w:eastAsia="宋体" w:hint="default"/>
                <w:sz w:val="21"/>
                <w:szCs w:val="21"/>
              </w:rPr>
              <w:t>承诺投资项目小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310"/>
              <w:jc w:val="right"/>
              <w:rPr>
                <w:rFonts w:ascii="Times New Roman" w:hAnsi="Times New Roman" w:cs="Times New Roman" w:eastAsia="Times New Roman" w:hint="default"/>
                <w:sz w:val="21"/>
                <w:szCs w:val="21"/>
              </w:rPr>
            </w:pPr>
            <w:r>
              <w:rPr>
                <w:rFonts w:ascii="Times New Roman"/>
                <w:sz w:val="21"/>
              </w:rPr>
              <w:t>--</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6" w:right="0"/>
              <w:jc w:val="left"/>
              <w:rPr>
                <w:rFonts w:ascii="Times New Roman" w:hAnsi="Times New Roman" w:cs="Times New Roman" w:eastAsia="Times New Roman" w:hint="default"/>
                <w:sz w:val="21"/>
                <w:szCs w:val="21"/>
              </w:rPr>
            </w:pPr>
            <w:r>
              <w:rPr>
                <w:rFonts w:ascii="Times New Roman"/>
                <w:sz w:val="21"/>
              </w:rPr>
              <w:t>105,0</w:t>
            </w:r>
          </w:p>
          <w:p>
            <w:pPr>
              <w:pStyle w:val="TableParagraph"/>
              <w:spacing w:line="240" w:lineRule="auto" w:before="70"/>
              <w:ind w:left="456" w:right="0"/>
              <w:jc w:val="left"/>
              <w:rPr>
                <w:rFonts w:ascii="Times New Roman" w:hAnsi="Times New Roman" w:cs="Times New Roman" w:eastAsia="Times New Roman" w:hint="default"/>
                <w:sz w:val="21"/>
                <w:szCs w:val="21"/>
              </w:rPr>
            </w:pPr>
            <w:r>
              <w:rPr>
                <w:rFonts w:ascii="Times New Roman"/>
                <w:sz w:val="21"/>
              </w:rPr>
              <w:t>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146.9</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146.9</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6</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382"/>
              <w:jc w:val="right"/>
              <w:rPr>
                <w:rFonts w:ascii="Times New Roman" w:hAnsi="Times New Roman" w:cs="Times New Roman" w:eastAsia="Times New Roman" w:hint="default"/>
                <w:sz w:val="21"/>
                <w:szCs w:val="21"/>
              </w:rPr>
            </w:pPr>
            <w:r>
              <w:rPr>
                <w:rFonts w:ascii="Times New Roman"/>
                <w:sz w:val="21"/>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310"/>
              <w:jc w:val="right"/>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416"/>
              <w:jc w:val="right"/>
              <w:rPr>
                <w:rFonts w:ascii="Times New Roman" w:hAnsi="Times New Roman" w:cs="Times New Roman" w:eastAsia="Times New Roman" w:hint="default"/>
                <w:sz w:val="21"/>
                <w:szCs w:val="21"/>
              </w:rPr>
            </w:pPr>
            <w:r>
              <w:rPr>
                <w:rFonts w:ascii="Times New Roman"/>
                <w:sz w:val="21"/>
              </w:rPr>
              <w:t>--</w:t>
            </w:r>
          </w:p>
        </w:tc>
      </w:tr>
      <w:tr>
        <w:trPr>
          <w:trHeight w:val="398" w:hRule="exact"/>
        </w:trPr>
        <w:tc>
          <w:tcPr>
            <w:tcW w:w="997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r>
        <w:trPr>
          <w:trHeight w:val="399"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310"/>
              <w:jc w:val="right"/>
              <w:rPr>
                <w:rFonts w:ascii="Times New Roman" w:hAnsi="Times New Roman" w:cs="Times New Roman" w:eastAsia="Times New Roman" w:hint="default"/>
                <w:sz w:val="21"/>
                <w:szCs w:val="21"/>
              </w:rPr>
            </w:pPr>
            <w:r>
              <w:rPr>
                <w:rFonts w:ascii="Times New Roman"/>
                <w:sz w:val="21"/>
              </w:rPr>
              <w:t>--</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6" w:right="0"/>
              <w:jc w:val="left"/>
              <w:rPr>
                <w:rFonts w:ascii="Times New Roman" w:hAnsi="Times New Roman" w:cs="Times New Roman" w:eastAsia="Times New Roman" w:hint="default"/>
                <w:sz w:val="21"/>
                <w:szCs w:val="21"/>
              </w:rPr>
            </w:pPr>
            <w:r>
              <w:rPr>
                <w:rFonts w:ascii="Times New Roman"/>
                <w:sz w:val="21"/>
              </w:rPr>
              <w:t>105,0</w:t>
            </w:r>
          </w:p>
          <w:p>
            <w:pPr>
              <w:pStyle w:val="TableParagraph"/>
              <w:spacing w:line="240" w:lineRule="auto" w:before="75"/>
              <w:ind w:left="456" w:right="0"/>
              <w:jc w:val="left"/>
              <w:rPr>
                <w:rFonts w:ascii="Times New Roman" w:hAnsi="Times New Roman" w:cs="Times New Roman" w:eastAsia="Times New Roman" w:hint="default"/>
                <w:sz w:val="21"/>
                <w:szCs w:val="21"/>
              </w:rPr>
            </w:pPr>
            <w:r>
              <w:rPr>
                <w:rFonts w:ascii="Times New Roman"/>
                <w:sz w:val="21"/>
              </w:rPr>
              <w:t>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146.9</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146.9</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6</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382"/>
              <w:jc w:val="right"/>
              <w:rPr>
                <w:rFonts w:ascii="Times New Roman" w:hAnsi="Times New Roman" w:cs="Times New Roman" w:eastAsia="Times New Roman" w:hint="default"/>
                <w:sz w:val="21"/>
                <w:szCs w:val="21"/>
              </w:rPr>
            </w:pPr>
            <w:r>
              <w:rPr>
                <w:rFonts w:ascii="Times New Roman"/>
                <w:sz w:val="21"/>
              </w:rPr>
              <w:t>--</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310"/>
              <w:jc w:val="right"/>
              <w:rPr>
                <w:rFonts w:ascii="Times New Roman" w:hAnsi="Times New Roman" w:cs="Times New Roman" w:eastAsia="Times New Roman" w:hint="default"/>
                <w:sz w:val="21"/>
                <w:szCs w:val="21"/>
              </w:rPr>
            </w:pPr>
            <w:r>
              <w:rPr>
                <w:rFonts w:ascii="Times New Roman"/>
                <w:sz w:val="21"/>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416"/>
              <w:jc w:val="right"/>
              <w:rPr>
                <w:rFonts w:ascii="Times New Roman" w:hAnsi="Times New Roman" w:cs="Times New Roman" w:eastAsia="Times New Roman" w:hint="default"/>
                <w:sz w:val="21"/>
                <w:szCs w:val="21"/>
              </w:rPr>
            </w:pPr>
            <w:r>
              <w:rPr>
                <w:rFonts w:ascii="Times New Roman"/>
                <w:sz w:val="21"/>
              </w:rPr>
              <w:t>--</w:t>
            </w:r>
          </w:p>
        </w:tc>
      </w:tr>
      <w:tr>
        <w:trPr>
          <w:trHeight w:val="134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80"/>
              <w:jc w:val="both"/>
              <w:rPr>
                <w:rFonts w:ascii="宋体" w:hAnsi="宋体" w:cs="宋体" w:eastAsia="宋体" w:hint="default"/>
                <w:sz w:val="21"/>
                <w:szCs w:val="21"/>
              </w:rPr>
            </w:pPr>
            <w:r>
              <w:rPr>
                <w:rFonts w:ascii="宋体" w:hAnsi="宋体" w:cs="宋体" w:eastAsia="宋体" w:hint="default"/>
                <w:sz w:val="21"/>
                <w:szCs w:val="21"/>
              </w:rPr>
              <w:t>未达到计划进度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或预计收益的情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况和原因（分具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体项目）</w:t>
            </w:r>
          </w:p>
        </w:tc>
        <w:tc>
          <w:tcPr>
            <w:tcW w:w="82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6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项目可行性发生</w:t>
            </w:r>
          </w:p>
        </w:tc>
        <w:tc>
          <w:tcPr>
            <w:tcW w:w="820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106"/>
                <w:w w:val="100"/>
                <w:sz w:val="21"/>
                <w:szCs w:val="21"/>
              </w:rPr>
              <w:t>、</w:t>
            </w:r>
            <w:r>
              <w:rPr>
                <w:rFonts w:ascii="宋体" w:hAnsi="宋体" w:cs="宋体" w:eastAsia="宋体" w:hint="default"/>
                <w:w w:val="100"/>
                <w:sz w:val="21"/>
                <w:szCs w:val="21"/>
              </w:rPr>
              <w:t>“基于</w:t>
            </w:r>
            <w:r>
              <w:rPr>
                <w:rFonts w:ascii="宋体" w:hAnsi="宋体" w:cs="宋体" w:eastAsia="宋体" w:hint="default"/>
                <w:spacing w:val="-5"/>
                <w:w w:val="100"/>
                <w:sz w:val="21"/>
                <w:szCs w:val="21"/>
              </w:rPr>
              <w:t>有</w:t>
            </w:r>
            <w:r>
              <w:rPr>
                <w:rFonts w:ascii="宋体" w:hAnsi="宋体" w:cs="宋体" w:eastAsia="宋体" w:hint="default"/>
                <w:w w:val="100"/>
                <w:sz w:val="21"/>
                <w:szCs w:val="21"/>
              </w:rPr>
              <w:t>线</w:t>
            </w:r>
            <w:r>
              <w:rPr>
                <w:rFonts w:ascii="Times New Roman" w:hAnsi="Times New Roman" w:cs="Times New Roman" w:eastAsia="Times New Roman" w:hint="default"/>
                <w:spacing w:val="-2"/>
                <w:w w:val="100"/>
                <w:sz w:val="21"/>
                <w:szCs w:val="21"/>
              </w:rPr>
              <w:t>/</w:t>
            </w:r>
            <w:r>
              <w:rPr>
                <w:rFonts w:ascii="宋体" w:hAnsi="宋体" w:cs="宋体" w:eastAsia="宋体" w:hint="default"/>
                <w:w w:val="100"/>
                <w:sz w:val="21"/>
                <w:szCs w:val="21"/>
              </w:rPr>
              <w:t>无线传</w:t>
            </w:r>
            <w:r>
              <w:rPr>
                <w:rFonts w:ascii="宋体" w:hAnsi="宋体" w:cs="宋体" w:eastAsia="宋体" w:hint="default"/>
                <w:spacing w:val="-5"/>
                <w:w w:val="100"/>
                <w:sz w:val="21"/>
                <w:szCs w:val="21"/>
              </w:rPr>
              <w:t>输</w:t>
            </w:r>
            <w:r>
              <w:rPr>
                <w:rFonts w:ascii="宋体" w:hAnsi="宋体" w:cs="宋体" w:eastAsia="宋体" w:hint="default"/>
                <w:w w:val="100"/>
                <w:sz w:val="21"/>
                <w:szCs w:val="21"/>
              </w:rPr>
              <w:t>的电动</w:t>
            </w:r>
            <w:r>
              <w:rPr>
                <w:rFonts w:ascii="宋体" w:hAnsi="宋体" w:cs="宋体" w:eastAsia="宋体" w:hint="default"/>
                <w:spacing w:val="-5"/>
                <w:w w:val="100"/>
                <w:sz w:val="21"/>
                <w:szCs w:val="21"/>
              </w:rPr>
              <w:t>汽</w:t>
            </w:r>
            <w:r>
              <w:rPr>
                <w:rFonts w:ascii="宋体" w:hAnsi="宋体" w:cs="宋体" w:eastAsia="宋体" w:hint="default"/>
                <w:w w:val="100"/>
                <w:sz w:val="21"/>
                <w:szCs w:val="21"/>
              </w:rPr>
              <w:t>车自适</w:t>
            </w:r>
            <w:r>
              <w:rPr>
                <w:rFonts w:ascii="宋体" w:hAnsi="宋体" w:cs="宋体" w:eastAsia="宋体" w:hint="default"/>
                <w:spacing w:val="-5"/>
                <w:w w:val="100"/>
                <w:sz w:val="21"/>
                <w:szCs w:val="21"/>
              </w:rPr>
              <w:t>应</w:t>
            </w:r>
            <w:r>
              <w:rPr>
                <w:rFonts w:ascii="宋体" w:hAnsi="宋体" w:cs="宋体" w:eastAsia="宋体" w:hint="default"/>
                <w:w w:val="100"/>
                <w:sz w:val="21"/>
                <w:szCs w:val="21"/>
              </w:rPr>
              <w:t>智能充</w:t>
            </w:r>
            <w:r>
              <w:rPr>
                <w:rFonts w:ascii="宋体" w:hAnsi="宋体" w:cs="宋体" w:eastAsia="宋体" w:hint="default"/>
                <w:spacing w:val="-5"/>
                <w:w w:val="100"/>
                <w:sz w:val="21"/>
                <w:szCs w:val="21"/>
              </w:rPr>
              <w:t>电桩</w:t>
            </w:r>
            <w:r>
              <w:rPr>
                <w:rFonts w:ascii="宋体" w:hAnsi="宋体" w:cs="宋体" w:eastAsia="宋体" w:hint="default"/>
                <w:w w:val="100"/>
                <w:sz w:val="21"/>
                <w:szCs w:val="21"/>
              </w:rPr>
              <w:t>建设项</w:t>
            </w:r>
            <w:r>
              <w:rPr>
                <w:rFonts w:ascii="宋体" w:hAnsi="宋体" w:cs="宋体" w:eastAsia="宋体" w:hint="default"/>
                <w:spacing w:val="2"/>
                <w:w w:val="100"/>
                <w:sz w:val="21"/>
                <w:szCs w:val="21"/>
              </w:rPr>
              <w:t>目</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主要受</w:t>
            </w:r>
            <w:r>
              <w:rPr>
                <w:rFonts w:ascii="宋体" w:hAnsi="宋体" w:cs="宋体" w:eastAsia="宋体" w:hint="default"/>
                <w:spacing w:val="-5"/>
                <w:w w:val="100"/>
                <w:sz w:val="21"/>
                <w:szCs w:val="21"/>
              </w:rPr>
              <w:t>公</w:t>
            </w:r>
            <w:r>
              <w:rPr>
                <w:rFonts w:ascii="宋体" w:hAnsi="宋体" w:cs="宋体" w:eastAsia="宋体" w:hint="default"/>
                <w:w w:val="100"/>
                <w:sz w:val="21"/>
                <w:szCs w:val="21"/>
              </w:rPr>
              <w:t>司目标</w:t>
            </w:r>
            <w:r>
              <w:rPr>
                <w:rFonts w:ascii="宋体" w:hAnsi="宋体" w:cs="宋体" w:eastAsia="宋体" w:hint="default"/>
                <w:spacing w:val="-5"/>
                <w:w w:val="100"/>
                <w:sz w:val="21"/>
                <w:szCs w:val="21"/>
              </w:rPr>
              <w:t>市</w:t>
            </w:r>
            <w:r>
              <w:rPr>
                <w:rFonts w:ascii="宋体" w:hAnsi="宋体" w:cs="宋体" w:eastAsia="宋体" w:hint="default"/>
                <w:w w:val="100"/>
                <w:sz w:val="21"/>
                <w:szCs w:val="21"/>
              </w:rPr>
              <w:t>场</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72"/>
        <w:gridCol w:w="8207"/>
      </w:tblGrid>
      <w:tr>
        <w:trPr>
          <w:trHeight w:val="285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重大变化的情况</w:t>
            </w:r>
          </w:p>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说明</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both"/>
              <w:rPr>
                <w:rFonts w:ascii="宋体" w:hAnsi="宋体" w:cs="宋体" w:eastAsia="宋体" w:hint="default"/>
                <w:sz w:val="21"/>
                <w:szCs w:val="21"/>
              </w:rPr>
            </w:pPr>
            <w:r>
              <w:rPr>
                <w:rFonts w:ascii="宋体" w:hAnsi="宋体" w:cs="宋体" w:eastAsia="宋体" w:hint="default"/>
                <w:sz w:val="21"/>
                <w:szCs w:val="21"/>
              </w:rPr>
              <w:t>相关行业补贴政策细则落地实施时间的影响，新能源汽车相关配套行业的发展尚需一个</w:t>
            </w:r>
          </w:p>
          <w:p>
            <w:pPr>
              <w:pStyle w:val="TableParagraph"/>
              <w:spacing w:line="271" w:lineRule="auto" w:before="37"/>
              <w:ind w:left="100" w:right="101"/>
              <w:jc w:val="both"/>
              <w:rPr>
                <w:rFonts w:ascii="宋体" w:hAnsi="宋体" w:cs="宋体" w:eastAsia="宋体" w:hint="default"/>
                <w:sz w:val="21"/>
                <w:szCs w:val="21"/>
              </w:rPr>
            </w:pPr>
            <w:r>
              <w:rPr>
                <w:rFonts w:ascii="宋体" w:hAnsi="宋体" w:cs="宋体" w:eastAsia="宋体" w:hint="default"/>
                <w:spacing w:val="-2"/>
                <w:sz w:val="21"/>
                <w:szCs w:val="21"/>
              </w:rPr>
              <w:t>过程，充电基础设施前期投入较大，导致目标市场上充电桩生产和运营企业多数盈利状</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况不佳。公司董事会综合上述情况，经过谨慎的研究决策，决定稳步开展充电桩项目，</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4"/>
                <w:w w:val="100"/>
                <w:sz w:val="21"/>
                <w:szCs w:val="21"/>
              </w:rPr>
              <w:t>暂时不进行大规模的资金投入。</w:t>
            </w:r>
            <w:r>
              <w:rPr>
                <w:rFonts w:ascii="Times New Roman" w:hAnsi="Times New Roman" w:cs="Times New Roman" w:eastAsia="Times New Roman" w:hint="default"/>
                <w:spacing w:val="-4"/>
                <w:w w:val="100"/>
                <w:sz w:val="21"/>
                <w:szCs w:val="21"/>
              </w:rPr>
              <w:t>2</w:t>
            </w:r>
            <w:r>
              <w:rPr>
                <w:rFonts w:ascii="宋体" w:hAnsi="宋体" w:cs="宋体" w:eastAsia="宋体" w:hint="default"/>
                <w:spacing w:val="-4"/>
                <w:w w:val="100"/>
                <w:sz w:val="21"/>
                <w:szCs w:val="21"/>
              </w:rPr>
              <w:t>、“智能远动（高铁信号）电力保障系统生产线建设项</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7"/>
                <w:w w:val="100"/>
                <w:sz w:val="21"/>
                <w:szCs w:val="21"/>
              </w:rPr>
              <w:t>目”：受高铁相关制造产业增速放缓的影响，相关产品竞争较为激烈，回款周期长、回款</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pacing w:val="-2"/>
                <w:sz w:val="21"/>
                <w:szCs w:val="21"/>
              </w:rPr>
              <w:t>压力增加，同时，公司收购的苏州开关二厂与公司在输配电设备制造领域的协同效应逐</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步体现。公司董事会综合上述影响，经过谨慎的研究决策，决定暂时不对智能远动（高</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铁信号）电力保障系统进行大规模的资金投入，而是通过对现有资源的整合，优化产品</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结构，改进生产工艺，调整目标客户结构，满足市场需求。</w:t>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05" w:right="180"/>
              <w:jc w:val="left"/>
              <w:rPr>
                <w:rFonts w:ascii="宋体" w:hAnsi="宋体" w:cs="宋体" w:eastAsia="宋体" w:hint="default"/>
                <w:sz w:val="21"/>
                <w:szCs w:val="21"/>
              </w:rPr>
            </w:pPr>
            <w:r>
              <w:rPr>
                <w:rFonts w:ascii="宋体" w:hAnsi="宋体" w:cs="宋体" w:eastAsia="宋体" w:hint="default"/>
                <w:sz w:val="21"/>
                <w:szCs w:val="21"/>
              </w:rPr>
              <w:t>超募资金的金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额、用途及使用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进展情况</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4"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8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119"/>
              <w:ind w:left="105" w:right="180"/>
              <w:jc w:val="both"/>
              <w:rPr>
                <w:rFonts w:ascii="宋体" w:hAnsi="宋体" w:cs="宋体" w:eastAsia="宋体" w:hint="default"/>
                <w:sz w:val="21"/>
                <w:szCs w:val="21"/>
              </w:rPr>
            </w:pPr>
            <w:r>
              <w:rPr>
                <w:rFonts w:ascii="宋体" w:hAnsi="宋体" w:cs="宋体" w:eastAsia="宋体" w:hint="default"/>
                <w:sz w:val="21"/>
                <w:szCs w:val="21"/>
              </w:rPr>
              <w:t>募集资金投资项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目实施地点变更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情况</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4" w:hRule="exact"/>
        </w:trPr>
        <w:tc>
          <w:tcPr>
            <w:tcW w:w="1772" w:type="dxa"/>
            <w:vMerge/>
            <w:tcBorders>
              <w:left w:val="single" w:sz="4" w:space="0" w:color="000000"/>
              <w:right w:val="single" w:sz="4" w:space="0" w:color="000000"/>
            </w:tcBorders>
            <w:shd w:val="clear" w:color="auto" w:fill="D2D2D2"/>
          </w:tcPr>
          <w:p>
            <w:pPr/>
          </w:p>
        </w:tc>
        <w:tc>
          <w:tcPr>
            <w:tcW w:w="820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8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73" w:lineRule="auto"/>
              <w:ind w:left="105" w:right="180"/>
              <w:jc w:val="both"/>
              <w:rPr>
                <w:rFonts w:ascii="宋体" w:hAnsi="宋体" w:cs="宋体" w:eastAsia="宋体" w:hint="default"/>
                <w:sz w:val="21"/>
                <w:szCs w:val="21"/>
              </w:rPr>
            </w:pPr>
            <w:r>
              <w:rPr>
                <w:rFonts w:ascii="宋体" w:hAnsi="宋体" w:cs="宋体" w:eastAsia="宋体" w:hint="default"/>
                <w:sz w:val="21"/>
                <w:szCs w:val="21"/>
              </w:rPr>
              <w:t>募集资金投资项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目实施方式调整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情况</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以前年度发生</w:t>
            </w:r>
          </w:p>
        </w:tc>
      </w:tr>
      <w:tr>
        <w:trPr>
          <w:trHeight w:val="2900"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100" w:right="101"/>
              <w:jc w:val="both"/>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、公司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pacing w:val="-3"/>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51"/>
                <w:sz w:val="21"/>
                <w:szCs w:val="21"/>
              </w:rPr>
              <w:t> </w:t>
            </w:r>
            <w:r>
              <w:rPr>
                <w:rFonts w:ascii="宋体" w:hAnsi="宋体" w:cs="宋体" w:eastAsia="宋体" w:hint="default"/>
                <w:spacing w:val="-3"/>
                <w:sz w:val="21"/>
                <w:szCs w:val="21"/>
              </w:rPr>
              <w:t>日召开的第七届董事会第九次会议审议通过了《关于变更部</w:t>
            </w:r>
            <w:r>
              <w:rPr>
                <w:rFonts w:ascii="宋体" w:hAnsi="宋体" w:cs="宋体" w:eastAsia="宋体" w:hint="default"/>
                <w:w w:val="100"/>
                <w:sz w:val="21"/>
                <w:szCs w:val="21"/>
              </w:rPr>
              <w:t> </w:t>
            </w:r>
            <w:r>
              <w:rPr>
                <w:rFonts w:ascii="宋体" w:hAnsi="宋体" w:cs="宋体" w:eastAsia="宋体" w:hint="default"/>
                <w:spacing w:val="-7"/>
                <w:w w:val="100"/>
                <w:sz w:val="21"/>
                <w:szCs w:val="21"/>
              </w:rPr>
              <w:t>分非公开发行募集资金用途的议案》，公司将“公共安全与反恐领域机器人及无人机产业</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z w:val="21"/>
                <w:szCs w:val="21"/>
              </w:rPr>
              <w:t>化项目”计划投入募集资金余额 </w:t>
            </w:r>
            <w:r>
              <w:rPr>
                <w:rFonts w:ascii="Times New Roman" w:hAnsi="Times New Roman" w:cs="Times New Roman" w:eastAsia="Times New Roman" w:hint="default"/>
                <w:sz w:val="21"/>
                <w:szCs w:val="21"/>
              </w:rPr>
              <w:t>50,019.65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万元（含募集资金利息收入，具体变更募集</w:t>
            </w:r>
            <w:r>
              <w:rPr>
                <w:rFonts w:ascii="宋体" w:hAnsi="宋体" w:cs="宋体" w:eastAsia="宋体" w:hint="default"/>
                <w:w w:val="100"/>
                <w:sz w:val="21"/>
                <w:szCs w:val="21"/>
              </w:rPr>
              <w:t> </w:t>
            </w:r>
            <w:r>
              <w:rPr>
                <w:rFonts w:ascii="宋体" w:hAnsi="宋体" w:cs="宋体" w:eastAsia="宋体" w:hint="default"/>
                <w:spacing w:val="-2"/>
                <w:sz w:val="21"/>
                <w:szCs w:val="21"/>
              </w:rPr>
              <w:t>资金用途的金额以实施时账户实际金额为准）全部变更为“投资中国联通移动业务社会</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5"/>
                <w:sz w:val="21"/>
                <w:szCs w:val="21"/>
              </w:rPr>
              <w:t>化服务合作</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云南联通移动业务项目建设”</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、公司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日召开的第七届董</w:t>
            </w:r>
            <w:r>
              <w:rPr>
                <w:rFonts w:ascii="宋体" w:hAnsi="宋体" w:cs="宋体" w:eastAsia="宋体" w:hint="default"/>
                <w:w w:val="100"/>
                <w:sz w:val="21"/>
                <w:szCs w:val="21"/>
              </w:rPr>
              <w:t> </w:t>
            </w:r>
            <w:r>
              <w:rPr>
                <w:rFonts w:ascii="宋体" w:hAnsi="宋体" w:cs="宋体" w:eastAsia="宋体" w:hint="default"/>
                <w:spacing w:val="-2"/>
                <w:sz w:val="21"/>
                <w:szCs w:val="21"/>
              </w:rPr>
              <w:t>事会第十四次会议审议通过了《关于变更部分非公开发行募集资金投向用于永久性补充</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12"/>
                <w:w w:val="100"/>
                <w:sz w:val="21"/>
                <w:szCs w:val="21"/>
              </w:rPr>
              <w:t>流动资金的议案》，公司将“智能远动（高铁信号）电力保障系统生产线建设项目”和“基</w:t>
            </w:r>
            <w:r>
              <w:rPr>
                <w:rFonts w:ascii="宋体" w:hAnsi="宋体" w:cs="宋体" w:eastAsia="宋体" w:hint="default"/>
                <w:spacing w:val="-88"/>
                <w:w w:val="100"/>
                <w:sz w:val="21"/>
                <w:szCs w:val="21"/>
              </w:rPr>
              <w:t> </w:t>
            </w:r>
            <w:r>
              <w:rPr>
                <w:rFonts w:ascii="宋体" w:hAnsi="宋体" w:cs="宋体" w:eastAsia="宋体" w:hint="default"/>
                <w:spacing w:val="-88"/>
                <w:w w:val="100"/>
                <w:sz w:val="21"/>
                <w:szCs w:val="21"/>
              </w:rPr>
            </w:r>
            <w:r>
              <w:rPr>
                <w:rFonts w:ascii="宋体" w:hAnsi="宋体" w:cs="宋体" w:eastAsia="宋体" w:hint="default"/>
                <w:spacing w:val="-3"/>
                <w:sz w:val="21"/>
                <w:szCs w:val="21"/>
              </w:rPr>
              <w:t>于有线</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无线传输的电动汽车自适应智能充电桩建设项目”剩余募集资金永久性补充流动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资金，原募投项目如需继续投入公司将以自有资金投入完成。</w:t>
            </w:r>
          </w:p>
        </w:tc>
      </w:tr>
      <w:tr>
        <w:trPr>
          <w:trHeight w:val="398"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05" w:right="180"/>
              <w:jc w:val="both"/>
              <w:rPr>
                <w:rFonts w:ascii="宋体" w:hAnsi="宋体" w:cs="宋体" w:eastAsia="宋体" w:hint="default"/>
                <w:sz w:val="21"/>
                <w:szCs w:val="21"/>
              </w:rPr>
            </w:pPr>
            <w:r>
              <w:rPr>
                <w:rFonts w:ascii="宋体" w:hAnsi="宋体" w:cs="宋体" w:eastAsia="宋体" w:hint="default"/>
                <w:sz w:val="21"/>
                <w:szCs w:val="21"/>
              </w:rPr>
              <w:t>募集资金投资项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目先期投入及置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换情况</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25"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8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73" w:lineRule="auto"/>
              <w:ind w:left="105" w:right="180"/>
              <w:jc w:val="both"/>
              <w:rPr>
                <w:rFonts w:ascii="宋体" w:hAnsi="宋体" w:cs="宋体" w:eastAsia="宋体" w:hint="default"/>
                <w:sz w:val="21"/>
                <w:szCs w:val="21"/>
              </w:rPr>
            </w:pPr>
            <w:r>
              <w:rPr>
                <w:rFonts w:ascii="宋体" w:hAnsi="宋体" w:cs="宋体" w:eastAsia="宋体" w:hint="default"/>
                <w:sz w:val="21"/>
                <w:szCs w:val="21"/>
              </w:rPr>
              <w:t>用闲置募集资金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暂时补充流动资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金情况</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3251"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28"/>
              <w:ind w:left="100" w:right="101"/>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、公司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pacing w:val="-3"/>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51"/>
                <w:sz w:val="21"/>
                <w:szCs w:val="21"/>
              </w:rPr>
              <w:t> </w:t>
            </w:r>
            <w:r>
              <w:rPr>
                <w:rFonts w:ascii="宋体" w:hAnsi="宋体" w:cs="宋体" w:eastAsia="宋体" w:hint="default"/>
                <w:spacing w:val="-3"/>
                <w:sz w:val="21"/>
                <w:szCs w:val="21"/>
              </w:rPr>
              <w:t>日召开的第七届董事会第二次会议审议通过了《关于使用部</w:t>
            </w:r>
            <w:r>
              <w:rPr>
                <w:rFonts w:ascii="宋体" w:hAnsi="宋体" w:cs="宋体" w:eastAsia="宋体" w:hint="default"/>
                <w:w w:val="100"/>
                <w:sz w:val="21"/>
                <w:szCs w:val="21"/>
              </w:rPr>
              <w:t> </w:t>
            </w:r>
            <w:r>
              <w:rPr>
                <w:rFonts w:ascii="宋体" w:hAnsi="宋体" w:cs="宋体" w:eastAsia="宋体" w:hint="default"/>
                <w:spacing w:val="-5"/>
                <w:w w:val="100"/>
                <w:sz w:val="21"/>
                <w:szCs w:val="21"/>
              </w:rPr>
              <w:t>分闲置募集资金暂时补充流动资金的议案》，同意公司使用总额不超过人民币</w:t>
            </w:r>
            <w:r>
              <w:rPr>
                <w:rFonts w:ascii="宋体" w:hAnsi="宋体" w:cs="宋体" w:eastAsia="宋体" w:hint="default"/>
                <w:spacing w:val="-82"/>
                <w:w w:val="100"/>
                <w:sz w:val="21"/>
                <w:szCs w:val="21"/>
              </w:rPr>
              <w:t> </w:t>
            </w:r>
            <w:r>
              <w:rPr>
                <w:rFonts w:ascii="宋体" w:hAnsi="宋体" w:cs="宋体" w:eastAsia="宋体" w:hint="default"/>
                <w:spacing w:val="-82"/>
                <w:w w:val="100"/>
                <w:sz w:val="21"/>
                <w:szCs w:val="21"/>
              </w:rPr>
            </w:r>
            <w:r>
              <w:rPr>
                <w:rFonts w:ascii="Times New Roman" w:hAnsi="Times New Roman" w:cs="Times New Roman" w:eastAsia="Times New Roman" w:hint="default"/>
                <w:sz w:val="21"/>
                <w:szCs w:val="21"/>
              </w:rPr>
              <w:t>750,000,000.00  </w:t>
            </w:r>
            <w:r>
              <w:rPr>
                <w:rFonts w:ascii="宋体" w:hAnsi="宋体" w:cs="宋体" w:eastAsia="宋体" w:hint="default"/>
                <w:sz w:val="21"/>
                <w:szCs w:val="21"/>
              </w:rPr>
              <w:t>元的闲置募集资金暂时补充流动资金。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4"/>
                <w:sz w:val="21"/>
                <w:szCs w:val="21"/>
              </w:rPr>
              <w:t> </w:t>
            </w:r>
            <w:r>
              <w:rPr>
                <w:rFonts w:ascii="宋体" w:hAnsi="宋体" w:cs="宋体" w:eastAsia="宋体" w:hint="default"/>
                <w:spacing w:val="-5"/>
                <w:sz w:val="21"/>
                <w:szCs w:val="21"/>
              </w:rPr>
              <w:t>日，公司已将</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上述用于暂时补充流动资金的募集资金人民币 </w:t>
            </w:r>
            <w:r>
              <w:rPr>
                <w:rFonts w:ascii="Times New Roman" w:hAnsi="Times New Roman" w:cs="Times New Roman" w:eastAsia="Times New Roman" w:hint="default"/>
                <w:sz w:val="21"/>
                <w:szCs w:val="21"/>
              </w:rPr>
              <w:t>750,000,000.00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元归还至募集资金专项</w:t>
            </w:r>
          </w:p>
          <w:p>
            <w:pPr>
              <w:pStyle w:val="TableParagraph"/>
              <w:spacing w:line="264" w:lineRule="auto" w:before="21"/>
              <w:ind w:left="100" w:right="0"/>
              <w:jc w:val="both"/>
              <w:rPr>
                <w:rFonts w:ascii="宋体" w:hAnsi="宋体" w:cs="宋体" w:eastAsia="宋体" w:hint="default"/>
                <w:sz w:val="21"/>
                <w:szCs w:val="21"/>
              </w:rPr>
            </w:pPr>
            <w:r>
              <w:rPr>
                <w:rFonts w:ascii="宋体" w:hAnsi="宋体" w:cs="宋体" w:eastAsia="宋体" w:hint="default"/>
                <w:sz w:val="21"/>
                <w:szCs w:val="21"/>
              </w:rPr>
              <w:t>账户。</w:t>
            </w:r>
            <w:r>
              <w:rPr>
                <w:rFonts w:ascii="Times New Roman" w:hAnsi="Times New Roman" w:cs="Times New Roman" w:eastAsia="Times New Roman" w:hint="default"/>
                <w:sz w:val="21"/>
                <w:szCs w:val="21"/>
              </w:rPr>
              <w:t>2</w:t>
            </w:r>
            <w:r>
              <w:rPr>
                <w:rFonts w:ascii="宋体" w:hAnsi="宋体" w:cs="宋体" w:eastAsia="宋体" w:hint="default"/>
                <w:sz w:val="21"/>
                <w:szCs w:val="21"/>
              </w:rPr>
              <w:t>、公司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日召开的第七届董事会第八次会议审议的《关于继续</w:t>
            </w:r>
            <w:r>
              <w:rPr>
                <w:rFonts w:ascii="宋体" w:hAnsi="宋体" w:cs="宋体" w:eastAsia="宋体" w:hint="default"/>
                <w:w w:val="100"/>
                <w:sz w:val="21"/>
                <w:szCs w:val="21"/>
              </w:rPr>
              <w:t> </w:t>
            </w:r>
            <w:r>
              <w:rPr>
                <w:rFonts w:ascii="宋体" w:hAnsi="宋体" w:cs="宋体" w:eastAsia="宋体" w:hint="default"/>
                <w:spacing w:val="-7"/>
                <w:w w:val="100"/>
                <w:sz w:val="21"/>
                <w:szCs w:val="21"/>
              </w:rPr>
              <w:t>使用部分闲置募集资金暂时补充流动资金的议案》，同意公司将继续使用部分闲置募集资</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3"/>
                <w:sz w:val="21"/>
                <w:szCs w:val="21"/>
              </w:rPr>
              <w:t>金暂时补充流动资金，金额不超过人民币 </w:t>
            </w:r>
            <w:r>
              <w:rPr>
                <w:rFonts w:ascii="Times New Roman" w:hAnsi="Times New Roman" w:cs="Times New Roman" w:eastAsia="Times New Roman" w:hint="default"/>
                <w:sz w:val="21"/>
                <w:szCs w:val="21"/>
              </w:rPr>
              <w:t>450,000,000.00  </w:t>
            </w:r>
            <w:r>
              <w:rPr>
                <w:rFonts w:ascii="宋体" w:hAnsi="宋体" w:cs="宋体" w:eastAsia="宋体" w:hint="default"/>
                <w:spacing w:val="-4"/>
                <w:sz w:val="21"/>
                <w:szCs w:val="21"/>
              </w:rPr>
              <w:t>元，使用期限不超过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w:t>
            </w:r>
          </w:p>
          <w:p>
            <w:pPr>
              <w:pStyle w:val="TableParagraph"/>
              <w:spacing w:line="28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 </w:t>
            </w:r>
            <w:r>
              <w:rPr>
                <w:rFonts w:ascii="Times New Roman" w:hAnsi="Times New Roman" w:cs="Times New Roman" w:eastAsia="Times New Roman" w:hint="default"/>
                <w:sz w:val="21"/>
                <w:szCs w:val="21"/>
              </w:rPr>
              <w:t>15  </w:t>
            </w:r>
            <w:r>
              <w:rPr>
                <w:rFonts w:ascii="宋体" w:hAnsi="宋体" w:cs="宋体" w:eastAsia="宋体" w:hint="default"/>
                <w:sz w:val="21"/>
                <w:szCs w:val="21"/>
              </w:rPr>
              <w:t>日，公司已将上述用于暂时补充流动资金的募集资金人民币 </w:t>
            </w:r>
            <w:r>
              <w:rPr>
                <w:rFonts w:ascii="Times New Roman" w:hAnsi="Times New Roman" w:cs="Times New Roman" w:eastAsia="Times New Roman" w:hint="default"/>
                <w:sz w:val="21"/>
                <w:szCs w:val="21"/>
              </w:rPr>
              <w:t>45,000</w:t>
            </w:r>
          </w:p>
          <w:p>
            <w:pPr>
              <w:pStyle w:val="TableParagraph"/>
              <w:spacing w:line="307" w:lineRule="auto" w:before="26"/>
              <w:ind w:left="100" w:right="5569"/>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pacing w:val="-103"/>
                <w:sz w:val="21"/>
                <w:szCs w:val="21"/>
              </w:rPr>
              <w:t> </w:t>
            </w:r>
            <w:r>
              <w:rPr>
                <w:rFonts w:ascii="宋体" w:hAnsi="宋体" w:cs="宋体" w:eastAsia="宋体" w:hint="default"/>
                <w:spacing w:val="-1"/>
                <w:sz w:val="21"/>
                <w:szCs w:val="21"/>
              </w:rPr>
              <w:t>归还至募集资金专项账户。</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项目实施出现募</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568" w:type="dxa"/>
        <w:tblLayout w:type="fixed"/>
        <w:tblCellMar>
          <w:top w:w="0" w:type="dxa"/>
          <w:left w:w="0" w:type="dxa"/>
          <w:bottom w:w="0" w:type="dxa"/>
          <w:right w:w="0" w:type="dxa"/>
        </w:tblCellMar>
        <w:tblLook w:val="01E0"/>
      </w:tblPr>
      <w:tblGrid>
        <w:gridCol w:w="1772"/>
        <w:gridCol w:w="8207"/>
      </w:tblGrid>
      <w:tr>
        <w:trPr>
          <w:trHeight w:val="67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集资金结余的金</w:t>
            </w:r>
          </w:p>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额及原因</w:t>
            </w:r>
          </w:p>
        </w:tc>
        <w:tc>
          <w:tcPr>
            <w:tcW w:w="820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28"/>
              <w:ind w:left="105" w:right="180"/>
              <w:jc w:val="left"/>
              <w:rPr>
                <w:rFonts w:ascii="宋体" w:hAnsi="宋体" w:cs="宋体" w:eastAsia="宋体" w:hint="default"/>
                <w:sz w:val="21"/>
                <w:szCs w:val="21"/>
              </w:rPr>
            </w:pPr>
            <w:r>
              <w:rPr>
                <w:rFonts w:ascii="宋体" w:hAnsi="宋体" w:cs="宋体" w:eastAsia="宋体" w:hint="default"/>
                <w:sz w:val="21"/>
                <w:szCs w:val="21"/>
              </w:rPr>
              <w:t>尚未使用的募集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资金用途及去向</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00" w:right="0"/>
              <w:jc w:val="left"/>
              <w:rPr>
                <w:rFonts w:ascii="宋体" w:hAnsi="宋体" w:cs="宋体" w:eastAsia="宋体" w:hint="default"/>
                <w:sz w:val="21"/>
                <w:szCs w:val="21"/>
              </w:rPr>
            </w:pPr>
            <w:r>
              <w:rPr>
                <w:rFonts w:ascii="宋体" w:hAnsi="宋体" w:cs="宋体" w:eastAsia="宋体" w:hint="default"/>
                <w:sz w:val="21"/>
                <w:szCs w:val="21"/>
              </w:rPr>
              <w:t>存放于募集资金专户余额为 </w:t>
            </w:r>
            <w:r>
              <w:rPr>
                <w:rFonts w:ascii="Times New Roman" w:hAnsi="Times New Roman" w:cs="Times New Roman" w:eastAsia="Times New Roman" w:hint="default"/>
                <w:sz w:val="21"/>
                <w:szCs w:val="21"/>
              </w:rPr>
              <w:t>116,007,248.14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元。</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80"/>
              <w:jc w:val="both"/>
              <w:rPr>
                <w:rFonts w:ascii="宋体" w:hAnsi="宋体" w:cs="宋体" w:eastAsia="宋体" w:hint="default"/>
                <w:sz w:val="21"/>
                <w:szCs w:val="21"/>
              </w:rPr>
            </w:pPr>
            <w:r>
              <w:rPr>
                <w:rFonts w:ascii="宋体" w:hAnsi="宋体" w:cs="宋体" w:eastAsia="宋体" w:hint="default"/>
                <w:sz w:val="21"/>
                <w:szCs w:val="21"/>
              </w:rPr>
              <w:t>募集资金使用及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披露中存在的问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题或其他情况</w:t>
            </w:r>
          </w:p>
        </w:tc>
        <w:tc>
          <w:tcPr>
            <w:tcW w:w="8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left="573" w:right="6969"/>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3"/>
          <w:szCs w:val="23"/>
        </w:rPr>
      </w:pPr>
    </w:p>
    <w:p>
      <w:pPr>
        <w:spacing w:before="46"/>
        <w:ind w:left="573" w:right="696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9"/>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320"/>
        <w:gridCol w:w="1046"/>
        <w:gridCol w:w="956"/>
        <w:gridCol w:w="961"/>
        <w:gridCol w:w="956"/>
        <w:gridCol w:w="955"/>
        <w:gridCol w:w="960"/>
        <w:gridCol w:w="956"/>
        <w:gridCol w:w="1056"/>
        <w:gridCol w:w="1321"/>
      </w:tblGrid>
      <w:tr>
        <w:trPr>
          <w:trHeight w:val="1652" w:hRule="exact"/>
        </w:trPr>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auto"/>
              <w:ind w:left="547" w:right="128" w:hanging="423"/>
              <w:jc w:val="left"/>
              <w:rPr>
                <w:rFonts w:ascii="宋体" w:hAnsi="宋体" w:cs="宋体" w:eastAsia="宋体" w:hint="default"/>
                <w:sz w:val="21"/>
                <w:szCs w:val="21"/>
              </w:rPr>
            </w:pPr>
            <w:r>
              <w:rPr>
                <w:rFonts w:ascii="宋体" w:hAnsi="宋体" w:cs="宋体" w:eastAsia="宋体" w:hint="default"/>
                <w:sz w:val="21"/>
                <w:szCs w:val="21"/>
              </w:rPr>
              <w:t>变更后的项</w:t>
            </w:r>
            <w:r>
              <w:rPr>
                <w:rFonts w:ascii="宋体" w:hAnsi="宋体" w:cs="宋体" w:eastAsia="宋体" w:hint="default"/>
                <w:spacing w:val="-99"/>
                <w:sz w:val="21"/>
                <w:szCs w:val="21"/>
              </w:rPr>
              <w:t> </w:t>
            </w:r>
            <w:r>
              <w:rPr>
                <w:rFonts w:ascii="宋体" w:hAnsi="宋体" w:cs="宋体" w:eastAsia="宋体" w:hint="default"/>
                <w:sz w:val="21"/>
                <w:szCs w:val="21"/>
              </w:rPr>
              <w:t>目</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201" w:right="199"/>
              <w:jc w:val="both"/>
              <w:rPr>
                <w:rFonts w:ascii="宋体" w:hAnsi="宋体" w:cs="宋体" w:eastAsia="宋体" w:hint="default"/>
                <w:sz w:val="21"/>
                <w:szCs w:val="21"/>
              </w:rPr>
            </w:pPr>
            <w:r>
              <w:rPr>
                <w:rFonts w:ascii="宋体" w:hAnsi="宋体" w:cs="宋体" w:eastAsia="宋体" w:hint="default"/>
                <w:sz w:val="21"/>
                <w:szCs w:val="21"/>
              </w:rPr>
              <w:t>对应的</w:t>
            </w:r>
            <w:r>
              <w:rPr>
                <w:rFonts w:ascii="宋体" w:hAnsi="宋体" w:cs="宋体" w:eastAsia="宋体" w:hint="default"/>
                <w:spacing w:val="-102"/>
                <w:sz w:val="21"/>
                <w:szCs w:val="21"/>
              </w:rPr>
              <w:t> </w:t>
            </w:r>
            <w:r>
              <w:rPr>
                <w:rFonts w:ascii="宋体" w:hAnsi="宋体" w:cs="宋体" w:eastAsia="宋体" w:hint="default"/>
                <w:sz w:val="21"/>
                <w:szCs w:val="21"/>
              </w:rPr>
              <w:t>原承诺</w:t>
            </w:r>
            <w:r>
              <w:rPr>
                <w:rFonts w:ascii="宋体" w:hAnsi="宋体" w:cs="宋体" w:eastAsia="宋体" w:hint="default"/>
                <w:spacing w:val="-102"/>
                <w:sz w:val="21"/>
                <w:szCs w:val="21"/>
              </w:rPr>
              <w:t> </w:t>
            </w:r>
            <w:r>
              <w:rPr>
                <w:rFonts w:ascii="宋体" w:hAnsi="宋体" w:cs="宋体" w:eastAsia="宋体" w:hint="default"/>
                <w:sz w:val="21"/>
                <w:szCs w:val="21"/>
              </w:rPr>
              <w:t>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44" w:right="134" w:firstLine="14"/>
              <w:jc w:val="both"/>
              <w:rPr>
                <w:rFonts w:ascii="Times New Roman" w:hAnsi="Times New Roman" w:cs="Times New Roman" w:eastAsia="Times New Roman" w:hint="default"/>
                <w:sz w:val="21"/>
                <w:szCs w:val="21"/>
              </w:rPr>
            </w:pPr>
            <w:r>
              <w:rPr>
                <w:rFonts w:ascii="宋体" w:hAnsi="宋体" w:cs="宋体" w:eastAsia="宋体" w:hint="default"/>
                <w:sz w:val="21"/>
                <w:szCs w:val="21"/>
              </w:rPr>
              <w:t>变更后</w:t>
            </w:r>
            <w:r>
              <w:rPr>
                <w:rFonts w:ascii="宋体" w:hAnsi="宋体" w:cs="宋体" w:eastAsia="宋体" w:hint="default"/>
                <w:w w:val="100"/>
                <w:sz w:val="21"/>
                <w:szCs w:val="21"/>
              </w:rPr>
              <w:t> </w:t>
            </w:r>
            <w:r>
              <w:rPr>
                <w:rFonts w:ascii="宋体" w:hAnsi="宋体" w:cs="宋体" w:eastAsia="宋体" w:hint="default"/>
                <w:sz w:val="21"/>
                <w:szCs w:val="21"/>
              </w:rPr>
              <w:t>项目拟</w:t>
            </w:r>
            <w:r>
              <w:rPr>
                <w:rFonts w:ascii="宋体" w:hAnsi="宋体" w:cs="宋体" w:eastAsia="宋体" w:hint="default"/>
                <w:spacing w:val="-102"/>
                <w:sz w:val="21"/>
                <w:szCs w:val="21"/>
              </w:rPr>
              <w:t> </w:t>
            </w:r>
            <w:r>
              <w:rPr>
                <w:rFonts w:ascii="宋体" w:hAnsi="宋体" w:cs="宋体" w:eastAsia="宋体" w:hint="default"/>
                <w:sz w:val="21"/>
                <w:szCs w:val="21"/>
              </w:rPr>
              <w:t>投入募</w:t>
            </w:r>
            <w:r>
              <w:rPr>
                <w:rFonts w:ascii="宋体" w:hAnsi="宋体" w:cs="宋体" w:eastAsia="宋体" w:hint="default"/>
                <w:spacing w:val="-102"/>
                <w:sz w:val="21"/>
                <w:szCs w:val="21"/>
              </w:rPr>
              <w:t> </w:t>
            </w:r>
            <w:r>
              <w:rPr>
                <w:rFonts w:ascii="宋体" w:hAnsi="宋体" w:cs="宋体" w:eastAsia="宋体" w:hint="default"/>
                <w:sz w:val="21"/>
                <w:szCs w:val="21"/>
              </w:rPr>
              <w:t>集资金</w:t>
            </w:r>
            <w:r>
              <w:rPr>
                <w:rFonts w:ascii="宋体" w:hAnsi="宋体" w:cs="宋体" w:eastAsia="宋体" w:hint="default"/>
                <w:spacing w:val="-102"/>
                <w:sz w:val="21"/>
                <w:szCs w:val="21"/>
              </w:rPr>
              <w:t> </w:t>
            </w:r>
            <w:r>
              <w:rPr>
                <w:rFonts w:ascii="宋体" w:hAnsi="宋体" w:cs="宋体" w:eastAsia="宋体" w:hint="default"/>
                <w:sz w:val="21"/>
                <w:szCs w:val="21"/>
              </w:rPr>
              <w:t>总额</w:t>
            </w:r>
            <w:r>
              <w:rPr>
                <w:rFonts w:ascii="Times New Roman" w:hAnsi="Times New Roman" w:cs="Times New Roman" w:eastAsia="Times New Roman" w:hint="default"/>
                <w:sz w:val="21"/>
                <w:szCs w:val="21"/>
              </w:rPr>
              <w:t>(1)</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63" w:right="152"/>
              <w:jc w:val="center"/>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w w:val="100"/>
                <w:sz w:val="21"/>
                <w:szCs w:val="21"/>
              </w:rPr>
              <w:t> </w:t>
            </w:r>
            <w:r>
              <w:rPr>
                <w:rFonts w:ascii="宋体" w:hAnsi="宋体" w:cs="宋体" w:eastAsia="宋体" w:hint="default"/>
                <w:sz w:val="21"/>
                <w:szCs w:val="21"/>
              </w:rPr>
              <w:t>期实际</w:t>
            </w:r>
            <w:r>
              <w:rPr>
                <w:rFonts w:ascii="宋体" w:hAnsi="宋体" w:cs="宋体" w:eastAsia="宋体" w:hint="default"/>
                <w:w w:val="100"/>
                <w:sz w:val="21"/>
                <w:szCs w:val="21"/>
              </w:rPr>
              <w:t> </w:t>
            </w:r>
            <w:r>
              <w:rPr>
                <w:rFonts w:ascii="宋体" w:hAnsi="宋体" w:cs="宋体" w:eastAsia="宋体" w:hint="default"/>
                <w:sz w:val="21"/>
                <w:szCs w:val="21"/>
              </w:rPr>
              <w:t>投入金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58" w:right="153"/>
              <w:jc w:val="center"/>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末实际</w:t>
            </w:r>
            <w:r>
              <w:rPr>
                <w:rFonts w:ascii="宋体" w:hAnsi="宋体" w:cs="宋体" w:eastAsia="宋体" w:hint="default"/>
                <w:w w:val="100"/>
                <w:sz w:val="21"/>
                <w:szCs w:val="21"/>
              </w:rPr>
              <w:t> </w:t>
            </w:r>
            <w:r>
              <w:rPr>
                <w:rFonts w:ascii="宋体" w:hAnsi="宋体" w:cs="宋体" w:eastAsia="宋体" w:hint="default"/>
                <w:sz w:val="21"/>
                <w:szCs w:val="21"/>
              </w:rPr>
              <w:t>累计投</w:t>
            </w:r>
            <w:r>
              <w:rPr>
                <w:rFonts w:ascii="宋体" w:hAnsi="宋体" w:cs="宋体" w:eastAsia="宋体" w:hint="default"/>
                <w:w w:val="100"/>
                <w:sz w:val="21"/>
                <w:szCs w:val="21"/>
              </w:rPr>
              <w:t> </w:t>
            </w:r>
            <w:r>
              <w:rPr>
                <w:rFonts w:ascii="宋体" w:hAnsi="宋体" w:cs="宋体" w:eastAsia="宋体" w:hint="default"/>
                <w:sz w:val="21"/>
                <w:szCs w:val="21"/>
              </w:rPr>
              <w:t>入金额</w:t>
            </w:r>
          </w:p>
          <w:p>
            <w:pPr>
              <w:pStyle w:val="TableParagraph"/>
              <w:spacing w:line="240" w:lineRule="auto" w:before="64"/>
              <w:ind w:left="2" w:right="0"/>
              <w:jc w:val="center"/>
              <w:rPr>
                <w:rFonts w:ascii="Times New Roman" w:hAnsi="Times New Roman" w:cs="Times New Roman" w:eastAsia="Times New Roman" w:hint="default"/>
                <w:sz w:val="21"/>
                <w:szCs w:val="21"/>
              </w:rPr>
            </w:pPr>
            <w:r>
              <w:rPr>
                <w:rFonts w:ascii="Times New Roman"/>
                <w:sz w:val="21"/>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05" w:right="101" w:firstLine="52"/>
              <w:jc w:val="both"/>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r>
              <w:rPr>
                <w:rFonts w:ascii="宋体" w:hAnsi="宋体" w:cs="宋体" w:eastAsia="宋体" w:hint="default"/>
                <w:spacing w:val="-102"/>
                <w:sz w:val="21"/>
                <w:szCs w:val="21"/>
              </w:rPr>
              <w:t> </w:t>
            </w:r>
            <w:r>
              <w:rPr>
                <w:rFonts w:ascii="宋体" w:hAnsi="宋体" w:cs="宋体" w:eastAsia="宋体" w:hint="default"/>
                <w:sz w:val="21"/>
                <w:szCs w:val="21"/>
              </w:rPr>
              <w:t>进度</w:t>
            </w:r>
          </w:p>
          <w:p>
            <w:pPr>
              <w:pStyle w:val="TableParagraph"/>
              <w:spacing w:line="314" w:lineRule="auto" w:before="59"/>
              <w:ind w:left="388" w:right="101" w:hanging="284"/>
              <w:jc w:val="left"/>
              <w:rPr>
                <w:rFonts w:ascii="Times New Roman" w:hAnsi="Times New Roman" w:cs="Times New Roman" w:eastAsia="Times New Roman" w:hint="default"/>
                <w:sz w:val="21"/>
                <w:szCs w:val="21"/>
              </w:rPr>
            </w:pPr>
            <w:r>
              <w:rPr>
                <w:rFonts w:ascii="Times New Roman"/>
                <w:sz w:val="21"/>
              </w:rPr>
              <w:t>(3)=(2)/(</w:t>
            </w:r>
            <w:r>
              <w:rPr>
                <w:rFonts w:ascii="Times New Roman"/>
                <w:w w:val="100"/>
                <w:sz w:val="21"/>
              </w:rPr>
              <w:t> </w:t>
            </w:r>
            <w:r>
              <w:rPr>
                <w:rFonts w:ascii="Times New Roman"/>
                <w:sz w:val="21"/>
              </w:rPr>
              <w:t>1)</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8" w:right="156"/>
              <w:jc w:val="center"/>
              <w:rPr>
                <w:rFonts w:ascii="宋体" w:hAnsi="宋体" w:cs="宋体" w:eastAsia="宋体" w:hint="default"/>
                <w:sz w:val="21"/>
                <w:szCs w:val="21"/>
              </w:rPr>
            </w:pPr>
            <w:r>
              <w:rPr>
                <w:rFonts w:ascii="宋体" w:hAnsi="宋体" w:cs="宋体" w:eastAsia="宋体" w:hint="default"/>
                <w:sz w:val="21"/>
                <w:szCs w:val="21"/>
              </w:rPr>
              <w:t>项目达</w:t>
            </w:r>
            <w:r>
              <w:rPr>
                <w:rFonts w:ascii="宋体" w:hAnsi="宋体" w:cs="宋体" w:eastAsia="宋体" w:hint="default"/>
                <w:w w:val="100"/>
                <w:sz w:val="21"/>
                <w:szCs w:val="21"/>
              </w:rPr>
              <w:t> </w:t>
            </w:r>
            <w:r>
              <w:rPr>
                <w:rFonts w:ascii="宋体" w:hAnsi="宋体" w:cs="宋体" w:eastAsia="宋体" w:hint="default"/>
                <w:sz w:val="21"/>
                <w:szCs w:val="21"/>
              </w:rPr>
              <w:t>到预定</w:t>
            </w:r>
            <w:r>
              <w:rPr>
                <w:rFonts w:ascii="宋体" w:hAnsi="宋体" w:cs="宋体" w:eastAsia="宋体" w:hint="default"/>
                <w:w w:val="100"/>
                <w:sz w:val="21"/>
                <w:szCs w:val="21"/>
              </w:rPr>
              <w:t> </w:t>
            </w:r>
            <w:r>
              <w:rPr>
                <w:rFonts w:ascii="宋体" w:hAnsi="宋体" w:cs="宋体" w:eastAsia="宋体" w:hint="default"/>
                <w:sz w:val="21"/>
                <w:szCs w:val="21"/>
              </w:rPr>
              <w:t>可使用</w:t>
            </w:r>
            <w:r>
              <w:rPr>
                <w:rFonts w:ascii="宋体" w:hAnsi="宋体" w:cs="宋体" w:eastAsia="宋体" w:hint="default"/>
                <w:w w:val="100"/>
                <w:sz w:val="21"/>
                <w:szCs w:val="21"/>
              </w:rPr>
              <w:t> </w:t>
            </w:r>
            <w:r>
              <w:rPr>
                <w:rFonts w:ascii="宋体" w:hAnsi="宋体" w:cs="宋体" w:eastAsia="宋体" w:hint="default"/>
                <w:sz w:val="21"/>
                <w:szCs w:val="21"/>
              </w:rPr>
              <w:t>状态日</w:t>
            </w:r>
            <w:r>
              <w:rPr>
                <w:rFonts w:ascii="宋体" w:hAnsi="宋体" w:cs="宋体" w:eastAsia="宋体" w:hint="default"/>
                <w:w w:val="100"/>
                <w:sz w:val="21"/>
                <w:szCs w:val="21"/>
              </w:rPr>
              <w:t> </w:t>
            </w:r>
            <w:r>
              <w:rPr>
                <w:rFonts w:ascii="宋体" w:hAnsi="宋体" w:cs="宋体" w:eastAsia="宋体" w:hint="default"/>
                <w:sz w:val="21"/>
                <w:szCs w:val="21"/>
              </w:rPr>
              <w:t>期</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158" w:right="152"/>
              <w:jc w:val="both"/>
              <w:rPr>
                <w:rFonts w:ascii="宋体" w:hAnsi="宋体" w:cs="宋体" w:eastAsia="宋体" w:hint="default"/>
                <w:sz w:val="21"/>
                <w:szCs w:val="21"/>
              </w:rPr>
            </w:pPr>
            <w:r>
              <w:rPr>
                <w:rFonts w:ascii="宋体" w:hAnsi="宋体" w:cs="宋体" w:eastAsia="宋体" w:hint="default"/>
                <w:sz w:val="21"/>
                <w:szCs w:val="21"/>
              </w:rPr>
              <w:t>本报告</w:t>
            </w:r>
            <w:r>
              <w:rPr>
                <w:rFonts w:ascii="宋体" w:hAnsi="宋体" w:cs="宋体" w:eastAsia="宋体" w:hint="default"/>
                <w:spacing w:val="-102"/>
                <w:sz w:val="21"/>
                <w:szCs w:val="21"/>
              </w:rPr>
              <w:t> </w:t>
            </w:r>
            <w:r>
              <w:rPr>
                <w:rFonts w:ascii="宋体" w:hAnsi="宋体" w:cs="宋体" w:eastAsia="宋体" w:hint="default"/>
                <w:sz w:val="21"/>
                <w:szCs w:val="21"/>
              </w:rPr>
              <w:t>期实现</w:t>
            </w:r>
            <w:r>
              <w:rPr>
                <w:rFonts w:ascii="宋体" w:hAnsi="宋体" w:cs="宋体" w:eastAsia="宋体" w:hint="default"/>
                <w:spacing w:val="-102"/>
                <w:sz w:val="21"/>
                <w:szCs w:val="21"/>
              </w:rPr>
              <w:t> </w:t>
            </w:r>
            <w:r>
              <w:rPr>
                <w:rFonts w:ascii="宋体" w:hAnsi="宋体" w:cs="宋体" w:eastAsia="宋体" w:hint="default"/>
                <w:sz w:val="21"/>
                <w:szCs w:val="21"/>
              </w:rPr>
              <w:t>的效益</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73" w:lineRule="auto"/>
              <w:ind w:left="105" w:right="94"/>
              <w:jc w:val="left"/>
              <w:rPr>
                <w:rFonts w:ascii="宋体" w:hAnsi="宋体" w:cs="宋体" w:eastAsia="宋体" w:hint="default"/>
                <w:sz w:val="21"/>
                <w:szCs w:val="21"/>
              </w:rPr>
            </w:pPr>
            <w:r>
              <w:rPr>
                <w:rFonts w:ascii="宋体" w:hAnsi="宋体" w:cs="宋体" w:eastAsia="宋体" w:hint="default"/>
                <w:sz w:val="21"/>
                <w:szCs w:val="21"/>
              </w:rPr>
              <w:t>是否达到</w:t>
            </w:r>
            <w:r>
              <w:rPr>
                <w:rFonts w:ascii="宋体" w:hAnsi="宋体" w:cs="宋体" w:eastAsia="宋体" w:hint="default"/>
                <w:spacing w:val="-101"/>
                <w:sz w:val="21"/>
                <w:szCs w:val="21"/>
              </w:rPr>
              <w:t> </w:t>
            </w:r>
            <w:r>
              <w:rPr>
                <w:rFonts w:ascii="宋体" w:hAnsi="宋体" w:cs="宋体" w:eastAsia="宋体" w:hint="default"/>
                <w:sz w:val="21"/>
                <w:szCs w:val="21"/>
              </w:rPr>
              <w:t>预计效益</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29" w:right="123"/>
              <w:jc w:val="center"/>
              <w:rPr>
                <w:rFonts w:ascii="宋体" w:hAnsi="宋体" w:cs="宋体" w:eastAsia="宋体" w:hint="default"/>
                <w:sz w:val="21"/>
                <w:szCs w:val="21"/>
              </w:rPr>
            </w:pPr>
            <w:r>
              <w:rPr>
                <w:rFonts w:ascii="宋体" w:hAnsi="宋体" w:cs="宋体" w:eastAsia="宋体" w:hint="default"/>
                <w:sz w:val="21"/>
                <w:szCs w:val="21"/>
              </w:rPr>
              <w:t>变更后的项</w:t>
            </w:r>
            <w:r>
              <w:rPr>
                <w:rFonts w:ascii="宋体" w:hAnsi="宋体" w:cs="宋体" w:eastAsia="宋体" w:hint="default"/>
                <w:w w:val="100"/>
                <w:sz w:val="21"/>
                <w:szCs w:val="21"/>
              </w:rPr>
              <w:t> </w:t>
            </w:r>
            <w:r>
              <w:rPr>
                <w:rFonts w:ascii="宋体" w:hAnsi="宋体" w:cs="宋体" w:eastAsia="宋体" w:hint="default"/>
                <w:sz w:val="21"/>
                <w:szCs w:val="21"/>
              </w:rPr>
              <w:t>目可行性是</w:t>
            </w:r>
            <w:r>
              <w:rPr>
                <w:rFonts w:ascii="宋体" w:hAnsi="宋体" w:cs="宋体" w:eastAsia="宋体" w:hint="default"/>
                <w:w w:val="100"/>
                <w:sz w:val="21"/>
                <w:szCs w:val="21"/>
              </w:rPr>
              <w:t> </w:t>
            </w:r>
            <w:r>
              <w:rPr>
                <w:rFonts w:ascii="宋体" w:hAnsi="宋体" w:cs="宋体" w:eastAsia="宋体" w:hint="default"/>
                <w:sz w:val="21"/>
                <w:szCs w:val="21"/>
              </w:rPr>
              <w:t>否发生重大</w:t>
            </w:r>
            <w:r>
              <w:rPr>
                <w:rFonts w:ascii="宋体" w:hAnsi="宋体" w:cs="宋体" w:eastAsia="宋体" w:hint="default"/>
                <w:w w:val="100"/>
                <w:sz w:val="21"/>
                <w:szCs w:val="21"/>
              </w:rPr>
              <w:t> </w:t>
            </w:r>
            <w:r>
              <w:rPr>
                <w:rFonts w:ascii="宋体" w:hAnsi="宋体" w:cs="宋体" w:eastAsia="宋体" w:hint="default"/>
                <w:sz w:val="21"/>
                <w:szCs w:val="21"/>
              </w:rPr>
              <w:t>变化</w:t>
            </w:r>
          </w:p>
        </w:tc>
      </w:tr>
      <w:tr>
        <w:trPr>
          <w:trHeight w:val="2271"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1" w:lineRule="auto"/>
              <w:ind w:left="100" w:right="152"/>
              <w:jc w:val="both"/>
              <w:rPr>
                <w:rFonts w:ascii="宋体" w:hAnsi="宋体" w:cs="宋体" w:eastAsia="宋体" w:hint="default"/>
                <w:sz w:val="21"/>
                <w:szCs w:val="21"/>
              </w:rPr>
            </w:pPr>
            <w:r>
              <w:rPr>
                <w:rFonts w:ascii="宋体" w:hAnsi="宋体" w:cs="宋体" w:eastAsia="宋体" w:hint="default"/>
                <w:sz w:val="21"/>
                <w:szCs w:val="21"/>
              </w:rPr>
              <w:t>投资中国联</w:t>
            </w:r>
            <w:r>
              <w:rPr>
                <w:rFonts w:ascii="宋体" w:hAnsi="宋体" w:cs="宋体" w:eastAsia="宋体" w:hint="default"/>
                <w:spacing w:val="-99"/>
                <w:sz w:val="21"/>
                <w:szCs w:val="21"/>
              </w:rPr>
              <w:t> </w:t>
            </w:r>
            <w:r>
              <w:rPr>
                <w:rFonts w:ascii="宋体" w:hAnsi="宋体" w:cs="宋体" w:eastAsia="宋体" w:hint="default"/>
                <w:sz w:val="21"/>
                <w:szCs w:val="21"/>
              </w:rPr>
              <w:t>通移动业务</w:t>
            </w:r>
            <w:r>
              <w:rPr>
                <w:rFonts w:ascii="宋体" w:hAnsi="宋体" w:cs="宋体" w:eastAsia="宋体" w:hint="default"/>
                <w:spacing w:val="-99"/>
                <w:sz w:val="21"/>
                <w:szCs w:val="21"/>
              </w:rPr>
              <w:t> </w:t>
            </w:r>
            <w:r>
              <w:rPr>
                <w:rFonts w:ascii="宋体" w:hAnsi="宋体" w:cs="宋体" w:eastAsia="宋体" w:hint="default"/>
                <w:sz w:val="21"/>
                <w:szCs w:val="21"/>
              </w:rPr>
              <w:t>社会化服务</w:t>
            </w:r>
            <w:r>
              <w:rPr>
                <w:rFonts w:ascii="宋体" w:hAnsi="宋体" w:cs="宋体" w:eastAsia="宋体" w:hint="default"/>
                <w:spacing w:val="-99"/>
                <w:sz w:val="21"/>
                <w:szCs w:val="21"/>
              </w:rPr>
              <w:t> </w:t>
            </w:r>
            <w:r>
              <w:rPr>
                <w:rFonts w:ascii="宋体" w:hAnsi="宋体" w:cs="宋体" w:eastAsia="宋体" w:hint="default"/>
                <w:sz w:val="21"/>
                <w:szCs w:val="21"/>
              </w:rPr>
              <w:t>合作</w:t>
            </w:r>
            <w:r>
              <w:rPr>
                <w:rFonts w:ascii="Times New Roman" w:hAnsi="Times New Roman" w:cs="Times New Roman" w:eastAsia="Times New Roman" w:hint="default"/>
                <w:sz w:val="21"/>
                <w:szCs w:val="21"/>
              </w:rPr>
              <w:t>--</w:t>
            </w:r>
            <w:r>
              <w:rPr>
                <w:rFonts w:ascii="宋体" w:hAnsi="宋体" w:cs="宋体" w:eastAsia="宋体" w:hint="default"/>
                <w:sz w:val="21"/>
                <w:szCs w:val="21"/>
              </w:rPr>
              <w:t>云南</w:t>
            </w:r>
            <w:r>
              <w:rPr>
                <w:rFonts w:ascii="宋体" w:hAnsi="宋体" w:cs="宋体" w:eastAsia="宋体" w:hint="default"/>
                <w:spacing w:val="-103"/>
                <w:sz w:val="21"/>
                <w:szCs w:val="21"/>
              </w:rPr>
              <w:t> </w:t>
            </w:r>
            <w:r>
              <w:rPr>
                <w:rFonts w:ascii="宋体" w:hAnsi="宋体" w:cs="宋体" w:eastAsia="宋体" w:hint="default"/>
                <w:sz w:val="21"/>
                <w:szCs w:val="21"/>
              </w:rPr>
              <w:t>联通移动业</w:t>
            </w:r>
            <w:r>
              <w:rPr>
                <w:rFonts w:ascii="宋体" w:hAnsi="宋体" w:cs="宋体" w:eastAsia="宋体" w:hint="default"/>
                <w:spacing w:val="-99"/>
                <w:sz w:val="21"/>
                <w:szCs w:val="21"/>
              </w:rPr>
              <w:t> </w:t>
            </w:r>
            <w:r>
              <w:rPr>
                <w:rFonts w:ascii="宋体" w:hAnsi="宋体" w:cs="宋体" w:eastAsia="宋体" w:hint="default"/>
                <w:sz w:val="21"/>
                <w:szCs w:val="21"/>
              </w:rPr>
              <w:t>务项目建设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300"/>
              <w:jc w:val="both"/>
              <w:rPr>
                <w:rFonts w:ascii="宋体" w:hAnsi="宋体" w:cs="宋体" w:eastAsia="宋体" w:hint="default"/>
                <w:sz w:val="21"/>
                <w:szCs w:val="21"/>
              </w:rPr>
            </w:pPr>
            <w:r>
              <w:rPr>
                <w:rFonts w:ascii="宋体" w:hAnsi="宋体" w:cs="宋体" w:eastAsia="宋体" w:hint="default"/>
                <w:sz w:val="21"/>
                <w:szCs w:val="21"/>
              </w:rPr>
              <w:t>公共安</w:t>
            </w:r>
            <w:r>
              <w:rPr>
                <w:rFonts w:ascii="宋体" w:hAnsi="宋体" w:cs="宋体" w:eastAsia="宋体" w:hint="default"/>
                <w:spacing w:val="-102"/>
                <w:sz w:val="21"/>
                <w:szCs w:val="21"/>
              </w:rPr>
              <w:t> </w:t>
            </w:r>
            <w:r>
              <w:rPr>
                <w:rFonts w:ascii="宋体" w:hAnsi="宋体" w:cs="宋体" w:eastAsia="宋体" w:hint="default"/>
                <w:sz w:val="21"/>
                <w:szCs w:val="21"/>
              </w:rPr>
              <w:t>全与反</w:t>
            </w:r>
            <w:r>
              <w:rPr>
                <w:rFonts w:ascii="宋体" w:hAnsi="宋体" w:cs="宋体" w:eastAsia="宋体" w:hint="default"/>
                <w:spacing w:val="-102"/>
                <w:sz w:val="21"/>
                <w:szCs w:val="21"/>
              </w:rPr>
              <w:t> </w:t>
            </w:r>
            <w:r>
              <w:rPr>
                <w:rFonts w:ascii="宋体" w:hAnsi="宋体" w:cs="宋体" w:eastAsia="宋体" w:hint="default"/>
                <w:sz w:val="21"/>
                <w:szCs w:val="21"/>
              </w:rPr>
              <w:t>恐领域</w:t>
            </w:r>
            <w:r>
              <w:rPr>
                <w:rFonts w:ascii="宋体" w:hAnsi="宋体" w:cs="宋体" w:eastAsia="宋体" w:hint="default"/>
                <w:spacing w:val="-102"/>
                <w:sz w:val="21"/>
                <w:szCs w:val="21"/>
              </w:rPr>
              <w:t> </w:t>
            </w:r>
            <w:r>
              <w:rPr>
                <w:rFonts w:ascii="宋体" w:hAnsi="宋体" w:cs="宋体" w:eastAsia="宋体" w:hint="default"/>
                <w:sz w:val="21"/>
                <w:szCs w:val="21"/>
              </w:rPr>
              <w:t>机器人</w:t>
            </w:r>
            <w:r>
              <w:rPr>
                <w:rFonts w:ascii="宋体" w:hAnsi="宋体" w:cs="宋体" w:eastAsia="宋体" w:hint="default"/>
                <w:spacing w:val="-102"/>
                <w:sz w:val="21"/>
                <w:szCs w:val="21"/>
              </w:rPr>
              <w:t> </w:t>
            </w:r>
            <w:r>
              <w:rPr>
                <w:rFonts w:ascii="宋体" w:hAnsi="宋体" w:cs="宋体" w:eastAsia="宋体" w:hint="default"/>
                <w:sz w:val="21"/>
                <w:szCs w:val="21"/>
              </w:rPr>
              <w:t>及无人</w:t>
            </w:r>
            <w:r>
              <w:rPr>
                <w:rFonts w:ascii="宋体" w:hAnsi="宋体" w:cs="宋体" w:eastAsia="宋体" w:hint="default"/>
                <w:spacing w:val="-102"/>
                <w:sz w:val="21"/>
                <w:szCs w:val="21"/>
              </w:rPr>
              <w:t> </w:t>
            </w:r>
            <w:r>
              <w:rPr>
                <w:rFonts w:ascii="宋体" w:hAnsi="宋体" w:cs="宋体" w:eastAsia="宋体" w:hint="default"/>
                <w:sz w:val="21"/>
                <w:szCs w:val="21"/>
              </w:rPr>
              <w:t>机产业</w:t>
            </w:r>
            <w:r>
              <w:rPr>
                <w:rFonts w:ascii="宋体" w:hAnsi="宋体" w:cs="宋体" w:eastAsia="宋体" w:hint="default"/>
                <w:spacing w:val="-102"/>
                <w:sz w:val="21"/>
                <w:szCs w:val="21"/>
              </w:rPr>
              <w:t> </w:t>
            </w:r>
            <w:r>
              <w:rPr>
                <w:rFonts w:ascii="宋体" w:hAnsi="宋体" w:cs="宋体" w:eastAsia="宋体" w:hint="default"/>
                <w:sz w:val="21"/>
                <w:szCs w:val="21"/>
              </w:rPr>
              <w:t>化项目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69" w:right="0"/>
              <w:jc w:val="left"/>
              <w:rPr>
                <w:rFonts w:ascii="Times New Roman" w:hAnsi="Times New Roman" w:cs="Times New Roman" w:eastAsia="Times New Roman" w:hint="default"/>
                <w:sz w:val="21"/>
                <w:szCs w:val="21"/>
              </w:rPr>
            </w:pPr>
            <w:r>
              <w:rPr>
                <w:rFonts w:ascii="Times New Roman"/>
                <w:sz w:val="21"/>
              </w:rPr>
              <w:t>50,000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4,277.56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39,271.4</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99" w:right="0"/>
              <w:jc w:val="center"/>
              <w:rPr>
                <w:rFonts w:ascii="Times New Roman" w:hAnsi="Times New Roman" w:cs="Times New Roman" w:eastAsia="Times New Roman" w:hint="default"/>
                <w:sz w:val="21"/>
                <w:szCs w:val="21"/>
              </w:rPr>
            </w:pPr>
            <w:r>
              <w:rPr>
                <w:rFonts w:ascii="Times New Roman"/>
                <w:sz w:val="21"/>
              </w:rPr>
              <w:t>78.54%</w:t>
            </w: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339.82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964"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100" w:right="152"/>
              <w:jc w:val="left"/>
              <w:rPr>
                <w:rFonts w:ascii="宋体" w:hAnsi="宋体" w:cs="宋体" w:eastAsia="宋体" w:hint="default"/>
                <w:sz w:val="21"/>
                <w:szCs w:val="21"/>
              </w:rPr>
            </w:pPr>
            <w:r>
              <w:rPr>
                <w:rFonts w:ascii="宋体" w:hAnsi="宋体" w:cs="宋体" w:eastAsia="宋体" w:hint="default"/>
                <w:sz w:val="21"/>
                <w:szCs w:val="21"/>
              </w:rPr>
              <w:t>永久性补充</w:t>
            </w:r>
            <w:r>
              <w:rPr>
                <w:rFonts w:ascii="宋体" w:hAnsi="宋体" w:cs="宋体" w:eastAsia="宋体" w:hint="default"/>
                <w:spacing w:val="-99"/>
                <w:sz w:val="21"/>
                <w:szCs w:val="21"/>
              </w:rPr>
              <w:t> </w:t>
            </w:r>
            <w:r>
              <w:rPr>
                <w:rFonts w:ascii="宋体" w:hAnsi="宋体" w:cs="宋体" w:eastAsia="宋体" w:hint="default"/>
                <w:sz w:val="21"/>
                <w:szCs w:val="21"/>
              </w:rPr>
              <w:t>流动资金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33"/>
              <w:ind w:left="100" w:right="242"/>
              <w:jc w:val="both"/>
              <w:rPr>
                <w:rFonts w:ascii="宋体" w:hAnsi="宋体" w:cs="宋体" w:eastAsia="宋体" w:hint="default"/>
                <w:sz w:val="21"/>
                <w:szCs w:val="21"/>
              </w:rPr>
            </w:pPr>
            <w:r>
              <w:rPr>
                <w:rFonts w:ascii="宋体" w:hAnsi="宋体" w:cs="宋体" w:eastAsia="宋体" w:hint="default"/>
                <w:sz w:val="21"/>
                <w:szCs w:val="21"/>
              </w:rPr>
              <w:t>基于有</w:t>
            </w:r>
            <w:r>
              <w:rPr>
                <w:rFonts w:ascii="宋体" w:hAnsi="宋体" w:cs="宋体" w:eastAsia="宋体" w:hint="default"/>
                <w:spacing w:val="-102"/>
                <w:sz w:val="21"/>
                <w:szCs w:val="21"/>
              </w:rPr>
              <w:t> </w:t>
            </w:r>
            <w:r>
              <w:rPr>
                <w:rFonts w:ascii="宋体" w:hAnsi="宋体" w:cs="宋体" w:eastAsia="宋体" w:hint="default"/>
                <w:sz w:val="21"/>
                <w:szCs w:val="21"/>
              </w:rPr>
              <w:t>线</w:t>
            </w:r>
            <w:r>
              <w:rPr>
                <w:rFonts w:ascii="Times New Roman" w:hAnsi="Times New Roman" w:cs="Times New Roman" w:eastAsia="Times New Roman" w:hint="default"/>
                <w:sz w:val="21"/>
                <w:szCs w:val="21"/>
              </w:rPr>
              <w:t>/</w:t>
            </w:r>
            <w:r>
              <w:rPr>
                <w:rFonts w:ascii="宋体" w:hAnsi="宋体" w:cs="宋体" w:eastAsia="宋体" w:hint="default"/>
                <w:sz w:val="21"/>
                <w:szCs w:val="21"/>
              </w:rPr>
              <w:t>无线</w:t>
            </w:r>
            <w:r>
              <w:rPr>
                <w:rFonts w:ascii="宋体" w:hAnsi="宋体" w:cs="宋体" w:eastAsia="宋体" w:hint="default"/>
                <w:w w:val="100"/>
                <w:sz w:val="21"/>
                <w:szCs w:val="21"/>
              </w:rPr>
              <w:t> </w:t>
            </w:r>
            <w:r>
              <w:rPr>
                <w:rFonts w:ascii="宋体" w:hAnsi="宋体" w:cs="宋体" w:eastAsia="宋体" w:hint="default"/>
                <w:sz w:val="21"/>
                <w:szCs w:val="21"/>
              </w:rPr>
              <w:t>传输的</w:t>
            </w:r>
            <w:r>
              <w:rPr>
                <w:rFonts w:ascii="宋体" w:hAnsi="宋体" w:cs="宋体" w:eastAsia="宋体" w:hint="default"/>
                <w:spacing w:val="-102"/>
                <w:sz w:val="21"/>
                <w:szCs w:val="21"/>
              </w:rPr>
              <w:t> </w:t>
            </w:r>
            <w:r>
              <w:rPr>
                <w:rFonts w:ascii="宋体" w:hAnsi="宋体" w:cs="宋体" w:eastAsia="宋体" w:hint="default"/>
                <w:sz w:val="21"/>
                <w:szCs w:val="21"/>
              </w:rPr>
              <w:t>电动汽</w:t>
            </w:r>
            <w:r>
              <w:rPr>
                <w:rFonts w:ascii="宋体" w:hAnsi="宋体" w:cs="宋体" w:eastAsia="宋体" w:hint="default"/>
                <w:spacing w:val="-102"/>
                <w:sz w:val="21"/>
                <w:szCs w:val="21"/>
              </w:rPr>
              <w:t> </w:t>
            </w:r>
            <w:r>
              <w:rPr>
                <w:rFonts w:ascii="宋体" w:hAnsi="宋体" w:cs="宋体" w:eastAsia="宋体" w:hint="default"/>
                <w:sz w:val="21"/>
                <w:szCs w:val="21"/>
              </w:rPr>
              <w:t>车自适</w:t>
            </w:r>
            <w:r>
              <w:rPr>
                <w:rFonts w:ascii="宋体" w:hAnsi="宋体" w:cs="宋体" w:eastAsia="宋体" w:hint="default"/>
                <w:spacing w:val="-102"/>
                <w:sz w:val="21"/>
                <w:szCs w:val="21"/>
              </w:rPr>
              <w:t> </w:t>
            </w:r>
            <w:r>
              <w:rPr>
                <w:rFonts w:ascii="宋体" w:hAnsi="宋体" w:cs="宋体" w:eastAsia="宋体" w:hint="default"/>
                <w:sz w:val="21"/>
                <w:szCs w:val="21"/>
              </w:rPr>
              <w:t>应智能</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23,420.2</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8</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23,420.2</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8</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0"/>
              <w:ind w:right="95"/>
              <w:jc w:val="right"/>
              <w:rPr>
                <w:rFonts w:ascii="Times New Roman" w:hAnsi="Times New Roman" w:cs="Times New Roman" w:eastAsia="Times New Roman" w:hint="default"/>
                <w:sz w:val="21"/>
                <w:szCs w:val="21"/>
              </w:rPr>
            </w:pPr>
            <w:r>
              <w:rPr>
                <w:rFonts w:ascii="Times New Roman"/>
                <w:w w:val="100"/>
                <w:sz w:val="21"/>
              </w:rPr>
              <w:t>%</w:t>
            </w: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276" w:hRule="exact"/>
        </w:trPr>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73" w:lineRule="auto"/>
              <w:ind w:left="100" w:right="152"/>
              <w:jc w:val="left"/>
              <w:rPr>
                <w:rFonts w:ascii="宋体" w:hAnsi="宋体" w:cs="宋体" w:eastAsia="宋体" w:hint="default"/>
                <w:sz w:val="21"/>
                <w:szCs w:val="21"/>
              </w:rPr>
            </w:pPr>
            <w:r>
              <w:rPr>
                <w:rFonts w:ascii="宋体" w:hAnsi="宋体" w:cs="宋体" w:eastAsia="宋体" w:hint="default"/>
                <w:sz w:val="21"/>
                <w:szCs w:val="21"/>
              </w:rPr>
              <w:t>永久性补充</w:t>
            </w:r>
            <w:r>
              <w:rPr>
                <w:rFonts w:ascii="宋体" w:hAnsi="宋体" w:cs="宋体" w:eastAsia="宋体" w:hint="default"/>
                <w:spacing w:val="-99"/>
                <w:sz w:val="21"/>
                <w:szCs w:val="21"/>
              </w:rPr>
              <w:t> </w:t>
            </w:r>
            <w:r>
              <w:rPr>
                <w:rFonts w:ascii="宋体" w:hAnsi="宋体" w:cs="宋体" w:eastAsia="宋体" w:hint="default"/>
                <w:sz w:val="21"/>
                <w:szCs w:val="21"/>
              </w:rPr>
              <w:t>流动资金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98"/>
              <w:jc w:val="left"/>
              <w:rPr>
                <w:rFonts w:ascii="宋体" w:hAnsi="宋体" w:cs="宋体" w:eastAsia="宋体" w:hint="default"/>
                <w:sz w:val="21"/>
                <w:szCs w:val="21"/>
              </w:rPr>
            </w:pPr>
            <w:r>
              <w:rPr>
                <w:rFonts w:ascii="宋体" w:hAnsi="宋体" w:cs="宋体" w:eastAsia="宋体" w:hint="default"/>
                <w:sz w:val="21"/>
                <w:szCs w:val="21"/>
              </w:rPr>
              <w:t>智能远</w:t>
            </w:r>
            <w:r>
              <w:rPr>
                <w:rFonts w:ascii="宋体" w:hAnsi="宋体" w:cs="宋体" w:eastAsia="宋体" w:hint="default"/>
                <w:spacing w:val="-102"/>
                <w:sz w:val="21"/>
                <w:szCs w:val="21"/>
              </w:rPr>
              <w:t> </w:t>
            </w:r>
            <w:r>
              <w:rPr>
                <w:rFonts w:ascii="宋体" w:hAnsi="宋体" w:cs="宋体" w:eastAsia="宋体" w:hint="default"/>
                <w:spacing w:val="-3"/>
                <w:sz w:val="21"/>
                <w:szCs w:val="21"/>
              </w:rPr>
              <w:t>动（高铁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信号）电</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力保障</w:t>
            </w:r>
            <w:r>
              <w:rPr>
                <w:rFonts w:ascii="宋体" w:hAnsi="宋体" w:cs="宋体" w:eastAsia="宋体" w:hint="default"/>
                <w:spacing w:val="-102"/>
                <w:sz w:val="21"/>
                <w:szCs w:val="21"/>
              </w:rPr>
              <w:t> </w:t>
            </w:r>
            <w:r>
              <w:rPr>
                <w:rFonts w:ascii="宋体" w:hAnsi="宋体" w:cs="宋体" w:eastAsia="宋体" w:hint="default"/>
                <w:sz w:val="21"/>
                <w:szCs w:val="21"/>
              </w:rPr>
              <w:t>系统生</w:t>
            </w:r>
            <w:r>
              <w:rPr>
                <w:rFonts w:ascii="宋体" w:hAnsi="宋体" w:cs="宋体" w:eastAsia="宋体" w:hint="default"/>
                <w:spacing w:val="-102"/>
                <w:sz w:val="21"/>
                <w:szCs w:val="21"/>
              </w:rPr>
              <w:t> </w:t>
            </w:r>
            <w:r>
              <w:rPr>
                <w:rFonts w:ascii="宋体" w:hAnsi="宋体" w:cs="宋体" w:eastAsia="宋体" w:hint="default"/>
                <w:sz w:val="21"/>
                <w:szCs w:val="21"/>
              </w:rPr>
              <w:t>产线建</w:t>
            </w:r>
            <w:r>
              <w:rPr>
                <w:rFonts w:ascii="宋体" w:hAnsi="宋体" w:cs="宋体" w:eastAsia="宋体" w:hint="default"/>
                <w:spacing w:val="-102"/>
                <w:sz w:val="21"/>
                <w:szCs w:val="21"/>
              </w:rPr>
              <w:t> </w:t>
            </w:r>
            <w:r>
              <w:rPr>
                <w:rFonts w:ascii="宋体" w:hAnsi="宋体" w:cs="宋体" w:eastAsia="宋体" w:hint="default"/>
                <w:sz w:val="21"/>
                <w:szCs w:val="21"/>
              </w:rPr>
              <w:t>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30,449.4</w:t>
            </w:r>
          </w:p>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w w:val="100"/>
                <w:sz w:val="21"/>
              </w:rPr>
              <w:t>6</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30,449.4</w:t>
            </w:r>
          </w:p>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w w:val="100"/>
                <w:sz w:val="21"/>
              </w:rPr>
              <w:t>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1"/>
              <w:ind w:right="95"/>
              <w:jc w:val="right"/>
              <w:rPr>
                <w:rFonts w:ascii="Times New Roman" w:hAnsi="Times New Roman" w:cs="Times New Roman" w:eastAsia="Times New Roman" w:hint="default"/>
                <w:sz w:val="21"/>
                <w:szCs w:val="21"/>
              </w:rPr>
            </w:pPr>
            <w:r>
              <w:rPr>
                <w:rFonts w:ascii="Times New Roman"/>
                <w:w w:val="100"/>
                <w:sz w:val="21"/>
              </w:rPr>
              <w:t>%</w:t>
            </w: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05"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9"/>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103,869.</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74</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4,277.56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93,141.1</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5</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339.82</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w:t>
            </w:r>
          </w:p>
        </w:tc>
      </w:tr>
      <w:tr>
        <w:trPr>
          <w:trHeight w:val="984" w:hRule="exact"/>
        </w:trPr>
        <w:tc>
          <w:tcPr>
            <w:tcW w:w="332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62"/>
              <w:ind w:left="100" w:right="95"/>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变更原因、决策程序及信息披露情</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况说明</w:t>
            </w:r>
            <w:r>
              <w:rPr>
                <w:rFonts w:ascii="Times New Roman" w:hAnsi="Times New Roman" w:cs="Times New Roman" w:eastAsia="Times New Roman" w:hint="default"/>
                <w:sz w:val="21"/>
                <w:szCs w:val="21"/>
              </w:rPr>
              <w:t>(</w:t>
            </w:r>
            <w:r>
              <w:rPr>
                <w:rFonts w:ascii="宋体" w:hAnsi="宋体" w:cs="宋体" w:eastAsia="宋体" w:hint="default"/>
                <w:sz w:val="21"/>
                <w:szCs w:val="21"/>
              </w:rPr>
              <w:t>分具体项目</w:t>
            </w:r>
            <w:r>
              <w:rPr>
                <w:rFonts w:ascii="Times New Roman" w:hAnsi="Times New Roman" w:cs="Times New Roman" w:eastAsia="Times New Roman" w:hint="default"/>
                <w:sz w:val="21"/>
                <w:szCs w:val="21"/>
              </w:rPr>
              <w:t>)</w:t>
            </w:r>
          </w:p>
        </w:tc>
        <w:tc>
          <w:tcPr>
            <w:tcW w:w="7165" w:type="dxa"/>
            <w:gridSpan w:val="7"/>
            <w:tcBorders>
              <w:top w:val="single" w:sz="4" w:space="0" w:color="000000"/>
              <w:left w:val="single" w:sz="4" w:space="0" w:color="000000"/>
              <w:bottom w:val="single" w:sz="4" w:space="0" w:color="000000"/>
              <w:right w:val="single" w:sz="4" w:space="0" w:color="000000"/>
            </w:tcBorders>
          </w:tcPr>
          <w:p>
            <w:pPr>
              <w:pStyle w:val="TableParagraph"/>
              <w:spacing w:line="254" w:lineRule="auto" w:before="28"/>
              <w:ind w:left="105" w:right="102"/>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、公共安全与反恐领域机器人及无人机产业化项目：随着《中共中央国务院</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5"/>
                <w:w w:val="100"/>
                <w:sz w:val="21"/>
                <w:szCs w:val="21"/>
              </w:rPr>
              <w:t>关于深化国有企业改革的指导意见》（中发〔</w:t>
            </w:r>
            <w:r>
              <w:rPr>
                <w:rFonts w:ascii="Times New Roman" w:hAnsi="Times New Roman" w:cs="Times New Roman" w:eastAsia="Times New Roman" w:hint="default"/>
                <w:spacing w:val="-5"/>
                <w:w w:val="100"/>
                <w:sz w:val="21"/>
                <w:szCs w:val="21"/>
              </w:rPr>
              <w:t>2015</w:t>
            </w:r>
            <w:r>
              <w:rPr>
                <w:rFonts w:ascii="宋体" w:hAnsi="宋体" w:cs="宋体" w:eastAsia="宋体" w:hint="default"/>
                <w:spacing w:val="-5"/>
                <w:w w:val="100"/>
                <w:sz w:val="21"/>
                <w:szCs w:val="21"/>
              </w:rPr>
              <w:t>〕</w:t>
            </w:r>
            <w:r>
              <w:rPr>
                <w:rFonts w:ascii="Times New Roman" w:hAnsi="Times New Roman" w:cs="Times New Roman" w:eastAsia="Times New Roman" w:hint="default"/>
                <w:spacing w:val="-5"/>
                <w:w w:val="100"/>
                <w:sz w:val="21"/>
                <w:szCs w:val="21"/>
              </w:rPr>
              <w:t>22</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
                <w:w w:val="100"/>
                <w:sz w:val="21"/>
                <w:szCs w:val="21"/>
              </w:rPr>
              <w:t>号）及相关文件的不</w:t>
            </w:r>
            <w:r>
              <w:rPr>
                <w:rFonts w:ascii="宋体" w:hAnsi="宋体" w:cs="宋体" w:eastAsia="宋体" w:hint="default"/>
                <w:w w:val="100"/>
                <w:sz w:val="21"/>
                <w:szCs w:val="21"/>
              </w:rPr>
              <w:t> </w:t>
            </w:r>
            <w:r>
              <w:rPr>
                <w:rFonts w:ascii="宋体" w:hAnsi="宋体" w:cs="宋体" w:eastAsia="宋体" w:hint="default"/>
                <w:spacing w:val="-2"/>
                <w:sz w:val="21"/>
                <w:szCs w:val="21"/>
              </w:rPr>
              <w:t>断出台，结合中央经济工作会议提出的“完善治理、强化激励、突出主业、</w:t>
            </w:r>
          </w:p>
        </w:tc>
      </w:tr>
    </w:tbl>
    <w:p>
      <w:pPr>
        <w:spacing w:after="0" w:line="254" w:lineRule="auto"/>
        <w:jc w:val="both"/>
        <w:rPr>
          <w:rFonts w:ascii="宋体" w:hAnsi="宋体" w:cs="宋体" w:eastAsia="宋体" w:hint="default"/>
          <w:sz w:val="21"/>
          <w:szCs w:val="21"/>
        </w:rPr>
        <w:sectPr>
          <w:pgSz w:w="11910" w:h="16840"/>
          <w:pgMar w:header="906" w:footer="1022" w:top="1100" w:bottom="1220" w:left="56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7" w:type="dxa"/>
        <w:tblLayout w:type="fixed"/>
        <w:tblCellMar>
          <w:top w:w="0" w:type="dxa"/>
          <w:left w:w="0" w:type="dxa"/>
          <w:bottom w:w="0" w:type="dxa"/>
          <w:right w:w="0" w:type="dxa"/>
        </w:tblCellMar>
        <w:tblLook w:val="01E0"/>
      </w:tblPr>
      <w:tblGrid>
        <w:gridCol w:w="3323"/>
        <w:gridCol w:w="7165"/>
      </w:tblGrid>
      <w:tr>
        <w:trPr>
          <w:trHeight w:val="337" w:hRule="exact"/>
        </w:trPr>
        <w:tc>
          <w:tcPr>
            <w:tcW w:w="3323" w:type="dxa"/>
            <w:vMerge w:val="restart"/>
            <w:tcBorders>
              <w:top w:val="single" w:sz="4" w:space="0" w:color="000000"/>
              <w:left w:val="single" w:sz="4" w:space="0" w:color="000000"/>
              <w:right w:val="single" w:sz="4" w:space="0" w:color="000000"/>
            </w:tcBorders>
            <w:shd w:val="clear" w:color="auto" w:fill="D2D2D2"/>
          </w:tcPr>
          <w:p>
            <w:pPr/>
          </w:p>
        </w:tc>
        <w:tc>
          <w:tcPr>
            <w:tcW w:w="7165" w:type="dxa"/>
            <w:tcBorders>
              <w:top w:val="single" w:sz="4" w:space="0" w:color="000000"/>
              <w:left w:val="single" w:sz="4" w:space="0" w:color="000000"/>
              <w:bottom w:val="nil" w:sz="6" w:space="0" w:color="auto"/>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提高效率”</w:t>
            </w:r>
          </w:p>
        </w:tc>
      </w:tr>
      <w:tr>
        <w:trPr>
          <w:trHeight w:val="329"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21"/>
                <w:szCs w:val="21"/>
              </w:rPr>
            </w:pPr>
            <w:r>
              <w:rPr>
                <w:rFonts w:ascii="宋体" w:hAnsi="宋体" w:cs="宋体" w:eastAsia="宋体" w:hint="default"/>
                <w:sz w:val="21"/>
                <w:szCs w:val="21"/>
              </w:rPr>
              <w:t>的混改十六字方针，按照国务院国资委的要求：力争在包括集团层面的混改</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上有所突破，电力、石油、天然气、铁路、民航、电信、军工等领域混改应</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5" w:right="-2"/>
              <w:jc w:val="left"/>
              <w:rPr>
                <w:rFonts w:ascii="宋体" w:hAnsi="宋体" w:cs="宋体" w:eastAsia="宋体" w:hint="default"/>
                <w:sz w:val="21"/>
                <w:szCs w:val="21"/>
              </w:rPr>
            </w:pPr>
            <w:r>
              <w:rPr>
                <w:rFonts w:ascii="宋体" w:hAnsi="宋体" w:cs="宋体" w:eastAsia="宋体" w:hint="default"/>
                <w:w w:val="100"/>
                <w:sz w:val="21"/>
                <w:szCs w:val="21"/>
              </w:rPr>
              <w:t>迈出实质</w:t>
            </w:r>
            <w:r>
              <w:rPr>
                <w:rFonts w:ascii="宋体" w:hAnsi="宋体" w:cs="宋体" w:eastAsia="宋体" w:hint="default"/>
                <w:spacing w:val="-5"/>
                <w:w w:val="100"/>
                <w:sz w:val="21"/>
                <w:szCs w:val="21"/>
              </w:rPr>
              <w:t>性</w:t>
            </w:r>
            <w:r>
              <w:rPr>
                <w:rFonts w:ascii="宋体" w:hAnsi="宋体" w:cs="宋体" w:eastAsia="宋体" w:hint="default"/>
                <w:w w:val="100"/>
                <w:sz w:val="21"/>
                <w:szCs w:val="21"/>
              </w:rPr>
              <w:t>的步伐</w:t>
            </w:r>
            <w:r>
              <w:rPr>
                <w:rFonts w:ascii="宋体" w:hAnsi="宋体" w:cs="宋体" w:eastAsia="宋体" w:hint="default"/>
                <w:spacing w:val="-97"/>
                <w:w w:val="100"/>
                <w:sz w:val="21"/>
                <w:szCs w:val="21"/>
              </w:rPr>
              <w:t>。</w:t>
            </w:r>
            <w:r>
              <w:rPr>
                <w:rFonts w:ascii="宋体" w:hAnsi="宋体" w:cs="宋体" w:eastAsia="宋体" w:hint="default"/>
                <w:w w:val="100"/>
                <w:sz w:val="21"/>
                <w:szCs w:val="21"/>
              </w:rPr>
              <w:t>中国联</w:t>
            </w:r>
            <w:r>
              <w:rPr>
                <w:rFonts w:ascii="宋体" w:hAnsi="宋体" w:cs="宋体" w:eastAsia="宋体" w:hint="default"/>
                <w:spacing w:val="-5"/>
                <w:w w:val="100"/>
                <w:sz w:val="21"/>
                <w:szCs w:val="21"/>
              </w:rPr>
              <w:t>通</w:t>
            </w:r>
            <w:r>
              <w:rPr>
                <w:rFonts w:ascii="宋体" w:hAnsi="宋体" w:cs="宋体" w:eastAsia="宋体" w:hint="default"/>
                <w:w w:val="100"/>
                <w:sz w:val="21"/>
                <w:szCs w:val="21"/>
              </w:rPr>
              <w:t>作为唯</w:t>
            </w:r>
            <w:r>
              <w:rPr>
                <w:rFonts w:ascii="宋体" w:hAnsi="宋体" w:cs="宋体" w:eastAsia="宋体" w:hint="default"/>
                <w:spacing w:val="-5"/>
                <w:w w:val="100"/>
                <w:sz w:val="21"/>
                <w:szCs w:val="21"/>
              </w:rPr>
              <w:t>一</w:t>
            </w:r>
            <w:r>
              <w:rPr>
                <w:rFonts w:ascii="宋体" w:hAnsi="宋体" w:cs="宋体" w:eastAsia="宋体" w:hint="default"/>
                <w:w w:val="100"/>
                <w:sz w:val="21"/>
                <w:szCs w:val="21"/>
              </w:rPr>
              <w:t>一家集</w:t>
            </w:r>
            <w:r>
              <w:rPr>
                <w:rFonts w:ascii="宋体" w:hAnsi="宋体" w:cs="宋体" w:eastAsia="宋体" w:hint="default"/>
                <w:spacing w:val="-5"/>
                <w:w w:val="100"/>
                <w:sz w:val="21"/>
                <w:szCs w:val="21"/>
              </w:rPr>
              <w:t>团</w:t>
            </w:r>
            <w:r>
              <w:rPr>
                <w:rFonts w:ascii="宋体" w:hAnsi="宋体" w:cs="宋体" w:eastAsia="宋体" w:hint="default"/>
                <w:w w:val="100"/>
                <w:sz w:val="21"/>
                <w:szCs w:val="21"/>
              </w:rPr>
              <w:t>整</w:t>
            </w:r>
            <w:r>
              <w:rPr>
                <w:rFonts w:ascii="宋体" w:hAnsi="宋体" w:cs="宋体" w:eastAsia="宋体" w:hint="default"/>
                <w:spacing w:val="-5"/>
                <w:w w:val="100"/>
                <w:sz w:val="21"/>
                <w:szCs w:val="21"/>
              </w:rPr>
              <w:t>体</w:t>
            </w:r>
            <w:r>
              <w:rPr>
                <w:rFonts w:ascii="宋体" w:hAnsi="宋体" w:cs="宋体" w:eastAsia="宋体" w:hint="default"/>
                <w:w w:val="100"/>
                <w:sz w:val="21"/>
                <w:szCs w:val="21"/>
              </w:rPr>
              <w:t>混改试点</w:t>
            </w:r>
            <w:r>
              <w:rPr>
                <w:rFonts w:ascii="宋体" w:hAnsi="宋体" w:cs="宋体" w:eastAsia="宋体" w:hint="default"/>
                <w:spacing w:val="-5"/>
                <w:w w:val="100"/>
                <w:sz w:val="21"/>
                <w:szCs w:val="21"/>
              </w:rPr>
              <w:t>单</w:t>
            </w:r>
            <w:r>
              <w:rPr>
                <w:rFonts w:ascii="宋体" w:hAnsi="宋体" w:cs="宋体" w:eastAsia="宋体" w:hint="default"/>
                <w:w w:val="100"/>
                <w:sz w:val="21"/>
                <w:szCs w:val="21"/>
              </w:rPr>
              <w:t>位和先</w:t>
            </w:r>
            <w:r>
              <w:rPr>
                <w:rFonts w:ascii="宋体" w:hAnsi="宋体" w:cs="宋体" w:eastAsia="宋体" w:hint="default"/>
                <w:spacing w:val="-5"/>
                <w:w w:val="100"/>
                <w:sz w:val="21"/>
                <w:szCs w:val="21"/>
              </w:rPr>
              <w:t>行</w:t>
            </w:r>
            <w:r>
              <w:rPr>
                <w:rFonts w:ascii="宋体" w:hAnsi="宋体" w:cs="宋体" w:eastAsia="宋体" w:hint="default"/>
                <w:w w:val="100"/>
                <w:sz w:val="21"/>
                <w:szCs w:val="21"/>
              </w:rPr>
              <w:t>者，</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紧抓混改机遇，试点引入其他国有资本和非国有资本，多元业务合作驱动创</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新，对外引入实力雄厚的战略投资者，借助外力，推动产业链、价值链关键</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7"/>
              <w:jc w:val="left"/>
              <w:rPr>
                <w:rFonts w:ascii="宋体" w:hAnsi="宋体" w:cs="宋体" w:eastAsia="宋体" w:hint="default"/>
                <w:sz w:val="21"/>
                <w:szCs w:val="21"/>
              </w:rPr>
            </w:pPr>
            <w:r>
              <w:rPr>
                <w:rFonts w:ascii="宋体" w:hAnsi="宋体" w:cs="宋体" w:eastAsia="宋体" w:hint="default"/>
                <w:spacing w:val="-4"/>
                <w:sz w:val="21"/>
                <w:szCs w:val="21"/>
              </w:rPr>
              <w:t>业务重组整合，优势互补，实现聚合资源、整合优势、能力互补、强强联合、</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互利共赢，并将进行多层面的创新合作，形成优势互补的利益共同体；对内</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则积极改革体制、实施更加灵活的管理与人事机制，健全协调运转、有效制</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衡的公司法人治理结构，完善市场化的激励约束机制，充分提升员工的主观</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能动性，从而有望实现企业效益的全面提升，推动公司进入快速发展模式。</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联通混改打造与互联网和垂直行业的全方位、多层面合作将树立电信行业转</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型的新标杆，扩大中国联通在创新业务领域的中高端供给，培育壮大公司创</w:t>
            </w:r>
          </w:p>
        </w:tc>
      </w:tr>
      <w:tr>
        <w:trPr>
          <w:trHeight w:val="318"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5" w:right="0"/>
              <w:jc w:val="left"/>
              <w:rPr>
                <w:rFonts w:ascii="宋体" w:hAnsi="宋体" w:cs="宋体" w:eastAsia="宋体" w:hint="default"/>
                <w:sz w:val="21"/>
                <w:szCs w:val="21"/>
              </w:rPr>
            </w:pPr>
            <w:r>
              <w:rPr>
                <w:rFonts w:ascii="宋体" w:hAnsi="宋体" w:cs="宋体" w:eastAsia="宋体" w:hint="default"/>
                <w:sz w:val="21"/>
                <w:szCs w:val="21"/>
              </w:rPr>
              <w:t>新发展的新动能。公司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日召开的第七届董事会第九次会</w:t>
            </w:r>
          </w:p>
        </w:tc>
      </w:tr>
      <w:tr>
        <w:trPr>
          <w:trHeight w:val="307"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议审议通</w:t>
            </w:r>
            <w:r>
              <w:rPr>
                <w:rFonts w:ascii="宋体" w:hAnsi="宋体" w:cs="宋体" w:eastAsia="宋体" w:hint="default"/>
                <w:spacing w:val="-5"/>
                <w:w w:val="100"/>
                <w:sz w:val="21"/>
                <w:szCs w:val="21"/>
              </w:rPr>
              <w:t>过</w:t>
            </w:r>
            <w:r>
              <w:rPr>
                <w:rFonts w:ascii="宋体" w:hAnsi="宋体" w:cs="宋体" w:eastAsia="宋体" w:hint="default"/>
                <w:spacing w:val="-44"/>
                <w:w w:val="100"/>
                <w:sz w:val="21"/>
                <w:szCs w:val="21"/>
              </w:rPr>
              <w:t>了</w:t>
            </w:r>
            <w:r>
              <w:rPr>
                <w:rFonts w:ascii="宋体" w:hAnsi="宋体" w:cs="宋体" w:eastAsia="宋体" w:hint="default"/>
                <w:spacing w:val="-5"/>
                <w:w w:val="100"/>
                <w:sz w:val="21"/>
                <w:szCs w:val="21"/>
              </w:rPr>
              <w:t>《</w:t>
            </w:r>
            <w:r>
              <w:rPr>
                <w:rFonts w:ascii="宋体" w:hAnsi="宋体" w:cs="宋体" w:eastAsia="宋体" w:hint="default"/>
                <w:w w:val="100"/>
                <w:sz w:val="21"/>
                <w:szCs w:val="21"/>
              </w:rPr>
              <w:t>关于变</w:t>
            </w:r>
            <w:r>
              <w:rPr>
                <w:rFonts w:ascii="宋体" w:hAnsi="宋体" w:cs="宋体" w:eastAsia="宋体" w:hint="default"/>
                <w:spacing w:val="-5"/>
                <w:w w:val="100"/>
                <w:sz w:val="21"/>
                <w:szCs w:val="21"/>
              </w:rPr>
              <w:t>更</w:t>
            </w:r>
            <w:r>
              <w:rPr>
                <w:rFonts w:ascii="宋体" w:hAnsi="宋体" w:cs="宋体" w:eastAsia="宋体" w:hint="default"/>
                <w:w w:val="100"/>
                <w:sz w:val="21"/>
                <w:szCs w:val="21"/>
              </w:rPr>
              <w:t>部分非</w:t>
            </w:r>
            <w:r>
              <w:rPr>
                <w:rFonts w:ascii="宋体" w:hAnsi="宋体" w:cs="宋体" w:eastAsia="宋体" w:hint="default"/>
                <w:spacing w:val="-5"/>
                <w:w w:val="100"/>
                <w:sz w:val="21"/>
                <w:szCs w:val="21"/>
              </w:rPr>
              <w:t>公</w:t>
            </w:r>
            <w:r>
              <w:rPr>
                <w:rFonts w:ascii="宋体" w:hAnsi="宋体" w:cs="宋体" w:eastAsia="宋体" w:hint="default"/>
                <w:w w:val="100"/>
                <w:sz w:val="21"/>
                <w:szCs w:val="21"/>
              </w:rPr>
              <w:t>开发行</w:t>
            </w:r>
            <w:r>
              <w:rPr>
                <w:rFonts w:ascii="宋体" w:hAnsi="宋体" w:cs="宋体" w:eastAsia="宋体" w:hint="default"/>
                <w:spacing w:val="-5"/>
                <w:w w:val="100"/>
                <w:sz w:val="21"/>
                <w:szCs w:val="21"/>
              </w:rPr>
              <w:t>募</w:t>
            </w:r>
            <w:r>
              <w:rPr>
                <w:rFonts w:ascii="宋体" w:hAnsi="宋体" w:cs="宋体" w:eastAsia="宋体" w:hint="default"/>
                <w:w w:val="100"/>
                <w:sz w:val="21"/>
                <w:szCs w:val="21"/>
              </w:rPr>
              <w:t>集资金</w:t>
            </w:r>
            <w:r>
              <w:rPr>
                <w:rFonts w:ascii="宋体" w:hAnsi="宋体" w:cs="宋体" w:eastAsia="宋体" w:hint="default"/>
                <w:spacing w:val="-5"/>
                <w:w w:val="100"/>
                <w:sz w:val="21"/>
                <w:szCs w:val="21"/>
              </w:rPr>
              <w:t>用</w:t>
            </w:r>
            <w:r>
              <w:rPr>
                <w:rFonts w:ascii="宋体" w:hAnsi="宋体" w:cs="宋体" w:eastAsia="宋体" w:hint="default"/>
                <w:w w:val="100"/>
                <w:sz w:val="21"/>
                <w:szCs w:val="21"/>
              </w:rPr>
              <w:t>途的议案</w:t>
            </w:r>
            <w:r>
              <w:rPr>
                <w:rFonts w:ascii="宋体" w:hAnsi="宋体" w:cs="宋体" w:eastAsia="宋体" w:hint="default"/>
                <w:spacing w:val="-111"/>
                <w:w w:val="100"/>
                <w:sz w:val="21"/>
                <w:szCs w:val="21"/>
              </w:rPr>
              <w:t>》</w:t>
            </w:r>
            <w:r>
              <w:rPr>
                <w:rFonts w:ascii="宋体" w:hAnsi="宋体" w:cs="宋体" w:eastAsia="宋体" w:hint="default"/>
                <w:spacing w:val="-44"/>
                <w:w w:val="100"/>
                <w:sz w:val="21"/>
                <w:szCs w:val="21"/>
              </w:rPr>
              <w:t>，</w:t>
            </w:r>
            <w:r>
              <w:rPr>
                <w:rFonts w:ascii="宋体" w:hAnsi="宋体" w:cs="宋体" w:eastAsia="宋体" w:hint="default"/>
                <w:w w:val="100"/>
                <w:sz w:val="21"/>
                <w:szCs w:val="21"/>
              </w:rPr>
              <w:t>根</w:t>
            </w:r>
            <w:r>
              <w:rPr>
                <w:rFonts w:ascii="宋体" w:hAnsi="宋体" w:cs="宋体" w:eastAsia="宋体" w:hint="default"/>
                <w:spacing w:val="-5"/>
                <w:w w:val="100"/>
                <w:sz w:val="21"/>
                <w:szCs w:val="21"/>
              </w:rPr>
              <w:t>据</w:t>
            </w:r>
            <w:r>
              <w:rPr>
                <w:rFonts w:ascii="宋体" w:hAnsi="宋体" w:cs="宋体" w:eastAsia="宋体" w:hint="default"/>
                <w:w w:val="100"/>
                <w:sz w:val="21"/>
                <w:szCs w:val="21"/>
              </w:rPr>
              <w:t>公司发</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展战略，快速抢占智慧城市市场份额，确立行业地位，深耕智慧城市和反恐</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领域，公司将“公共安全与反恐领域机器人及无人机产业化项目”计划投入</w:t>
            </w:r>
          </w:p>
        </w:tc>
      </w:tr>
      <w:tr>
        <w:trPr>
          <w:trHeight w:val="318"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5" w:right="0"/>
              <w:jc w:val="left"/>
              <w:rPr>
                <w:rFonts w:ascii="宋体" w:hAnsi="宋体" w:cs="宋体" w:eastAsia="宋体" w:hint="default"/>
                <w:sz w:val="21"/>
                <w:szCs w:val="21"/>
              </w:rPr>
            </w:pPr>
            <w:r>
              <w:rPr>
                <w:rFonts w:ascii="宋体" w:hAnsi="宋体" w:cs="宋体" w:eastAsia="宋体" w:hint="default"/>
                <w:sz w:val="21"/>
                <w:szCs w:val="21"/>
              </w:rPr>
              <w:t>募集资金余额 </w:t>
            </w:r>
            <w:r>
              <w:rPr>
                <w:rFonts w:ascii="Times New Roman" w:hAnsi="Times New Roman" w:cs="Times New Roman" w:eastAsia="Times New Roman" w:hint="default"/>
                <w:sz w:val="21"/>
                <w:szCs w:val="21"/>
              </w:rPr>
              <w:t>50,019.65  </w:t>
            </w:r>
            <w:r>
              <w:rPr>
                <w:rFonts w:ascii="宋体" w:hAnsi="宋体" w:cs="宋体" w:eastAsia="宋体" w:hint="default"/>
                <w:sz w:val="21"/>
                <w:szCs w:val="21"/>
              </w:rPr>
              <w:t>万元（含募集资金利息收入，具体变更募集资金用</w:t>
            </w:r>
          </w:p>
        </w:tc>
      </w:tr>
      <w:tr>
        <w:trPr>
          <w:trHeight w:val="306"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途的金额以实施时账户实际金额为准）全部变更为“投资中国联通移动业务</w:t>
            </w:r>
          </w:p>
        </w:tc>
      </w:tr>
      <w:tr>
        <w:trPr>
          <w:trHeight w:val="318"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78" w:lineRule="exact"/>
              <w:ind w:left="105" w:right="0"/>
              <w:jc w:val="left"/>
              <w:rPr>
                <w:rFonts w:ascii="宋体" w:hAnsi="宋体" w:cs="宋体" w:eastAsia="宋体" w:hint="default"/>
                <w:sz w:val="21"/>
                <w:szCs w:val="21"/>
              </w:rPr>
            </w:pPr>
            <w:r>
              <w:rPr>
                <w:rFonts w:ascii="宋体" w:hAnsi="宋体" w:cs="宋体" w:eastAsia="宋体" w:hint="default"/>
                <w:sz w:val="21"/>
                <w:szCs w:val="21"/>
              </w:rPr>
              <w:t>社会化服务合作</w:t>
            </w:r>
            <w:r>
              <w:rPr>
                <w:rFonts w:ascii="Times New Roman" w:hAnsi="Times New Roman" w:cs="Times New Roman" w:eastAsia="Times New Roman" w:hint="default"/>
                <w:sz w:val="21"/>
                <w:szCs w:val="21"/>
              </w:rPr>
              <w:t>--</w:t>
            </w:r>
            <w:r>
              <w:rPr>
                <w:rFonts w:ascii="宋体" w:hAnsi="宋体" w:cs="宋体" w:eastAsia="宋体" w:hint="default"/>
                <w:sz w:val="21"/>
                <w:szCs w:val="21"/>
              </w:rPr>
              <w:t>云南联通移动业务项目建设“。本次出资合作云南联通移</w:t>
            </w:r>
          </w:p>
        </w:tc>
      </w:tr>
      <w:tr>
        <w:trPr>
          <w:trHeight w:val="306"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动业务，将进一步提高公司在智慧城市、公共安全与反恐的市场影响力及示</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范作用，增强公司在智慧城市、公共安全与反恐领域中的综合实力和市场竞</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争力，助推公司在智慧城市、公共安全与反恐领域的建设、投资与运营业务</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的快速发展，从而进一步提升公司未来的经营业绩，符合公司发展战略和产</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业政策，有利于公司的长远发展。本次变更募集资金投资项目，是公司结合</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行业发展形式、公司的业务发展情况和发展战略、募集资金投资项目的实际</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实施情况，并综合考虑项目风险与收益等方面之后作出的谨慎决定，将为公</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3"/>
              <w:jc w:val="left"/>
              <w:rPr>
                <w:rFonts w:ascii="宋体" w:hAnsi="宋体" w:cs="宋体" w:eastAsia="宋体" w:hint="default"/>
                <w:sz w:val="21"/>
                <w:szCs w:val="21"/>
              </w:rPr>
            </w:pPr>
            <w:r>
              <w:rPr>
                <w:rFonts w:ascii="宋体" w:hAnsi="宋体" w:cs="宋体" w:eastAsia="宋体" w:hint="default"/>
                <w:spacing w:val="-4"/>
                <w:sz w:val="21"/>
                <w:szCs w:val="21"/>
              </w:rPr>
              <w:t>司带来较为稳定的投资收益，提升公司的盈利能力，提高募集资金使用效率，</w:t>
            </w:r>
          </w:p>
        </w:tc>
      </w:tr>
      <w:tr>
        <w:trPr>
          <w:trHeight w:val="314"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不存在变相改变募集资金用途和损害股东利益的情形，符合公司全体股东的</w:t>
            </w:r>
          </w:p>
        </w:tc>
      </w:tr>
      <w:tr>
        <w:trPr>
          <w:trHeight w:val="334"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05" w:right="0"/>
              <w:jc w:val="left"/>
              <w:rPr>
                <w:rFonts w:ascii="宋体" w:hAnsi="宋体" w:cs="宋体" w:eastAsia="宋体" w:hint="default"/>
                <w:sz w:val="21"/>
                <w:szCs w:val="21"/>
              </w:rPr>
            </w:pPr>
            <w:r>
              <w:rPr>
                <w:rFonts w:ascii="宋体" w:hAnsi="宋体" w:cs="宋体" w:eastAsia="宋体" w:hint="default"/>
                <w:sz w:val="21"/>
                <w:szCs w:val="21"/>
              </w:rPr>
              <w:t>利益。</w:t>
            </w:r>
          </w:p>
        </w:tc>
      </w:tr>
      <w:tr>
        <w:trPr>
          <w:trHeight w:val="337"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、基于有线</w:t>
            </w:r>
            <w:r>
              <w:rPr>
                <w:rFonts w:ascii="Times New Roman" w:hAnsi="Times New Roman" w:cs="Times New Roman" w:eastAsia="Times New Roman" w:hint="default"/>
                <w:sz w:val="21"/>
                <w:szCs w:val="21"/>
              </w:rPr>
              <w:t>/</w:t>
            </w:r>
            <w:r>
              <w:rPr>
                <w:rFonts w:ascii="宋体" w:hAnsi="宋体" w:cs="宋体" w:eastAsia="宋体" w:hint="default"/>
                <w:sz w:val="21"/>
                <w:szCs w:val="21"/>
              </w:rPr>
              <w:t>无线传输的电动汽车自适应智能充电桩建设项目：主要受公司</w:t>
            </w:r>
          </w:p>
        </w:tc>
      </w:tr>
      <w:tr>
        <w:trPr>
          <w:trHeight w:val="306"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目标市场相关行业补贴政策细则落地实施时间的影响，新能源汽车相关配套</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行业的发展尚需一个过程，充电基础设施前期投入较大，导致目标市场上充</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电桩生产和运营企业多数盈利状况不佳。公司董事会综合上述情况，经过谨</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5" w:right="0"/>
              <w:jc w:val="left"/>
              <w:rPr>
                <w:rFonts w:ascii="宋体" w:hAnsi="宋体" w:cs="宋体" w:eastAsia="宋体" w:hint="default"/>
                <w:sz w:val="21"/>
                <w:szCs w:val="21"/>
              </w:rPr>
            </w:pPr>
            <w:r>
              <w:rPr>
                <w:rFonts w:ascii="宋体" w:hAnsi="宋体" w:cs="宋体" w:eastAsia="宋体" w:hint="default"/>
                <w:sz w:val="21"/>
                <w:szCs w:val="21"/>
              </w:rPr>
              <w:t>慎的研究决策，决定稳步开展充电桩项目，暂时不进行大规模的资金投入。</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sz w:val="21"/>
                <w:szCs w:val="21"/>
              </w:rPr>
              <w:t>同时，为了提高募集资金的使用效率，满足公司业务对流动资金的需求，降</w:t>
            </w:r>
          </w:p>
        </w:tc>
      </w:tr>
      <w:tr>
        <w:trPr>
          <w:trHeight w:val="318"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低财务费</w:t>
            </w:r>
            <w:r>
              <w:rPr>
                <w:rFonts w:ascii="宋体" w:hAnsi="宋体" w:cs="宋体" w:eastAsia="宋体" w:hint="default"/>
                <w:spacing w:val="-5"/>
                <w:w w:val="100"/>
                <w:sz w:val="21"/>
                <w:szCs w:val="21"/>
              </w:rPr>
              <w:t>用</w:t>
            </w:r>
            <w:r>
              <w:rPr>
                <w:rFonts w:ascii="宋体" w:hAnsi="宋体" w:cs="宋体" w:eastAsia="宋体" w:hint="default"/>
                <w:w w:val="100"/>
                <w:sz w:val="21"/>
                <w:szCs w:val="21"/>
              </w:rPr>
              <w:t>和运营</w:t>
            </w:r>
            <w:r>
              <w:rPr>
                <w:rFonts w:ascii="宋体" w:hAnsi="宋体" w:cs="宋体" w:eastAsia="宋体" w:hint="default"/>
                <w:spacing w:val="-5"/>
                <w:w w:val="100"/>
                <w:sz w:val="21"/>
                <w:szCs w:val="21"/>
              </w:rPr>
              <w:t>成</w:t>
            </w:r>
            <w:r>
              <w:rPr>
                <w:rFonts w:ascii="宋体" w:hAnsi="宋体" w:cs="宋体" w:eastAsia="宋体" w:hint="default"/>
                <w:w w:val="100"/>
                <w:sz w:val="21"/>
                <w:szCs w:val="21"/>
              </w:rPr>
              <w:t>本</w:t>
            </w:r>
            <w:r>
              <w:rPr>
                <w:rFonts w:ascii="宋体" w:hAnsi="宋体" w:cs="宋体" w:eastAsia="宋体" w:hint="default"/>
                <w:spacing w:val="-92"/>
                <w:w w:val="100"/>
                <w:sz w:val="21"/>
                <w:szCs w:val="21"/>
              </w:rPr>
              <w:t>，</w:t>
            </w:r>
            <w:r>
              <w:rPr>
                <w:rFonts w:ascii="宋体" w:hAnsi="宋体" w:cs="宋体" w:eastAsia="宋体" w:hint="default"/>
                <w:w w:val="100"/>
                <w:sz w:val="21"/>
                <w:szCs w:val="21"/>
              </w:rPr>
              <w:t>于</w:t>
            </w:r>
            <w:r>
              <w:rPr>
                <w:rFonts w:ascii="宋体" w:hAnsi="宋体" w:cs="宋体" w:eastAsia="宋体" w:hint="default"/>
                <w:spacing w:val="1"/>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5"/>
                <w:w w:val="100"/>
                <w:sz w:val="21"/>
                <w:szCs w:val="21"/>
              </w:rPr>
              <w:t>0</w:t>
            </w:r>
            <w:r>
              <w:rPr>
                <w:rFonts w:ascii="Times New Roman" w:hAnsi="Times New Roman" w:cs="Times New Roman" w:eastAsia="Times New Roman" w:hint="default"/>
                <w:w w:val="100"/>
                <w:sz w:val="21"/>
                <w:szCs w:val="21"/>
              </w:rPr>
              <w:t>18</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w w:val="100"/>
                <w:sz w:val="21"/>
                <w:szCs w:val="21"/>
              </w:rPr>
              <w:t>年</w:t>
            </w:r>
            <w:r>
              <w:rPr>
                <w:rFonts w:ascii="宋体" w:hAnsi="宋体" w:cs="宋体" w:eastAsia="宋体" w:hint="default"/>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月</w:t>
            </w:r>
            <w:r>
              <w:rPr>
                <w:rFonts w:ascii="宋体" w:hAnsi="宋体" w:cs="宋体" w:eastAsia="宋体" w:hint="default"/>
                <w:sz w:val="21"/>
                <w:szCs w:val="21"/>
              </w:rPr>
              <w:t> </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5"/>
                <w:w w:val="100"/>
                <w:sz w:val="21"/>
                <w:szCs w:val="21"/>
              </w:rPr>
              <w:t>日</w:t>
            </w:r>
            <w:r>
              <w:rPr>
                <w:rFonts w:ascii="宋体" w:hAnsi="宋体" w:cs="宋体" w:eastAsia="宋体" w:hint="default"/>
                <w:w w:val="100"/>
                <w:sz w:val="21"/>
                <w:szCs w:val="21"/>
              </w:rPr>
              <w:t>召</w:t>
            </w:r>
            <w:r>
              <w:rPr>
                <w:rFonts w:ascii="宋体" w:hAnsi="宋体" w:cs="宋体" w:eastAsia="宋体" w:hint="default"/>
                <w:spacing w:val="-5"/>
                <w:w w:val="100"/>
                <w:sz w:val="21"/>
                <w:szCs w:val="21"/>
              </w:rPr>
              <w:t>开</w:t>
            </w:r>
            <w:r>
              <w:rPr>
                <w:rFonts w:ascii="宋体" w:hAnsi="宋体" w:cs="宋体" w:eastAsia="宋体" w:hint="default"/>
                <w:w w:val="100"/>
                <w:sz w:val="21"/>
                <w:szCs w:val="21"/>
              </w:rPr>
              <w:t>的第七届</w:t>
            </w:r>
            <w:r>
              <w:rPr>
                <w:rFonts w:ascii="宋体" w:hAnsi="宋体" w:cs="宋体" w:eastAsia="宋体" w:hint="default"/>
                <w:spacing w:val="-5"/>
                <w:w w:val="100"/>
                <w:sz w:val="21"/>
                <w:szCs w:val="21"/>
              </w:rPr>
              <w:t>董</w:t>
            </w:r>
            <w:r>
              <w:rPr>
                <w:rFonts w:ascii="宋体" w:hAnsi="宋体" w:cs="宋体" w:eastAsia="宋体" w:hint="default"/>
                <w:w w:val="100"/>
                <w:sz w:val="21"/>
                <w:szCs w:val="21"/>
              </w:rPr>
              <w:t>事会第</w:t>
            </w:r>
            <w:r>
              <w:rPr>
                <w:rFonts w:ascii="宋体" w:hAnsi="宋体" w:cs="宋体" w:eastAsia="宋体" w:hint="default"/>
                <w:spacing w:val="-5"/>
                <w:w w:val="100"/>
                <w:sz w:val="21"/>
                <w:szCs w:val="21"/>
              </w:rPr>
              <w:t>十</w:t>
            </w:r>
            <w:r>
              <w:rPr>
                <w:rFonts w:ascii="宋体" w:hAnsi="宋体" w:cs="宋体" w:eastAsia="宋体" w:hint="default"/>
                <w:w w:val="100"/>
                <w:sz w:val="21"/>
                <w:szCs w:val="21"/>
              </w:rPr>
              <w:t>四</w:t>
            </w:r>
          </w:p>
        </w:tc>
      </w:tr>
      <w:tr>
        <w:trPr>
          <w:trHeight w:val="312"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次会议、</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18  </w:t>
            </w:r>
            <w:r>
              <w:rPr>
                <w:rFonts w:ascii="宋体" w:hAnsi="宋体" w:cs="宋体" w:eastAsia="宋体" w:hint="default"/>
                <w:sz w:val="21"/>
                <w:szCs w:val="21"/>
              </w:rPr>
              <w:t>日召开的 </w:t>
            </w: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年度股东大会审议通过了《关于</w:t>
            </w:r>
          </w:p>
        </w:tc>
      </w:tr>
      <w:tr>
        <w:trPr>
          <w:trHeight w:val="306"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变更部分</w:t>
            </w:r>
            <w:r>
              <w:rPr>
                <w:rFonts w:ascii="宋体" w:hAnsi="宋体" w:cs="宋体" w:eastAsia="宋体" w:hint="default"/>
                <w:spacing w:val="-5"/>
                <w:w w:val="100"/>
                <w:sz w:val="21"/>
                <w:szCs w:val="21"/>
              </w:rPr>
              <w:t>非</w:t>
            </w:r>
            <w:r>
              <w:rPr>
                <w:rFonts w:ascii="宋体" w:hAnsi="宋体" w:cs="宋体" w:eastAsia="宋体" w:hint="default"/>
                <w:w w:val="100"/>
                <w:sz w:val="21"/>
                <w:szCs w:val="21"/>
              </w:rPr>
              <w:t>公开发</w:t>
            </w:r>
            <w:r>
              <w:rPr>
                <w:rFonts w:ascii="宋体" w:hAnsi="宋体" w:cs="宋体" w:eastAsia="宋体" w:hint="default"/>
                <w:spacing w:val="-5"/>
                <w:w w:val="100"/>
                <w:sz w:val="21"/>
                <w:szCs w:val="21"/>
              </w:rPr>
              <w:t>行</w:t>
            </w:r>
            <w:r>
              <w:rPr>
                <w:rFonts w:ascii="宋体" w:hAnsi="宋体" w:cs="宋体" w:eastAsia="宋体" w:hint="default"/>
                <w:w w:val="100"/>
                <w:sz w:val="21"/>
                <w:szCs w:val="21"/>
              </w:rPr>
              <w:t>募集资</w:t>
            </w:r>
            <w:r>
              <w:rPr>
                <w:rFonts w:ascii="宋体" w:hAnsi="宋体" w:cs="宋体" w:eastAsia="宋体" w:hint="default"/>
                <w:spacing w:val="-5"/>
                <w:w w:val="100"/>
                <w:sz w:val="21"/>
                <w:szCs w:val="21"/>
              </w:rPr>
              <w:t>金</w:t>
            </w:r>
            <w:r>
              <w:rPr>
                <w:rFonts w:ascii="宋体" w:hAnsi="宋体" w:cs="宋体" w:eastAsia="宋体" w:hint="default"/>
                <w:w w:val="100"/>
                <w:sz w:val="21"/>
                <w:szCs w:val="21"/>
              </w:rPr>
              <w:t>投向用</w:t>
            </w:r>
            <w:r>
              <w:rPr>
                <w:rFonts w:ascii="宋体" w:hAnsi="宋体" w:cs="宋体" w:eastAsia="宋体" w:hint="default"/>
                <w:spacing w:val="-5"/>
                <w:w w:val="100"/>
                <w:sz w:val="21"/>
                <w:szCs w:val="21"/>
              </w:rPr>
              <w:t>于</w:t>
            </w:r>
            <w:r>
              <w:rPr>
                <w:rFonts w:ascii="宋体" w:hAnsi="宋体" w:cs="宋体" w:eastAsia="宋体" w:hint="default"/>
                <w:w w:val="100"/>
                <w:sz w:val="21"/>
                <w:szCs w:val="21"/>
              </w:rPr>
              <w:t>永久性</w:t>
            </w:r>
            <w:r>
              <w:rPr>
                <w:rFonts w:ascii="宋体" w:hAnsi="宋体" w:cs="宋体" w:eastAsia="宋体" w:hint="default"/>
                <w:spacing w:val="-5"/>
                <w:w w:val="100"/>
                <w:sz w:val="21"/>
                <w:szCs w:val="21"/>
              </w:rPr>
              <w:t>补</w:t>
            </w:r>
            <w:r>
              <w:rPr>
                <w:rFonts w:ascii="宋体" w:hAnsi="宋体" w:cs="宋体" w:eastAsia="宋体" w:hint="default"/>
                <w:w w:val="100"/>
                <w:sz w:val="21"/>
                <w:szCs w:val="21"/>
              </w:rPr>
              <w:t>充</w:t>
            </w:r>
            <w:r>
              <w:rPr>
                <w:rFonts w:ascii="宋体" w:hAnsi="宋体" w:cs="宋体" w:eastAsia="宋体" w:hint="default"/>
                <w:spacing w:val="-5"/>
                <w:w w:val="100"/>
                <w:sz w:val="21"/>
                <w:szCs w:val="21"/>
              </w:rPr>
              <w:t>流</w:t>
            </w:r>
            <w:r>
              <w:rPr>
                <w:rFonts w:ascii="宋体" w:hAnsi="宋体" w:cs="宋体" w:eastAsia="宋体" w:hint="default"/>
                <w:w w:val="100"/>
                <w:sz w:val="21"/>
                <w:szCs w:val="21"/>
              </w:rPr>
              <w:t>动资金的</w:t>
            </w:r>
            <w:r>
              <w:rPr>
                <w:rFonts w:ascii="宋体" w:hAnsi="宋体" w:cs="宋体" w:eastAsia="宋体" w:hint="default"/>
                <w:spacing w:val="-5"/>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48"/>
                <w:w w:val="100"/>
                <w:sz w:val="21"/>
                <w:szCs w:val="21"/>
              </w:rPr>
              <w:t>，</w:t>
            </w:r>
            <w:r>
              <w:rPr>
                <w:rFonts w:ascii="宋体" w:hAnsi="宋体" w:cs="宋体" w:eastAsia="宋体" w:hint="default"/>
                <w:spacing w:val="-41"/>
                <w:w w:val="100"/>
                <w:sz w:val="21"/>
                <w:szCs w:val="21"/>
              </w:rPr>
              <w:t>将</w:t>
            </w:r>
            <w:r>
              <w:rPr>
                <w:rFonts w:ascii="宋体" w:hAnsi="宋体" w:cs="宋体" w:eastAsia="宋体" w:hint="default"/>
                <w:spacing w:val="-5"/>
                <w:w w:val="100"/>
                <w:sz w:val="21"/>
                <w:szCs w:val="21"/>
              </w:rPr>
              <w:t>“</w:t>
            </w:r>
            <w:r>
              <w:rPr>
                <w:rFonts w:ascii="宋体" w:hAnsi="宋体" w:cs="宋体" w:eastAsia="宋体" w:hint="default"/>
                <w:w w:val="100"/>
                <w:sz w:val="21"/>
                <w:szCs w:val="21"/>
              </w:rPr>
              <w:t>基</w:t>
            </w:r>
          </w:p>
        </w:tc>
      </w:tr>
      <w:tr>
        <w:trPr>
          <w:trHeight w:val="318"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于有线</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无线传输的电动汽车自适应智能充电桩建设项目”募集资金余额用于</w:t>
            </w:r>
          </w:p>
        </w:tc>
      </w:tr>
      <w:tr>
        <w:trPr>
          <w:trHeight w:val="309"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永久性补充流动资金，用于智慧城市、公共安全与反恐等主营业务的生产经</w:t>
            </w:r>
          </w:p>
        </w:tc>
      </w:tr>
      <w:tr>
        <w:trPr>
          <w:trHeight w:val="331"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64" w:lineRule="exact"/>
              <w:ind w:left="105" w:right="0"/>
              <w:jc w:val="left"/>
              <w:rPr>
                <w:rFonts w:ascii="宋体" w:hAnsi="宋体" w:cs="宋体" w:eastAsia="宋体" w:hint="default"/>
                <w:sz w:val="21"/>
                <w:szCs w:val="21"/>
              </w:rPr>
            </w:pPr>
            <w:r>
              <w:rPr>
                <w:rFonts w:ascii="宋体" w:hAnsi="宋体" w:cs="宋体" w:eastAsia="宋体" w:hint="default"/>
                <w:sz w:val="21"/>
                <w:szCs w:val="21"/>
              </w:rPr>
              <w:t>营。以上项目后续如果需要继续投入，公司将以自有资金继续投入完成。</w:t>
            </w:r>
          </w:p>
        </w:tc>
      </w:tr>
      <w:tr>
        <w:trPr>
          <w:trHeight w:val="335" w:hRule="exact"/>
        </w:trPr>
        <w:tc>
          <w:tcPr>
            <w:tcW w:w="3323" w:type="dxa"/>
            <w:vMerge/>
            <w:tcBorders>
              <w:left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105"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、智能远动（高铁信号）电力保障系统生产线建设项目：受高铁相关制造产</w:t>
            </w:r>
          </w:p>
        </w:tc>
      </w:tr>
      <w:tr>
        <w:trPr>
          <w:trHeight w:val="313" w:hRule="exact"/>
        </w:trPr>
        <w:tc>
          <w:tcPr>
            <w:tcW w:w="3323" w:type="dxa"/>
            <w:vMerge/>
            <w:tcBorders>
              <w:left w:val="single" w:sz="4" w:space="0" w:color="000000"/>
              <w:bottom w:val="single" w:sz="4" w:space="0" w:color="000000"/>
              <w:right w:val="single" w:sz="4" w:space="0" w:color="000000"/>
            </w:tcBorders>
            <w:shd w:val="clear" w:color="auto" w:fill="D2D2D2"/>
          </w:tcPr>
          <w:p>
            <w:pPr/>
          </w:p>
        </w:tc>
        <w:tc>
          <w:tcPr>
            <w:tcW w:w="7165" w:type="dxa"/>
            <w:tcBorders>
              <w:top w:val="nil" w:sz="6" w:space="0" w:color="auto"/>
              <w:left w:val="single" w:sz="4" w:space="0" w:color="000000"/>
              <w:bottom w:val="single" w:sz="4" w:space="0" w:color="000000"/>
              <w:right w:val="single" w:sz="4" w:space="0" w:color="000000"/>
            </w:tcBorders>
          </w:tcPr>
          <w:p>
            <w:pPr>
              <w:pStyle w:val="TableParagraph"/>
              <w:spacing w:line="256" w:lineRule="exact"/>
              <w:ind w:left="105" w:right="0"/>
              <w:jc w:val="left"/>
              <w:rPr>
                <w:rFonts w:ascii="宋体" w:hAnsi="宋体" w:cs="宋体" w:eastAsia="宋体" w:hint="default"/>
                <w:sz w:val="21"/>
                <w:szCs w:val="21"/>
              </w:rPr>
            </w:pPr>
            <w:r>
              <w:rPr>
                <w:rFonts w:ascii="宋体" w:hAnsi="宋体" w:cs="宋体" w:eastAsia="宋体" w:hint="default"/>
                <w:sz w:val="21"/>
                <w:szCs w:val="21"/>
              </w:rPr>
              <w:t>业增速放缓的影响，相关产品竞争较为激烈，回款周期长、回款压力增加，</w:t>
            </w:r>
          </w:p>
        </w:tc>
      </w:tr>
    </w:tbl>
    <w:p>
      <w:pPr>
        <w:spacing w:after="0" w:line="256" w:lineRule="exact"/>
        <w:jc w:val="left"/>
        <w:rPr>
          <w:rFonts w:ascii="宋体" w:hAnsi="宋体" w:cs="宋体" w:eastAsia="宋体" w:hint="default"/>
          <w:sz w:val="21"/>
          <w:szCs w:val="21"/>
        </w:rPr>
        <w:sectPr>
          <w:pgSz w:w="11910" w:h="16840"/>
          <w:pgMar w:header="906" w:footer="1022" w:top="1100" w:bottom="1220" w:left="56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7" w:type="dxa"/>
        <w:tblLayout w:type="fixed"/>
        <w:tblCellMar>
          <w:top w:w="0" w:type="dxa"/>
          <w:left w:w="0" w:type="dxa"/>
          <w:bottom w:w="0" w:type="dxa"/>
          <w:right w:w="0" w:type="dxa"/>
        </w:tblCellMar>
        <w:tblLook w:val="01E0"/>
      </w:tblPr>
      <w:tblGrid>
        <w:gridCol w:w="3323"/>
        <w:gridCol w:w="7165"/>
      </w:tblGrid>
      <w:tr>
        <w:trPr>
          <w:trHeight w:val="3793"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1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both"/>
              <w:rPr>
                <w:rFonts w:ascii="宋体" w:hAnsi="宋体" w:cs="宋体" w:eastAsia="宋体" w:hint="default"/>
                <w:sz w:val="21"/>
                <w:szCs w:val="21"/>
              </w:rPr>
            </w:pPr>
            <w:r>
              <w:rPr>
                <w:rFonts w:ascii="宋体" w:hAnsi="宋体" w:cs="宋体" w:eastAsia="宋体" w:hint="default"/>
                <w:sz w:val="21"/>
                <w:szCs w:val="21"/>
              </w:rPr>
              <w:t>同时，公司收购的苏州开关二厂与公司在输配电设备制造领域的协同效应逐</w:t>
            </w:r>
          </w:p>
          <w:p>
            <w:pPr>
              <w:pStyle w:val="TableParagraph"/>
              <w:spacing w:line="273" w:lineRule="auto" w:before="37"/>
              <w:ind w:left="105" w:right="99"/>
              <w:jc w:val="both"/>
              <w:rPr>
                <w:rFonts w:ascii="宋体" w:hAnsi="宋体" w:cs="宋体" w:eastAsia="宋体" w:hint="default"/>
                <w:sz w:val="21"/>
                <w:szCs w:val="21"/>
              </w:rPr>
            </w:pPr>
            <w:r>
              <w:rPr>
                <w:rFonts w:ascii="宋体" w:hAnsi="宋体" w:cs="宋体" w:eastAsia="宋体" w:hint="default"/>
                <w:spacing w:val="-2"/>
                <w:sz w:val="21"/>
                <w:szCs w:val="21"/>
              </w:rPr>
              <w:t>步体现。公司董事会综合上述影响，经过谨慎的研究决策，决定暂时不对智</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能远动（高铁信号）电力保障系统进行大规模的资金投入，而是通过对现有</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资源的整合，优化产品结构，改进生产工艺，调整目标客户结构，满足市场</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需求。同时，为了提高募集资金的使用效率，满足公司业务对流动资金的需</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7"/>
                <w:sz w:val="21"/>
                <w:szCs w:val="21"/>
              </w:rPr>
              <w:t>求，降低财务费用和运营成本，公司于 </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24 </w:t>
            </w:r>
            <w:r>
              <w:rPr>
                <w:rFonts w:ascii="Times New Roman" w:hAnsi="Times New Roman" w:cs="Times New Roman" w:eastAsia="Times New Roman" w:hint="default"/>
                <w:spacing w:val="32"/>
                <w:sz w:val="21"/>
                <w:szCs w:val="21"/>
              </w:rPr>
              <w:t> </w:t>
            </w:r>
            <w:r>
              <w:rPr>
                <w:rFonts w:ascii="宋体" w:hAnsi="宋体" w:cs="宋体" w:eastAsia="宋体" w:hint="default"/>
                <w:sz w:val="21"/>
                <w:szCs w:val="21"/>
              </w:rPr>
              <w:t>日召开的第七届董</w:t>
            </w:r>
          </w:p>
          <w:p>
            <w:pPr>
              <w:pStyle w:val="TableParagraph"/>
              <w:spacing w:line="271" w:lineRule="auto"/>
              <w:ind w:left="105" w:right="94"/>
              <w:jc w:val="both"/>
              <w:rPr>
                <w:rFonts w:ascii="宋体" w:hAnsi="宋体" w:cs="宋体" w:eastAsia="宋体" w:hint="default"/>
                <w:sz w:val="21"/>
                <w:szCs w:val="21"/>
              </w:rPr>
            </w:pPr>
            <w:r>
              <w:rPr>
                <w:rFonts w:ascii="宋体" w:hAnsi="宋体" w:cs="宋体" w:eastAsia="宋体" w:hint="default"/>
                <w:sz w:val="21"/>
                <w:szCs w:val="21"/>
              </w:rPr>
              <w:t>事会第十四次会议、</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z w:val="21"/>
                <w:szCs w:val="21"/>
              </w:rPr>
              <w:t>18 </w:t>
            </w:r>
            <w:r>
              <w:rPr>
                <w:rFonts w:ascii="宋体" w:hAnsi="宋体" w:cs="宋体" w:eastAsia="宋体" w:hint="default"/>
                <w:sz w:val="21"/>
                <w:szCs w:val="21"/>
              </w:rPr>
              <w:t>日召开的 </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年度股东大会审议通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过了《关于变更部分非公开发行募集资金投向用于永久性补充流动资金的议</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7"/>
                <w:w w:val="100"/>
                <w:sz w:val="21"/>
                <w:szCs w:val="21"/>
              </w:rPr>
              <w:t>案》，将“智能远动（高铁信号）电力保障系统生产线建设项目”募集资金余</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2"/>
                <w:sz w:val="21"/>
                <w:szCs w:val="21"/>
              </w:rPr>
              <w:t>额用于永久性补充流动资金，用于智慧城市、公共安全与反恐等主营业务的</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生产经营。以上项目后续如果需要继续投入，公司将以自有资金继续投入完</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成。</w:t>
            </w:r>
          </w:p>
        </w:tc>
      </w:tr>
      <w:tr>
        <w:trPr>
          <w:trHeight w:val="716"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0" w:right="26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未达到计划进度或预计收益的情</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况和原因</w:t>
            </w:r>
            <w:r>
              <w:rPr>
                <w:rFonts w:ascii="Times New Roman" w:hAnsi="Times New Roman" w:cs="Times New Roman" w:eastAsia="Times New Roman" w:hint="default"/>
                <w:sz w:val="21"/>
                <w:szCs w:val="21"/>
              </w:rPr>
              <w:t>(</w:t>
            </w:r>
            <w:r>
              <w:rPr>
                <w:rFonts w:ascii="宋体" w:hAnsi="宋体" w:cs="宋体" w:eastAsia="宋体" w:hint="default"/>
                <w:sz w:val="21"/>
                <w:szCs w:val="21"/>
              </w:rPr>
              <w:t>分具体项目</w:t>
            </w:r>
            <w:r>
              <w:rPr>
                <w:rFonts w:ascii="Times New Roman" w:hAnsi="Times New Roman" w:cs="Times New Roman" w:eastAsia="Times New Roman" w:hint="default"/>
                <w:sz w:val="21"/>
                <w:szCs w:val="21"/>
              </w:rPr>
              <w:t>)</w:t>
            </w:r>
          </w:p>
        </w:tc>
        <w:tc>
          <w:tcPr>
            <w:tcW w:w="7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5" w:hRule="exact"/>
        </w:trPr>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0" w:right="267"/>
              <w:jc w:val="left"/>
              <w:rPr>
                <w:rFonts w:ascii="宋体" w:hAnsi="宋体" w:cs="宋体" w:eastAsia="宋体" w:hint="default"/>
                <w:sz w:val="21"/>
                <w:szCs w:val="21"/>
              </w:rPr>
            </w:pPr>
            <w:r>
              <w:rPr>
                <w:rFonts w:ascii="宋体" w:hAnsi="宋体" w:cs="宋体" w:eastAsia="宋体" w:hint="default"/>
                <w:spacing w:val="-2"/>
                <w:sz w:val="21"/>
                <w:szCs w:val="21"/>
              </w:rPr>
              <w:t>变更后的项目可行性发生重大变</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化的情况说明</w:t>
            </w:r>
          </w:p>
        </w:tc>
        <w:tc>
          <w:tcPr>
            <w:tcW w:w="7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left="573" w:right="6969"/>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left="573" w:right="6969"/>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573" w:right="696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公司报告期未出售重大资产。</w:t>
      </w:r>
    </w:p>
    <w:p>
      <w:pPr>
        <w:spacing w:line="240" w:lineRule="auto" w:before="12"/>
        <w:rPr>
          <w:rFonts w:ascii="宋体" w:hAnsi="宋体" w:cs="宋体" w:eastAsia="宋体" w:hint="default"/>
          <w:sz w:val="19"/>
          <w:szCs w:val="19"/>
        </w:rPr>
      </w:pPr>
    </w:p>
    <w:p>
      <w:pPr>
        <w:pStyle w:val="Heading5"/>
        <w:spacing w:line="240" w:lineRule="auto"/>
        <w:ind w:left="573" w:right="6969"/>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spacing w:before="0"/>
        <w:ind w:left="573" w:right="6969"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left="573" w:right="6969"/>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906" w:footer="1022" w:top="1100" w:bottom="1220" w:left="560" w:right="0"/>
        </w:sectPr>
      </w:pPr>
    </w:p>
    <w:p>
      <w:pPr>
        <w:spacing w:before="46"/>
        <w:ind w:left="573" w:right="-16"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573" w:right="-16"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8"/>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57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560" w:right="0"/>
          <w:cols w:num="2" w:equalWidth="0">
            <w:col w:w="5274" w:space="3648"/>
            <w:col w:w="2428"/>
          </w:cols>
        </w:sectPr>
      </w:pPr>
    </w:p>
    <w:p>
      <w:pPr>
        <w:spacing w:line="240" w:lineRule="auto" w:before="8"/>
        <w:rPr>
          <w:rFonts w:ascii="宋体" w:hAnsi="宋体" w:cs="宋体" w:eastAsia="宋体" w:hint="default"/>
          <w:sz w:val="7"/>
          <w:szCs w:val="7"/>
        </w:rPr>
      </w:pPr>
    </w:p>
    <w:tbl>
      <w:tblPr>
        <w:tblW w:w="0" w:type="auto"/>
        <w:jc w:val="left"/>
        <w:tblInd w:w="294" w:type="dxa"/>
        <w:tblLayout w:type="fixed"/>
        <w:tblCellMar>
          <w:top w:w="0" w:type="dxa"/>
          <w:left w:w="0" w:type="dxa"/>
          <w:bottom w:w="0" w:type="dxa"/>
          <w:right w:w="0" w:type="dxa"/>
        </w:tblCellMar>
        <w:tblLook w:val="01E0"/>
      </w:tblPr>
      <w:tblGrid>
        <w:gridCol w:w="1186"/>
        <w:gridCol w:w="1066"/>
        <w:gridCol w:w="1427"/>
        <w:gridCol w:w="936"/>
        <w:gridCol w:w="1047"/>
        <w:gridCol w:w="1047"/>
        <w:gridCol w:w="1047"/>
        <w:gridCol w:w="1042"/>
        <w:gridCol w:w="1046"/>
      </w:tblGrid>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公司类型</w:t>
            </w: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55" w:right="146" w:hanging="212"/>
              <w:jc w:val="left"/>
              <w:rPr>
                <w:rFonts w:ascii="宋体" w:hAnsi="宋体" w:cs="宋体" w:eastAsia="宋体" w:hint="default"/>
                <w:sz w:val="21"/>
                <w:szCs w:val="21"/>
              </w:rPr>
            </w:pPr>
            <w:r>
              <w:rPr>
                <w:rFonts w:ascii="宋体" w:hAnsi="宋体" w:cs="宋体" w:eastAsia="宋体" w:hint="default"/>
                <w:sz w:val="21"/>
                <w:szCs w:val="21"/>
              </w:rPr>
              <w:t>注册资</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12" w:right="195" w:hanging="207"/>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07" w:right="195" w:hanging="207"/>
              <w:jc w:val="left"/>
              <w:rPr>
                <w:rFonts w:ascii="宋体" w:hAnsi="宋体" w:cs="宋体" w:eastAsia="宋体" w:hint="default"/>
                <w:sz w:val="21"/>
                <w:szCs w:val="21"/>
              </w:rPr>
            </w:pPr>
            <w:r>
              <w:rPr>
                <w:rFonts w:ascii="宋体" w:hAnsi="宋体" w:cs="宋体" w:eastAsia="宋体" w:hint="default"/>
                <w:sz w:val="21"/>
                <w:szCs w:val="21"/>
              </w:rPr>
              <w:t>营业利</w:t>
            </w:r>
            <w:r>
              <w:rPr>
                <w:rFonts w:ascii="宋体" w:hAnsi="宋体" w:cs="宋体" w:eastAsia="宋体" w:hint="default"/>
                <w:spacing w:val="-102"/>
                <w:sz w:val="21"/>
                <w:szCs w:val="21"/>
              </w:rPr>
              <w:t> </w:t>
            </w:r>
            <w:r>
              <w:rPr>
                <w:rFonts w:ascii="宋体" w:hAnsi="宋体" w:cs="宋体" w:eastAsia="宋体" w:hint="default"/>
                <w:sz w:val="21"/>
                <w:szCs w:val="21"/>
              </w:rPr>
              <w:t>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1022"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24"/>
              <w:jc w:val="both"/>
              <w:rPr>
                <w:rFonts w:ascii="宋体" w:hAnsi="宋体" w:cs="宋体" w:eastAsia="宋体" w:hint="default"/>
                <w:sz w:val="21"/>
                <w:szCs w:val="21"/>
              </w:rPr>
            </w:pPr>
            <w:r>
              <w:rPr>
                <w:rFonts w:ascii="宋体" w:hAnsi="宋体" w:cs="宋体" w:eastAsia="宋体" w:hint="default"/>
                <w:sz w:val="21"/>
                <w:szCs w:val="21"/>
              </w:rPr>
              <w:t>北京中电</w:t>
            </w:r>
            <w:r>
              <w:rPr>
                <w:rFonts w:ascii="宋体" w:hAnsi="宋体" w:cs="宋体" w:eastAsia="宋体" w:hint="default"/>
                <w:spacing w:val="-101"/>
                <w:sz w:val="21"/>
                <w:szCs w:val="21"/>
              </w:rPr>
              <w:t> </w:t>
            </w:r>
            <w:r>
              <w:rPr>
                <w:rFonts w:ascii="宋体" w:hAnsi="宋体" w:cs="宋体" w:eastAsia="宋体" w:hint="default"/>
                <w:sz w:val="21"/>
                <w:szCs w:val="21"/>
              </w:rPr>
              <w:t>兴发科技</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6" w:right="94"/>
              <w:jc w:val="left"/>
              <w:rPr>
                <w:rFonts w:ascii="宋体" w:hAnsi="宋体" w:cs="宋体" w:eastAsia="宋体" w:hint="default"/>
                <w:sz w:val="21"/>
                <w:szCs w:val="21"/>
              </w:rPr>
            </w:pPr>
            <w:r>
              <w:rPr>
                <w:rFonts w:ascii="宋体" w:hAnsi="宋体" w:cs="宋体" w:eastAsia="宋体" w:hint="default"/>
                <w:spacing w:val="-9"/>
                <w:sz w:val="21"/>
                <w:szCs w:val="21"/>
              </w:rPr>
              <w:t>智慧城市、公</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共安全及反</w:t>
            </w:r>
            <w:r>
              <w:rPr>
                <w:rFonts w:ascii="宋体" w:hAnsi="宋体" w:cs="宋体" w:eastAsia="宋体" w:hint="default"/>
                <w:spacing w:val="-99"/>
                <w:sz w:val="21"/>
                <w:szCs w:val="21"/>
              </w:rPr>
              <w:t> </w:t>
            </w:r>
            <w:r>
              <w:rPr>
                <w:rFonts w:ascii="宋体" w:hAnsi="宋体" w:cs="宋体" w:eastAsia="宋体" w:hint="default"/>
                <w:sz w:val="21"/>
                <w:szCs w:val="21"/>
              </w:rPr>
              <w:t>恐维稳</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sz w:val="21"/>
              </w:rPr>
              <w:t>1,334,7</w:t>
            </w:r>
          </w:p>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51,408.</w:t>
            </w:r>
          </w:p>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91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1" w:right="0"/>
              <w:jc w:val="left"/>
              <w:rPr>
                <w:rFonts w:ascii="Times New Roman" w:hAnsi="Times New Roman" w:cs="Times New Roman" w:eastAsia="Times New Roman" w:hint="default"/>
                <w:sz w:val="21"/>
                <w:szCs w:val="21"/>
              </w:rPr>
            </w:pPr>
            <w:r>
              <w:rPr>
                <w:rFonts w:ascii="Times New Roman"/>
                <w:sz w:val="21"/>
              </w:rPr>
              <w:t>3,491,28</w:t>
            </w:r>
          </w:p>
          <w:p>
            <w:pPr>
              <w:pStyle w:val="TableParagraph"/>
              <w:spacing w:line="240" w:lineRule="auto" w:before="75"/>
              <w:ind w:left="201" w:right="0"/>
              <w:jc w:val="left"/>
              <w:rPr>
                <w:rFonts w:ascii="Times New Roman" w:hAnsi="Times New Roman" w:cs="Times New Roman" w:eastAsia="Times New Roman" w:hint="default"/>
                <w:sz w:val="21"/>
                <w:szCs w:val="21"/>
              </w:rPr>
            </w:pPr>
            <w:r>
              <w:rPr>
                <w:rFonts w:ascii="Times New Roman"/>
                <w:sz w:val="21"/>
              </w:rPr>
              <w:t>8,092.15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1" w:right="0"/>
              <w:jc w:val="left"/>
              <w:rPr>
                <w:rFonts w:ascii="Times New Roman" w:hAnsi="Times New Roman" w:cs="Times New Roman" w:eastAsia="Times New Roman" w:hint="default"/>
                <w:sz w:val="21"/>
                <w:szCs w:val="21"/>
              </w:rPr>
            </w:pPr>
            <w:r>
              <w:rPr>
                <w:rFonts w:ascii="Times New Roman"/>
                <w:sz w:val="21"/>
              </w:rPr>
              <w:t>2,035,88</w:t>
            </w:r>
          </w:p>
          <w:p>
            <w:pPr>
              <w:pStyle w:val="TableParagraph"/>
              <w:spacing w:line="240" w:lineRule="auto" w:before="75"/>
              <w:ind w:left="201" w:right="0"/>
              <w:jc w:val="left"/>
              <w:rPr>
                <w:rFonts w:ascii="Times New Roman" w:hAnsi="Times New Roman" w:cs="Times New Roman" w:eastAsia="Times New Roman" w:hint="default"/>
                <w:sz w:val="21"/>
                <w:szCs w:val="21"/>
              </w:rPr>
            </w:pPr>
            <w:r>
              <w:rPr>
                <w:rFonts w:ascii="Times New Roman"/>
                <w:sz w:val="21"/>
              </w:rPr>
              <w:t>4,712.56</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01" w:right="0"/>
              <w:jc w:val="left"/>
              <w:rPr>
                <w:rFonts w:ascii="Times New Roman" w:hAnsi="Times New Roman" w:cs="Times New Roman" w:eastAsia="Times New Roman" w:hint="default"/>
                <w:sz w:val="21"/>
                <w:szCs w:val="21"/>
              </w:rPr>
            </w:pPr>
            <w:r>
              <w:rPr>
                <w:rFonts w:ascii="Times New Roman"/>
                <w:sz w:val="21"/>
              </w:rPr>
              <w:t>1,585,52</w:t>
            </w:r>
          </w:p>
          <w:p>
            <w:pPr>
              <w:pStyle w:val="TableParagraph"/>
              <w:spacing w:line="240" w:lineRule="auto" w:before="75"/>
              <w:ind w:left="201" w:right="0"/>
              <w:jc w:val="left"/>
              <w:rPr>
                <w:rFonts w:ascii="Times New Roman" w:hAnsi="Times New Roman" w:cs="Times New Roman" w:eastAsia="Times New Roman" w:hint="default"/>
                <w:sz w:val="21"/>
                <w:szCs w:val="21"/>
              </w:rPr>
            </w:pPr>
            <w:r>
              <w:rPr>
                <w:rFonts w:ascii="Times New Roman"/>
                <w:sz w:val="21"/>
              </w:rPr>
              <w:t>8,341.89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center"/>
              <w:rPr>
                <w:rFonts w:ascii="Times New Roman" w:hAnsi="Times New Roman" w:cs="Times New Roman" w:eastAsia="Times New Roman" w:hint="default"/>
                <w:sz w:val="21"/>
                <w:szCs w:val="21"/>
              </w:rPr>
            </w:pPr>
            <w:r>
              <w:rPr>
                <w:rFonts w:ascii="Times New Roman"/>
                <w:sz w:val="21"/>
              </w:rPr>
              <w:t>344,324,</w:t>
            </w:r>
          </w:p>
          <w:p>
            <w:pPr>
              <w:pStyle w:val="TableParagraph"/>
              <w:spacing w:line="240" w:lineRule="auto" w:before="75"/>
              <w:ind w:left="258" w:right="0"/>
              <w:jc w:val="center"/>
              <w:rPr>
                <w:rFonts w:ascii="Times New Roman" w:hAnsi="Times New Roman" w:cs="Times New Roman" w:eastAsia="Times New Roman" w:hint="default"/>
                <w:sz w:val="21"/>
                <w:szCs w:val="21"/>
              </w:rPr>
            </w:pPr>
            <w:r>
              <w:rPr>
                <w:rFonts w:ascii="Times New Roman"/>
                <w:sz w:val="21"/>
              </w:rPr>
              <w:t>815.50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295,459,</w:t>
            </w:r>
          </w:p>
          <w:p>
            <w:pPr>
              <w:pStyle w:val="TableParagraph"/>
              <w:spacing w:line="240" w:lineRule="auto" w:before="75"/>
              <w:ind w:left="264" w:right="0"/>
              <w:jc w:val="center"/>
              <w:rPr>
                <w:rFonts w:ascii="Times New Roman" w:hAnsi="Times New Roman" w:cs="Times New Roman" w:eastAsia="Times New Roman" w:hint="default"/>
                <w:sz w:val="21"/>
                <w:szCs w:val="21"/>
              </w:rPr>
            </w:pPr>
            <w:r>
              <w:rPr>
                <w:rFonts w:ascii="Times New Roman"/>
                <w:sz w:val="21"/>
              </w:rPr>
              <w:t>474.17</w:t>
            </w:r>
          </w:p>
        </w:tc>
      </w:tr>
      <w:tr>
        <w:trPr>
          <w:trHeight w:val="1301"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67"/>
              <w:ind w:left="105" w:right="224"/>
              <w:jc w:val="both"/>
              <w:rPr>
                <w:rFonts w:ascii="宋体" w:hAnsi="宋体" w:cs="宋体" w:eastAsia="宋体" w:hint="default"/>
                <w:sz w:val="21"/>
                <w:szCs w:val="21"/>
              </w:rPr>
            </w:pPr>
            <w:r>
              <w:rPr>
                <w:rFonts w:ascii="宋体" w:hAnsi="宋体" w:cs="宋体" w:eastAsia="宋体" w:hint="default"/>
                <w:sz w:val="21"/>
                <w:szCs w:val="21"/>
              </w:rPr>
              <w:t>苏州开关</w:t>
            </w:r>
            <w:r>
              <w:rPr>
                <w:rFonts w:ascii="宋体" w:hAnsi="宋体" w:cs="宋体" w:eastAsia="宋体" w:hint="default"/>
                <w:spacing w:val="-101"/>
                <w:sz w:val="21"/>
                <w:szCs w:val="21"/>
              </w:rPr>
              <w:t> </w:t>
            </w:r>
            <w:r>
              <w:rPr>
                <w:rFonts w:ascii="宋体" w:hAnsi="宋体" w:cs="宋体" w:eastAsia="宋体" w:hint="default"/>
                <w:sz w:val="21"/>
                <w:szCs w:val="21"/>
              </w:rPr>
              <w:t>二厂有限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6" w:right="41"/>
              <w:jc w:val="left"/>
              <w:rPr>
                <w:rFonts w:ascii="宋体" w:hAnsi="宋体" w:cs="宋体" w:eastAsia="宋体" w:hint="default"/>
                <w:sz w:val="21"/>
                <w:szCs w:val="21"/>
              </w:rPr>
            </w:pPr>
            <w:r>
              <w:rPr>
                <w:rFonts w:ascii="宋体" w:hAnsi="宋体" w:cs="宋体" w:eastAsia="宋体" w:hint="default"/>
                <w:sz w:val="21"/>
                <w:szCs w:val="21"/>
              </w:rPr>
              <w:t>制造、加工：</w:t>
            </w:r>
            <w:r>
              <w:rPr>
                <w:rFonts w:ascii="宋体" w:hAnsi="宋体" w:cs="宋体" w:eastAsia="宋体" w:hint="default"/>
                <w:spacing w:val="-98"/>
                <w:sz w:val="21"/>
                <w:szCs w:val="21"/>
              </w:rPr>
              <w:t> </w:t>
            </w:r>
            <w:r>
              <w:rPr>
                <w:rFonts w:ascii="宋体" w:hAnsi="宋体" w:cs="宋体" w:eastAsia="宋体" w:hint="default"/>
                <w:sz w:val="21"/>
                <w:szCs w:val="21"/>
              </w:rPr>
              <w:t>高低压成套</w:t>
            </w:r>
            <w:r>
              <w:rPr>
                <w:rFonts w:ascii="宋体" w:hAnsi="宋体" w:cs="宋体" w:eastAsia="宋体" w:hint="default"/>
                <w:spacing w:val="-99"/>
                <w:sz w:val="21"/>
                <w:szCs w:val="21"/>
              </w:rPr>
              <w:t> </w:t>
            </w:r>
            <w:r>
              <w:rPr>
                <w:rFonts w:ascii="宋体" w:hAnsi="宋体" w:cs="宋体" w:eastAsia="宋体" w:hint="default"/>
                <w:spacing w:val="-9"/>
                <w:sz w:val="21"/>
                <w:szCs w:val="21"/>
              </w:rPr>
              <w:t>装置，输配电</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9"/>
                <w:sz w:val="21"/>
                <w:szCs w:val="21"/>
              </w:rPr>
              <w:t>设备，工业过</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52,000,</w:t>
            </w:r>
          </w:p>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495,051,</w:t>
            </w:r>
          </w:p>
          <w:p>
            <w:pPr>
              <w:pStyle w:val="TableParagraph"/>
              <w:spacing w:line="240" w:lineRule="auto" w:before="75"/>
              <w:ind w:left="264" w:right="0"/>
              <w:jc w:val="center"/>
              <w:rPr>
                <w:rFonts w:ascii="Times New Roman" w:hAnsi="Times New Roman" w:cs="Times New Roman" w:eastAsia="Times New Roman" w:hint="default"/>
                <w:sz w:val="21"/>
                <w:szCs w:val="21"/>
              </w:rPr>
            </w:pPr>
            <w:r>
              <w:rPr>
                <w:rFonts w:ascii="Times New Roman"/>
                <w:sz w:val="21"/>
              </w:rPr>
              <w:t>602.79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304,441,</w:t>
            </w:r>
          </w:p>
          <w:p>
            <w:pPr>
              <w:pStyle w:val="TableParagraph"/>
              <w:spacing w:line="240" w:lineRule="auto" w:before="75"/>
              <w:ind w:left="263" w:right="0"/>
              <w:jc w:val="center"/>
              <w:rPr>
                <w:rFonts w:ascii="Times New Roman" w:hAnsi="Times New Roman" w:cs="Times New Roman" w:eastAsia="Times New Roman" w:hint="default"/>
                <w:sz w:val="21"/>
                <w:szCs w:val="21"/>
              </w:rPr>
            </w:pPr>
            <w:r>
              <w:rPr>
                <w:rFonts w:ascii="Times New Roman"/>
                <w:sz w:val="21"/>
              </w:rPr>
              <w:t>593.49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05" w:right="0"/>
              <w:jc w:val="center"/>
              <w:rPr>
                <w:rFonts w:ascii="Times New Roman" w:hAnsi="Times New Roman" w:cs="Times New Roman" w:eastAsia="Times New Roman" w:hint="default"/>
                <w:sz w:val="21"/>
                <w:szCs w:val="21"/>
              </w:rPr>
            </w:pPr>
            <w:r>
              <w:rPr>
                <w:rFonts w:ascii="Times New Roman"/>
                <w:sz w:val="21"/>
              </w:rPr>
              <w:t>295,442,</w:t>
            </w:r>
          </w:p>
          <w:p>
            <w:pPr>
              <w:pStyle w:val="TableParagraph"/>
              <w:spacing w:line="240" w:lineRule="auto" w:before="75"/>
              <w:ind w:left="263" w:right="0"/>
              <w:jc w:val="center"/>
              <w:rPr>
                <w:rFonts w:ascii="Times New Roman" w:hAnsi="Times New Roman" w:cs="Times New Roman" w:eastAsia="Times New Roman" w:hint="default"/>
                <w:sz w:val="21"/>
                <w:szCs w:val="21"/>
              </w:rPr>
            </w:pPr>
            <w:r>
              <w:rPr>
                <w:rFonts w:ascii="Times New Roman"/>
                <w:sz w:val="21"/>
              </w:rPr>
              <w:t>345.70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35,539,9</w:t>
            </w:r>
          </w:p>
          <w:p>
            <w:pPr>
              <w:pStyle w:val="TableParagraph"/>
              <w:spacing w:line="240" w:lineRule="auto" w:before="75"/>
              <w:ind w:left="460" w:right="0"/>
              <w:jc w:val="left"/>
              <w:rPr>
                <w:rFonts w:ascii="Times New Roman" w:hAnsi="Times New Roman" w:cs="Times New Roman" w:eastAsia="Times New Roman" w:hint="default"/>
                <w:sz w:val="21"/>
                <w:szCs w:val="21"/>
              </w:rPr>
            </w:pPr>
            <w:r>
              <w:rPr>
                <w:rFonts w:ascii="Times New Roman"/>
                <w:sz w:val="21"/>
              </w:rPr>
              <w:t>88.14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8"/>
                <w:szCs w:val="28"/>
              </w:rPr>
            </w:pPr>
          </w:p>
          <w:p>
            <w:pPr>
              <w:pStyle w:val="TableParagraph"/>
              <w:spacing w:line="240" w:lineRule="auto"/>
              <w:ind w:left="201" w:right="0"/>
              <w:jc w:val="left"/>
              <w:rPr>
                <w:rFonts w:ascii="Times New Roman" w:hAnsi="Times New Roman" w:cs="Times New Roman" w:eastAsia="Times New Roman" w:hint="default"/>
                <w:sz w:val="21"/>
                <w:szCs w:val="21"/>
              </w:rPr>
            </w:pPr>
            <w:r>
              <w:rPr>
                <w:rFonts w:ascii="Times New Roman"/>
                <w:sz w:val="21"/>
              </w:rPr>
              <w:t>29,271,7</w:t>
            </w:r>
          </w:p>
          <w:p>
            <w:pPr>
              <w:pStyle w:val="TableParagraph"/>
              <w:spacing w:line="240" w:lineRule="auto" w:before="75"/>
              <w:ind w:left="465" w:right="0"/>
              <w:jc w:val="left"/>
              <w:rPr>
                <w:rFonts w:ascii="Times New Roman" w:hAnsi="Times New Roman" w:cs="Times New Roman" w:eastAsia="Times New Roman" w:hint="default"/>
                <w:sz w:val="21"/>
                <w:szCs w:val="21"/>
              </w:rPr>
            </w:pPr>
            <w:r>
              <w:rPr>
                <w:rFonts w:ascii="Times New Roman"/>
                <w:sz w:val="21"/>
              </w:rPr>
              <w:t>44.48</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100" w:bottom="1220" w:left="560" w:right="0"/>
        </w:sectPr>
      </w:pPr>
    </w:p>
    <w:p>
      <w:pPr>
        <w:spacing w:line="240" w:lineRule="auto" w:before="7"/>
        <w:rPr>
          <w:rFonts w:ascii="宋体" w:hAnsi="宋体" w:cs="宋体" w:eastAsia="宋体" w:hint="default"/>
          <w:sz w:val="25"/>
          <w:szCs w:val="25"/>
        </w:rPr>
      </w:pPr>
    </w:p>
    <w:tbl>
      <w:tblPr>
        <w:tblW w:w="0" w:type="auto"/>
        <w:jc w:val="left"/>
        <w:tblInd w:w="154" w:type="dxa"/>
        <w:tblLayout w:type="fixed"/>
        <w:tblCellMar>
          <w:top w:w="0" w:type="dxa"/>
          <w:left w:w="0" w:type="dxa"/>
          <w:bottom w:w="0" w:type="dxa"/>
          <w:right w:w="0" w:type="dxa"/>
        </w:tblCellMar>
        <w:tblLook w:val="01E0"/>
      </w:tblPr>
      <w:tblGrid>
        <w:gridCol w:w="1186"/>
        <w:gridCol w:w="1066"/>
        <w:gridCol w:w="1427"/>
        <w:gridCol w:w="936"/>
        <w:gridCol w:w="1047"/>
        <w:gridCol w:w="1047"/>
        <w:gridCol w:w="1047"/>
        <w:gridCol w:w="1042"/>
        <w:gridCol w:w="1046"/>
      </w:tblGrid>
      <w:tr>
        <w:trPr>
          <w:trHeight w:val="315" w:hRule="exact"/>
        </w:trPr>
        <w:tc>
          <w:tcPr>
            <w:tcW w:w="1186"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427" w:type="dxa"/>
            <w:tcBorders>
              <w:top w:val="single" w:sz="4" w:space="0" w:color="000000"/>
              <w:left w:val="single" w:sz="4" w:space="0" w:color="000000"/>
              <w:bottom w:val="nil" w:sz="6" w:space="0" w:color="auto"/>
              <w:right w:val="single" w:sz="4" w:space="0" w:color="000000"/>
            </w:tcBorders>
          </w:tcPr>
          <w:p>
            <w:pPr>
              <w:pStyle w:val="TableParagraph"/>
              <w:spacing w:line="260" w:lineRule="exact"/>
              <w:ind w:left="106" w:right="0"/>
              <w:jc w:val="left"/>
              <w:rPr>
                <w:rFonts w:ascii="宋体" w:hAnsi="宋体" w:cs="宋体" w:eastAsia="宋体" w:hint="default"/>
                <w:sz w:val="21"/>
                <w:szCs w:val="21"/>
              </w:rPr>
            </w:pPr>
            <w:r>
              <w:rPr>
                <w:rFonts w:ascii="宋体" w:hAnsi="宋体" w:cs="宋体" w:eastAsia="宋体" w:hint="default"/>
                <w:sz w:val="21"/>
                <w:szCs w:val="21"/>
              </w:rPr>
              <w:t>程控制及监</w:t>
            </w:r>
          </w:p>
        </w:tc>
        <w:tc>
          <w:tcPr>
            <w:tcW w:w="936"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c>
          <w:tcPr>
            <w:tcW w:w="1047" w:type="dxa"/>
            <w:vMerge w:val="restart"/>
            <w:tcBorders>
              <w:top w:val="single" w:sz="4" w:space="0" w:color="000000"/>
              <w:left w:val="single" w:sz="4" w:space="0" w:color="000000"/>
              <w:right w:val="single" w:sz="4" w:space="0" w:color="000000"/>
            </w:tcBorders>
          </w:tcPr>
          <w:p>
            <w:pPr/>
          </w:p>
        </w:tc>
        <w:tc>
          <w:tcPr>
            <w:tcW w:w="1042"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186"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pacing w:val="-9"/>
                <w:sz w:val="21"/>
                <w:szCs w:val="21"/>
              </w:rPr>
              <w:t>控系统，仪器</w:t>
            </w:r>
          </w:p>
        </w:tc>
        <w:tc>
          <w:tcPr>
            <w:tcW w:w="936"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2"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186"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pacing w:val="-9"/>
                <w:sz w:val="21"/>
                <w:szCs w:val="21"/>
              </w:rPr>
              <w:t>仪表，金属制</w:t>
            </w:r>
          </w:p>
        </w:tc>
        <w:tc>
          <w:tcPr>
            <w:tcW w:w="936"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2"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186"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27"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6" w:right="0"/>
              <w:jc w:val="left"/>
              <w:rPr>
                <w:rFonts w:ascii="宋体" w:hAnsi="宋体" w:cs="宋体" w:eastAsia="宋体" w:hint="default"/>
                <w:sz w:val="21"/>
                <w:szCs w:val="21"/>
              </w:rPr>
            </w:pPr>
            <w:r>
              <w:rPr>
                <w:rFonts w:ascii="宋体" w:hAnsi="宋体" w:cs="宋体" w:eastAsia="宋体" w:hint="default"/>
                <w:spacing w:val="-9"/>
                <w:sz w:val="21"/>
                <w:szCs w:val="21"/>
              </w:rPr>
              <w:t>品，电子通讯</w:t>
            </w:r>
          </w:p>
        </w:tc>
        <w:tc>
          <w:tcPr>
            <w:tcW w:w="936"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2"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186"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z w:val="21"/>
                <w:szCs w:val="21"/>
              </w:rPr>
              <w:t>设备，调气、</w:t>
            </w:r>
          </w:p>
        </w:tc>
        <w:tc>
          <w:tcPr>
            <w:tcW w:w="936"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2"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4" w:hRule="exact"/>
        </w:trPr>
        <w:tc>
          <w:tcPr>
            <w:tcW w:w="1186"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427"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6" w:right="0"/>
              <w:jc w:val="left"/>
              <w:rPr>
                <w:rFonts w:ascii="宋体" w:hAnsi="宋体" w:cs="宋体" w:eastAsia="宋体" w:hint="default"/>
                <w:sz w:val="21"/>
                <w:szCs w:val="21"/>
              </w:rPr>
            </w:pPr>
            <w:r>
              <w:rPr>
                <w:rFonts w:ascii="宋体" w:hAnsi="宋体" w:cs="宋体" w:eastAsia="宋体" w:hint="default"/>
                <w:spacing w:val="-9"/>
                <w:sz w:val="21"/>
                <w:szCs w:val="21"/>
              </w:rPr>
              <w:t>调压设备，电</w:t>
            </w:r>
          </w:p>
        </w:tc>
        <w:tc>
          <w:tcPr>
            <w:tcW w:w="936"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7" w:type="dxa"/>
            <w:vMerge/>
            <w:tcBorders>
              <w:left w:val="single" w:sz="4" w:space="0" w:color="000000"/>
              <w:right w:val="single" w:sz="4" w:space="0" w:color="000000"/>
            </w:tcBorders>
          </w:tcPr>
          <w:p>
            <w:pPr/>
          </w:p>
        </w:tc>
        <w:tc>
          <w:tcPr>
            <w:tcW w:w="1042"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4" w:hRule="exact"/>
        </w:trPr>
        <w:tc>
          <w:tcPr>
            <w:tcW w:w="1186"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427" w:type="dxa"/>
            <w:tcBorders>
              <w:top w:val="nil" w:sz="6" w:space="0" w:color="auto"/>
              <w:left w:val="single" w:sz="4" w:space="0" w:color="000000"/>
              <w:bottom w:val="single" w:sz="4" w:space="0" w:color="000000"/>
              <w:right w:val="single" w:sz="4" w:space="0" w:color="000000"/>
            </w:tcBorders>
          </w:tcPr>
          <w:p>
            <w:pPr>
              <w:pStyle w:val="TableParagraph"/>
              <w:spacing w:line="264" w:lineRule="exact"/>
              <w:ind w:left="106" w:right="0"/>
              <w:jc w:val="left"/>
              <w:rPr>
                <w:rFonts w:ascii="宋体" w:hAnsi="宋体" w:cs="宋体" w:eastAsia="宋体" w:hint="default"/>
                <w:sz w:val="21"/>
                <w:szCs w:val="21"/>
              </w:rPr>
            </w:pPr>
            <w:r>
              <w:rPr>
                <w:rFonts w:ascii="宋体" w:hAnsi="宋体" w:cs="宋体" w:eastAsia="宋体" w:hint="default"/>
                <w:sz w:val="21"/>
                <w:szCs w:val="21"/>
              </w:rPr>
              <w:t>器元件</w:t>
            </w:r>
          </w:p>
        </w:tc>
        <w:tc>
          <w:tcPr>
            <w:tcW w:w="936"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1047" w:type="dxa"/>
            <w:vMerge/>
            <w:tcBorders>
              <w:left w:val="single" w:sz="4" w:space="0" w:color="000000"/>
              <w:bottom w:val="single" w:sz="4" w:space="0" w:color="000000"/>
              <w:right w:val="single" w:sz="4" w:space="0" w:color="000000"/>
            </w:tcBorders>
          </w:tcPr>
          <w:p>
            <w:pPr/>
          </w:p>
        </w:tc>
        <w:tc>
          <w:tcPr>
            <w:tcW w:w="1042"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bl>
    <w:p>
      <w:pPr>
        <w:spacing w:before="53"/>
        <w:ind w:left="433" w:right="0" w:firstLine="0"/>
        <w:jc w:val="left"/>
        <w:rPr>
          <w:rFonts w:ascii="宋体" w:hAnsi="宋体" w:cs="宋体" w:eastAsia="宋体" w:hint="default"/>
          <w:sz w:val="18"/>
          <w:szCs w:val="18"/>
        </w:rPr>
      </w:pPr>
      <w:r>
        <w:rPr>
          <w:rFonts w:ascii="宋体" w:hAnsi="宋体" w:cs="宋体" w:eastAsia="宋体" w:hint="default"/>
          <w:spacing w:val="-3"/>
          <w:sz w:val="18"/>
          <w:szCs w:val="18"/>
        </w:rPr>
        <w:t>报告期内取得和处置子公司的情况</w:t>
      </w:r>
    </w:p>
    <w:p>
      <w:pPr>
        <w:spacing w:before="120"/>
        <w:ind w:left="43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3505"/>
        <w:gridCol w:w="3193"/>
        <w:gridCol w:w="3193"/>
      </w:tblGrid>
      <w:tr>
        <w:trPr>
          <w:trHeight w:val="401" w:hRule="exact"/>
        </w:trPr>
        <w:tc>
          <w:tcPr>
            <w:tcW w:w="3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25" w:right="0"/>
              <w:jc w:val="left"/>
              <w:rPr>
                <w:rFonts w:ascii="宋体" w:hAnsi="宋体" w:cs="宋体" w:eastAsia="宋体" w:hint="default"/>
                <w:sz w:val="21"/>
                <w:szCs w:val="21"/>
              </w:rPr>
            </w:pPr>
            <w:r>
              <w:rPr>
                <w:rFonts w:ascii="宋体" w:hAnsi="宋体" w:cs="宋体" w:eastAsia="宋体" w:hint="default"/>
                <w:sz w:val="21"/>
                <w:szCs w:val="21"/>
              </w:rPr>
              <w:t>报告期内取得和处置子公司方式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0" w:right="0"/>
              <w:jc w:val="left"/>
              <w:rPr>
                <w:rFonts w:ascii="宋体" w:hAnsi="宋体" w:cs="宋体" w:eastAsia="宋体" w:hint="default"/>
                <w:sz w:val="21"/>
                <w:szCs w:val="21"/>
              </w:rPr>
            </w:pPr>
            <w:r>
              <w:rPr>
                <w:rFonts w:ascii="宋体" w:hAnsi="宋体" w:cs="宋体" w:eastAsia="宋体" w:hint="default"/>
                <w:sz w:val="21"/>
                <w:szCs w:val="21"/>
              </w:rPr>
              <w:t>对整体生产经营和业绩的影响</w:t>
            </w:r>
          </w:p>
        </w:tc>
      </w:tr>
      <w:tr>
        <w:trPr>
          <w:trHeight w:val="715"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湖北楚兴联怡网络技术有限公司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r>
        <w:trPr>
          <w:trHeight w:val="404"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恒联通达信息科技河北有限公司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r>
        <w:trPr>
          <w:trHeight w:val="398"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四川恒联通达信息科技有限公司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湖南时空大数据管理有限公司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6"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新疆云尚智慧科技有限公司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pacing w:val="-6"/>
                <w:sz w:val="21"/>
                <w:szCs w:val="21"/>
              </w:rPr>
              <w:t>中电兴发智享科技（成都）有限公司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r>
        <w:trPr>
          <w:trHeight w:val="399"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四川中电兴发云尚科技有限公司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pacing w:val="-6"/>
                <w:sz w:val="21"/>
                <w:szCs w:val="21"/>
              </w:rPr>
              <w:t>中电兴发工程管理（北京）有限公司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6"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湖南易晟通信网络技术有限公司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非同一控制下购并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芜湖中电兴发科技有限公司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r>
        <w:trPr>
          <w:trHeight w:val="399"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开封云聚锦尚数据管理有限公司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赫章县融源信息技术有限公司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6" w:right="0"/>
              <w:jc w:val="left"/>
              <w:rPr>
                <w:rFonts w:ascii="宋体" w:hAnsi="宋体" w:cs="宋体" w:eastAsia="宋体" w:hint="default"/>
                <w:sz w:val="21"/>
                <w:szCs w:val="21"/>
              </w:rPr>
            </w:pPr>
            <w:r>
              <w:rPr>
                <w:rFonts w:ascii="宋体" w:hAnsi="宋体" w:cs="宋体" w:eastAsia="宋体" w:hint="default"/>
                <w:sz w:val="21"/>
                <w:szCs w:val="21"/>
              </w:rPr>
              <w:t>非同一控制下购并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湖南中电兴发科技有限公司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r>
        <w:trPr>
          <w:trHeight w:val="403"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陕西中电兴发智享科技有限公司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新设成立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建设期</w:t>
            </w:r>
          </w:p>
        </w:tc>
      </w:tr>
    </w:tbl>
    <w:p>
      <w:pPr>
        <w:spacing w:before="54"/>
        <w:ind w:left="433" w:right="0" w:firstLine="0"/>
        <w:jc w:val="both"/>
        <w:rPr>
          <w:rFonts w:ascii="宋体" w:hAnsi="宋体" w:cs="宋体" w:eastAsia="宋体" w:hint="default"/>
          <w:sz w:val="18"/>
          <w:szCs w:val="18"/>
        </w:rPr>
      </w:pPr>
      <w:r>
        <w:rPr>
          <w:rFonts w:ascii="宋体" w:hAnsi="宋体" w:cs="宋体" w:eastAsia="宋体" w:hint="default"/>
          <w:spacing w:val="-3"/>
          <w:sz w:val="18"/>
          <w:szCs w:val="18"/>
        </w:rPr>
        <w:t>主要控股参股公司情况说明</w:t>
      </w:r>
    </w:p>
    <w:p>
      <w:pPr>
        <w:spacing w:line="240" w:lineRule="auto" w:before="13"/>
        <w:rPr>
          <w:rFonts w:ascii="宋体" w:hAnsi="宋体" w:cs="宋体" w:eastAsia="宋体" w:hint="default"/>
          <w:sz w:val="23"/>
          <w:szCs w:val="23"/>
        </w:rPr>
      </w:pPr>
    </w:p>
    <w:p>
      <w:pPr>
        <w:pStyle w:val="Heading2"/>
        <w:spacing w:line="240" w:lineRule="auto"/>
        <w:ind w:left="433"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spacing w:before="0"/>
        <w:ind w:left="433"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4"/>
          <w:szCs w:val="24"/>
        </w:rPr>
      </w:pPr>
    </w:p>
    <w:p>
      <w:pPr>
        <w:pStyle w:val="Heading2"/>
        <w:spacing w:line="240" w:lineRule="auto"/>
        <w:ind w:left="433"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3"/>
        <w:rPr>
          <w:rFonts w:ascii="宋体" w:hAnsi="宋体" w:cs="宋体" w:eastAsia="宋体" w:hint="default"/>
          <w:b/>
          <w:bCs/>
          <w:sz w:val="32"/>
          <w:szCs w:val="32"/>
        </w:rPr>
      </w:pPr>
    </w:p>
    <w:p>
      <w:pPr>
        <w:spacing w:line="381" w:lineRule="auto" w:before="0"/>
        <w:ind w:left="855" w:right="0" w:hanging="135"/>
        <w:jc w:val="left"/>
        <w:rPr>
          <w:rFonts w:ascii="宋体" w:hAnsi="宋体" w:cs="宋体" w:eastAsia="宋体" w:hint="default"/>
          <w:sz w:val="21"/>
          <w:szCs w:val="21"/>
        </w:rPr>
      </w:pPr>
      <w:r>
        <w:rPr>
          <w:rFonts w:ascii="宋体" w:hAnsi="宋体" w:cs="宋体" w:eastAsia="宋体" w:hint="default"/>
          <w:b/>
          <w:bCs/>
          <w:sz w:val="21"/>
          <w:szCs w:val="21"/>
        </w:rPr>
        <w:t>（一）公司行业面临的竞争格局</w:t>
      </w:r>
      <w:r>
        <w:rPr>
          <w:rFonts w:ascii="宋体" w:hAnsi="宋体" w:cs="宋体" w:eastAsia="宋体" w:hint="default"/>
          <w:b/>
          <w:bCs/>
          <w:w w:val="100"/>
          <w:sz w:val="21"/>
          <w:szCs w:val="21"/>
        </w:rPr>
        <w:t> </w:t>
      </w:r>
      <w:r>
        <w:rPr>
          <w:rFonts w:ascii="宋体" w:hAnsi="宋体" w:cs="宋体" w:eastAsia="宋体" w:hint="default"/>
          <w:spacing w:val="-2"/>
          <w:sz w:val="21"/>
          <w:szCs w:val="21"/>
        </w:rPr>
        <w:t>近年来，行业内的中国企业在市场份额、产品竞争力、综合技术服务能力等方面逐步赶超欧美、日韩</w:t>
      </w:r>
    </w:p>
    <w:p>
      <w:pPr>
        <w:pStyle w:val="BodyText"/>
        <w:spacing w:line="348" w:lineRule="auto" w:before="5"/>
        <w:ind w:left="433" w:right="1106"/>
        <w:jc w:val="both"/>
      </w:pPr>
      <w:r>
        <w:rPr>
          <w:spacing w:val="-2"/>
        </w:rPr>
        <w:t>等企业，并在国家科技强国、制造强国等战略的引领下，逐步完善上下游产业链布局，综合竞争力进一步</w:t>
      </w:r>
      <w:r>
        <w:rPr>
          <w:spacing w:val="-33"/>
        </w:rPr>
        <w:t> </w:t>
      </w:r>
      <w:r>
        <w:rPr>
          <w:spacing w:val="-33"/>
        </w:rPr>
      </w:r>
      <w:r>
        <w:rPr>
          <w:spacing w:val="-2"/>
        </w:rPr>
        <w:t>加强。未来，中国企业在全球智慧科技市场的竞争力将保持高速增长。就国内市场而言，未来随着行业竞</w:t>
      </w:r>
      <w:r>
        <w:rPr>
          <w:spacing w:val="-32"/>
        </w:rPr>
        <w:t> </w:t>
      </w:r>
      <w:r>
        <w:rPr>
          <w:spacing w:val="-32"/>
        </w:rPr>
      </w:r>
      <w:r>
        <w:rPr>
          <w:spacing w:val="-2"/>
        </w:rPr>
        <w:t>争进一步加剧，将促使行业集中度向一些具备技术、资质、资金、人才、规模等综合优势的大企业聚集。</w:t>
      </w:r>
    </w:p>
    <w:p>
      <w:pPr>
        <w:spacing w:after="0" w:line="348" w:lineRule="auto"/>
        <w:jc w:val="both"/>
        <w:sectPr>
          <w:pgSz w:w="11910" w:h="16840"/>
          <w:pgMar w:header="906" w:footer="1022" w:top="1100" w:bottom="1220" w:left="700" w:right="0"/>
        </w:sectPr>
      </w:pPr>
    </w:p>
    <w:p>
      <w:pPr>
        <w:spacing w:line="240" w:lineRule="auto" w:before="8"/>
        <w:rPr>
          <w:rFonts w:ascii="宋体" w:hAnsi="宋体" w:cs="宋体" w:eastAsia="宋体" w:hint="default"/>
          <w:sz w:val="28"/>
          <w:szCs w:val="28"/>
        </w:rPr>
      </w:pPr>
    </w:p>
    <w:p>
      <w:pPr>
        <w:pStyle w:val="BodyText"/>
        <w:spacing w:line="348" w:lineRule="auto"/>
        <w:ind w:right="1002"/>
        <w:jc w:val="left"/>
      </w:pPr>
      <w:r>
        <w:rPr>
          <w:spacing w:val="-2"/>
        </w:rPr>
        <w:t>缺乏技术创新、服务能力和独特商业应用模式的企业将逐步被淘汰，竞争实力较弱的中小企业数量将大幅</w:t>
      </w:r>
      <w:r>
        <w:rPr>
          <w:spacing w:val="-33"/>
        </w:rPr>
        <w:t> </w:t>
      </w:r>
      <w:r>
        <w:rPr>
          <w:spacing w:val="-33"/>
        </w:rPr>
      </w:r>
      <w:r>
        <w:rPr/>
        <w:t>减少，行业面临着大者恒大，强者恒强的残酷竞争格局。</w:t>
      </w:r>
    </w:p>
    <w:p>
      <w:pPr>
        <w:pStyle w:val="BodyText"/>
        <w:spacing w:line="348" w:lineRule="auto" w:before="73"/>
        <w:ind w:left="535" w:right="1002" w:hanging="106"/>
        <w:jc w:val="left"/>
      </w:pPr>
      <w:r>
        <w:rPr>
          <w:rFonts w:ascii="宋体" w:hAnsi="宋体" w:cs="宋体" w:eastAsia="宋体" w:hint="default"/>
          <w:b/>
          <w:bCs/>
        </w:rPr>
        <w:t>（二）公司发展战略</w:t>
      </w:r>
      <w:r>
        <w:rPr>
          <w:rFonts w:ascii="宋体" w:hAnsi="宋体" w:cs="宋体" w:eastAsia="宋体" w:hint="default"/>
          <w:b/>
          <w:bCs/>
          <w:spacing w:val="-103"/>
        </w:rPr>
        <w:t> </w:t>
      </w:r>
      <w:r>
        <w:rPr>
          <w:spacing w:val="-2"/>
        </w:rPr>
        <w:t>综合分析国内外形势，国家经济发展仍处于重要战略机遇期，公司积极适应国家经济坚持稳中求进的</w:t>
      </w:r>
    </w:p>
    <w:p>
      <w:pPr>
        <w:pStyle w:val="BodyText"/>
        <w:spacing w:line="348" w:lineRule="auto" w:before="34"/>
        <w:ind w:right="1002"/>
        <w:jc w:val="left"/>
      </w:pPr>
      <w:r>
        <w:rPr>
          <w:spacing w:val="-2"/>
        </w:rPr>
        <w:t>工作总基调、高质量发展的总要求，适应于时代发展的新局面，全面开启公司发展的新征程，积极推进企</w:t>
      </w:r>
      <w:r>
        <w:rPr>
          <w:spacing w:val="-30"/>
        </w:rPr>
        <w:t> </w:t>
      </w:r>
      <w:r>
        <w:rPr>
          <w:spacing w:val="-30"/>
        </w:rPr>
      </w:r>
      <w:r>
        <w:rPr>
          <w:spacing w:val="-2"/>
        </w:rPr>
        <w:t>业管理体制创新、经营模式创新、科学技术创新、业务模式创新、商业模式创新和法律服务创新等，提升</w:t>
      </w:r>
      <w:r>
        <w:rPr>
          <w:spacing w:val="-38"/>
        </w:rPr>
        <w:t> </w:t>
      </w:r>
      <w:r>
        <w:rPr>
          <w:spacing w:val="-38"/>
        </w:rPr>
      </w:r>
      <w:r>
        <w:rPr>
          <w:spacing w:val="-2"/>
        </w:rPr>
        <w:t>核心竞争力，以加速形成并夯实“业界最佳的智慧中国解决方案供应商与运营服务商”的行业龙头品牌地</w:t>
      </w:r>
      <w:r>
        <w:rPr>
          <w:spacing w:val="-30"/>
        </w:rPr>
        <w:t> </w:t>
      </w:r>
      <w:r>
        <w:rPr>
          <w:spacing w:val="-30"/>
        </w:rPr>
      </w:r>
      <w:r>
        <w:rPr>
          <w:spacing w:val="-4"/>
          <w:w w:val="100"/>
        </w:rPr>
        <w:t>位，形成“以智慧中国业务为龙头，以新通信业务和新一代光纤通信业务为两翼的主营业务发展格局”，</w:t>
      </w:r>
      <w:r>
        <w:rPr>
          <w:spacing w:val="-80"/>
          <w:w w:val="100"/>
        </w:rPr>
        <w:t> </w:t>
      </w:r>
      <w:r>
        <w:rPr>
          <w:spacing w:val="-80"/>
          <w:w w:val="100"/>
        </w:rPr>
      </w:r>
      <w:r>
        <w:rPr/>
        <w:t>实现公司做稳、做强、做大。公司发展战略，归结为：</w:t>
      </w:r>
    </w:p>
    <w:p>
      <w:pPr>
        <w:pStyle w:val="BodyText"/>
        <w:spacing w:line="352" w:lineRule="auto" w:before="29"/>
        <w:ind w:left="535" w:right="1002"/>
        <w:jc w:val="left"/>
      </w:pPr>
      <w:r>
        <w:rPr>
          <w:rFonts w:ascii="宋体" w:hAnsi="宋体" w:cs="宋体" w:eastAsia="宋体" w:hint="default"/>
          <w:b/>
          <w:bCs/>
        </w:rPr>
        <w:t>1 </w:t>
      </w:r>
      <w:r>
        <w:rPr>
          <w:rFonts w:ascii="宋体" w:hAnsi="宋体" w:cs="宋体" w:eastAsia="宋体" w:hint="default"/>
          <w:b/>
          <w:bCs/>
        </w:rPr>
        <w:t>、经营发展战略</w:t>
      </w:r>
      <w:r>
        <w:rPr>
          <w:rFonts w:ascii="宋体" w:hAnsi="宋体" w:cs="宋体" w:eastAsia="宋体" w:hint="default"/>
          <w:b/>
          <w:bCs/>
          <w:spacing w:val="-105"/>
        </w:rPr>
        <w:t> </w:t>
      </w:r>
      <w:r>
        <w:rPr>
          <w:spacing w:val="-2"/>
        </w:rPr>
        <w:t>坚持“以智慧中国业务为龙头，以新通信业务和新一代光纤网络业务为两翼”的主营业务发展战略，</w:t>
      </w:r>
    </w:p>
    <w:p>
      <w:pPr>
        <w:pStyle w:val="BodyText"/>
        <w:spacing w:line="350" w:lineRule="auto" w:before="25"/>
        <w:ind w:right="1002"/>
        <w:jc w:val="left"/>
      </w:pPr>
      <w:r>
        <w:rPr>
          <w:spacing w:val="-4"/>
        </w:rPr>
        <w:t>开展相关多元化发展，加速技术、市场与客户资源整合，打造智慧科技创新产业生态圈，以“开放、共赢”</w:t>
      </w:r>
      <w:r>
        <w:rPr>
          <w:spacing w:val="-47"/>
        </w:rPr>
        <w:t> </w:t>
      </w:r>
      <w:r>
        <w:rPr>
          <w:spacing w:val="-47"/>
        </w:rPr>
      </w:r>
      <w:r>
        <w:rPr/>
        <w:t>的格局形成智慧科技产业集群，将公司打造成智慧中国市场寡占型龙头企业，智慧中国全面解决方案提供</w:t>
      </w:r>
      <w:r>
        <w:rPr>
          <w:w w:val="100"/>
        </w:rPr>
        <w:t> </w:t>
      </w:r>
      <w:r>
        <w:rPr/>
        <w:t>商和运营服务商第一品牌，在此基础上，不断精益求精地推广复制智慧中国方案和经验，借力国家“一带</w:t>
      </w:r>
      <w:r>
        <w:rPr>
          <w:w w:val="100"/>
        </w:rPr>
        <w:t> </w:t>
      </w:r>
      <w:r>
        <w:rPr/>
        <w:t>一路”等战略走向国际，努力将公司打造成智慧全球市场的中国华为，真正实现公司做稳、做强、做大。</w:t>
      </w:r>
    </w:p>
    <w:p>
      <w:pPr>
        <w:spacing w:line="352" w:lineRule="auto" w:before="27"/>
        <w:ind w:left="535" w:right="1002" w:firstLine="0"/>
        <w:jc w:val="left"/>
        <w:rPr>
          <w:rFonts w:ascii="宋体" w:hAnsi="宋体" w:cs="宋体" w:eastAsia="宋体" w:hint="default"/>
          <w:sz w:val="21"/>
          <w:szCs w:val="21"/>
        </w:rPr>
      </w:pPr>
      <w:r>
        <w:rPr>
          <w:rFonts w:ascii="宋体" w:hAnsi="宋体" w:cs="宋体" w:eastAsia="宋体" w:hint="default"/>
          <w:b/>
          <w:bCs/>
          <w:sz w:val="21"/>
          <w:szCs w:val="21"/>
        </w:rPr>
        <w:t>2 </w:t>
      </w:r>
      <w:r>
        <w:rPr>
          <w:rFonts w:ascii="宋体" w:hAnsi="宋体" w:cs="宋体" w:eastAsia="宋体" w:hint="default"/>
          <w:b/>
          <w:bCs/>
          <w:sz w:val="21"/>
          <w:szCs w:val="21"/>
        </w:rPr>
        <w:t>、企业文化和人才战略</w:t>
      </w:r>
      <w:r>
        <w:rPr>
          <w:rFonts w:ascii="宋体" w:hAnsi="宋体" w:cs="宋体" w:eastAsia="宋体" w:hint="default"/>
          <w:b/>
          <w:bCs/>
          <w:spacing w:val="-104"/>
          <w:sz w:val="21"/>
          <w:szCs w:val="21"/>
        </w:rPr>
        <w:t> </w:t>
      </w:r>
      <w:r>
        <w:rPr>
          <w:rFonts w:ascii="宋体" w:hAnsi="宋体" w:cs="宋体" w:eastAsia="宋体" w:hint="default"/>
          <w:spacing w:val="-2"/>
          <w:sz w:val="21"/>
          <w:szCs w:val="21"/>
        </w:rPr>
        <w:t>由公司战略、使命、共同价值观、经营总方针、业务发展总模式、经营工作总原则等共同组成的企业</w:t>
      </w:r>
    </w:p>
    <w:p>
      <w:pPr>
        <w:pStyle w:val="BodyText"/>
        <w:spacing w:line="350" w:lineRule="auto" w:before="25"/>
        <w:ind w:right="1106"/>
        <w:jc w:val="both"/>
      </w:pPr>
      <w:r>
        <w:rPr>
          <w:spacing w:val="-2"/>
        </w:rPr>
        <w:t>文化，是实现企业战略目标的驱动力与重要支柱。坚持“乾乾君子，泱泱华夏；忠信贞固，信息报国”的</w:t>
      </w:r>
      <w:r>
        <w:rPr>
          <w:spacing w:val="-30"/>
        </w:rPr>
        <w:t> </w:t>
      </w:r>
      <w:r>
        <w:rPr>
          <w:spacing w:val="-30"/>
        </w:rPr>
      </w:r>
      <w:r>
        <w:rPr>
          <w:spacing w:val="-2"/>
        </w:rPr>
        <w:t>经营理念，坚持“对外合作共赢，对内重视创新、公平竞争的开放精神；以客户为中心的感恩精神；坦荡</w:t>
      </w:r>
      <w:r>
        <w:rPr>
          <w:spacing w:val="-33"/>
        </w:rPr>
        <w:t> </w:t>
      </w:r>
      <w:r>
        <w:rPr>
          <w:spacing w:val="-33"/>
        </w:rPr>
      </w:r>
      <w:r>
        <w:rPr>
          <w:spacing w:val="-2"/>
        </w:rPr>
        <w:t>干净和坚持自我批判的君子精神；以奋斗者为本并坚持长期艰苦奋斗的奋斗精神”的企业核心价值观，利</w:t>
      </w:r>
      <w:r>
        <w:rPr>
          <w:spacing w:val="-30"/>
        </w:rPr>
        <w:t> </w:t>
      </w:r>
      <w:r>
        <w:rPr>
          <w:spacing w:val="-30"/>
        </w:rPr>
      </w:r>
      <w:r>
        <w:rPr>
          <w:spacing w:val="-2"/>
        </w:rPr>
        <w:t>用企业文化作为导航和支撑，用文化树立企业信誉，用文化传播企业形象，用文化打造企业品牌，用文化</w:t>
      </w:r>
      <w:r>
        <w:rPr>
          <w:spacing w:val="-32"/>
        </w:rPr>
        <w:t> </w:t>
      </w:r>
      <w:r>
        <w:rPr>
          <w:spacing w:val="-32"/>
        </w:rPr>
      </w:r>
      <w:r>
        <w:rPr>
          <w:spacing w:val="-2"/>
        </w:rPr>
        <w:t>提升企业竞争，必将在国家的智慧城市、公共安全、智慧国防、智慧时空等智慧行业不断做出卓越贡献，</w:t>
      </w:r>
      <w:r>
        <w:rPr>
          <w:spacing w:val="-13"/>
        </w:rPr>
        <w:t> </w:t>
      </w:r>
      <w:r>
        <w:rPr>
          <w:spacing w:val="-13"/>
        </w:rPr>
      </w:r>
      <w:r>
        <w:rPr>
          <w:spacing w:val="-2"/>
        </w:rPr>
        <w:t>成为受人尊敬的国际领先的民族企业，树立科技报国创新驱动的典范，为公司实现健康稳定可持续的发展</w:t>
      </w:r>
      <w:r>
        <w:rPr>
          <w:spacing w:val="-33"/>
        </w:rPr>
        <w:t> </w:t>
      </w:r>
      <w:r>
        <w:rPr>
          <w:spacing w:val="-33"/>
        </w:rPr>
      </w:r>
      <w:r>
        <w:rPr>
          <w:spacing w:val="-2"/>
        </w:rPr>
        <w:t>奠定基础，为实现公司做稳、做强、做大，并朝着做业界最佳的智慧中国解决方案供应商与运营服务商的</w:t>
      </w:r>
      <w:r>
        <w:rPr>
          <w:spacing w:val="-33"/>
        </w:rPr>
        <w:t> </w:t>
      </w:r>
      <w:r>
        <w:rPr>
          <w:spacing w:val="-33"/>
        </w:rPr>
      </w:r>
      <w:r>
        <w:rPr/>
        <w:t>战略目标而努力奋斗。</w:t>
      </w:r>
    </w:p>
    <w:p>
      <w:pPr>
        <w:spacing w:line="348" w:lineRule="auto" w:before="31"/>
        <w:ind w:left="535" w:right="1002" w:hanging="106"/>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z w:val="21"/>
          <w:szCs w:val="21"/>
        </w:rPr>
        <w:t>2020</w:t>
      </w:r>
      <w:r>
        <w:rPr>
          <w:rFonts w:ascii="宋体" w:hAnsi="宋体" w:cs="宋体" w:eastAsia="宋体" w:hint="default"/>
          <w:b/>
          <w:bCs/>
          <w:sz w:val="21"/>
          <w:szCs w:val="21"/>
        </w:rPr>
        <w:t>年主要经营计划</w:t>
      </w:r>
      <w:r>
        <w:rPr>
          <w:rFonts w:ascii="宋体" w:hAnsi="宋体" w:cs="宋体" w:eastAsia="宋体" w:hint="default"/>
          <w:b/>
          <w:bCs/>
          <w:spacing w:val="-103"/>
          <w:sz w:val="21"/>
          <w:szCs w:val="21"/>
        </w:rPr>
        <w:t> </w:t>
      </w:r>
      <w:r>
        <w:rPr>
          <w:rFonts w:ascii="宋体" w:hAnsi="宋体" w:cs="宋体" w:eastAsia="宋体" w:hint="default"/>
          <w:spacing w:val="-2"/>
          <w:sz w:val="21"/>
          <w:szCs w:val="21"/>
        </w:rPr>
        <w:t>2020</w:t>
      </w:r>
      <w:r>
        <w:rPr>
          <w:rFonts w:ascii="宋体" w:hAnsi="宋体" w:cs="宋体" w:eastAsia="宋体" w:hint="default"/>
          <w:spacing w:val="-2"/>
          <w:sz w:val="21"/>
          <w:szCs w:val="21"/>
        </w:rPr>
        <w:t>年，公司在董事会的领导下，将继续按照公司发展战略，进一步加强内控管理，进一步提高公司</w:t>
      </w:r>
    </w:p>
    <w:p>
      <w:pPr>
        <w:pStyle w:val="BodyText"/>
        <w:spacing w:line="350" w:lineRule="auto" w:before="29"/>
        <w:ind w:right="1002"/>
        <w:jc w:val="left"/>
      </w:pPr>
      <w:r>
        <w:rPr/>
        <w:t>运作水平，发挥各子公司之间的资源共享、优势互补的协同效应，进一步完善内控制度，强化公司规范运</w:t>
      </w:r>
      <w:r>
        <w:rPr>
          <w:w w:val="100"/>
        </w:rPr>
        <w:t> </w:t>
      </w:r>
      <w:r>
        <w:rPr/>
        <w:t>作能力，进一步加强精细化管理，发挥协同效应，促进公司高质量发展，继续加大对智慧城市核心业务及</w:t>
      </w:r>
      <w:r>
        <w:rPr>
          <w:w w:val="100"/>
        </w:rPr>
        <w:t> </w:t>
      </w:r>
      <w:r>
        <w:rPr>
          <w:spacing w:val="-4"/>
        </w:rPr>
        <w:t>创新业务的研发投入，提升公司研发创新水平，提升公司核心竞争力，坚持以市场为导向，以发展为主题，</w:t>
      </w:r>
      <w:r>
        <w:rPr>
          <w:spacing w:val="-42"/>
        </w:rPr>
        <w:t> </w:t>
      </w:r>
      <w:r>
        <w:rPr>
          <w:spacing w:val="-42"/>
        </w:rPr>
      </w:r>
      <w:r>
        <w:rPr/>
        <w:t>以科技为依托，以创新为动力，以经济效益为中心，实现资本多元化，经营专业化，深挖企业内部和市场</w:t>
      </w:r>
      <w:r>
        <w:rPr>
          <w:w w:val="100"/>
        </w:rPr>
        <w:t> </w:t>
      </w:r>
      <w:r>
        <w:rPr/>
        <w:t>潜力，优化产业链，继续做大、做强、做精主导产业，做实战略规划、资本运作、风险管控三大职能，提</w:t>
      </w:r>
      <w:r>
        <w:rPr>
          <w:w w:val="100"/>
        </w:rPr>
        <w:t> </w:t>
      </w:r>
      <w:r>
        <w:rPr/>
        <w:t>升企业综合运营能力，努力全面完成 </w:t>
      </w:r>
      <w:r>
        <w:rPr>
          <w:rFonts w:ascii="宋体" w:hAnsi="宋体" w:cs="宋体" w:eastAsia="宋体" w:hint="default"/>
        </w:rPr>
        <w:t>2020</w:t>
      </w:r>
      <w:r>
        <w:rPr>
          <w:rFonts w:ascii="宋体" w:hAnsi="宋体" w:cs="宋体" w:eastAsia="宋体" w:hint="default"/>
          <w:spacing w:val="-14"/>
        </w:rPr>
        <w:t> </w:t>
      </w:r>
      <w:r>
        <w:rPr/>
        <w:t>年度各项经营任务目标。同时继续加强与军工企业、科研院所</w:t>
      </w:r>
      <w:r>
        <w:rPr>
          <w:w w:val="100"/>
        </w:rPr>
        <w:t> </w:t>
      </w:r>
      <w:r>
        <w:rPr/>
        <w:t>的深入合作，促进军民融合战略的实施和推进，注重人才梯队建设，完善人才激励机制和企业文化，助推</w:t>
      </w:r>
    </w:p>
    <w:p>
      <w:pPr>
        <w:spacing w:after="0" w:line="35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right="1125"/>
        <w:jc w:val="both"/>
      </w:pPr>
      <w:r>
        <w:rPr>
          <w:spacing w:val="-2"/>
        </w:rPr>
        <w:t>公司长期可持续发展，打造智慧科技创新产业生态圈，将公司打造成智慧中国市场建设、投资与运营服务</w:t>
      </w:r>
      <w:r>
        <w:rPr>
          <w:spacing w:val="-33"/>
        </w:rPr>
        <w:t> </w:t>
      </w:r>
      <w:r>
        <w:rPr>
          <w:spacing w:val="-33"/>
        </w:rPr>
      </w:r>
      <w:r>
        <w:rPr/>
        <w:t>的龙头企业。</w:t>
      </w:r>
    </w:p>
    <w:p>
      <w:pPr>
        <w:spacing w:line="348" w:lineRule="auto" w:before="34"/>
        <w:ind w:left="535" w:right="100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、进一步提升公司运作效率和管理水平，进一步促进公司合规经营</w:t>
      </w:r>
      <w:r>
        <w:rPr>
          <w:rFonts w:ascii="宋体" w:hAnsi="宋体" w:cs="宋体" w:eastAsia="宋体" w:hint="default"/>
          <w:b/>
          <w:bCs/>
          <w:w w:val="100"/>
          <w:sz w:val="21"/>
          <w:szCs w:val="21"/>
        </w:rPr>
        <w:t> </w:t>
      </w:r>
      <w:r>
        <w:rPr>
          <w:rFonts w:ascii="宋体" w:hAnsi="宋体" w:cs="宋体" w:eastAsia="宋体" w:hint="default"/>
          <w:spacing w:val="-2"/>
          <w:sz w:val="21"/>
          <w:szCs w:val="21"/>
        </w:rPr>
        <w:t>公司将继续严格按照董事会制定的经营发展战略，围绕战略管理的核心职能全力开展工作，进一步规</w:t>
      </w:r>
    </w:p>
    <w:p>
      <w:pPr>
        <w:pStyle w:val="BodyText"/>
        <w:spacing w:line="350" w:lineRule="auto" w:before="29"/>
        <w:ind w:right="1020"/>
        <w:jc w:val="both"/>
      </w:pPr>
      <w:r>
        <w:rPr/>
        <w:t>范公司治理结构，完善内控制度和内控管理体系，加强对公司及下属各子公司的生产经营、财务、人力资</w:t>
      </w:r>
      <w:r>
        <w:rPr>
          <w:w w:val="100"/>
        </w:rPr>
        <w:t> </w:t>
      </w:r>
      <w:r>
        <w:rPr/>
        <w:t>源等多方面有效的内部控制监督管理，加大过程管控力度，提高执行力，以各项任务指标的完成推动公司</w:t>
      </w:r>
      <w:r>
        <w:rPr>
          <w:w w:val="100"/>
        </w:rPr>
        <w:t> </w:t>
      </w:r>
      <w:r>
        <w:rPr>
          <w:spacing w:val="-4"/>
        </w:rPr>
        <w:t>战略目标的达成，提升公司运作效率和管理水平，进一步促进公司合规经营，实现公司做稳、做强、做大。</w:t>
      </w:r>
    </w:p>
    <w:p>
      <w:pPr>
        <w:spacing w:line="352" w:lineRule="auto" w:before="27"/>
        <w:ind w:left="535" w:right="10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1"/>
          <w:sz w:val="21"/>
          <w:szCs w:val="21"/>
        </w:rPr>
        <w:t> </w:t>
      </w:r>
      <w:r>
        <w:rPr>
          <w:rFonts w:ascii="宋体" w:hAnsi="宋体" w:cs="宋体" w:eastAsia="宋体" w:hint="default"/>
          <w:b/>
          <w:bCs/>
          <w:sz w:val="21"/>
          <w:szCs w:val="21"/>
        </w:rPr>
        <w:t>、加强精细化管理，发挥协同效应，促进公司高质量发展</w:t>
      </w:r>
      <w:r>
        <w:rPr>
          <w:rFonts w:ascii="宋体" w:hAnsi="宋体" w:cs="宋体" w:eastAsia="宋体" w:hint="default"/>
          <w:b/>
          <w:bCs/>
          <w:w w:val="100"/>
          <w:sz w:val="21"/>
          <w:szCs w:val="21"/>
        </w:rPr>
        <w:t> </w:t>
      </w:r>
      <w:r>
        <w:rPr>
          <w:rFonts w:ascii="宋体" w:hAnsi="宋体" w:cs="宋体" w:eastAsia="宋体" w:hint="default"/>
          <w:spacing w:val="-2"/>
          <w:sz w:val="21"/>
          <w:szCs w:val="21"/>
        </w:rPr>
        <w:t>按照公司经营发展目标，进一步加强精细化管理，对内挖潜增效、去存降本，加强工艺改进，全面重</w:t>
      </w:r>
    </w:p>
    <w:p>
      <w:pPr>
        <w:pStyle w:val="BodyText"/>
        <w:spacing w:line="348" w:lineRule="auto" w:before="25"/>
        <w:ind w:right="1106"/>
        <w:jc w:val="both"/>
      </w:pPr>
      <w:r>
        <w:rPr>
          <w:spacing w:val="-2"/>
        </w:rPr>
        <w:t>整管理架构，从战略、需求管理、质量管理和端到端交付等方面构建公司的核心竞争力。规避经营风险，</w:t>
      </w:r>
      <w:r>
        <w:rPr>
          <w:spacing w:val="-13"/>
        </w:rPr>
        <w:t> </w:t>
      </w:r>
      <w:r>
        <w:rPr>
          <w:spacing w:val="-13"/>
        </w:rPr>
      </w:r>
      <w:r>
        <w:rPr>
          <w:spacing w:val="-2"/>
        </w:rPr>
        <w:t>推动管理改进；对外开拓市场，坚持“客户导向、求实创新、诚实守信、合作共赢”的市场价值观，扩大</w:t>
      </w:r>
      <w:r>
        <w:rPr>
          <w:spacing w:val="-31"/>
        </w:rPr>
        <w:t> </w:t>
      </w:r>
      <w:r>
        <w:rPr>
          <w:spacing w:val="-31"/>
        </w:rPr>
      </w:r>
      <w:r>
        <w:rPr>
          <w:spacing w:val="-2"/>
        </w:rPr>
        <w:t>市场份额，充分发挥各子公司之间的资源共享、优势互补的协同效应，协同公司各子公司、各部门相互交</w:t>
      </w:r>
      <w:r>
        <w:rPr>
          <w:spacing w:val="-33"/>
        </w:rPr>
        <w:t> </w:t>
      </w:r>
      <w:r>
        <w:rPr>
          <w:spacing w:val="-33"/>
        </w:rPr>
      </w:r>
      <w:r>
        <w:rPr>
          <w:spacing w:val="-2"/>
        </w:rPr>
        <w:t>流并展开协同，如产品、技术、管理、市场等方面的协同，发挥团队作战优势，确保经营稳健，资产质量</w:t>
      </w:r>
      <w:r>
        <w:rPr>
          <w:spacing w:val="-38"/>
        </w:rPr>
        <w:t> </w:t>
      </w:r>
      <w:r>
        <w:rPr>
          <w:spacing w:val="-38"/>
        </w:rPr>
      </w:r>
      <w:r>
        <w:rPr/>
        <w:t>优良，从而促进公司高质量发展，实现公司健康、稳定和可持续的发展。</w:t>
      </w:r>
    </w:p>
    <w:p>
      <w:pPr>
        <w:spacing w:line="348" w:lineRule="auto" w:before="34"/>
        <w:ind w:left="535" w:right="1002" w:firstLine="0"/>
        <w:jc w:val="left"/>
        <w:rPr>
          <w:rFonts w:ascii="宋体" w:hAnsi="宋体" w:cs="宋体" w:eastAsia="宋体" w:hint="default"/>
          <w:sz w:val="21"/>
          <w:szCs w:val="21"/>
        </w:rPr>
      </w:pPr>
      <w:r>
        <w:rPr>
          <w:rFonts w:ascii="宋体" w:hAnsi="宋体" w:cs="宋体" w:eastAsia="宋体" w:hint="default"/>
          <w:b/>
          <w:bCs/>
          <w:sz w:val="21"/>
          <w:szCs w:val="21"/>
        </w:rPr>
        <w:t>3 </w:t>
      </w:r>
      <w:r>
        <w:rPr>
          <w:rFonts w:ascii="宋体" w:hAnsi="宋体" w:cs="宋体" w:eastAsia="宋体" w:hint="default"/>
          <w:b/>
          <w:bCs/>
          <w:sz w:val="21"/>
          <w:szCs w:val="21"/>
        </w:rPr>
        <w:t>、继续加大对智慧中国核心业务及创新业务的研发投入，提升公司研发创新水平</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公司将继续坚持以技术持续创新为基础，重点围绕人工智能、物联网、大数据、云计算和区块链等面</w:t>
      </w:r>
    </w:p>
    <w:p>
      <w:pPr>
        <w:pStyle w:val="BodyText"/>
        <w:spacing w:line="350" w:lineRule="auto" w:before="29"/>
        <w:ind w:right="1122"/>
        <w:jc w:val="both"/>
      </w:pPr>
      <w:r>
        <w:rPr>
          <w:spacing w:val="-2"/>
        </w:rPr>
        <w:t>向未来的核心技术增强研发能力，持续整合人工智能、云计算和大数据、物联网等资源，以保持公司技术</w:t>
      </w:r>
      <w:r>
        <w:rPr>
          <w:spacing w:val="-29"/>
        </w:rPr>
        <w:t> </w:t>
      </w:r>
      <w:r>
        <w:rPr>
          <w:spacing w:val="-29"/>
        </w:rPr>
      </w:r>
      <w:r>
        <w:rPr>
          <w:spacing w:val="-2"/>
        </w:rPr>
        <w:t>上持续的领先优势，运用领先的创新能力，持续探索和掌握发展新机遇，继续围绕智慧中国领域探索不同</w:t>
      </w:r>
      <w:r>
        <w:rPr>
          <w:spacing w:val="-33"/>
        </w:rPr>
        <w:t> </w:t>
      </w:r>
      <w:r>
        <w:rPr>
          <w:spacing w:val="-33"/>
        </w:rPr>
      </w:r>
      <w:r>
        <w:rPr>
          <w:spacing w:val="-2"/>
        </w:rPr>
        <w:t>的业务模式，持续加大对创新业务的投入，从创新业务中挖掘新的业务增长点，为公司打开全新的增长空</w:t>
      </w:r>
      <w:r>
        <w:rPr>
          <w:spacing w:val="-33"/>
        </w:rPr>
        <w:t> </w:t>
      </w:r>
      <w:r>
        <w:rPr>
          <w:spacing w:val="-33"/>
        </w:rPr>
      </w:r>
      <w:r>
        <w:rPr/>
        <w:t>间。</w:t>
      </w:r>
    </w:p>
    <w:p>
      <w:pPr>
        <w:pStyle w:val="BodyText"/>
        <w:spacing w:line="350" w:lineRule="auto" w:before="31"/>
        <w:ind w:right="1002" w:firstLine="422"/>
        <w:jc w:val="left"/>
      </w:pPr>
      <w:r>
        <w:rPr>
          <w:rFonts w:ascii="宋体" w:hAnsi="宋体" w:cs="宋体" w:eastAsia="宋体" w:hint="default"/>
          <w:b/>
          <w:bCs/>
        </w:rPr>
        <w:t>4</w:t>
      </w:r>
      <w:r>
        <w:rPr>
          <w:rFonts w:ascii="宋体" w:hAnsi="宋体" w:cs="宋体" w:eastAsia="宋体" w:hint="default"/>
          <w:b/>
          <w:bCs/>
          <w:spacing w:val="-1"/>
        </w:rPr>
        <w:t> </w:t>
      </w:r>
      <w:r>
        <w:rPr>
          <w:rFonts w:ascii="宋体" w:hAnsi="宋体" w:cs="宋体" w:eastAsia="宋体" w:hint="default"/>
          <w:b/>
          <w:bCs/>
        </w:rPr>
        <w:t>、注重人才梯队建设，完善人才激励机制和企业文化，助推公司长期可持续发展</w:t>
      </w:r>
      <w:r>
        <w:rPr>
          <w:rFonts w:ascii="宋体" w:hAnsi="宋体" w:cs="宋体" w:eastAsia="宋体" w:hint="default"/>
          <w:b/>
          <w:bCs/>
          <w:w w:val="100"/>
        </w:rPr>
        <w:t> </w:t>
      </w:r>
      <w:r>
        <w:rPr>
          <w:spacing w:val="-2"/>
        </w:rPr>
        <w:t>公司将坚持以“以奋斗者为本”的企业文化和价值导向，构建企业发展的核心动力。多渠道引进高素质的</w:t>
      </w:r>
      <w:r>
        <w:rPr>
          <w:spacing w:val="-33"/>
        </w:rPr>
        <w:t> </w:t>
      </w:r>
      <w:r>
        <w:rPr>
          <w:spacing w:val="-33"/>
        </w:rPr>
      </w:r>
      <w:r>
        <w:rPr>
          <w:spacing w:val="-2"/>
        </w:rPr>
        <w:t>经营管理人才和能力强的专业技术人才，通过引进顶尖专业人才和大力培养、重用校招培训生等措施，打</w:t>
      </w:r>
      <w:r>
        <w:rPr>
          <w:spacing w:val="-33"/>
        </w:rPr>
        <w:t> </w:t>
      </w:r>
      <w:r>
        <w:rPr>
          <w:spacing w:val="-33"/>
        </w:rPr>
      </w:r>
      <w:r>
        <w:rPr/>
        <w:t>造核心技术和管理团队</w:t>
      </w:r>
      <w:r>
        <w:rPr>
          <w:rFonts w:ascii="宋体" w:hAnsi="宋体" w:cs="宋体" w:eastAsia="宋体" w:hint="default"/>
        </w:rPr>
        <w:t>,</w:t>
      </w:r>
      <w:r>
        <w:rPr/>
        <w:t>优化人才结构，形成一支能够适应市场竞争和公司发展需求的人才队伍；进一步</w:t>
      </w:r>
      <w:r>
        <w:rPr>
          <w:w w:val="100"/>
        </w:rPr>
        <w:t> </w:t>
      </w:r>
      <w:r>
        <w:rPr>
          <w:spacing w:val="-2"/>
        </w:rPr>
        <w:t>建立符合现代企业制度要求的激励机制和培训机制等，持续建设与国际接轨的人力资源管理体系，以支撑</w:t>
      </w:r>
      <w:r>
        <w:rPr>
          <w:spacing w:val="-33"/>
        </w:rPr>
        <w:t> </w:t>
      </w:r>
      <w:r>
        <w:rPr>
          <w:spacing w:val="-33"/>
        </w:rPr>
      </w:r>
      <w:r>
        <w:rPr>
          <w:spacing w:val="-2"/>
        </w:rPr>
        <w:t>公司在新战略下的业务运营模式，为公司实现健康稳定可持续的发展奠定人才基础，助推公司长期可持续</w:t>
      </w:r>
      <w:r>
        <w:rPr>
          <w:spacing w:val="-33"/>
        </w:rPr>
        <w:t> </w:t>
      </w:r>
      <w:r>
        <w:rPr>
          <w:spacing w:val="-33"/>
        </w:rPr>
      </w:r>
      <w:r>
        <w:rPr/>
        <w:t>发展。</w:t>
      </w:r>
    </w:p>
    <w:p>
      <w:pPr>
        <w:pStyle w:val="BodyText"/>
        <w:spacing w:line="348" w:lineRule="auto" w:before="27"/>
        <w:ind w:left="535" w:right="1002"/>
        <w:jc w:val="left"/>
      </w:pPr>
      <w:r>
        <w:rPr>
          <w:rFonts w:ascii="宋体" w:hAnsi="宋体" w:cs="宋体" w:eastAsia="宋体" w:hint="default"/>
          <w:b/>
          <w:bCs/>
        </w:rPr>
        <w:t>5.</w:t>
      </w:r>
      <w:r>
        <w:rPr>
          <w:rFonts w:ascii="宋体" w:hAnsi="宋体" w:cs="宋体" w:eastAsia="宋体" w:hint="default"/>
          <w:b/>
          <w:bCs/>
        </w:rPr>
        <w:t>资本运作方面</w:t>
      </w:r>
      <w:r>
        <w:rPr>
          <w:rFonts w:ascii="宋体" w:hAnsi="宋体" w:cs="宋体" w:eastAsia="宋体" w:hint="default"/>
          <w:b/>
          <w:bCs/>
          <w:w w:val="100"/>
        </w:rPr>
        <w:t> </w:t>
      </w:r>
      <w:r>
        <w:rPr>
          <w:spacing w:val="-2"/>
        </w:rPr>
        <w:t>公司坚持“经营管理”和“资本运作”两手抓的战略方针，在规范做好经营管理的同时，一方面，围</w:t>
      </w:r>
    </w:p>
    <w:p>
      <w:pPr>
        <w:pStyle w:val="BodyText"/>
        <w:spacing w:line="348" w:lineRule="auto" w:before="34"/>
        <w:ind w:right="1104"/>
        <w:jc w:val="both"/>
      </w:pPr>
      <w:r>
        <w:rPr>
          <w:spacing w:val="-2"/>
        </w:rPr>
        <w:t>绕公司智慧中国等主营业务领域，以公司整体价值最大化为导向，充分依托资本市场，按照优势互补、扩</w:t>
      </w:r>
      <w:r>
        <w:rPr>
          <w:spacing w:val="-33"/>
        </w:rPr>
        <w:t> </w:t>
      </w:r>
      <w:r>
        <w:rPr>
          <w:spacing w:val="-33"/>
        </w:rPr>
      </w:r>
      <w:r>
        <w:rPr>
          <w:spacing w:val="-2"/>
        </w:rPr>
        <w:t>大经营、增加收益和降低风险的原则，发挥公司资产经营的最佳效果，也为公司股东创造了利润最大化，</w:t>
      </w:r>
      <w:r>
        <w:rPr>
          <w:spacing w:val="-11"/>
        </w:rPr>
        <w:t> </w:t>
      </w:r>
      <w:r>
        <w:rPr>
          <w:spacing w:val="-11"/>
        </w:rPr>
      </w:r>
      <w:r>
        <w:rPr>
          <w:spacing w:val="-2"/>
        </w:rPr>
        <w:t>实现资本多元化，做大、做精、做强主导产业，助推公司快速发展；另一方面，根据已经筹划实施的</w:t>
      </w:r>
      <w:r>
        <w:rPr>
          <w:rFonts w:ascii="宋体" w:hAnsi="宋体" w:cs="宋体" w:eastAsia="宋体" w:hint="default"/>
          <w:spacing w:val="-2"/>
        </w:rPr>
        <w:t>2019</w:t>
      </w:r>
      <w:r>
        <w:rPr>
          <w:rFonts w:ascii="宋体" w:hAnsi="宋体" w:cs="宋体" w:eastAsia="宋体" w:hint="default"/>
          <w:spacing w:val="-26"/>
        </w:rPr>
        <w:t> </w:t>
      </w:r>
      <w:r>
        <w:rPr>
          <w:spacing w:val="-2"/>
        </w:rPr>
        <w:t>年度非公开发行股票事宜，并结合最新的已经证监会发审委会议通过等最新进展情况，公司将继续按照非</w:t>
      </w:r>
      <w:r>
        <w:rPr>
          <w:spacing w:val="-33"/>
        </w:rPr>
        <w:t> </w:t>
      </w:r>
      <w:r>
        <w:rPr>
          <w:spacing w:val="-33"/>
        </w:rPr>
      </w:r>
      <w:r>
        <w:rPr>
          <w:spacing w:val="-2"/>
        </w:rPr>
        <w:t>公开发行相关法律法规的要求，积极筹划做好后期股票发行工作，进一步促进公司加速形成并夯实行业龙</w:t>
      </w:r>
    </w:p>
    <w:p>
      <w:pPr>
        <w:spacing w:after="0" w:line="348"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240" w:lineRule="auto"/>
        <w:ind w:right="1002"/>
        <w:jc w:val="left"/>
      </w:pPr>
      <w:r>
        <w:rPr/>
        <w:t>头的品牌地位，更好的实现公司做稳、做强、做大。</w:t>
      </w:r>
    </w:p>
    <w:p>
      <w:pPr>
        <w:spacing w:line="352" w:lineRule="auto" w:before="123"/>
        <w:ind w:left="535" w:right="1002" w:hanging="106"/>
        <w:jc w:val="left"/>
        <w:rPr>
          <w:rFonts w:ascii="宋体" w:hAnsi="宋体" w:cs="宋体" w:eastAsia="宋体" w:hint="default"/>
          <w:sz w:val="21"/>
          <w:szCs w:val="21"/>
        </w:rPr>
      </w:pPr>
      <w:r>
        <w:rPr>
          <w:rFonts w:ascii="宋体" w:hAnsi="宋体" w:cs="宋体" w:eastAsia="宋体" w:hint="default"/>
          <w:b/>
          <w:bCs/>
          <w:sz w:val="21"/>
          <w:szCs w:val="21"/>
        </w:rPr>
        <w:t>（四）可能面对的风险因素</w:t>
      </w:r>
      <w:r>
        <w:rPr>
          <w:rFonts w:ascii="宋体" w:hAnsi="宋体" w:cs="宋体" w:eastAsia="宋体" w:hint="default"/>
          <w:b/>
          <w:bCs/>
          <w:spacing w:val="-102"/>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、政策与市场竞争风险。公司智慧中国、新一代光纤网络和新通信业务受国家政策和地方政策投资</w:t>
      </w:r>
    </w:p>
    <w:p>
      <w:pPr>
        <w:pStyle w:val="BodyText"/>
        <w:spacing w:line="348" w:lineRule="auto" w:before="25"/>
        <w:ind w:right="1002"/>
        <w:jc w:val="left"/>
      </w:pPr>
      <w:r>
        <w:rPr>
          <w:spacing w:val="-4"/>
        </w:rPr>
        <w:t>决策影响程度较大，订单业绩较易受到国家宏观政策和政府部门投资计划的影响。随着人工智能、物联网、</w:t>
      </w:r>
      <w:r>
        <w:rPr>
          <w:spacing w:val="-47"/>
        </w:rPr>
        <w:t> </w:t>
      </w:r>
      <w:r>
        <w:rPr>
          <w:spacing w:val="-47"/>
        </w:rPr>
      </w:r>
      <w:r>
        <w:rPr/>
        <w:t>大数据、云计算等新一代信息技术逐步成熟，市场竞争愈发激烈。公司将加强对所处行业的政策、发展方</w:t>
      </w:r>
      <w:r>
        <w:rPr>
          <w:w w:val="100"/>
        </w:rPr>
        <w:t> </w:t>
      </w:r>
      <w:r>
        <w:rPr/>
        <w:t>向及产业发展规律的研究，把握政策、市场和行业技术变革先机，加强持续升级自身的产品、技术和解决</w:t>
      </w:r>
      <w:r>
        <w:rPr>
          <w:w w:val="100"/>
        </w:rPr>
        <w:t> </w:t>
      </w:r>
      <w:r>
        <w:rPr/>
        <w:t>方案，密切关注所处行业的市场迭代及新市场的发展，积极运用新一代信息技术升级产品和解决方案，及</w:t>
      </w:r>
      <w:r>
        <w:rPr>
          <w:w w:val="100"/>
        </w:rPr>
        <w:t> </w:t>
      </w:r>
      <w:r>
        <w:rPr/>
        <w:t>时应对政策市场竞争的风险。</w:t>
      </w:r>
    </w:p>
    <w:p>
      <w:pPr>
        <w:pStyle w:val="BodyText"/>
        <w:spacing w:line="350" w:lineRule="auto" w:before="34"/>
        <w:ind w:right="1002" w:firstLine="422"/>
        <w:jc w:val="left"/>
      </w:pPr>
      <w:r>
        <w:rPr>
          <w:rFonts w:ascii="宋体" w:hAnsi="宋体" w:cs="宋体" w:eastAsia="宋体" w:hint="default"/>
        </w:rPr>
        <w:t>2</w:t>
      </w:r>
      <w:r>
        <w:rPr/>
        <w:t>、项目与技术更新换代风险。智慧中国业务领域的项目实施复杂，项目实施风险较高，投资、建设</w:t>
      </w:r>
      <w:r>
        <w:rPr>
          <w:w w:val="100"/>
        </w:rPr>
        <w:t> </w:t>
      </w:r>
      <w:r>
        <w:rPr>
          <w:spacing w:val="-2"/>
        </w:rPr>
        <w:t>与运营等全过程都必须实行精细化管理，这对公司的综合实力要求非常高，可能会存在项目实施风险；随</w:t>
      </w:r>
      <w:r>
        <w:rPr>
          <w:spacing w:val="-31"/>
        </w:rPr>
        <w:t> </w:t>
      </w:r>
      <w:r>
        <w:rPr>
          <w:spacing w:val="-31"/>
        </w:rPr>
      </w:r>
      <w:r>
        <w:rPr>
          <w:spacing w:val="-2"/>
        </w:rPr>
        <w:t>着云计算、大数据、人工智能等技术的不断发展进步，行业的业务模式和应用需求可能会随之演变。如果</w:t>
      </w:r>
      <w:r>
        <w:rPr>
          <w:spacing w:val="-33"/>
        </w:rPr>
        <w:t> </w:t>
      </w:r>
      <w:r>
        <w:rPr>
          <w:spacing w:val="-33"/>
        </w:rPr>
      </w:r>
      <w:r>
        <w:rPr>
          <w:spacing w:val="-2"/>
        </w:rPr>
        <w:t>不能密切追踪前沿技术的更新和变化，不能快速实现业务的创新发展，可能面临因无法保持持续创新能力</w:t>
      </w:r>
      <w:r>
        <w:rPr>
          <w:spacing w:val="-33"/>
        </w:rPr>
        <w:t> </w:t>
      </w:r>
      <w:r>
        <w:rPr>
          <w:spacing w:val="-33"/>
        </w:rPr>
      </w:r>
      <w:r>
        <w:rPr>
          <w:spacing w:val="-2"/>
        </w:rPr>
        <w:t>导致市场竞争力下降的风险。公司已总结和积累了实施大型智慧城市项目的成功经验并不断推广和复制，</w:t>
      </w:r>
      <w:r>
        <w:rPr>
          <w:spacing w:val="-13"/>
        </w:rPr>
        <w:t> </w:t>
      </w:r>
      <w:r>
        <w:rPr>
          <w:spacing w:val="-13"/>
        </w:rPr>
      </w:r>
      <w:r>
        <w:rPr>
          <w:spacing w:val="-2"/>
        </w:rPr>
        <w:t>将不断加强项目管理，细化项目成本管理、项目进度管理、项目风险管理、项目质量管理等一系列制度，</w:t>
      </w:r>
      <w:r>
        <w:rPr>
          <w:spacing w:val="-13"/>
        </w:rPr>
        <w:t> </w:t>
      </w:r>
      <w:r>
        <w:rPr>
          <w:spacing w:val="-13"/>
        </w:rPr>
      </w:r>
      <w:r>
        <w:rPr/>
        <w:t>进一步提升公司项目交付能力，以降低项目实施风险。</w:t>
      </w:r>
    </w:p>
    <w:p>
      <w:pPr>
        <w:pStyle w:val="BodyText"/>
        <w:spacing w:line="350" w:lineRule="auto" w:before="27"/>
        <w:ind w:right="1002" w:firstLine="422"/>
        <w:jc w:val="left"/>
      </w:pPr>
      <w:r>
        <w:rPr>
          <w:rFonts w:ascii="宋体" w:hAnsi="宋体" w:cs="宋体" w:eastAsia="宋体" w:hint="default"/>
        </w:rPr>
        <w:t>3</w:t>
      </w:r>
      <w:r>
        <w:rPr/>
        <w:t>、规模扩张可能带来的管理风险。随着公司经营规模不断扩张，经营业绩不断增长，规模的扩张将</w:t>
      </w:r>
      <w:r>
        <w:rPr>
          <w:w w:val="100"/>
        </w:rPr>
        <w:t> </w:t>
      </w:r>
      <w:r>
        <w:rPr>
          <w:spacing w:val="-2"/>
        </w:rPr>
        <w:t>对公司未来的经营管理、产品研发、技术支持、项目组织、人力资源建设、资金筹措等环节的运作能力提</w:t>
      </w:r>
      <w:r>
        <w:rPr>
          <w:spacing w:val="-38"/>
        </w:rPr>
        <w:t> </w:t>
      </w:r>
      <w:r>
        <w:rPr>
          <w:spacing w:val="-38"/>
        </w:rPr>
      </w:r>
      <w:r>
        <w:rPr>
          <w:spacing w:val="-2"/>
        </w:rPr>
        <w:t>出更高的要求。尽管公司根据多年实践经验已经制订了一套适应公司发展水平和管理模式的规章制度，并</w:t>
      </w:r>
      <w:r>
        <w:rPr>
          <w:spacing w:val="-33"/>
        </w:rPr>
        <w:t> </w:t>
      </w:r>
      <w:r>
        <w:rPr>
          <w:spacing w:val="-33"/>
        </w:rPr>
      </w:r>
      <w:r>
        <w:rPr>
          <w:spacing w:val="-2"/>
        </w:rPr>
        <w:t>在实际工作中取得了一定效果，但公司已有的管理经验需要在业务体系、组织机构、管理制度、企业文化</w:t>
      </w:r>
      <w:r>
        <w:rPr>
          <w:spacing w:val="-33"/>
        </w:rPr>
        <w:t> </w:t>
      </w:r>
      <w:r>
        <w:rPr>
          <w:spacing w:val="-33"/>
        </w:rPr>
      </w:r>
      <w:r>
        <w:rPr>
          <w:spacing w:val="-2"/>
        </w:rPr>
        <w:t>等方面进行整合，若公司管理体制和配套措施无法进行相应的调整和支持，业务规模的扩张可能会为公司</w:t>
      </w:r>
      <w:r>
        <w:rPr>
          <w:spacing w:val="-33"/>
        </w:rPr>
        <w:t> </w:t>
      </w:r>
      <w:r>
        <w:rPr>
          <w:spacing w:val="-33"/>
        </w:rPr>
      </w:r>
      <w:r>
        <w:rPr/>
        <w:t>的经营管理带来一定的压力和风险。</w:t>
      </w:r>
    </w:p>
    <w:p>
      <w:pPr>
        <w:pStyle w:val="BodyText"/>
        <w:spacing w:line="340" w:lineRule="auto" w:before="27"/>
        <w:ind w:right="1123" w:firstLine="340"/>
        <w:jc w:val="both"/>
      </w:pPr>
      <w:r>
        <w:rPr>
          <w:rFonts w:ascii="Times New Roman" w:hAnsi="Times New Roman" w:cs="Times New Roman" w:eastAsia="Times New Roman" w:hint="default"/>
          <w:spacing w:val="-3"/>
        </w:rPr>
        <w:t>4</w:t>
      </w:r>
      <w:r>
        <w:rPr>
          <w:spacing w:val="-3"/>
        </w:rPr>
        <w:t>、不可控因素带来的其他风险。股票市场价格波动不仅取决于上市公司的发展战略和经营业绩，还受</w:t>
      </w:r>
      <w:r>
        <w:rPr>
          <w:w w:val="100"/>
        </w:rPr>
        <w:t> </w:t>
      </w:r>
      <w:r>
        <w:rPr>
          <w:spacing w:val="-2"/>
        </w:rPr>
        <w:t>宏观经济周期、利率、资金供求关系等众多因素的影响，同时也会因国际、国内政治经济形势及投资者心</w:t>
      </w:r>
      <w:r>
        <w:rPr>
          <w:spacing w:val="-33"/>
        </w:rPr>
        <w:t> </w:t>
      </w:r>
      <w:r>
        <w:rPr>
          <w:spacing w:val="-33"/>
        </w:rPr>
      </w:r>
      <w:r>
        <w:rPr/>
        <w:t>理因素的变化而产生波动。</w:t>
      </w:r>
    </w:p>
    <w:p>
      <w:pPr>
        <w:spacing w:line="240" w:lineRule="auto" w:before="7"/>
        <w:rPr>
          <w:rFonts w:ascii="宋体" w:hAnsi="宋体" w:cs="宋体" w:eastAsia="宋体" w:hint="default"/>
          <w:sz w:val="16"/>
          <w:szCs w:val="16"/>
        </w:rPr>
      </w:pPr>
    </w:p>
    <w:p>
      <w:pPr>
        <w:pStyle w:val="Heading2"/>
        <w:spacing w:line="240" w:lineRule="auto"/>
        <w:ind w:right="1002"/>
        <w:jc w:val="left"/>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002"/>
        <w:jc w:val="left"/>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084"/>
        <w:gridCol w:w="1273"/>
        <w:gridCol w:w="1608"/>
        <w:gridCol w:w="4610"/>
      </w:tblGrid>
      <w:tr>
        <w:trPr>
          <w:trHeight w:val="403" w:hRule="exact"/>
        </w:trPr>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9"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1"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7" w:right="0"/>
              <w:jc w:val="left"/>
              <w:rPr>
                <w:rFonts w:ascii="宋体" w:hAnsi="宋体" w:cs="宋体" w:eastAsia="宋体" w:hint="default"/>
                <w:sz w:val="21"/>
                <w:szCs w:val="21"/>
              </w:rPr>
            </w:pPr>
            <w:r>
              <w:rPr>
                <w:rFonts w:ascii="宋体" w:hAnsi="宋体" w:cs="宋体" w:eastAsia="宋体" w:hint="default"/>
                <w:sz w:val="21"/>
                <w:szCs w:val="21"/>
              </w:rPr>
              <w:t>接待对象类型</w:t>
            </w:r>
          </w:p>
        </w:tc>
        <w:tc>
          <w:tcPr>
            <w:tcW w:w="4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49" w:right="0"/>
              <w:jc w:val="left"/>
              <w:rPr>
                <w:rFonts w:ascii="宋体" w:hAnsi="宋体" w:cs="宋体" w:eastAsia="宋体" w:hint="default"/>
                <w:sz w:val="21"/>
                <w:szCs w:val="21"/>
              </w:rPr>
            </w:pPr>
            <w:r>
              <w:rPr>
                <w:rFonts w:ascii="宋体" w:hAnsi="宋体" w:cs="宋体" w:eastAsia="宋体" w:hint="default"/>
                <w:sz w:val="21"/>
                <w:szCs w:val="21"/>
              </w:rPr>
              <w:t>调研的基本情况索引</w:t>
            </w:r>
          </w:p>
        </w:tc>
      </w:tr>
      <w:tr>
        <w:trPr>
          <w:trHeight w:val="134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100"/>
              <w:jc w:val="left"/>
              <w:rPr>
                <w:rFonts w:ascii="宋体" w:hAnsi="宋体" w:cs="宋体" w:eastAsia="宋体" w:hint="default"/>
                <w:sz w:val="21"/>
                <w:szCs w:val="21"/>
              </w:rPr>
            </w:pPr>
            <w:r>
              <w:rPr>
                <w:rFonts w:ascii="宋体" w:hAnsi="宋体" w:cs="宋体" w:eastAsia="宋体" w:hint="default"/>
                <w:spacing w:val="-2"/>
                <w:sz w:val="21"/>
                <w:szCs w:val="21"/>
              </w:rPr>
              <w:t>现场参观、观看公司宣传片、介绍公司发展情况</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年整体经营和未来发展计划等。具体内</w:t>
            </w:r>
          </w:p>
          <w:p>
            <w:pPr>
              <w:pStyle w:val="TableParagraph"/>
              <w:spacing w:line="261" w:lineRule="auto"/>
              <w:ind w:left="100" w:right="98"/>
              <w:jc w:val="left"/>
              <w:rPr>
                <w:rFonts w:ascii="宋体" w:hAnsi="宋体" w:cs="宋体" w:eastAsia="宋体" w:hint="default"/>
                <w:sz w:val="21"/>
                <w:szCs w:val="21"/>
              </w:rPr>
            </w:pPr>
            <w:r>
              <w:rPr>
                <w:rFonts w:ascii="宋体" w:hAnsi="宋体" w:cs="宋体" w:eastAsia="宋体" w:hint="default"/>
                <w:spacing w:val="-3"/>
                <w:sz w:val="21"/>
                <w:szCs w:val="21"/>
              </w:rPr>
              <w:t>容详见：巨潮资讯网</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日投资者关</w:t>
            </w:r>
            <w:r>
              <w:rPr>
                <w:rFonts w:ascii="宋体" w:hAnsi="宋体" w:cs="宋体" w:eastAsia="宋体" w:hint="default"/>
                <w:w w:val="100"/>
                <w:sz w:val="21"/>
                <w:szCs w:val="21"/>
              </w:rPr>
              <w:t> </w:t>
            </w:r>
            <w:r>
              <w:rPr>
                <w:rFonts w:ascii="宋体" w:hAnsi="宋体" w:cs="宋体" w:eastAsia="宋体" w:hint="default"/>
                <w:sz w:val="21"/>
                <w:szCs w:val="21"/>
              </w:rPr>
              <w:t>系活动记录表。</w:t>
            </w:r>
          </w:p>
        </w:tc>
      </w:tr>
      <w:tr>
        <w:trPr>
          <w:trHeight w:val="67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105"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100" w:right="100"/>
              <w:jc w:val="left"/>
              <w:rPr>
                <w:rFonts w:ascii="宋体" w:hAnsi="宋体" w:cs="宋体" w:eastAsia="宋体" w:hint="default"/>
                <w:sz w:val="21"/>
                <w:szCs w:val="21"/>
              </w:rPr>
            </w:pPr>
            <w:r>
              <w:rPr>
                <w:rFonts w:ascii="宋体" w:hAnsi="宋体" w:cs="宋体" w:eastAsia="宋体" w:hint="default"/>
                <w:spacing w:val="-2"/>
                <w:sz w:val="21"/>
                <w:szCs w:val="21"/>
              </w:rPr>
              <w:t>公司未来发展规划、公司主要业务及优势、员工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持股计划等情况。具体内容详见：巨潮资讯网</w:t>
            </w:r>
          </w:p>
        </w:tc>
      </w:tr>
    </w:tbl>
    <w:p>
      <w:pPr>
        <w:spacing w:after="0" w:line="268"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084"/>
        <w:gridCol w:w="1273"/>
        <w:gridCol w:w="1608"/>
        <w:gridCol w:w="4610"/>
      </w:tblGrid>
      <w:tr>
        <w:trPr>
          <w:trHeight w:val="360" w:hRule="exact"/>
        </w:trPr>
        <w:tc>
          <w:tcPr>
            <w:tcW w:w="2084"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日投资者关系活动记录表。</w:t>
            </w:r>
          </w:p>
        </w:tc>
      </w:tr>
      <w:tr>
        <w:trPr>
          <w:trHeight w:val="134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98"/>
              <w:jc w:val="left"/>
              <w:rPr>
                <w:rFonts w:ascii="宋体" w:hAnsi="宋体" w:cs="宋体" w:eastAsia="宋体" w:hint="default"/>
                <w:sz w:val="21"/>
                <w:szCs w:val="21"/>
              </w:rPr>
            </w:pPr>
            <w:r>
              <w:rPr>
                <w:rFonts w:ascii="宋体" w:hAnsi="宋体" w:cs="宋体" w:eastAsia="宋体" w:hint="default"/>
                <w:sz w:val="21"/>
                <w:szCs w:val="21"/>
              </w:rPr>
              <w:t>公司员工持股计划的目的以及经营业绩目标及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实现情况、未来战略发展规划、公司主要业务及</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1"/>
                <w:w w:val="100"/>
                <w:sz w:val="21"/>
                <w:szCs w:val="21"/>
              </w:rPr>
              <w:t>优势等情况。具体内容详见：巨潮资讯网</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p>
          <w:p>
            <w:pPr>
              <w:pStyle w:val="TableParagraph"/>
              <w:spacing w:line="284"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  </w:t>
            </w:r>
            <w:r>
              <w:rPr>
                <w:rFonts w:ascii="宋体" w:hAnsi="宋体" w:cs="宋体" w:eastAsia="宋体" w:hint="default"/>
                <w:sz w:val="21"/>
                <w:szCs w:val="21"/>
              </w:rPr>
              <w:t>月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日投资者关系活动记录表。</w:t>
            </w:r>
          </w:p>
        </w:tc>
      </w:tr>
      <w:tr>
        <w:trPr>
          <w:trHeight w:val="134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98"/>
              <w:jc w:val="left"/>
              <w:rPr>
                <w:rFonts w:ascii="宋体" w:hAnsi="宋体" w:cs="宋体" w:eastAsia="宋体" w:hint="default"/>
                <w:sz w:val="21"/>
                <w:szCs w:val="21"/>
              </w:rPr>
            </w:pPr>
            <w:r>
              <w:rPr>
                <w:rFonts w:ascii="宋体" w:hAnsi="宋体" w:cs="宋体" w:eastAsia="宋体" w:hint="default"/>
                <w:sz w:val="21"/>
                <w:szCs w:val="21"/>
              </w:rPr>
              <w:t>公司员工持股计划的目的以及经营业绩目标及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实现情况、未来战略发展规划、公司主要业务及</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1"/>
                <w:w w:val="100"/>
                <w:sz w:val="21"/>
                <w:szCs w:val="21"/>
              </w:rPr>
              <w:t>优势等情况。具体内容详见：巨潮资讯网</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p>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pacing w:val="-5"/>
                <w:sz w:val="21"/>
                <w:szCs w:val="21"/>
              </w:rPr>
              <w:t>11 </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日投资者关系活动记录表。</w:t>
            </w:r>
          </w:p>
        </w:tc>
      </w:tr>
      <w:tr>
        <w:trPr>
          <w:trHeight w:val="1339"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0" w:right="98"/>
              <w:jc w:val="left"/>
              <w:rPr>
                <w:rFonts w:ascii="宋体" w:hAnsi="宋体" w:cs="宋体" w:eastAsia="宋体" w:hint="default"/>
                <w:sz w:val="21"/>
                <w:szCs w:val="21"/>
              </w:rPr>
            </w:pPr>
            <w:r>
              <w:rPr>
                <w:rFonts w:ascii="宋体" w:hAnsi="宋体" w:cs="宋体" w:eastAsia="宋体" w:hint="default"/>
                <w:sz w:val="21"/>
                <w:szCs w:val="21"/>
              </w:rPr>
              <w:t>公司员工持股计划的目的以及经营业绩目标及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实现情况、未来战略发展规划、公司主要业务及</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1"/>
                <w:w w:val="100"/>
                <w:sz w:val="21"/>
                <w:szCs w:val="21"/>
              </w:rPr>
              <w:t>优势等情况。具体内容详见：巨潮资讯网</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p>
          <w:p>
            <w:pPr>
              <w:pStyle w:val="TableParagraph"/>
              <w:spacing w:line="28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  </w:t>
            </w: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日投资者关系活动记录表。</w:t>
            </w:r>
          </w:p>
        </w:tc>
      </w:tr>
      <w:tr>
        <w:trPr>
          <w:trHeight w:val="133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9"/>
              <w:ind w:left="100" w:right="98"/>
              <w:jc w:val="left"/>
              <w:rPr>
                <w:rFonts w:ascii="宋体" w:hAnsi="宋体" w:cs="宋体" w:eastAsia="宋体" w:hint="default"/>
                <w:sz w:val="21"/>
                <w:szCs w:val="21"/>
              </w:rPr>
            </w:pPr>
            <w:r>
              <w:rPr>
                <w:rFonts w:ascii="宋体" w:hAnsi="宋体" w:cs="宋体" w:eastAsia="宋体" w:hint="default"/>
                <w:sz w:val="21"/>
                <w:szCs w:val="21"/>
              </w:rPr>
              <w:t>公司员工持股计划的目的以及经营业绩目标及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实现情况、未来战略发展规划、公司主要业务及</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1"/>
                <w:w w:val="100"/>
                <w:sz w:val="21"/>
                <w:szCs w:val="21"/>
              </w:rPr>
              <w:t>优势等情况。具体内容详见：巨潮资讯网</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1"/>
                <w:w w:val="100"/>
                <w:sz w:val="21"/>
                <w:szCs w:val="21"/>
              </w:rPr>
              <w:t> </w:t>
            </w:r>
            <w:r>
              <w:rPr>
                <w:rFonts w:ascii="宋体" w:hAnsi="宋体" w:cs="宋体" w:eastAsia="宋体" w:hint="default"/>
                <w:w w:val="100"/>
                <w:sz w:val="21"/>
                <w:szCs w:val="21"/>
              </w:rPr>
              <w:t>年</w:t>
            </w:r>
          </w:p>
          <w:p>
            <w:pPr>
              <w:pStyle w:val="TableParagraph"/>
              <w:spacing w:line="28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日投资者关系活动记录表。</w:t>
            </w:r>
          </w:p>
        </w:tc>
      </w:tr>
      <w:tr>
        <w:trPr>
          <w:trHeight w:val="134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98"/>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公司经营发展情况、主要业务概要、主要竞争优</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势方面的介绍、员工持股计划以及公司非公开发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8"/>
                <w:sz w:val="21"/>
                <w:szCs w:val="21"/>
              </w:rPr>
              <w:t>行股票等情况。具体内容详见：巨潮资讯网</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2019</w:t>
            </w:r>
          </w:p>
          <w:p>
            <w:pPr>
              <w:pStyle w:val="TableParagraph"/>
              <w:spacing w:line="284" w:lineRule="exact"/>
              <w:ind w:left="100" w:right="0"/>
              <w:jc w:val="both"/>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29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日投资者关系活动记录表。</w:t>
            </w:r>
          </w:p>
        </w:tc>
      </w:tr>
      <w:tr>
        <w:trPr>
          <w:trHeight w:val="134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98"/>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公司经营发展情况、主要业务概要、主要竞争优</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势方面的介绍、员工持股计划以及公司非公开发</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8"/>
                <w:sz w:val="21"/>
                <w:szCs w:val="21"/>
              </w:rPr>
              <w:t>行股票等情况。具体内容详见：巨潮资讯网</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2019</w:t>
            </w:r>
          </w:p>
          <w:p>
            <w:pPr>
              <w:pStyle w:val="TableParagraph"/>
              <w:spacing w:line="284" w:lineRule="exact"/>
              <w:ind w:left="100" w:right="0"/>
              <w:jc w:val="both"/>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30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日投资者关系活动记录表。</w:t>
            </w:r>
          </w:p>
        </w:tc>
      </w:tr>
      <w:tr>
        <w:trPr>
          <w:trHeight w:val="134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0" w:right="98"/>
              <w:jc w:val="both"/>
              <w:rPr>
                <w:rFonts w:ascii="Times New Roman" w:hAnsi="Times New Roman" w:cs="Times New Roman" w:eastAsia="Times New Roman" w:hint="default"/>
                <w:sz w:val="21"/>
                <w:szCs w:val="21"/>
              </w:rPr>
            </w:pPr>
            <w:r>
              <w:rPr>
                <w:rFonts w:ascii="宋体" w:hAnsi="宋体" w:cs="宋体" w:eastAsia="宋体" w:hint="default"/>
                <w:spacing w:val="-2"/>
                <w:sz w:val="21"/>
                <w:szCs w:val="21"/>
              </w:rPr>
              <w:t>公司经营发展情况、主要业务概要、主要竞争优</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势方面的介绍、员工持股计划以及公司非公开发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8"/>
                <w:sz w:val="21"/>
                <w:szCs w:val="21"/>
              </w:rPr>
              <w:t>行股票等情况。具体内容详见：巨潮资讯网</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2019</w:t>
            </w:r>
          </w:p>
          <w:p>
            <w:pPr>
              <w:pStyle w:val="TableParagraph"/>
              <w:spacing w:line="287" w:lineRule="exact"/>
              <w:ind w:left="100" w:right="0"/>
              <w:jc w:val="both"/>
              <w:rPr>
                <w:rFonts w:ascii="宋体" w:hAnsi="宋体" w:cs="宋体" w:eastAsia="宋体" w:hint="default"/>
                <w:sz w:val="21"/>
                <w:szCs w:val="21"/>
              </w:rPr>
            </w:pP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31 </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日投资者关系活动记录表。</w:t>
            </w:r>
          </w:p>
        </w:tc>
      </w:tr>
      <w:tr>
        <w:trPr>
          <w:trHeight w:val="133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0" w:right="98"/>
              <w:jc w:val="both"/>
              <w:rPr>
                <w:rFonts w:ascii="宋体" w:hAnsi="宋体" w:cs="宋体" w:eastAsia="宋体" w:hint="default"/>
                <w:sz w:val="21"/>
                <w:szCs w:val="21"/>
              </w:rPr>
            </w:pPr>
            <w:r>
              <w:rPr>
                <w:rFonts w:ascii="宋体" w:hAnsi="宋体" w:cs="宋体" w:eastAsia="宋体" w:hint="default"/>
                <w:spacing w:val="-2"/>
                <w:sz w:val="21"/>
                <w:szCs w:val="21"/>
              </w:rPr>
              <w:t>公司经营发展情况、核心业务、主要竞争优势方</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面的介绍、非公开发行股票以及公司未来发展战</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3"/>
                <w:sz w:val="21"/>
                <w:szCs w:val="21"/>
              </w:rPr>
              <w:t>略等情况。具体内容详见：巨潮资讯网 </w:t>
            </w:r>
            <w:r>
              <w:rPr>
                <w:rFonts w:ascii="Times New Roman" w:hAnsi="Times New Roman" w:cs="Times New Roman" w:eastAsia="Times New Roman" w:hint="default"/>
                <w:sz w:val="21"/>
                <w:szCs w:val="21"/>
              </w:rPr>
              <w:t>2019 </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w:t>
            </w:r>
          </w:p>
          <w:p>
            <w:pPr>
              <w:pStyle w:val="TableParagraph"/>
              <w:spacing w:line="287" w:lineRule="exact"/>
              <w:ind w:left="100"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日投资者关系活动记录表。</w:t>
            </w:r>
          </w:p>
        </w:tc>
      </w:tr>
    </w:tbl>
    <w:p>
      <w:pPr>
        <w:spacing w:after="0" w:line="287" w:lineRule="exact"/>
        <w:jc w:val="both"/>
        <w:rPr>
          <w:rFonts w:ascii="宋体" w:hAnsi="宋体" w:cs="宋体" w:eastAsia="宋体" w:hint="default"/>
          <w:sz w:val="21"/>
          <w:szCs w:val="21"/>
        </w:rPr>
        <w:sectPr>
          <w:pgSz w:w="11910" w:h="16840"/>
          <w:pgMar w:header="906" w:footer="1022"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Heading1"/>
        <w:spacing w:line="240" w:lineRule="auto"/>
        <w:ind w:right="1464"/>
        <w:jc w:val="center"/>
        <w:rPr>
          <w:b w:val="0"/>
          <w:bCs w:val="0"/>
        </w:rPr>
      </w:pPr>
      <w:bookmarkStart w:name="第五节重要事项" w:id="61"/>
      <w:bookmarkEnd w:id="61"/>
      <w:r>
        <w:rPr>
          <w:b w:val="0"/>
          <w:bCs w:val="0"/>
        </w:rPr>
      </w:r>
      <w:bookmarkStart w:name="_bookmark3" w:id="62"/>
      <w:bookmarkEnd w:id="62"/>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1002"/>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报告期内普通股利润分配政策，特别是现金分红政策的制定、执行或调整情况</w:t>
      </w:r>
    </w:p>
    <w:p>
      <w:pPr>
        <w:spacing w:before="115"/>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3"/>
          <w:szCs w:val="13"/>
        </w:rPr>
      </w:pPr>
    </w:p>
    <w:p>
      <w:pPr>
        <w:pStyle w:val="BodyText"/>
        <w:spacing w:line="350" w:lineRule="auto" w:before="0"/>
        <w:ind w:right="1130" w:firstLine="542"/>
        <w:jc w:val="both"/>
      </w:pPr>
      <w:r>
        <w:rPr/>
        <w:pict>
          <v:shape style="position:absolute;margin-left:56.424pt;margin-top:96.293678pt;width:479.25pt;height:156.8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49"/>
                    <w:gridCol w:w="3721"/>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398" w:hRule="exact"/>
                    </w:trPr>
                    <w:tc>
                      <w:tcPr>
                        <w:tcW w:w="5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5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4" w:hRule="exact"/>
                    </w:trPr>
                    <w:tc>
                      <w:tcPr>
                        <w:tcW w:w="5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3" w:hRule="exact"/>
                    </w:trPr>
                    <w:tc>
                      <w:tcPr>
                        <w:tcW w:w="5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0" w:hRule="exact"/>
                    </w:trPr>
                    <w:tc>
                      <w:tcPr>
                        <w:tcW w:w="5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96"/>
                          <w:jc w:val="left"/>
                          <w:rPr>
                            <w:rFonts w:ascii="宋体" w:hAnsi="宋体" w:cs="宋体" w:eastAsia="宋体" w:hint="default"/>
                            <w:sz w:val="21"/>
                            <w:szCs w:val="21"/>
                          </w:rPr>
                        </w:pPr>
                        <w:r>
                          <w:rPr>
                            <w:rFonts w:ascii="宋体" w:hAnsi="宋体" w:cs="宋体" w:eastAsia="宋体" w:hint="default"/>
                            <w:spacing w:val="-3"/>
                            <w:sz w:val="21"/>
                            <w:szCs w:val="21"/>
                          </w:rPr>
                          <w:t>中小股东是否有充分表达意见和诉求的机会，其合法权益是否</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得到了充分保护：</w:t>
                        </w:r>
                      </w:p>
                    </w:tc>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4" w:hRule="exact"/>
                    </w:trPr>
                    <w:tc>
                      <w:tcPr>
                        <w:tcW w:w="5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7"/>
                          <w:jc w:val="left"/>
                          <w:rPr>
                            <w:rFonts w:ascii="宋体" w:hAnsi="宋体" w:cs="宋体" w:eastAsia="宋体" w:hint="default"/>
                            <w:sz w:val="21"/>
                            <w:szCs w:val="21"/>
                          </w:rPr>
                        </w:pPr>
                        <w:r>
                          <w:rPr>
                            <w:rFonts w:ascii="宋体" w:hAnsi="宋体" w:cs="宋体" w:eastAsia="宋体" w:hint="default"/>
                            <w:spacing w:val="-7"/>
                            <w:sz w:val="21"/>
                            <w:szCs w:val="21"/>
                          </w:rPr>
                          <w:t>现金分红政策进行调整或变更的，条件及程序是否合规、透明：</w:t>
                        </w:r>
                      </w:p>
                    </w:tc>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p>
              </w:txbxContent>
            </v:textbox>
            <w10:wrap type="none"/>
          </v:shape>
        </w:pict>
      </w:r>
      <w:r>
        <w:rPr>
          <w:spacing w:val="-2"/>
        </w:rPr>
        <w:t>公司自上市以来，在兼顾公司可持续发展的前提下，历来重视投资者回报。公司已制定了《公司未</w:t>
      </w:r>
      <w:r>
        <w:rPr>
          <w:w w:val="100"/>
        </w:rPr>
        <w:t> </w:t>
      </w:r>
      <w:r>
        <w:rPr>
          <w:spacing w:val="-7"/>
          <w:w w:val="100"/>
        </w:rPr>
        <w:t>来三年股东回报规划（</w:t>
      </w:r>
      <w:r>
        <w:rPr>
          <w:rFonts w:ascii="宋体" w:hAnsi="宋体" w:cs="宋体" w:eastAsia="宋体" w:hint="default"/>
          <w:spacing w:val="-7"/>
          <w:w w:val="100"/>
        </w:rPr>
        <w:t>2015-2017</w:t>
      </w:r>
      <w:r>
        <w:rPr>
          <w:spacing w:val="-7"/>
          <w:w w:val="100"/>
        </w:rPr>
        <w:t>）》以及正在执行的《公司未来三年股东回报规划（</w:t>
      </w:r>
      <w:r>
        <w:rPr>
          <w:rFonts w:ascii="宋体" w:hAnsi="宋体" w:cs="宋体" w:eastAsia="宋体" w:hint="default"/>
          <w:spacing w:val="-7"/>
          <w:w w:val="100"/>
        </w:rPr>
        <w:t>2018-2020</w:t>
      </w:r>
      <w:r>
        <w:rPr>
          <w:spacing w:val="-7"/>
          <w:w w:val="100"/>
        </w:rPr>
        <w:t>）》，明确</w:t>
      </w:r>
      <w:r>
        <w:rPr>
          <w:spacing w:val="-84"/>
          <w:w w:val="100"/>
        </w:rPr>
        <w:t> </w:t>
      </w:r>
      <w:r>
        <w:rPr>
          <w:spacing w:val="-84"/>
          <w:w w:val="100"/>
        </w:rPr>
      </w:r>
      <w:r>
        <w:rPr>
          <w:spacing w:val="-2"/>
        </w:rPr>
        <w:t>了利润分配原则、利润分配方式、现金分红的条件、现金分红的比例、分配股票股利的条件、分配股票股</w:t>
      </w:r>
      <w:r>
        <w:rPr>
          <w:spacing w:val="-38"/>
        </w:rPr>
        <w:t> </w:t>
      </w:r>
      <w:r>
        <w:rPr>
          <w:spacing w:val="-38"/>
        </w:rPr>
      </w:r>
      <w:r>
        <w:rPr>
          <w:spacing w:val="-2"/>
        </w:rPr>
        <w:t>利的最低比例、利润分配的决策程序、有关利润分配的信息披露事项等。公司将严格按照《公司章程》的</w:t>
      </w:r>
      <w:r>
        <w:rPr>
          <w:spacing w:val="-38"/>
        </w:rPr>
        <w:t> </w:t>
      </w:r>
      <w:r>
        <w:rPr>
          <w:spacing w:val="-38"/>
        </w:rPr>
      </w:r>
      <w:r>
        <w:rPr/>
        <w:t>规定，实施利润分配政策，强化回报股东意识，满足股东的合理投资回报和公司长远发展的要求。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002"/>
        <w:jc w:val="left"/>
      </w:pPr>
      <w:r>
        <w:rPr>
          <w:w w:val="100"/>
        </w:rPr>
        <w:t>公司近</w:t>
      </w:r>
      <w:r>
        <w:rPr>
          <w:spacing w:val="-53"/>
        </w:rPr>
        <w:t> </w:t>
      </w:r>
      <w:r>
        <w:rPr>
          <w:rFonts w:ascii="Times New Roman" w:hAnsi="Times New Roman" w:cs="Times New Roman" w:eastAsia="Times New Roman" w:hint="default"/>
          <w:w w:val="100"/>
        </w:rPr>
        <w:t>3</w:t>
      </w:r>
      <w:r>
        <w:rPr>
          <w:rFonts w:ascii="Times New Roman" w:hAnsi="Times New Roman" w:cs="Times New Roman" w:eastAsia="Times New Roman" w:hint="default"/>
        </w:rPr>
        <w:t> </w:t>
      </w:r>
      <w:r>
        <w:rPr>
          <w:spacing w:val="-5"/>
          <w:w w:val="100"/>
        </w:rPr>
        <w:t>年</w:t>
      </w:r>
      <w:r>
        <w:rPr>
          <w:w w:val="100"/>
        </w:rPr>
        <w:t>（包括</w:t>
      </w:r>
      <w:r>
        <w:rPr>
          <w:spacing w:val="-5"/>
          <w:w w:val="100"/>
        </w:rPr>
        <w:t>本</w:t>
      </w:r>
      <w:r>
        <w:rPr>
          <w:w w:val="100"/>
        </w:rPr>
        <w:t>报告期</w:t>
      </w:r>
      <w:r>
        <w:rPr>
          <w:spacing w:val="-5"/>
          <w:w w:val="100"/>
        </w:rPr>
        <w:t>）</w:t>
      </w:r>
      <w:r>
        <w:rPr>
          <w:w w:val="100"/>
        </w:rPr>
        <w:t>的普通</w:t>
      </w:r>
      <w:r>
        <w:rPr>
          <w:spacing w:val="-5"/>
          <w:w w:val="100"/>
        </w:rPr>
        <w:t>股</w:t>
      </w:r>
      <w:r>
        <w:rPr>
          <w:w w:val="100"/>
        </w:rPr>
        <w:t>股利分</w:t>
      </w:r>
      <w:r>
        <w:rPr>
          <w:spacing w:val="-5"/>
          <w:w w:val="100"/>
        </w:rPr>
        <w:t>配</w:t>
      </w:r>
      <w:r>
        <w:rPr>
          <w:w w:val="100"/>
        </w:rPr>
        <w:t>方</w:t>
      </w:r>
      <w:r>
        <w:rPr>
          <w:spacing w:val="-5"/>
          <w:w w:val="100"/>
        </w:rPr>
        <w:t>案</w:t>
      </w:r>
      <w:r>
        <w:rPr>
          <w:w w:val="100"/>
        </w:rPr>
        <w:t>（预案</w:t>
      </w:r>
      <w:r>
        <w:rPr>
          <w:spacing w:val="-106"/>
          <w:w w:val="100"/>
        </w:rPr>
        <w:t>）</w:t>
      </w:r>
      <w:r>
        <w:rPr>
          <w:w w:val="100"/>
        </w:rPr>
        <w:t>、</w:t>
      </w:r>
      <w:r>
        <w:rPr>
          <w:spacing w:val="-5"/>
          <w:w w:val="100"/>
        </w:rPr>
        <w:t>资</w:t>
      </w:r>
      <w:r>
        <w:rPr>
          <w:w w:val="100"/>
        </w:rPr>
        <w:t>本公积</w:t>
      </w:r>
      <w:r>
        <w:rPr>
          <w:spacing w:val="-5"/>
          <w:w w:val="100"/>
        </w:rPr>
        <w:t>金</w:t>
      </w:r>
      <w:r>
        <w:rPr>
          <w:w w:val="100"/>
        </w:rPr>
        <w:t>转增股</w:t>
      </w:r>
      <w:r>
        <w:rPr>
          <w:spacing w:val="-5"/>
          <w:w w:val="100"/>
        </w:rPr>
        <w:t>本</w:t>
      </w:r>
      <w:r>
        <w:rPr>
          <w:w w:val="100"/>
        </w:rPr>
        <w:t>方案（</w:t>
      </w:r>
      <w:r>
        <w:rPr>
          <w:spacing w:val="-5"/>
          <w:w w:val="100"/>
        </w:rPr>
        <w:t>预</w:t>
      </w:r>
      <w:r>
        <w:rPr>
          <w:w w:val="100"/>
        </w:rPr>
        <w:t>案）</w:t>
      </w:r>
      <w:r>
        <w:rPr>
          <w:spacing w:val="-5"/>
          <w:w w:val="100"/>
        </w:rPr>
        <w:t>情</w:t>
      </w:r>
      <w:r>
        <w:rPr>
          <w:w w:val="100"/>
        </w:rPr>
        <w:t>况</w:t>
      </w:r>
    </w:p>
    <w:p>
      <w:pPr>
        <w:pStyle w:val="BodyText"/>
        <w:spacing w:line="256" w:lineRule="auto" w:before="59"/>
        <w:ind w:right="1002" w:firstLine="297"/>
        <w:jc w:val="left"/>
      </w:pPr>
      <w:r>
        <w:rPr/>
        <w:t>（</w:t>
      </w:r>
      <w:r>
        <w:rPr>
          <w:rFonts w:ascii="Times New Roman" w:hAnsi="Times New Roman" w:cs="Times New Roman" w:eastAsia="Times New Roman" w:hint="default"/>
        </w:rPr>
        <w:t>1</w:t>
      </w:r>
      <w:r>
        <w:rPr/>
        <w:t>）经大华会计师事务所（特殊普通合伙）审计，公司</w:t>
      </w:r>
      <w:r>
        <w:rPr>
          <w:rFonts w:ascii="宋体" w:hAnsi="宋体" w:cs="宋体" w:eastAsia="宋体" w:hint="default"/>
        </w:rPr>
        <w:t>2017</w:t>
      </w:r>
      <w:r>
        <w:rPr/>
        <w:t>年度实现归属于母公司股东的净利润</w:t>
      </w:r>
      <w:r>
        <w:rPr>
          <w:w w:val="100"/>
        </w:rPr>
        <w:t> </w:t>
      </w:r>
      <w:r>
        <w:rPr>
          <w:rFonts w:ascii="宋体" w:hAnsi="宋体" w:cs="宋体" w:eastAsia="宋体" w:hint="default"/>
          <w:spacing w:val="-2"/>
        </w:rPr>
        <w:t>172,215,037.92</w:t>
      </w:r>
      <w:r>
        <w:rPr>
          <w:spacing w:val="-2"/>
        </w:rPr>
        <w:t>元，加上年初未分配利润</w:t>
      </w:r>
      <w:r>
        <w:rPr>
          <w:rFonts w:ascii="宋体" w:hAnsi="宋体" w:cs="宋体" w:eastAsia="宋体" w:hint="default"/>
          <w:spacing w:val="-2"/>
        </w:rPr>
        <w:t>504,823,850.00</w:t>
      </w:r>
      <w:r>
        <w:rPr>
          <w:spacing w:val="-2"/>
        </w:rPr>
        <w:t>元，截至</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日可供股东分配的利润为</w:t>
      </w:r>
    </w:p>
    <w:p>
      <w:pPr>
        <w:pStyle w:val="BodyText"/>
        <w:spacing w:line="240" w:lineRule="auto" w:before="22"/>
        <w:ind w:right="1002"/>
        <w:jc w:val="left"/>
      </w:pPr>
      <w:r>
        <w:rPr>
          <w:rFonts w:ascii="宋体" w:hAnsi="宋体" w:cs="宋体" w:eastAsia="宋体" w:hint="default"/>
        </w:rPr>
        <w:t>647,085,150.91</w:t>
      </w:r>
      <w:r>
        <w:rPr/>
        <w:t>元，其中母公司可供股东分配的利润为</w:t>
      </w:r>
      <w:r>
        <w:rPr>
          <w:rFonts w:ascii="宋体" w:hAnsi="宋体" w:cs="宋体" w:eastAsia="宋体" w:hint="default"/>
        </w:rPr>
        <w:t>213,415,182.72</w:t>
      </w:r>
      <w:r>
        <w:rPr/>
        <w:t>元。</w:t>
      </w:r>
    </w:p>
    <w:p>
      <w:pPr>
        <w:pStyle w:val="BodyText"/>
        <w:spacing w:line="273" w:lineRule="auto" w:before="37"/>
        <w:ind w:right="1002" w:firstLine="422"/>
        <w:jc w:val="left"/>
      </w:pPr>
      <w:r>
        <w:rPr>
          <w:rFonts w:ascii="宋体" w:hAnsi="宋体" w:cs="宋体" w:eastAsia="宋体" w:hint="default"/>
        </w:rPr>
        <w:t>2017</w:t>
      </w:r>
      <w:r>
        <w:rPr/>
        <w:t>年度分配预案为：以</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日总股本</w:t>
      </w:r>
      <w:r>
        <w:rPr>
          <w:rFonts w:ascii="宋体" w:hAnsi="宋体" w:cs="宋体" w:eastAsia="宋体" w:hint="default"/>
        </w:rPr>
        <w:t>703,960,660</w:t>
      </w:r>
      <w:r>
        <w:rPr/>
        <w:t>股为基数，向全体股东每</w:t>
      </w:r>
      <w:r>
        <w:rPr>
          <w:rFonts w:ascii="宋体" w:hAnsi="宋体" w:cs="宋体" w:eastAsia="宋体" w:hint="default"/>
        </w:rPr>
        <w:t>10</w:t>
      </w:r>
      <w:r>
        <w:rPr/>
        <w:t>股派送现金</w:t>
      </w:r>
      <w:r>
        <w:rPr>
          <w:w w:val="100"/>
        </w:rPr>
        <w:t> </w:t>
      </w:r>
      <w:r>
        <w:rPr>
          <w:spacing w:val="-4"/>
          <w:w w:val="100"/>
        </w:rPr>
        <w:t>股利</w:t>
      </w:r>
      <w:r>
        <w:rPr>
          <w:rFonts w:ascii="宋体" w:hAnsi="宋体" w:cs="宋体" w:eastAsia="宋体" w:hint="default"/>
          <w:spacing w:val="-4"/>
          <w:w w:val="100"/>
        </w:rPr>
        <w:t>0.50</w:t>
      </w:r>
      <w:r>
        <w:rPr>
          <w:spacing w:val="-4"/>
          <w:w w:val="100"/>
        </w:rPr>
        <w:t>元（含税），不送红股，不以公积金转增股本，合计派发现金股利</w:t>
      </w:r>
      <w:r>
        <w:rPr>
          <w:rFonts w:ascii="宋体" w:hAnsi="宋体" w:cs="宋体" w:eastAsia="宋体" w:hint="default"/>
          <w:spacing w:val="-4"/>
          <w:w w:val="100"/>
        </w:rPr>
        <w:t>35,198,033.00</w:t>
      </w:r>
      <w:r>
        <w:rPr>
          <w:spacing w:val="-4"/>
          <w:w w:val="100"/>
        </w:rPr>
        <w:t>元，剩余未分配</w:t>
      </w:r>
      <w:r>
        <w:rPr>
          <w:spacing w:val="-80"/>
          <w:w w:val="100"/>
        </w:rPr>
        <w:t> </w:t>
      </w:r>
      <w:r>
        <w:rPr>
          <w:spacing w:val="-80"/>
          <w:w w:val="100"/>
        </w:rPr>
      </w:r>
      <w:r>
        <w:rPr/>
        <w:t>利润留待以后年度分配。</w:t>
      </w:r>
    </w:p>
    <w:p>
      <w:pPr>
        <w:pStyle w:val="BodyText"/>
        <w:spacing w:line="256" w:lineRule="auto" w:before="7"/>
        <w:ind w:right="1002" w:firstLine="316"/>
        <w:jc w:val="left"/>
      </w:pPr>
      <w:r>
        <w:rPr/>
        <w:t>（</w:t>
      </w:r>
      <w:r>
        <w:rPr>
          <w:rFonts w:ascii="Times New Roman" w:hAnsi="Times New Roman" w:cs="Times New Roman" w:eastAsia="Times New Roman" w:hint="default"/>
        </w:rPr>
        <w:t>2</w:t>
      </w:r>
      <w:r>
        <w:rPr/>
        <w:t>）经大华会计师事务所（特殊普通合伙）审计，公司</w:t>
      </w:r>
      <w:r>
        <w:rPr>
          <w:rFonts w:ascii="宋体" w:hAnsi="宋体" w:cs="宋体" w:eastAsia="宋体" w:hint="default"/>
        </w:rPr>
        <w:t>2018</w:t>
      </w:r>
      <w:r>
        <w:rPr/>
        <w:t>年度实现归属于母公司股东的净利润</w:t>
      </w:r>
      <w:r>
        <w:rPr>
          <w:w w:val="100"/>
        </w:rPr>
        <w:t> </w:t>
      </w:r>
      <w:r>
        <w:rPr>
          <w:rFonts w:ascii="宋体" w:hAnsi="宋体" w:cs="宋体" w:eastAsia="宋体" w:hint="default"/>
          <w:spacing w:val="-2"/>
        </w:rPr>
        <w:t>174,762,669.00</w:t>
      </w:r>
      <w:r>
        <w:rPr>
          <w:spacing w:val="-2"/>
        </w:rPr>
        <w:t>元，加上年初未分配利润</w:t>
      </w:r>
      <w:r>
        <w:rPr>
          <w:rFonts w:ascii="宋体" w:hAnsi="宋体" w:cs="宋体" w:eastAsia="宋体" w:hint="default"/>
          <w:spacing w:val="-2"/>
        </w:rPr>
        <w:t>647,085,150.91</w:t>
      </w:r>
      <w:r>
        <w:rPr>
          <w:spacing w:val="-2"/>
        </w:rPr>
        <w:t>元，截至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日可供股东分配的利润为</w:t>
      </w:r>
    </w:p>
    <w:p>
      <w:pPr>
        <w:pStyle w:val="BodyText"/>
        <w:spacing w:line="240" w:lineRule="auto" w:before="22"/>
        <w:ind w:right="1002"/>
        <w:jc w:val="left"/>
      </w:pPr>
      <w:r>
        <w:rPr>
          <w:rFonts w:ascii="宋体" w:hAnsi="宋体" w:cs="宋体" w:eastAsia="宋体" w:hint="default"/>
        </w:rPr>
        <w:t>782,617,386.60</w:t>
      </w:r>
      <w:r>
        <w:rPr/>
        <w:t>元，其中母公司可供股东分配的利润为</w:t>
      </w:r>
      <w:r>
        <w:rPr>
          <w:rFonts w:ascii="宋体" w:hAnsi="宋体" w:cs="宋体" w:eastAsia="宋体" w:hint="default"/>
        </w:rPr>
        <w:t>214,538,866.89</w:t>
      </w:r>
      <w:r>
        <w:rPr/>
        <w:t>元。</w:t>
      </w:r>
    </w:p>
    <w:p>
      <w:pPr>
        <w:pStyle w:val="BodyText"/>
        <w:spacing w:line="240" w:lineRule="auto" w:before="37"/>
        <w:ind w:left="535" w:right="1002"/>
        <w:jc w:val="left"/>
      </w:pPr>
      <w:r>
        <w:rPr>
          <w:rFonts w:ascii="宋体" w:hAnsi="宋体" w:cs="宋体" w:eastAsia="宋体" w:hint="default"/>
        </w:rPr>
        <w:t>2018</w:t>
      </w:r>
      <w:r>
        <w:rPr/>
        <w:t>年度分配预案为：以</w:t>
      </w:r>
      <w:r>
        <w:rPr>
          <w:rFonts w:ascii="宋体" w:hAnsi="宋体" w:cs="宋体" w:eastAsia="宋体" w:hint="default"/>
        </w:rPr>
        <w:t>668,723,620</w:t>
      </w:r>
      <w:r>
        <w:rPr/>
        <w:t>股为基数（根据公司现有股本</w:t>
      </w:r>
      <w:r>
        <w:rPr>
          <w:rFonts w:ascii="宋体" w:hAnsi="宋体" w:cs="宋体" w:eastAsia="宋体" w:hint="default"/>
        </w:rPr>
        <w:t>691,505,915</w:t>
      </w:r>
      <w:r>
        <w:rPr/>
        <w:t>股扣除股份回购数量</w:t>
      </w:r>
    </w:p>
    <w:p>
      <w:pPr>
        <w:pStyle w:val="BodyText"/>
        <w:spacing w:line="273" w:lineRule="auto" w:before="37"/>
        <w:ind w:right="1002"/>
        <w:jc w:val="left"/>
      </w:pPr>
      <w:r>
        <w:rPr>
          <w:rFonts w:ascii="宋体" w:hAnsi="宋体" w:cs="宋体" w:eastAsia="宋体" w:hint="default"/>
          <w:spacing w:val="-8"/>
          <w:w w:val="100"/>
        </w:rPr>
        <w:t>22,782,295</w:t>
      </w:r>
      <w:r>
        <w:rPr>
          <w:spacing w:val="-8"/>
          <w:w w:val="100"/>
        </w:rPr>
        <w:t>股为基数），向全体股东每</w:t>
      </w:r>
      <w:r>
        <w:rPr>
          <w:rFonts w:ascii="宋体" w:hAnsi="宋体" w:cs="宋体" w:eastAsia="宋体" w:hint="default"/>
          <w:spacing w:val="-8"/>
          <w:w w:val="100"/>
        </w:rPr>
        <w:t>10</w:t>
      </w:r>
      <w:r>
        <w:rPr>
          <w:spacing w:val="-8"/>
          <w:w w:val="100"/>
        </w:rPr>
        <w:t>股派送现金股利</w:t>
      </w:r>
      <w:r>
        <w:rPr>
          <w:rFonts w:ascii="宋体" w:hAnsi="宋体" w:cs="宋体" w:eastAsia="宋体" w:hint="default"/>
          <w:spacing w:val="-8"/>
          <w:w w:val="100"/>
        </w:rPr>
        <w:t>0.53</w:t>
      </w:r>
      <w:r>
        <w:rPr>
          <w:spacing w:val="-8"/>
          <w:w w:val="100"/>
        </w:rPr>
        <w:t>元（含税），不送红股，不以公积金转增股本，</w:t>
      </w:r>
      <w:r>
        <w:rPr>
          <w:spacing w:val="-56"/>
          <w:w w:val="100"/>
        </w:rPr>
        <w:t> </w:t>
      </w:r>
      <w:r>
        <w:rPr>
          <w:spacing w:val="-56"/>
          <w:w w:val="100"/>
        </w:rPr>
      </w:r>
      <w:r>
        <w:rPr/>
        <w:t>合计派发现金股利</w:t>
      </w:r>
      <w:r>
        <w:rPr>
          <w:rFonts w:ascii="宋体" w:hAnsi="宋体" w:cs="宋体" w:eastAsia="宋体" w:hint="default"/>
        </w:rPr>
        <w:t>35,442,351.86</w:t>
      </w:r>
      <w:r>
        <w:rPr/>
        <w:t>元。剩余未分配利润留待以后年度分配。公司上述利润分配方案合法、</w:t>
      </w:r>
      <w:r>
        <w:rPr>
          <w:w w:val="100"/>
        </w:rPr>
        <w:t> </w:t>
      </w:r>
      <w:r>
        <w:rPr/>
        <w:t>合规，符合公司的分红承诺、公司章程规定的分配政策以及股东回报计划等。</w:t>
      </w:r>
    </w:p>
    <w:p>
      <w:pPr>
        <w:pStyle w:val="BodyText"/>
        <w:spacing w:line="273" w:lineRule="auto" w:before="7"/>
        <w:ind w:right="1002" w:firstLine="254"/>
        <w:jc w:val="left"/>
      </w:pPr>
      <w:r>
        <w:rPr/>
        <w:t>（</w:t>
      </w:r>
      <w:r>
        <w:rPr>
          <w:rFonts w:ascii="宋体" w:hAnsi="宋体" w:cs="宋体" w:eastAsia="宋体" w:hint="default"/>
        </w:rPr>
        <w:t>3</w:t>
      </w:r>
      <w:r>
        <w:rPr/>
        <w:t>）经大华会计师事务所（特殊普通合伙）审计，公司</w:t>
      </w:r>
      <w:r>
        <w:rPr>
          <w:rFonts w:ascii="宋体" w:hAnsi="宋体" w:cs="宋体" w:eastAsia="宋体" w:hint="default"/>
        </w:rPr>
        <w:t>2019</w:t>
      </w:r>
      <w:r>
        <w:rPr/>
        <w:t>年度实现归属于母公司股东的净利润</w:t>
      </w:r>
      <w:r>
        <w:rPr>
          <w:w w:val="100"/>
        </w:rPr>
        <w:t> </w:t>
      </w:r>
      <w:r>
        <w:rPr>
          <w:rFonts w:ascii="宋体" w:hAnsi="宋体" w:cs="宋体" w:eastAsia="宋体" w:hint="default"/>
          <w:spacing w:val="-2"/>
        </w:rPr>
        <w:t>284,714,313.30</w:t>
      </w:r>
      <w:r>
        <w:rPr>
          <w:spacing w:val="-2"/>
        </w:rPr>
        <w:t>元，加上年初未分配利润</w:t>
      </w:r>
      <w:r>
        <w:rPr>
          <w:rFonts w:ascii="宋体" w:hAnsi="宋体" w:cs="宋体" w:eastAsia="宋体" w:hint="default"/>
          <w:spacing w:val="-2"/>
        </w:rPr>
        <w:t>710,526,455.43</w:t>
      </w:r>
      <w:r>
        <w:rPr>
          <w:spacing w:val="-2"/>
        </w:rPr>
        <w:t>元，截至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日可供股东分配的利润为</w:t>
      </w:r>
    </w:p>
    <w:p>
      <w:pPr>
        <w:pStyle w:val="BodyText"/>
        <w:spacing w:line="240" w:lineRule="auto" w:before="8"/>
        <w:ind w:right="1002"/>
        <w:jc w:val="left"/>
      </w:pPr>
      <w:r>
        <w:rPr>
          <w:rFonts w:ascii="宋体" w:hAnsi="宋体" w:cs="宋体" w:eastAsia="宋体" w:hint="default"/>
        </w:rPr>
        <w:t>954,996,454.96</w:t>
      </w:r>
      <w:r>
        <w:rPr/>
        <w:t>元，其中母公司可供股东分配的利润为</w:t>
      </w:r>
      <w:r>
        <w:rPr>
          <w:rFonts w:ascii="宋体" w:hAnsi="宋体" w:cs="宋体" w:eastAsia="宋体" w:hint="default"/>
        </w:rPr>
        <w:t>178,530,706.20</w:t>
      </w:r>
      <w:r>
        <w:rPr/>
        <w:t>元。</w:t>
      </w:r>
    </w:p>
    <w:p>
      <w:pPr>
        <w:pStyle w:val="BodyText"/>
        <w:spacing w:line="240" w:lineRule="auto" w:before="80"/>
        <w:ind w:left="535" w:right="1002"/>
        <w:jc w:val="left"/>
      </w:pPr>
      <w:r>
        <w:rPr>
          <w:rFonts w:ascii="宋体" w:hAnsi="宋体" w:cs="宋体" w:eastAsia="宋体" w:hint="default"/>
        </w:rPr>
        <w:t>2019</w:t>
      </w:r>
      <w:r>
        <w:rPr/>
        <w:t>年度分配预案为：以</w:t>
      </w:r>
      <w:r>
        <w:rPr>
          <w:rFonts w:ascii="宋体" w:hAnsi="宋体" w:cs="宋体" w:eastAsia="宋体" w:hint="default"/>
        </w:rPr>
        <w:t>668,723,620</w:t>
      </w:r>
      <w:r>
        <w:rPr/>
        <w:t>股为基数（根据公司现有股本</w:t>
      </w:r>
      <w:r>
        <w:rPr>
          <w:rFonts w:ascii="宋体" w:hAnsi="宋体" w:cs="宋体" w:eastAsia="宋体" w:hint="default"/>
        </w:rPr>
        <w:t>691,505,915</w:t>
      </w:r>
      <w:r>
        <w:rPr/>
        <w:t>股扣除股份回购数量</w:t>
      </w:r>
    </w:p>
    <w:p>
      <w:pPr>
        <w:pStyle w:val="BodyText"/>
        <w:spacing w:line="240" w:lineRule="auto" w:before="32"/>
        <w:ind w:right="1002"/>
        <w:jc w:val="left"/>
      </w:pPr>
      <w:r>
        <w:rPr>
          <w:rFonts w:ascii="宋体" w:hAnsi="宋体" w:cs="宋体" w:eastAsia="宋体" w:hint="default"/>
        </w:rPr>
        <w:t>22,782,295</w:t>
      </w:r>
      <w:r>
        <w:rPr>
          <w:rFonts w:ascii="宋体" w:hAnsi="宋体" w:cs="宋体" w:eastAsia="宋体" w:hint="default"/>
          <w:spacing w:val="-78"/>
        </w:rPr>
        <w:t> </w:t>
      </w:r>
      <w:r>
        <w:rPr>
          <w:spacing w:val="16"/>
        </w:rPr>
        <w:t>股为基数</w:t>
      </w:r>
      <w:r>
        <w:rPr>
          <w:spacing w:val="-79"/>
        </w:rPr>
        <w:t> </w:t>
      </w:r>
      <w:r>
        <w:rPr>
          <w:spacing w:val="-41"/>
        </w:rPr>
        <w:t>），</w:t>
      </w:r>
      <w:r>
        <w:rPr>
          <w:spacing w:val="-79"/>
        </w:rPr>
        <w:t> </w:t>
      </w:r>
      <w:r>
        <w:rPr>
          <w:spacing w:val="17"/>
        </w:rPr>
        <w:t>向全体股东每</w:t>
      </w:r>
      <w:r>
        <w:rPr>
          <w:spacing w:val="71"/>
        </w:rPr>
        <w:t> </w:t>
      </w:r>
      <w:r>
        <w:rPr>
          <w:rFonts w:ascii="宋体" w:hAnsi="宋体" w:cs="宋体" w:eastAsia="宋体" w:hint="default"/>
        </w:rPr>
        <w:t>10</w:t>
      </w:r>
      <w:r>
        <w:rPr>
          <w:rFonts w:ascii="宋体" w:hAnsi="宋体" w:cs="宋体" w:eastAsia="宋体" w:hint="default"/>
          <w:spacing w:val="41"/>
        </w:rPr>
        <w:t> </w:t>
      </w:r>
      <w:r>
        <w:rPr>
          <w:spacing w:val="18"/>
        </w:rPr>
        <w:t>股派发现金红利</w:t>
      </w:r>
      <w:r>
        <w:rPr>
          <w:spacing w:val="71"/>
        </w:rPr>
        <w:t> </w:t>
      </w:r>
      <w:r>
        <w:rPr>
          <w:rFonts w:ascii="宋体" w:hAnsi="宋体" w:cs="宋体" w:eastAsia="宋体" w:hint="default"/>
        </w:rPr>
        <w:t>0.50</w:t>
      </w:r>
      <w:r>
        <w:rPr>
          <w:rFonts w:ascii="宋体" w:hAnsi="宋体" w:cs="宋体" w:eastAsia="宋体" w:hint="default"/>
          <w:spacing w:val="-78"/>
        </w:rPr>
        <w:t> </w:t>
      </w:r>
      <w:r>
        <w:rPr>
          <w:spacing w:val="11"/>
        </w:rPr>
        <w:t>元（</w:t>
      </w:r>
      <w:r>
        <w:rPr>
          <w:spacing w:val="-79"/>
        </w:rPr>
        <w:t> </w:t>
      </w:r>
      <w:r>
        <w:rPr>
          <w:spacing w:val="11"/>
        </w:rPr>
        <w:t>含税</w:t>
      </w:r>
      <w:r>
        <w:rPr>
          <w:spacing w:val="-79"/>
        </w:rPr>
        <w:t> </w:t>
      </w:r>
      <w:r>
        <w:rPr>
          <w:spacing w:val="-41"/>
        </w:rPr>
        <w:t>），</w:t>
      </w:r>
      <w:r>
        <w:rPr>
          <w:spacing w:val="-79"/>
        </w:rPr>
        <w:t> </w:t>
      </w:r>
      <w:r>
        <w:rPr>
          <w:spacing w:val="19"/>
        </w:rPr>
        <w:t>合计派发现金股利</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6" w:lineRule="auto"/>
        <w:ind w:left="433" w:right="0"/>
        <w:jc w:val="left"/>
      </w:pPr>
      <w:r>
        <w:rPr>
          <w:rFonts w:ascii="宋体" w:hAnsi="宋体" w:cs="宋体" w:eastAsia="宋体" w:hint="default"/>
        </w:rPr>
        <w:t>33,436,181.00</w:t>
      </w:r>
      <w:r>
        <w:rPr/>
        <w:t>元，不送红股，不以公积金转增股本。剩余未分配利润留待以后年度分配。公司上述利润</w:t>
      </w:r>
      <w:r>
        <w:rPr>
          <w:spacing w:val="-32"/>
        </w:rPr>
        <w:t> </w:t>
      </w:r>
      <w:r>
        <w:rPr>
          <w:spacing w:val="-32"/>
        </w:rPr>
      </w:r>
      <w:r>
        <w:rPr/>
        <w:t>分配方案合法、合规，符合公司的分红承诺、公司章程规定的分配政策以及股东回报计划等。</w:t>
      </w:r>
    </w:p>
    <w:p>
      <w:pPr>
        <w:spacing w:line="240" w:lineRule="auto" w:before="6"/>
        <w:rPr>
          <w:rFonts w:ascii="宋体" w:hAnsi="宋体" w:cs="宋体" w:eastAsia="宋体" w:hint="default"/>
          <w:sz w:val="27"/>
          <w:szCs w:val="27"/>
        </w:rPr>
      </w:pPr>
    </w:p>
    <w:p>
      <w:pPr>
        <w:pStyle w:val="BodyText"/>
        <w:spacing w:line="240" w:lineRule="auto"/>
        <w:ind w:left="433" w:right="0"/>
        <w:jc w:val="left"/>
      </w:pPr>
      <w:r>
        <w:rPr/>
        <w:t>公司近三年（包括本报告期）普通股现金分红情况表</w:t>
      </w:r>
    </w:p>
    <w:p>
      <w:pPr>
        <w:pStyle w:val="BodyText"/>
        <w:spacing w:line="240" w:lineRule="auto" w:before="80"/>
        <w:ind w:left="0" w:right="1122"/>
        <w:jc w:val="right"/>
      </w:pPr>
      <w:r>
        <w:rPr/>
        <w:t>单位：元</w:t>
      </w:r>
    </w:p>
    <w:p>
      <w:pPr>
        <w:spacing w:line="240" w:lineRule="auto" w:before="7"/>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883"/>
        <w:gridCol w:w="1503"/>
        <w:gridCol w:w="1681"/>
        <w:gridCol w:w="1037"/>
        <w:gridCol w:w="1589"/>
        <w:gridCol w:w="1153"/>
        <w:gridCol w:w="1546"/>
        <w:gridCol w:w="1143"/>
      </w:tblGrid>
      <w:tr>
        <w:trPr>
          <w:trHeight w:val="3212" w:hRule="exact"/>
        </w:trPr>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76" w:lineRule="auto"/>
              <w:ind w:left="326" w:right="119" w:hanging="207"/>
              <w:jc w:val="left"/>
              <w:rPr>
                <w:rFonts w:ascii="宋体" w:hAnsi="宋体" w:cs="宋体" w:eastAsia="宋体" w:hint="default"/>
                <w:sz w:val="21"/>
                <w:szCs w:val="21"/>
              </w:rPr>
            </w:pPr>
            <w:r>
              <w:rPr>
                <w:rFonts w:ascii="宋体" w:hAnsi="宋体" w:cs="宋体" w:eastAsia="宋体" w:hint="default"/>
                <w:sz w:val="21"/>
                <w:szCs w:val="21"/>
              </w:rPr>
              <w:t>分红年</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73" w:lineRule="auto"/>
              <w:ind w:left="201" w:right="205"/>
              <w:jc w:val="center"/>
              <w:rPr>
                <w:rFonts w:ascii="宋体" w:hAnsi="宋体" w:cs="宋体" w:eastAsia="宋体" w:hint="default"/>
                <w:sz w:val="21"/>
                <w:szCs w:val="21"/>
              </w:rPr>
            </w:pPr>
            <w:r>
              <w:rPr>
                <w:rFonts w:ascii="宋体" w:hAnsi="宋体" w:cs="宋体" w:eastAsia="宋体" w:hint="default"/>
                <w:spacing w:val="-1"/>
                <w:sz w:val="21"/>
                <w:szCs w:val="21"/>
              </w:rPr>
              <w:t>分红年度合并</w:t>
            </w:r>
            <w:r>
              <w:rPr>
                <w:rFonts w:ascii="宋体" w:hAnsi="宋体" w:cs="宋体" w:eastAsia="宋体" w:hint="default"/>
                <w:w w:val="100"/>
                <w:sz w:val="21"/>
                <w:szCs w:val="21"/>
              </w:rPr>
              <w:t> </w:t>
            </w:r>
            <w:r>
              <w:rPr>
                <w:rFonts w:ascii="宋体" w:hAnsi="宋体" w:cs="宋体" w:eastAsia="宋体" w:hint="default"/>
                <w:spacing w:val="-1"/>
                <w:sz w:val="21"/>
                <w:szCs w:val="21"/>
              </w:rPr>
              <w:t>报表中归属于</w:t>
            </w:r>
            <w:r>
              <w:rPr>
                <w:rFonts w:ascii="宋体" w:hAnsi="宋体" w:cs="宋体" w:eastAsia="宋体" w:hint="default"/>
                <w:w w:val="100"/>
                <w:sz w:val="21"/>
                <w:szCs w:val="21"/>
              </w:rPr>
              <w:t> </w:t>
            </w:r>
            <w:r>
              <w:rPr>
                <w:rFonts w:ascii="宋体" w:hAnsi="宋体" w:cs="宋体" w:eastAsia="宋体" w:hint="default"/>
                <w:spacing w:val="-1"/>
                <w:sz w:val="21"/>
                <w:szCs w:val="21"/>
              </w:rPr>
              <w:t>上市公司普通</w:t>
            </w:r>
            <w:r>
              <w:rPr>
                <w:rFonts w:ascii="宋体" w:hAnsi="宋体" w:cs="宋体" w:eastAsia="宋体" w:hint="default"/>
                <w:w w:val="100"/>
                <w:sz w:val="21"/>
                <w:szCs w:val="21"/>
              </w:rPr>
              <w:t> </w:t>
            </w:r>
            <w:r>
              <w:rPr>
                <w:rFonts w:ascii="宋体" w:hAnsi="宋体" w:cs="宋体" w:eastAsia="宋体" w:hint="default"/>
                <w:spacing w:val="-1"/>
                <w:sz w:val="21"/>
                <w:szCs w:val="21"/>
              </w:rPr>
              <w:t>股股东的净利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96" w:right="195"/>
              <w:jc w:val="both"/>
              <w:rPr>
                <w:rFonts w:ascii="宋体" w:hAnsi="宋体" w:cs="宋体" w:eastAsia="宋体" w:hint="default"/>
                <w:sz w:val="21"/>
                <w:szCs w:val="21"/>
              </w:rPr>
            </w:pPr>
            <w:r>
              <w:rPr>
                <w:rFonts w:ascii="宋体" w:hAnsi="宋体" w:cs="宋体" w:eastAsia="宋体" w:hint="default"/>
                <w:sz w:val="21"/>
                <w:szCs w:val="21"/>
              </w:rPr>
              <w:t>现金分</w:t>
            </w:r>
            <w:r>
              <w:rPr>
                <w:rFonts w:ascii="宋体" w:hAnsi="宋体" w:cs="宋体" w:eastAsia="宋体" w:hint="default"/>
                <w:spacing w:val="-102"/>
                <w:sz w:val="21"/>
                <w:szCs w:val="21"/>
              </w:rPr>
              <w:t> </w:t>
            </w:r>
            <w:r>
              <w:rPr>
                <w:rFonts w:ascii="宋体" w:hAnsi="宋体" w:cs="宋体" w:eastAsia="宋体" w:hint="default"/>
                <w:sz w:val="21"/>
                <w:szCs w:val="21"/>
              </w:rPr>
              <w:t>红金额</w:t>
            </w:r>
            <w:r>
              <w:rPr>
                <w:rFonts w:ascii="宋体" w:hAnsi="宋体" w:cs="宋体" w:eastAsia="宋体" w:hint="default"/>
                <w:spacing w:val="-102"/>
                <w:sz w:val="21"/>
                <w:szCs w:val="21"/>
              </w:rPr>
              <w:t> </w:t>
            </w:r>
            <w:r>
              <w:rPr>
                <w:rFonts w:ascii="宋体" w:hAnsi="宋体" w:cs="宋体" w:eastAsia="宋体" w:hint="default"/>
                <w:sz w:val="21"/>
                <w:szCs w:val="21"/>
              </w:rPr>
              <w:t>占合并</w:t>
            </w:r>
            <w:r>
              <w:rPr>
                <w:rFonts w:ascii="宋体" w:hAnsi="宋体" w:cs="宋体" w:eastAsia="宋体" w:hint="default"/>
                <w:spacing w:val="-102"/>
                <w:sz w:val="21"/>
                <w:szCs w:val="21"/>
              </w:rPr>
              <w:t> </w:t>
            </w:r>
            <w:r>
              <w:rPr>
                <w:rFonts w:ascii="宋体" w:hAnsi="宋体" w:cs="宋体" w:eastAsia="宋体" w:hint="default"/>
                <w:sz w:val="21"/>
                <w:szCs w:val="21"/>
              </w:rPr>
              <w:t>报表中</w:t>
            </w:r>
            <w:r>
              <w:rPr>
                <w:rFonts w:ascii="宋体" w:hAnsi="宋体" w:cs="宋体" w:eastAsia="宋体" w:hint="default"/>
                <w:spacing w:val="-102"/>
                <w:sz w:val="21"/>
                <w:szCs w:val="21"/>
              </w:rPr>
              <w:t> </w:t>
            </w:r>
            <w:r>
              <w:rPr>
                <w:rFonts w:ascii="宋体" w:hAnsi="宋体" w:cs="宋体" w:eastAsia="宋体" w:hint="default"/>
                <w:sz w:val="21"/>
                <w:szCs w:val="21"/>
              </w:rPr>
              <w:t>归属于</w:t>
            </w:r>
            <w:r>
              <w:rPr>
                <w:rFonts w:ascii="宋体" w:hAnsi="宋体" w:cs="宋体" w:eastAsia="宋体" w:hint="default"/>
                <w:spacing w:val="-102"/>
                <w:sz w:val="21"/>
                <w:szCs w:val="21"/>
              </w:rPr>
              <w:t> </w:t>
            </w:r>
            <w:r>
              <w:rPr>
                <w:rFonts w:ascii="宋体" w:hAnsi="宋体" w:cs="宋体" w:eastAsia="宋体" w:hint="default"/>
                <w:sz w:val="21"/>
                <w:szCs w:val="21"/>
              </w:rPr>
              <w:t>上市公</w:t>
            </w:r>
            <w:r>
              <w:rPr>
                <w:rFonts w:ascii="宋体" w:hAnsi="宋体" w:cs="宋体" w:eastAsia="宋体" w:hint="default"/>
                <w:spacing w:val="-102"/>
                <w:sz w:val="21"/>
                <w:szCs w:val="21"/>
              </w:rPr>
              <w:t> </w:t>
            </w:r>
            <w:r>
              <w:rPr>
                <w:rFonts w:ascii="宋体" w:hAnsi="宋体" w:cs="宋体" w:eastAsia="宋体" w:hint="default"/>
                <w:sz w:val="21"/>
                <w:szCs w:val="21"/>
              </w:rPr>
              <w:t>司普通</w:t>
            </w:r>
            <w:r>
              <w:rPr>
                <w:rFonts w:ascii="宋体" w:hAnsi="宋体" w:cs="宋体" w:eastAsia="宋体" w:hint="default"/>
                <w:spacing w:val="-102"/>
                <w:sz w:val="21"/>
                <w:szCs w:val="21"/>
              </w:rPr>
              <w:t> </w:t>
            </w:r>
            <w:r>
              <w:rPr>
                <w:rFonts w:ascii="宋体" w:hAnsi="宋体" w:cs="宋体" w:eastAsia="宋体" w:hint="default"/>
                <w:sz w:val="21"/>
                <w:szCs w:val="21"/>
              </w:rPr>
              <w:t>股股东</w:t>
            </w:r>
            <w:r>
              <w:rPr>
                <w:rFonts w:ascii="宋体" w:hAnsi="宋体" w:cs="宋体" w:eastAsia="宋体" w:hint="default"/>
                <w:spacing w:val="-102"/>
                <w:sz w:val="21"/>
                <w:szCs w:val="21"/>
              </w:rPr>
              <w:t> </w:t>
            </w:r>
            <w:r>
              <w:rPr>
                <w:rFonts w:ascii="宋体" w:hAnsi="宋体" w:cs="宋体" w:eastAsia="宋体" w:hint="default"/>
                <w:sz w:val="21"/>
                <w:szCs w:val="21"/>
              </w:rPr>
              <w:t>净利润</w:t>
            </w:r>
            <w:r>
              <w:rPr>
                <w:rFonts w:ascii="宋体" w:hAnsi="宋体" w:cs="宋体" w:eastAsia="宋体" w:hint="default"/>
                <w:spacing w:val="-102"/>
                <w:sz w:val="21"/>
                <w:szCs w:val="21"/>
              </w:rPr>
              <w:t> </w:t>
            </w:r>
            <w:r>
              <w:rPr>
                <w:rFonts w:ascii="宋体" w:hAnsi="宋体" w:cs="宋体" w:eastAsia="宋体" w:hint="default"/>
                <w:sz w:val="21"/>
                <w:szCs w:val="21"/>
              </w:rPr>
              <w:t>的比率</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0" w:right="99"/>
              <w:jc w:val="center"/>
              <w:rPr>
                <w:rFonts w:ascii="宋体" w:hAnsi="宋体" w:cs="宋体" w:eastAsia="宋体" w:hint="default"/>
                <w:sz w:val="21"/>
                <w:szCs w:val="21"/>
              </w:rPr>
            </w:pPr>
            <w:r>
              <w:rPr>
                <w:rFonts w:ascii="宋体" w:hAnsi="宋体" w:cs="宋体" w:eastAsia="宋体" w:hint="default"/>
                <w:spacing w:val="-15"/>
                <w:w w:val="100"/>
                <w:sz w:val="21"/>
                <w:szCs w:val="21"/>
              </w:rPr>
              <w:t>以其他方式（如</w:t>
            </w:r>
            <w:r>
              <w:rPr>
                <w:rFonts w:ascii="宋体" w:hAnsi="宋体" w:cs="宋体" w:eastAsia="宋体" w:hint="default"/>
                <w:w w:val="100"/>
                <w:sz w:val="21"/>
                <w:szCs w:val="21"/>
              </w:rPr>
              <w:t> </w:t>
            </w:r>
            <w:r>
              <w:rPr>
                <w:rFonts w:ascii="宋体" w:hAnsi="宋体" w:cs="宋体" w:eastAsia="宋体" w:hint="default"/>
                <w:spacing w:val="-15"/>
                <w:w w:val="100"/>
                <w:sz w:val="21"/>
                <w:szCs w:val="21"/>
              </w:rPr>
              <w:t>回购股份）现金</w:t>
            </w:r>
            <w:r>
              <w:rPr>
                <w:rFonts w:ascii="宋体" w:hAnsi="宋体" w:cs="宋体" w:eastAsia="宋体" w:hint="default"/>
                <w:w w:val="100"/>
                <w:sz w:val="21"/>
                <w:szCs w:val="21"/>
              </w:rPr>
              <w:t> </w:t>
            </w:r>
            <w:r>
              <w:rPr>
                <w:rFonts w:ascii="宋体" w:hAnsi="宋体" w:cs="宋体" w:eastAsia="宋体" w:hint="default"/>
                <w:sz w:val="21"/>
                <w:szCs w:val="21"/>
              </w:rPr>
              <w:t>分红的金额</w:t>
            </w:r>
          </w:p>
        </w:tc>
        <w:tc>
          <w:tcPr>
            <w:tcW w:w="1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48" w:right="147"/>
              <w:jc w:val="both"/>
              <w:rPr>
                <w:rFonts w:ascii="宋体" w:hAnsi="宋体" w:cs="宋体" w:eastAsia="宋体" w:hint="default"/>
                <w:sz w:val="21"/>
                <w:szCs w:val="21"/>
              </w:rPr>
            </w:pPr>
            <w:r>
              <w:rPr>
                <w:rFonts w:ascii="宋体" w:hAnsi="宋体" w:cs="宋体" w:eastAsia="宋体" w:hint="default"/>
                <w:sz w:val="21"/>
                <w:szCs w:val="21"/>
              </w:rPr>
              <w:t>以其他方</w:t>
            </w:r>
            <w:r>
              <w:rPr>
                <w:rFonts w:ascii="宋体" w:hAnsi="宋体" w:cs="宋体" w:eastAsia="宋体" w:hint="default"/>
                <w:spacing w:val="-101"/>
                <w:sz w:val="21"/>
                <w:szCs w:val="21"/>
              </w:rPr>
              <w:t> </w:t>
            </w:r>
            <w:r>
              <w:rPr>
                <w:rFonts w:ascii="宋体" w:hAnsi="宋体" w:cs="宋体" w:eastAsia="宋体" w:hint="default"/>
                <w:sz w:val="21"/>
                <w:szCs w:val="21"/>
              </w:rPr>
              <w:t>式现金分</w:t>
            </w:r>
            <w:r>
              <w:rPr>
                <w:rFonts w:ascii="宋体" w:hAnsi="宋体" w:cs="宋体" w:eastAsia="宋体" w:hint="default"/>
                <w:spacing w:val="-101"/>
                <w:sz w:val="21"/>
                <w:szCs w:val="21"/>
              </w:rPr>
              <w:t> </w:t>
            </w:r>
            <w:r>
              <w:rPr>
                <w:rFonts w:ascii="宋体" w:hAnsi="宋体" w:cs="宋体" w:eastAsia="宋体" w:hint="default"/>
                <w:sz w:val="21"/>
                <w:szCs w:val="21"/>
              </w:rPr>
              <w:t>红金额占</w:t>
            </w:r>
            <w:r>
              <w:rPr>
                <w:rFonts w:ascii="宋体" w:hAnsi="宋体" w:cs="宋体" w:eastAsia="宋体" w:hint="default"/>
                <w:spacing w:val="-101"/>
                <w:sz w:val="21"/>
                <w:szCs w:val="21"/>
              </w:rPr>
              <w:t> </w:t>
            </w:r>
            <w:r>
              <w:rPr>
                <w:rFonts w:ascii="宋体" w:hAnsi="宋体" w:cs="宋体" w:eastAsia="宋体" w:hint="default"/>
                <w:sz w:val="21"/>
                <w:szCs w:val="21"/>
              </w:rPr>
              <w:t>合并报表</w:t>
            </w:r>
            <w:r>
              <w:rPr>
                <w:rFonts w:ascii="宋体" w:hAnsi="宋体" w:cs="宋体" w:eastAsia="宋体" w:hint="default"/>
                <w:spacing w:val="-101"/>
                <w:sz w:val="21"/>
                <w:szCs w:val="21"/>
              </w:rPr>
              <w:t> </w:t>
            </w:r>
            <w:r>
              <w:rPr>
                <w:rFonts w:ascii="宋体" w:hAnsi="宋体" w:cs="宋体" w:eastAsia="宋体" w:hint="default"/>
                <w:sz w:val="21"/>
                <w:szCs w:val="21"/>
              </w:rPr>
              <w:t>中归属于</w:t>
            </w:r>
            <w:r>
              <w:rPr>
                <w:rFonts w:ascii="宋体" w:hAnsi="宋体" w:cs="宋体" w:eastAsia="宋体" w:hint="default"/>
                <w:spacing w:val="-101"/>
                <w:sz w:val="21"/>
                <w:szCs w:val="21"/>
              </w:rPr>
              <w:t> </w:t>
            </w:r>
            <w:r>
              <w:rPr>
                <w:rFonts w:ascii="宋体" w:hAnsi="宋体" w:cs="宋体" w:eastAsia="宋体" w:hint="default"/>
                <w:sz w:val="21"/>
                <w:szCs w:val="21"/>
              </w:rPr>
              <w:t>上市公司</w:t>
            </w:r>
            <w:r>
              <w:rPr>
                <w:rFonts w:ascii="宋体" w:hAnsi="宋体" w:cs="宋体" w:eastAsia="宋体" w:hint="default"/>
                <w:spacing w:val="-101"/>
                <w:sz w:val="21"/>
                <w:szCs w:val="21"/>
              </w:rPr>
              <w:t> </w:t>
            </w:r>
            <w:r>
              <w:rPr>
                <w:rFonts w:ascii="宋体" w:hAnsi="宋体" w:cs="宋体" w:eastAsia="宋体" w:hint="default"/>
                <w:sz w:val="21"/>
                <w:szCs w:val="21"/>
              </w:rPr>
              <w:t>普通股股</w:t>
            </w:r>
            <w:r>
              <w:rPr>
                <w:rFonts w:ascii="宋体" w:hAnsi="宋体" w:cs="宋体" w:eastAsia="宋体" w:hint="default"/>
                <w:spacing w:val="-101"/>
                <w:sz w:val="21"/>
                <w:szCs w:val="21"/>
              </w:rPr>
              <w:t> </w:t>
            </w:r>
            <w:r>
              <w:rPr>
                <w:rFonts w:ascii="宋体" w:hAnsi="宋体" w:cs="宋体" w:eastAsia="宋体" w:hint="default"/>
                <w:sz w:val="21"/>
                <w:szCs w:val="21"/>
              </w:rPr>
              <w:t>东的净利</w:t>
            </w:r>
            <w:r>
              <w:rPr>
                <w:rFonts w:ascii="宋体" w:hAnsi="宋体" w:cs="宋体" w:eastAsia="宋体" w:hint="default"/>
                <w:spacing w:val="-101"/>
                <w:sz w:val="21"/>
                <w:szCs w:val="21"/>
              </w:rPr>
              <w:t> </w:t>
            </w:r>
            <w:r>
              <w:rPr>
                <w:rFonts w:ascii="宋体" w:hAnsi="宋体" w:cs="宋体" w:eastAsia="宋体" w:hint="default"/>
                <w:sz w:val="21"/>
                <w:szCs w:val="21"/>
              </w:rPr>
              <w:t>润的比例</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现金分红总额</w:t>
            </w:r>
          </w:p>
          <w:p>
            <w:pPr>
              <w:pStyle w:val="TableParagraph"/>
              <w:spacing w:line="276" w:lineRule="auto" w:before="32"/>
              <w:ind w:left="244" w:right="233"/>
              <w:jc w:val="center"/>
              <w:rPr>
                <w:rFonts w:ascii="宋体" w:hAnsi="宋体" w:cs="宋体" w:eastAsia="宋体" w:hint="default"/>
                <w:sz w:val="21"/>
                <w:szCs w:val="21"/>
              </w:rPr>
            </w:pPr>
            <w:r>
              <w:rPr>
                <w:rFonts w:ascii="宋体" w:hAnsi="宋体" w:cs="宋体" w:eastAsia="宋体" w:hint="default"/>
                <w:sz w:val="21"/>
                <w:szCs w:val="21"/>
              </w:rPr>
              <w:t>（含其他方</w:t>
            </w:r>
            <w:r>
              <w:rPr>
                <w:rFonts w:ascii="宋体" w:hAnsi="宋体" w:cs="宋体" w:eastAsia="宋体" w:hint="default"/>
                <w:w w:val="100"/>
                <w:sz w:val="21"/>
                <w:szCs w:val="21"/>
              </w:rPr>
              <w:t> </w:t>
            </w:r>
            <w:r>
              <w:rPr>
                <w:rFonts w:ascii="宋体" w:hAnsi="宋体" w:cs="宋体" w:eastAsia="宋体" w:hint="default"/>
                <w:sz w:val="21"/>
                <w:szCs w:val="21"/>
              </w:rPr>
              <w:t>式）</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44" w:right="142"/>
              <w:jc w:val="center"/>
              <w:rPr>
                <w:rFonts w:ascii="宋体" w:hAnsi="宋体" w:cs="宋体" w:eastAsia="宋体" w:hint="default"/>
                <w:sz w:val="21"/>
                <w:szCs w:val="21"/>
              </w:rPr>
            </w:pPr>
            <w:r>
              <w:rPr>
                <w:rFonts w:ascii="宋体" w:hAnsi="宋体" w:cs="宋体" w:eastAsia="宋体" w:hint="default"/>
                <w:sz w:val="21"/>
                <w:szCs w:val="21"/>
              </w:rPr>
              <w:t>现金分红</w:t>
            </w:r>
            <w:r>
              <w:rPr>
                <w:rFonts w:ascii="宋体" w:hAnsi="宋体" w:cs="宋体" w:eastAsia="宋体" w:hint="default"/>
                <w:w w:val="100"/>
                <w:sz w:val="21"/>
                <w:szCs w:val="21"/>
              </w:rPr>
              <w:t> </w:t>
            </w:r>
            <w:r>
              <w:rPr>
                <w:rFonts w:ascii="宋体" w:hAnsi="宋体" w:cs="宋体" w:eastAsia="宋体" w:hint="default"/>
                <w:sz w:val="21"/>
                <w:szCs w:val="21"/>
              </w:rPr>
              <w:t>总额（含</w:t>
            </w:r>
            <w:r>
              <w:rPr>
                <w:rFonts w:ascii="宋体" w:hAnsi="宋体" w:cs="宋体" w:eastAsia="宋体" w:hint="default"/>
                <w:w w:val="100"/>
                <w:sz w:val="21"/>
                <w:szCs w:val="21"/>
              </w:rPr>
              <w:t> </w:t>
            </w:r>
            <w:r>
              <w:rPr>
                <w:rFonts w:ascii="宋体" w:hAnsi="宋体" w:cs="宋体" w:eastAsia="宋体" w:hint="default"/>
                <w:sz w:val="21"/>
                <w:szCs w:val="21"/>
              </w:rPr>
              <w:t>其他方</w:t>
            </w:r>
            <w:r>
              <w:rPr>
                <w:rFonts w:ascii="宋体" w:hAnsi="宋体" w:cs="宋体" w:eastAsia="宋体" w:hint="default"/>
                <w:w w:val="100"/>
                <w:sz w:val="21"/>
                <w:szCs w:val="21"/>
              </w:rPr>
              <w:t> </w:t>
            </w:r>
            <w:r>
              <w:rPr>
                <w:rFonts w:ascii="宋体" w:hAnsi="宋体" w:cs="宋体" w:eastAsia="宋体" w:hint="default"/>
                <w:sz w:val="21"/>
                <w:szCs w:val="21"/>
              </w:rPr>
              <w:t>式）占合</w:t>
            </w:r>
            <w:r>
              <w:rPr>
                <w:rFonts w:ascii="宋体" w:hAnsi="宋体" w:cs="宋体" w:eastAsia="宋体" w:hint="default"/>
                <w:w w:val="100"/>
                <w:sz w:val="21"/>
                <w:szCs w:val="21"/>
              </w:rPr>
              <w:t> </w:t>
            </w:r>
            <w:r>
              <w:rPr>
                <w:rFonts w:ascii="宋体" w:hAnsi="宋体" w:cs="宋体" w:eastAsia="宋体" w:hint="default"/>
                <w:sz w:val="21"/>
                <w:szCs w:val="21"/>
              </w:rPr>
              <w:t>并报表中</w:t>
            </w:r>
            <w:r>
              <w:rPr>
                <w:rFonts w:ascii="宋体" w:hAnsi="宋体" w:cs="宋体" w:eastAsia="宋体" w:hint="default"/>
                <w:w w:val="100"/>
                <w:sz w:val="21"/>
                <w:szCs w:val="21"/>
              </w:rPr>
              <w:t> </w:t>
            </w:r>
            <w:r>
              <w:rPr>
                <w:rFonts w:ascii="宋体" w:hAnsi="宋体" w:cs="宋体" w:eastAsia="宋体" w:hint="default"/>
                <w:sz w:val="21"/>
                <w:szCs w:val="21"/>
              </w:rPr>
              <w:t>归属于上</w:t>
            </w:r>
            <w:r>
              <w:rPr>
                <w:rFonts w:ascii="宋体" w:hAnsi="宋体" w:cs="宋体" w:eastAsia="宋体" w:hint="default"/>
                <w:w w:val="100"/>
                <w:sz w:val="21"/>
                <w:szCs w:val="21"/>
              </w:rPr>
              <w:t> </w:t>
            </w:r>
            <w:r>
              <w:rPr>
                <w:rFonts w:ascii="宋体" w:hAnsi="宋体" w:cs="宋体" w:eastAsia="宋体" w:hint="default"/>
                <w:sz w:val="21"/>
                <w:szCs w:val="21"/>
              </w:rPr>
              <w:t>市公司普</w:t>
            </w:r>
            <w:r>
              <w:rPr>
                <w:rFonts w:ascii="宋体" w:hAnsi="宋体" w:cs="宋体" w:eastAsia="宋体" w:hint="default"/>
                <w:w w:val="100"/>
                <w:sz w:val="21"/>
                <w:szCs w:val="21"/>
              </w:rPr>
              <w:t> </w:t>
            </w:r>
            <w:r>
              <w:rPr>
                <w:rFonts w:ascii="宋体" w:hAnsi="宋体" w:cs="宋体" w:eastAsia="宋体" w:hint="default"/>
                <w:sz w:val="21"/>
                <w:szCs w:val="21"/>
              </w:rPr>
              <w:t>通股股东</w:t>
            </w:r>
            <w:r>
              <w:rPr>
                <w:rFonts w:ascii="宋体" w:hAnsi="宋体" w:cs="宋体" w:eastAsia="宋体" w:hint="default"/>
                <w:w w:val="100"/>
                <w:sz w:val="21"/>
                <w:szCs w:val="21"/>
              </w:rPr>
              <w:t> </w:t>
            </w:r>
            <w:r>
              <w:rPr>
                <w:rFonts w:ascii="宋体" w:hAnsi="宋体" w:cs="宋体" w:eastAsia="宋体" w:hint="default"/>
                <w:sz w:val="21"/>
                <w:szCs w:val="21"/>
              </w:rPr>
              <w:t>的净利润</w:t>
            </w:r>
            <w:r>
              <w:rPr>
                <w:rFonts w:ascii="宋体" w:hAnsi="宋体" w:cs="宋体" w:eastAsia="宋体" w:hint="default"/>
                <w:w w:val="100"/>
                <w:sz w:val="21"/>
                <w:szCs w:val="21"/>
              </w:rPr>
              <w:t> </w:t>
            </w:r>
            <w:r>
              <w:rPr>
                <w:rFonts w:ascii="宋体" w:hAnsi="宋体" w:cs="宋体" w:eastAsia="宋体" w:hint="default"/>
                <w:sz w:val="21"/>
                <w:szCs w:val="21"/>
              </w:rPr>
              <w:t>的比率</w:t>
            </w:r>
          </w:p>
        </w:tc>
      </w:tr>
      <w:tr>
        <w:trPr>
          <w:trHeight w:val="403" w:hRule="exact"/>
        </w:trPr>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33,436,181.00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284,714,313.30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pacing w:val="-2"/>
                <w:sz w:val="21"/>
              </w:rPr>
              <w:t>11.74%</w:t>
            </w:r>
          </w:p>
        </w:tc>
        <w:tc>
          <w:tcPr>
            <w:tcW w:w="1589"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9" w:right="0"/>
              <w:jc w:val="center"/>
              <w:rPr>
                <w:rFonts w:ascii="Times New Roman" w:hAnsi="Times New Roman" w:cs="Times New Roman" w:eastAsia="Times New Roman" w:hint="default"/>
                <w:sz w:val="21"/>
                <w:szCs w:val="21"/>
              </w:rPr>
            </w:pPr>
            <w:r>
              <w:rPr>
                <w:rFonts w:ascii="Times New Roman"/>
                <w:sz w:val="21"/>
              </w:rPr>
              <w:t>33,436,181.00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pacing w:val="-2"/>
                <w:sz w:val="21"/>
              </w:rPr>
              <w:t>11.74%</w:t>
            </w:r>
          </w:p>
        </w:tc>
      </w:tr>
      <w:tr>
        <w:trPr>
          <w:trHeight w:val="403" w:hRule="exact"/>
        </w:trPr>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35,442,351.86</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174,762,669.00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20.28%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7" w:right="0"/>
              <w:jc w:val="left"/>
              <w:rPr>
                <w:rFonts w:ascii="Times New Roman" w:hAnsi="Times New Roman" w:cs="Times New Roman" w:eastAsia="Times New Roman" w:hint="default"/>
                <w:sz w:val="21"/>
                <w:szCs w:val="21"/>
              </w:rPr>
            </w:pPr>
            <w:r>
              <w:rPr>
                <w:rFonts w:ascii="Times New Roman"/>
                <w:sz w:val="21"/>
              </w:rPr>
              <w:t>240,044,733.11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8" w:right="0"/>
              <w:jc w:val="left"/>
              <w:rPr>
                <w:rFonts w:ascii="Times New Roman" w:hAnsi="Times New Roman" w:cs="Times New Roman" w:eastAsia="Times New Roman" w:hint="default"/>
                <w:sz w:val="21"/>
                <w:szCs w:val="21"/>
              </w:rPr>
            </w:pPr>
            <w:r>
              <w:rPr>
                <w:rFonts w:ascii="Times New Roman"/>
                <w:sz w:val="21"/>
              </w:rPr>
              <w:t>137.35%</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center"/>
              <w:rPr>
                <w:rFonts w:ascii="Times New Roman" w:hAnsi="Times New Roman" w:cs="Times New Roman" w:eastAsia="Times New Roman" w:hint="default"/>
                <w:sz w:val="21"/>
                <w:szCs w:val="21"/>
              </w:rPr>
            </w:pPr>
            <w:r>
              <w:rPr>
                <w:rFonts w:ascii="Times New Roman"/>
                <w:sz w:val="21"/>
              </w:rPr>
              <w:t>275,487,084.97</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157.63%</w:t>
            </w:r>
          </w:p>
        </w:tc>
      </w:tr>
      <w:tr>
        <w:trPr>
          <w:trHeight w:val="399" w:hRule="exact"/>
        </w:trPr>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35,198,033.00</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172,215,037.92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20.44%</w:t>
            </w:r>
          </w:p>
        </w:tc>
        <w:tc>
          <w:tcPr>
            <w:tcW w:w="1589"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9" w:right="0"/>
              <w:jc w:val="center"/>
              <w:rPr>
                <w:rFonts w:ascii="Times New Roman" w:hAnsi="Times New Roman" w:cs="Times New Roman" w:eastAsia="Times New Roman" w:hint="default"/>
                <w:sz w:val="21"/>
                <w:szCs w:val="21"/>
              </w:rPr>
            </w:pPr>
            <w:r>
              <w:rPr>
                <w:rFonts w:ascii="Times New Roman"/>
                <w:sz w:val="21"/>
              </w:rPr>
              <w:t>35,198,033.00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20.44%</w:t>
            </w:r>
          </w:p>
        </w:tc>
      </w:tr>
    </w:tbl>
    <w:p>
      <w:pPr>
        <w:pStyle w:val="BodyText"/>
        <w:spacing w:line="240" w:lineRule="auto" w:before="28"/>
        <w:ind w:left="433" w:right="0"/>
        <w:jc w:val="left"/>
      </w:pPr>
      <w:r>
        <w:rPr/>
        <w:t>公司报告期内盈利且母公司可供普通股股东分配利润为正但未提出普通股现金红利分配预案</w:t>
      </w:r>
    </w:p>
    <w:p>
      <w:pPr>
        <w:spacing w:line="528" w:lineRule="auto" w:before="80"/>
        <w:ind w:left="433" w:right="6112" w:firstLine="0"/>
        <w:jc w:val="left"/>
        <w:rPr>
          <w:rFonts w:ascii="宋体" w:hAnsi="宋体" w:cs="宋体" w:eastAsia="宋体" w:hint="default"/>
          <w:sz w:val="21"/>
          <w:szCs w:val="21"/>
        </w:rPr>
      </w:pPr>
      <w:r>
        <w:rPr>
          <w:rFonts w:ascii="宋体" w:hAnsi="宋体" w:cs="宋体" w:eastAsia="宋体" w:hint="default"/>
          <w:sz w:val="21"/>
          <w:szCs w:val="21"/>
        </w:rPr>
        <w:t>□ 适用 √ 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二、本报告期利润分配及资本公积金转增股本情况" w:id="64"/>
      <w:bookmarkEnd w:id="64"/>
      <w:r>
        <w:rPr>
          <w:rFonts w:ascii="宋体" w:hAnsi="宋体" w:cs="宋体" w:eastAsia="宋体" w:hint="default"/>
          <w:spacing w:val="-101"/>
          <w:sz w:val="21"/>
          <w:szCs w:val="21"/>
        </w:rPr>
      </w:r>
      <w:r>
        <w:rPr>
          <w:rFonts w:ascii="宋体" w:hAnsi="宋体" w:cs="宋体" w:eastAsia="宋体" w:hint="default"/>
          <w:b/>
          <w:bCs/>
          <w:sz w:val="21"/>
          <w:szCs w:val="21"/>
        </w:rPr>
        <w:t>二、本报告期利润分配及资本公积金转增股本情况</w:t>
      </w:r>
      <w:r>
        <w:rPr>
          <w:rFonts w:ascii="宋体" w:hAnsi="宋体" w:cs="宋体" w:eastAsia="宋体" w:hint="default"/>
          <w:sz w:val="21"/>
          <w:szCs w:val="21"/>
        </w:rPr>
      </w:r>
    </w:p>
    <w:p>
      <w:pPr>
        <w:pStyle w:val="BodyText"/>
        <w:spacing w:line="240" w:lineRule="auto" w:before="92"/>
        <w:ind w:left="433" w:right="0"/>
        <w:jc w:val="left"/>
      </w:pPr>
      <w:r>
        <w:rPr/>
        <w:t>√ 适用 □</w:t>
      </w:r>
      <w:r>
        <w:rPr>
          <w:spacing w:val="4"/>
        </w:rPr>
        <w:t> </w:t>
      </w:r>
      <w:r>
        <w:rPr/>
        <w:t>不适用</w:t>
      </w:r>
    </w:p>
    <w:p>
      <w:pPr>
        <w:spacing w:line="240" w:lineRule="auto" w:before="12"/>
        <w:rPr>
          <w:rFonts w:ascii="宋体" w:hAnsi="宋体" w:cs="宋体" w:eastAsia="宋体" w:hint="default"/>
          <w:sz w:val="6"/>
          <w:szCs w:val="6"/>
        </w:rPr>
      </w:pPr>
    </w:p>
    <w:tbl>
      <w:tblPr>
        <w:tblW w:w="0" w:type="auto"/>
        <w:jc w:val="left"/>
        <w:tblInd w:w="428" w:type="dxa"/>
        <w:tblLayout w:type="fixed"/>
        <w:tblCellMar>
          <w:top w:w="0" w:type="dxa"/>
          <w:left w:w="0" w:type="dxa"/>
          <w:bottom w:w="0" w:type="dxa"/>
          <w:right w:w="0" w:type="dxa"/>
        </w:tblCellMar>
        <w:tblLook w:val="01E0"/>
      </w:tblPr>
      <w:tblGrid>
        <w:gridCol w:w="4288"/>
        <w:gridCol w:w="5282"/>
      </w:tblGrid>
      <w:tr>
        <w:trPr>
          <w:trHeight w:val="401" w:hRule="exact"/>
        </w:trPr>
        <w:tc>
          <w:tcPr>
            <w:tcW w:w="4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股送红股数（股）</w:t>
            </w:r>
          </w:p>
        </w:tc>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401" w:hRule="exact"/>
        </w:trPr>
        <w:tc>
          <w:tcPr>
            <w:tcW w:w="4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股派</w:t>
            </w:r>
            <w:r>
              <w:rPr>
                <w:rFonts w:ascii="宋体" w:hAnsi="宋体" w:cs="宋体" w:eastAsia="宋体" w:hint="default"/>
                <w:spacing w:val="-5"/>
                <w:w w:val="100"/>
                <w:sz w:val="21"/>
                <w:szCs w:val="21"/>
              </w:rPr>
              <w:t>息</w:t>
            </w:r>
            <w:r>
              <w:rPr>
                <w:rFonts w:ascii="宋体" w:hAnsi="宋体" w:cs="宋体" w:eastAsia="宋体" w:hint="default"/>
                <w:w w:val="100"/>
                <w:sz w:val="21"/>
                <w:szCs w:val="21"/>
              </w:rPr>
              <w:t>数（元</w:t>
            </w:r>
            <w:r>
              <w:rPr>
                <w:rFonts w:ascii="宋体" w:hAnsi="宋体" w:cs="宋体" w:eastAsia="宋体" w:hint="default"/>
                <w:spacing w:val="-111"/>
                <w:w w:val="100"/>
                <w:sz w:val="21"/>
                <w:szCs w:val="21"/>
              </w:rPr>
              <w:t>）</w:t>
            </w:r>
            <w:r>
              <w:rPr>
                <w:rFonts w:ascii="宋体" w:hAnsi="宋体" w:cs="宋体" w:eastAsia="宋体" w:hint="default"/>
                <w:w w:val="100"/>
                <w:sz w:val="21"/>
                <w:szCs w:val="21"/>
              </w:rPr>
              <w:t>（含税）</w:t>
            </w:r>
          </w:p>
        </w:tc>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z w:val="21"/>
              </w:rPr>
              <w:t>0.5</w:t>
            </w:r>
          </w:p>
        </w:tc>
      </w:tr>
      <w:tr>
        <w:trPr>
          <w:trHeight w:val="403" w:hRule="exact"/>
        </w:trPr>
        <w:tc>
          <w:tcPr>
            <w:tcW w:w="4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668,723,620</w:t>
            </w:r>
          </w:p>
        </w:tc>
      </w:tr>
      <w:tr>
        <w:trPr>
          <w:trHeight w:val="404" w:hRule="exact"/>
        </w:trPr>
        <w:tc>
          <w:tcPr>
            <w:tcW w:w="4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w w:val="100"/>
                <w:sz w:val="21"/>
                <w:szCs w:val="21"/>
              </w:rPr>
              <w:t>现金分红</w:t>
            </w:r>
            <w:r>
              <w:rPr>
                <w:rFonts w:ascii="宋体" w:hAnsi="宋体" w:cs="宋体" w:eastAsia="宋体" w:hint="default"/>
                <w:spacing w:val="-5"/>
                <w:w w:val="100"/>
                <w:sz w:val="21"/>
                <w:szCs w:val="21"/>
              </w:rPr>
              <w:t>金</w:t>
            </w:r>
            <w:r>
              <w:rPr>
                <w:rFonts w:ascii="宋体" w:hAnsi="宋体" w:cs="宋体" w:eastAsia="宋体" w:hint="default"/>
                <w:w w:val="100"/>
                <w:sz w:val="21"/>
                <w:szCs w:val="21"/>
              </w:rPr>
              <w:t>额（元</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含税）</w:t>
            </w:r>
          </w:p>
        </w:tc>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33,436,181.00</w:t>
            </w:r>
          </w:p>
        </w:tc>
      </w:tr>
      <w:tr>
        <w:trPr>
          <w:trHeight w:val="401" w:hRule="exact"/>
        </w:trPr>
        <w:tc>
          <w:tcPr>
            <w:tcW w:w="4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8"/>
              <w:jc w:val="left"/>
              <w:rPr>
                <w:rFonts w:ascii="宋体" w:hAnsi="宋体" w:cs="宋体" w:eastAsia="宋体" w:hint="default"/>
                <w:sz w:val="21"/>
                <w:szCs w:val="21"/>
              </w:rPr>
            </w:pPr>
            <w:r>
              <w:rPr>
                <w:rFonts w:ascii="宋体" w:hAnsi="宋体" w:cs="宋体" w:eastAsia="宋体" w:hint="default"/>
                <w:spacing w:val="-13"/>
                <w:sz w:val="21"/>
                <w:szCs w:val="21"/>
              </w:rPr>
              <w:t>以其他方式（如回购股份）现金分红金额（元）</w:t>
            </w:r>
          </w:p>
        </w:tc>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0.00</w:t>
            </w:r>
          </w:p>
        </w:tc>
      </w:tr>
      <w:tr>
        <w:trPr>
          <w:trHeight w:val="401" w:hRule="exact"/>
        </w:trPr>
        <w:tc>
          <w:tcPr>
            <w:tcW w:w="4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w w:val="100"/>
                <w:sz w:val="21"/>
                <w:szCs w:val="21"/>
              </w:rPr>
              <w:t>现金分红</w:t>
            </w:r>
            <w:r>
              <w:rPr>
                <w:rFonts w:ascii="宋体" w:hAnsi="宋体" w:cs="宋体" w:eastAsia="宋体" w:hint="default"/>
                <w:spacing w:val="-5"/>
                <w:w w:val="100"/>
                <w:sz w:val="21"/>
                <w:szCs w:val="21"/>
              </w:rPr>
              <w:t>总</w:t>
            </w:r>
            <w:r>
              <w:rPr>
                <w:rFonts w:ascii="宋体" w:hAnsi="宋体" w:cs="宋体" w:eastAsia="宋体" w:hint="default"/>
                <w:w w:val="100"/>
                <w:sz w:val="21"/>
                <w:szCs w:val="21"/>
              </w:rPr>
              <w:t>额（含</w:t>
            </w:r>
            <w:r>
              <w:rPr>
                <w:rFonts w:ascii="宋体" w:hAnsi="宋体" w:cs="宋体" w:eastAsia="宋体" w:hint="default"/>
                <w:spacing w:val="-5"/>
                <w:w w:val="100"/>
                <w:sz w:val="21"/>
                <w:szCs w:val="21"/>
              </w:rPr>
              <w:t>其</w:t>
            </w:r>
            <w:r>
              <w:rPr>
                <w:rFonts w:ascii="宋体" w:hAnsi="宋体" w:cs="宋体" w:eastAsia="宋体" w:hint="default"/>
                <w:w w:val="100"/>
                <w:sz w:val="21"/>
                <w:szCs w:val="21"/>
              </w:rPr>
              <w:t>他方式</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元）</w:t>
            </w:r>
          </w:p>
        </w:tc>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Times New Roman" w:hAnsi="Times New Roman" w:cs="Times New Roman" w:eastAsia="Times New Roman" w:hint="default"/>
                <w:sz w:val="21"/>
                <w:szCs w:val="21"/>
              </w:rPr>
            </w:pPr>
            <w:r>
              <w:rPr>
                <w:rFonts w:ascii="Times New Roman"/>
                <w:sz w:val="21"/>
              </w:rPr>
              <w:t>33,436,181.00</w:t>
            </w:r>
          </w:p>
        </w:tc>
      </w:tr>
      <w:tr>
        <w:trPr>
          <w:trHeight w:val="403" w:hRule="exact"/>
        </w:trPr>
        <w:tc>
          <w:tcPr>
            <w:tcW w:w="4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954,996,454.96</w:t>
            </w:r>
          </w:p>
        </w:tc>
      </w:tr>
      <w:tr>
        <w:trPr>
          <w:trHeight w:val="720" w:hRule="exact"/>
        </w:trPr>
        <w:tc>
          <w:tcPr>
            <w:tcW w:w="4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77"/>
              <w:jc w:val="left"/>
              <w:rPr>
                <w:rFonts w:ascii="宋体" w:hAnsi="宋体" w:cs="宋体" w:eastAsia="宋体" w:hint="default"/>
                <w:sz w:val="21"/>
                <w:szCs w:val="21"/>
              </w:rPr>
            </w:pPr>
            <w:r>
              <w:rPr>
                <w:rFonts w:ascii="宋体" w:hAnsi="宋体" w:cs="宋体" w:eastAsia="宋体" w:hint="default"/>
                <w:spacing w:val="-2"/>
                <w:sz w:val="21"/>
                <w:szCs w:val="21"/>
              </w:rPr>
              <w:t>现金分红总额（含其他方式）占利润分配总</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额的比例</w:t>
            </w:r>
          </w:p>
        </w:tc>
        <w:tc>
          <w:tcPr>
            <w:tcW w:w="5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100%</w:t>
            </w:r>
          </w:p>
        </w:tc>
      </w:tr>
      <w:tr>
        <w:trPr>
          <w:trHeight w:val="39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9"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7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98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年度分配预案为：以</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668,723,620 </w:t>
            </w:r>
            <w:r>
              <w:rPr>
                <w:rFonts w:ascii="宋体" w:hAnsi="宋体" w:cs="宋体" w:eastAsia="宋体" w:hint="default"/>
                <w:sz w:val="21"/>
                <w:szCs w:val="21"/>
              </w:rPr>
              <w:t>股为基数（根据公司现有股本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691,505,915 </w:t>
            </w:r>
            <w:r>
              <w:rPr>
                <w:rFonts w:ascii="宋体" w:hAnsi="宋体" w:cs="宋体" w:eastAsia="宋体" w:hint="default"/>
                <w:sz w:val="21"/>
                <w:szCs w:val="21"/>
              </w:rPr>
              <w:t>股扣除股份回购</w:t>
            </w:r>
          </w:p>
          <w:p>
            <w:pPr>
              <w:pStyle w:val="TableParagraph"/>
              <w:spacing w:line="240" w:lineRule="auto" w:before="16"/>
              <w:ind w:left="105" w:right="0"/>
              <w:jc w:val="left"/>
              <w:rPr>
                <w:rFonts w:ascii="宋体" w:hAnsi="宋体" w:cs="宋体" w:eastAsia="宋体" w:hint="default"/>
                <w:sz w:val="21"/>
                <w:szCs w:val="21"/>
              </w:rPr>
            </w:pPr>
            <w:r>
              <w:rPr>
                <w:rFonts w:ascii="宋体" w:hAnsi="宋体" w:cs="宋体" w:eastAsia="宋体" w:hint="default"/>
                <w:w w:val="100"/>
                <w:sz w:val="21"/>
                <w:szCs w:val="21"/>
              </w:rPr>
              <w:t>数量</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22,782,</w:t>
            </w:r>
            <w:r>
              <w:rPr>
                <w:rFonts w:ascii="Times New Roman" w:hAnsi="Times New Roman" w:cs="Times New Roman" w:eastAsia="Times New Roman" w:hint="default"/>
                <w:spacing w:val="-5"/>
                <w:w w:val="100"/>
                <w:sz w:val="21"/>
                <w:szCs w:val="21"/>
              </w:rPr>
              <w:t>2</w:t>
            </w:r>
            <w:r>
              <w:rPr>
                <w:rFonts w:ascii="Times New Roman" w:hAnsi="Times New Roman" w:cs="Times New Roman" w:eastAsia="Times New Roman" w:hint="default"/>
                <w:w w:val="100"/>
                <w:sz w:val="21"/>
                <w:szCs w:val="21"/>
              </w:rPr>
              <w:t>95</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股</w:t>
            </w:r>
            <w:r>
              <w:rPr>
                <w:rFonts w:ascii="宋体" w:hAnsi="宋体" w:cs="宋体" w:eastAsia="宋体" w:hint="default"/>
                <w:spacing w:val="-5"/>
                <w:w w:val="100"/>
                <w:sz w:val="21"/>
                <w:szCs w:val="21"/>
              </w:rPr>
              <w:t>为</w:t>
            </w:r>
            <w:r>
              <w:rPr>
                <w:rFonts w:ascii="宋体" w:hAnsi="宋体" w:cs="宋体" w:eastAsia="宋体" w:hint="default"/>
                <w:w w:val="100"/>
                <w:sz w:val="21"/>
                <w:szCs w:val="21"/>
              </w:rPr>
              <w:t>基数</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向</w:t>
            </w:r>
            <w:r>
              <w:rPr>
                <w:rFonts w:ascii="宋体" w:hAnsi="宋体" w:cs="宋体" w:eastAsia="宋体" w:hint="default"/>
                <w:w w:val="100"/>
                <w:sz w:val="21"/>
                <w:szCs w:val="21"/>
              </w:rPr>
              <w:t>全体股</w:t>
            </w:r>
            <w:r>
              <w:rPr>
                <w:rFonts w:ascii="宋体" w:hAnsi="宋体" w:cs="宋体" w:eastAsia="宋体" w:hint="default"/>
                <w:spacing w:val="-5"/>
                <w:w w:val="100"/>
                <w:sz w:val="21"/>
                <w:szCs w:val="21"/>
              </w:rPr>
              <w:t>东</w:t>
            </w:r>
            <w:r>
              <w:rPr>
                <w:rFonts w:ascii="宋体" w:hAnsi="宋体" w:cs="宋体" w:eastAsia="宋体" w:hint="default"/>
                <w:w w:val="100"/>
                <w:sz w:val="21"/>
                <w:szCs w:val="21"/>
              </w:rPr>
              <w:t>每</w:t>
            </w:r>
            <w:r>
              <w:rPr>
                <w:rFonts w:ascii="宋体" w:hAnsi="宋体" w:cs="宋体" w:eastAsia="宋体" w:hint="default"/>
                <w:spacing w:val="1"/>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股</w:t>
            </w:r>
            <w:r>
              <w:rPr>
                <w:rFonts w:ascii="宋体" w:hAnsi="宋体" w:cs="宋体" w:eastAsia="宋体" w:hint="default"/>
                <w:spacing w:val="-5"/>
                <w:w w:val="100"/>
                <w:sz w:val="21"/>
                <w:szCs w:val="21"/>
              </w:rPr>
              <w:t>派</w:t>
            </w:r>
            <w:r>
              <w:rPr>
                <w:rFonts w:ascii="宋体" w:hAnsi="宋体" w:cs="宋体" w:eastAsia="宋体" w:hint="default"/>
                <w:w w:val="100"/>
                <w:sz w:val="21"/>
                <w:szCs w:val="21"/>
              </w:rPr>
              <w:t>发现金红利</w:t>
            </w:r>
            <w:r>
              <w:rPr>
                <w:rFonts w:ascii="宋体" w:hAnsi="宋体" w:cs="宋体" w:eastAsia="宋体" w:hint="default"/>
                <w:spacing w:val="-4"/>
                <w:sz w:val="21"/>
                <w:szCs w:val="21"/>
              </w:rPr>
              <w:t> </w:t>
            </w:r>
            <w:r>
              <w:rPr>
                <w:rFonts w:ascii="Times New Roman" w:hAnsi="Times New Roman" w:cs="Times New Roman" w:eastAsia="Times New Roman" w:hint="default"/>
                <w:w w:val="100"/>
                <w:sz w:val="21"/>
                <w:szCs w:val="21"/>
              </w:rPr>
              <w:t>0.50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元</w:t>
            </w:r>
            <w:r>
              <w:rPr>
                <w:rFonts w:ascii="宋体" w:hAnsi="宋体" w:cs="宋体" w:eastAsia="宋体" w:hint="default"/>
                <w:spacing w:val="-5"/>
                <w:w w:val="100"/>
                <w:sz w:val="21"/>
                <w:szCs w:val="21"/>
              </w:rPr>
              <w:t>（</w:t>
            </w:r>
            <w:r>
              <w:rPr>
                <w:rFonts w:ascii="宋体" w:hAnsi="宋体" w:cs="宋体" w:eastAsia="宋体" w:hint="default"/>
                <w:w w:val="100"/>
                <w:sz w:val="21"/>
                <w:szCs w:val="21"/>
              </w:rPr>
              <w:t>含税</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合计派</w:t>
            </w:r>
            <w:r>
              <w:rPr>
                <w:rFonts w:ascii="宋体" w:hAnsi="宋体" w:cs="宋体" w:eastAsia="宋体" w:hint="default"/>
                <w:spacing w:val="-5"/>
                <w:w w:val="100"/>
                <w:sz w:val="21"/>
                <w:szCs w:val="21"/>
              </w:rPr>
              <w:t>发</w:t>
            </w:r>
            <w:r>
              <w:rPr>
                <w:rFonts w:ascii="宋体" w:hAnsi="宋体" w:cs="宋体" w:eastAsia="宋体" w:hint="default"/>
                <w:w w:val="100"/>
                <w:sz w:val="21"/>
                <w:szCs w:val="21"/>
              </w:rPr>
              <w:t>现金股利</w:t>
            </w:r>
          </w:p>
          <w:p>
            <w:pPr>
              <w:pStyle w:val="TableParagraph"/>
              <w:spacing w:line="240" w:lineRule="auto" w:before="21"/>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33,436,181.00 </w:t>
            </w:r>
            <w:r>
              <w:rPr>
                <w:rFonts w:ascii="Times New Roman" w:hAnsi="Times New Roman" w:cs="Times New Roman" w:eastAsia="Times New Roman" w:hint="default"/>
                <w:spacing w:val="5"/>
                <w:sz w:val="21"/>
                <w:szCs w:val="21"/>
              </w:rPr>
              <w:t> </w:t>
            </w:r>
            <w:r>
              <w:rPr>
                <w:rFonts w:ascii="宋体" w:hAnsi="宋体" w:cs="宋体" w:eastAsia="宋体" w:hint="default"/>
                <w:spacing w:val="-4"/>
                <w:sz w:val="21"/>
                <w:szCs w:val="21"/>
              </w:rPr>
              <w:t>元，不送红股，不以公积金转增股本。剩余未分配利润留待以后年度分配。公司上述利润</w:t>
            </w:r>
          </w:p>
        </w:tc>
      </w:tr>
    </w:tbl>
    <w:p>
      <w:pPr>
        <w:spacing w:after="0" w:line="240" w:lineRule="auto"/>
        <w:jc w:val="left"/>
        <w:rPr>
          <w:rFonts w:ascii="宋体" w:hAnsi="宋体" w:cs="宋体" w:eastAsia="宋体" w:hint="default"/>
          <w:sz w:val="21"/>
          <w:szCs w:val="21"/>
        </w:rPr>
        <w:sectPr>
          <w:pgSz w:w="11910" w:h="16840"/>
          <w:pgMar w:header="906" w:footer="1022" w:top="1100" w:bottom="1220" w:left="700" w:right="0"/>
        </w:sectPr>
      </w:pPr>
    </w:p>
    <w:p>
      <w:pPr>
        <w:spacing w:line="240" w:lineRule="auto" w:before="12"/>
        <w:rPr>
          <w:rFonts w:ascii="宋体" w:hAnsi="宋体" w:cs="宋体" w:eastAsia="宋体" w:hint="default"/>
          <w:sz w:val="25"/>
          <w:szCs w:val="25"/>
        </w:rPr>
      </w:pPr>
    </w:p>
    <w:p>
      <w:pPr>
        <w:spacing w:line="360" w:lineRule="exact"/>
        <w:ind w:left="313"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5pt;height:18pt;mso-position-horizontal-relative:char;mso-position-vertical-relative:line" type="#_x0000_t202" filled="false" stroked="true" strokeweight=".48004pt" strokecolor="#000000">
            <w10:anchorlock/>
            <v:textbox inset="0,0,0,0">
              <w:txbxContent>
                <w:p>
                  <w:pPr>
                    <w:pStyle w:val="BodyText"/>
                    <w:spacing w:line="265" w:lineRule="exact" w:before="0"/>
                    <w:ind w:left="105" w:right="0"/>
                    <w:jc w:val="left"/>
                  </w:pPr>
                  <w:r>
                    <w:rPr/>
                    <w:t>分配方案合法、合规，符合公司的分红承诺、公司章程规定的分配政策以及股东回报计划等。</w:t>
                  </w:r>
                </w:p>
              </w:txbxContent>
            </v:textbox>
          </v:shape>
        </w:pict>
      </w:r>
      <w:r>
        <w:rPr>
          <w:rFonts w:ascii="宋体" w:hAnsi="宋体" w:cs="宋体" w:eastAsia="宋体" w:hint="default"/>
          <w:position w:val="-6"/>
          <w:sz w:val="20"/>
          <w:szCs w:val="20"/>
        </w:rPr>
      </w:r>
    </w:p>
    <w:p>
      <w:pPr>
        <w:spacing w:line="240" w:lineRule="auto" w:before="1"/>
        <w:rPr>
          <w:rFonts w:ascii="宋体" w:hAnsi="宋体" w:cs="宋体" w:eastAsia="宋体" w:hint="default"/>
          <w:sz w:val="18"/>
          <w:szCs w:val="18"/>
        </w:rPr>
      </w:pPr>
    </w:p>
    <w:p>
      <w:pPr>
        <w:pStyle w:val="Heading2"/>
        <w:spacing w:line="240" w:lineRule="auto" w:before="26"/>
        <w:ind w:left="313"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9"/>
        <w:rPr>
          <w:rFonts w:ascii="宋体" w:hAnsi="宋体" w:cs="宋体" w:eastAsia="宋体" w:hint="default"/>
          <w:b/>
          <w:bCs/>
          <w:sz w:val="25"/>
          <w:szCs w:val="25"/>
        </w:rPr>
      </w:pPr>
    </w:p>
    <w:p>
      <w:pPr>
        <w:pStyle w:val="Heading5"/>
        <w:spacing w:line="254" w:lineRule="auto"/>
        <w:ind w:left="313" w:right="0"/>
        <w:jc w:val="left"/>
        <w:rPr>
          <w:b w:val="0"/>
          <w:bCs w:val="0"/>
        </w:rPr>
      </w:pPr>
      <w:bookmarkStart w:name="1、公司实际控制人、股东、关联方、收购人以及公司等承诺相关方在报告期内履行完毕及" w:id="66"/>
      <w:bookmarkEnd w:id="66"/>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spacing w:before="0"/>
        <w:ind w:left="3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244"/>
        <w:gridCol w:w="1229"/>
        <w:gridCol w:w="1186"/>
        <w:gridCol w:w="3514"/>
        <w:gridCol w:w="1181"/>
        <w:gridCol w:w="1080"/>
        <w:gridCol w:w="740"/>
      </w:tblGrid>
      <w:tr>
        <w:trPr>
          <w:trHeight w:val="716"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承诺事由</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承诺类型</w:t>
            </w:r>
          </w:p>
        </w:tc>
        <w:tc>
          <w:tcPr>
            <w:tcW w:w="3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承诺期限</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53" w:right="152"/>
              <w:jc w:val="left"/>
              <w:rPr>
                <w:rFonts w:ascii="宋体" w:hAnsi="宋体" w:cs="宋体" w:eastAsia="宋体" w:hint="default"/>
                <w:sz w:val="21"/>
                <w:szCs w:val="21"/>
              </w:rPr>
            </w:pP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情况</w:t>
            </w:r>
          </w:p>
        </w:tc>
      </w:tr>
      <w:tr>
        <w:trPr>
          <w:trHeight w:val="403"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3519" w:hRule="exact"/>
        </w:trPr>
        <w:tc>
          <w:tcPr>
            <w:tcW w:w="12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62"/>
              <w:ind w:left="100" w:right="286"/>
              <w:jc w:val="both"/>
              <w:rPr>
                <w:rFonts w:ascii="宋体" w:hAnsi="宋体" w:cs="宋体" w:eastAsia="宋体" w:hint="default"/>
                <w:sz w:val="21"/>
                <w:szCs w:val="21"/>
              </w:rPr>
            </w:pPr>
            <w:r>
              <w:rPr>
                <w:rFonts w:ascii="宋体" w:hAnsi="宋体" w:cs="宋体" w:eastAsia="宋体" w:hint="default"/>
                <w:sz w:val="21"/>
                <w:szCs w:val="21"/>
              </w:rPr>
              <w:t>收购报告</w:t>
            </w:r>
            <w:r>
              <w:rPr>
                <w:rFonts w:ascii="宋体" w:hAnsi="宋体" w:cs="宋体" w:eastAsia="宋体" w:hint="default"/>
                <w:spacing w:val="-101"/>
                <w:sz w:val="21"/>
                <w:szCs w:val="21"/>
              </w:rPr>
              <w:t> </w:t>
            </w:r>
            <w:r>
              <w:rPr>
                <w:rFonts w:ascii="宋体" w:hAnsi="宋体" w:cs="宋体" w:eastAsia="宋体" w:hint="default"/>
                <w:sz w:val="21"/>
                <w:szCs w:val="21"/>
              </w:rPr>
              <w:t>书或权益</w:t>
            </w:r>
            <w:r>
              <w:rPr>
                <w:rFonts w:ascii="宋体" w:hAnsi="宋体" w:cs="宋体" w:eastAsia="宋体" w:hint="default"/>
                <w:spacing w:val="-101"/>
                <w:sz w:val="21"/>
                <w:szCs w:val="21"/>
              </w:rPr>
              <w:t> </w:t>
            </w:r>
            <w:r>
              <w:rPr>
                <w:rFonts w:ascii="宋体" w:hAnsi="宋体" w:cs="宋体" w:eastAsia="宋体" w:hint="default"/>
                <w:sz w:val="21"/>
                <w:szCs w:val="21"/>
              </w:rPr>
              <w:t>变动报告</w:t>
            </w:r>
            <w:r>
              <w:rPr>
                <w:rFonts w:ascii="宋体" w:hAnsi="宋体" w:cs="宋体" w:eastAsia="宋体" w:hint="default"/>
                <w:spacing w:val="-101"/>
                <w:sz w:val="21"/>
                <w:szCs w:val="21"/>
              </w:rPr>
              <w:t> </w:t>
            </w:r>
            <w:r>
              <w:rPr>
                <w:rFonts w:ascii="宋体" w:hAnsi="宋体" w:cs="宋体" w:eastAsia="宋体" w:hint="default"/>
                <w:sz w:val="21"/>
                <w:szCs w:val="21"/>
              </w:rPr>
              <w:t>书中所作</w:t>
            </w:r>
            <w:r>
              <w:rPr>
                <w:rFonts w:ascii="宋体" w:hAnsi="宋体" w:cs="宋体" w:eastAsia="宋体" w:hint="default"/>
                <w:spacing w:val="-101"/>
                <w:sz w:val="21"/>
                <w:szCs w:val="21"/>
              </w:rPr>
              <w:t> </w:t>
            </w:r>
            <w:r>
              <w:rPr>
                <w:rFonts w:ascii="宋体" w:hAnsi="宋体" w:cs="宋体" w:eastAsia="宋体" w:hint="default"/>
                <w:sz w:val="21"/>
                <w:szCs w:val="21"/>
              </w:rPr>
              <w:t>承诺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73" w:lineRule="auto"/>
              <w:ind w:left="105" w:right="224"/>
              <w:jc w:val="both"/>
              <w:rPr>
                <w:rFonts w:ascii="宋体" w:hAnsi="宋体" w:cs="宋体" w:eastAsia="宋体" w:hint="default"/>
                <w:sz w:val="21"/>
                <w:szCs w:val="21"/>
              </w:rPr>
            </w:pPr>
            <w:r>
              <w:rPr>
                <w:rFonts w:ascii="宋体" w:hAnsi="宋体" w:cs="宋体" w:eastAsia="宋体" w:hint="default"/>
                <w:sz w:val="21"/>
                <w:szCs w:val="21"/>
              </w:rPr>
              <w:t>关于避免</w:t>
            </w:r>
            <w:r>
              <w:rPr>
                <w:rFonts w:ascii="宋体" w:hAnsi="宋体" w:cs="宋体" w:eastAsia="宋体" w:hint="default"/>
                <w:spacing w:val="-101"/>
                <w:sz w:val="21"/>
                <w:szCs w:val="21"/>
              </w:rPr>
              <w:t> </w:t>
            </w:r>
            <w:r>
              <w:rPr>
                <w:rFonts w:ascii="宋体" w:hAnsi="宋体" w:cs="宋体" w:eastAsia="宋体" w:hint="default"/>
                <w:sz w:val="21"/>
                <w:szCs w:val="21"/>
              </w:rPr>
              <w:t>同业竞争</w:t>
            </w:r>
            <w:r>
              <w:rPr>
                <w:rFonts w:ascii="宋体" w:hAnsi="宋体" w:cs="宋体" w:eastAsia="宋体" w:hint="default"/>
                <w:spacing w:val="-101"/>
                <w:sz w:val="21"/>
                <w:szCs w:val="21"/>
              </w:rPr>
              <w:t> </w:t>
            </w:r>
            <w:r>
              <w:rPr>
                <w:rFonts w:ascii="宋体" w:hAnsi="宋体" w:cs="宋体" w:eastAsia="宋体" w:hint="default"/>
                <w:sz w:val="21"/>
                <w:szCs w:val="21"/>
              </w:rPr>
              <w:t>的承诺函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5" w:right="3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、本人作为中电兴发控股股东、实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际控制人期间，本人将不直接或间接</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拥有、管理、控制、投资、从事其他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任何与中电兴发相同或构成竞争的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业务或项目，亦不参与拥有、管理、</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6"/>
                <w:sz w:val="21"/>
                <w:szCs w:val="21"/>
              </w:rPr>
              <w:t>控制、投资其他任何与中电兴发相同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或构成竞争的业务或项目，亦不谋求</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通过与任何第三人合资、联营或采取</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租赁经营、承包经营、委托管理等任</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何方式直接或间接从事与中电兴发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构成竞争的业务；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p>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76" w:lineRule="auto"/>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r>
        <w:trPr>
          <w:trHeight w:val="2588"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105" w:right="60"/>
              <w:jc w:val="left"/>
              <w:rPr>
                <w:rFonts w:ascii="宋体" w:hAnsi="宋体" w:cs="宋体" w:eastAsia="宋体" w:hint="default"/>
                <w:sz w:val="21"/>
                <w:szCs w:val="21"/>
              </w:rPr>
            </w:pPr>
            <w:r>
              <w:rPr>
                <w:rFonts w:ascii="宋体" w:hAnsi="宋体" w:cs="宋体" w:eastAsia="宋体" w:hint="default"/>
                <w:spacing w:val="-8"/>
                <w:sz w:val="21"/>
                <w:szCs w:val="21"/>
              </w:rPr>
              <w:t>瞿洪桂、云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泽投资管</w:t>
            </w:r>
            <w:r>
              <w:rPr>
                <w:rFonts w:ascii="宋体" w:hAnsi="宋体" w:cs="宋体" w:eastAsia="宋体" w:hint="default"/>
                <w:spacing w:val="-101"/>
                <w:sz w:val="21"/>
                <w:szCs w:val="21"/>
              </w:rPr>
              <w:t> </w:t>
            </w:r>
            <w:r>
              <w:rPr>
                <w:rFonts w:ascii="宋体" w:hAnsi="宋体" w:cs="宋体" w:eastAsia="宋体" w:hint="default"/>
                <w:sz w:val="21"/>
                <w:szCs w:val="21"/>
              </w:rPr>
              <w:t>理（天津）</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73" w:lineRule="auto"/>
              <w:ind w:left="105" w:right="224"/>
              <w:jc w:val="both"/>
              <w:rPr>
                <w:rFonts w:ascii="宋体" w:hAnsi="宋体" w:cs="宋体" w:eastAsia="宋体" w:hint="default"/>
                <w:sz w:val="21"/>
                <w:szCs w:val="21"/>
              </w:rPr>
            </w:pPr>
            <w:r>
              <w:rPr>
                <w:rFonts w:ascii="宋体" w:hAnsi="宋体" w:cs="宋体" w:eastAsia="宋体" w:hint="default"/>
                <w:sz w:val="21"/>
                <w:szCs w:val="21"/>
              </w:rPr>
              <w:t>关于减少</w:t>
            </w:r>
            <w:r>
              <w:rPr>
                <w:rFonts w:ascii="宋体" w:hAnsi="宋体" w:cs="宋体" w:eastAsia="宋体" w:hint="default"/>
                <w:spacing w:val="-101"/>
                <w:sz w:val="21"/>
                <w:szCs w:val="21"/>
              </w:rPr>
              <w:t> </w:t>
            </w:r>
            <w:r>
              <w:rPr>
                <w:rFonts w:ascii="宋体" w:hAnsi="宋体" w:cs="宋体" w:eastAsia="宋体" w:hint="default"/>
                <w:sz w:val="21"/>
                <w:szCs w:val="21"/>
              </w:rPr>
              <w:t>及规范关</w:t>
            </w:r>
            <w:r>
              <w:rPr>
                <w:rFonts w:ascii="宋体" w:hAnsi="宋体" w:cs="宋体" w:eastAsia="宋体" w:hint="default"/>
                <w:spacing w:val="-101"/>
                <w:sz w:val="21"/>
                <w:szCs w:val="21"/>
              </w:rPr>
              <w:t> </w:t>
            </w:r>
            <w:r>
              <w:rPr>
                <w:rFonts w:ascii="宋体" w:hAnsi="宋体" w:cs="宋体" w:eastAsia="宋体" w:hint="default"/>
                <w:sz w:val="21"/>
                <w:szCs w:val="21"/>
              </w:rPr>
              <w:t>联交易的</w:t>
            </w:r>
            <w:r>
              <w:rPr>
                <w:rFonts w:ascii="宋体" w:hAnsi="宋体" w:cs="宋体" w:eastAsia="宋体" w:hint="default"/>
                <w:spacing w:val="-101"/>
                <w:sz w:val="21"/>
                <w:szCs w:val="21"/>
              </w:rPr>
              <w:t> </w:t>
            </w:r>
            <w:r>
              <w:rPr>
                <w:rFonts w:ascii="宋体" w:hAnsi="宋体" w:cs="宋体" w:eastAsia="宋体" w:hint="default"/>
                <w:sz w:val="21"/>
                <w:szCs w:val="21"/>
              </w:rPr>
              <w:t>承诺函</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105" w:right="98"/>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、本人</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本公司作为上市公司股东期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间，本人</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本公司将尽量避免或减少</w:t>
            </w:r>
            <w:r>
              <w:rPr>
                <w:rFonts w:ascii="宋体" w:hAnsi="宋体" w:cs="宋体" w:eastAsia="宋体" w:hint="default"/>
                <w:w w:val="100"/>
                <w:sz w:val="21"/>
                <w:szCs w:val="21"/>
              </w:rPr>
              <w:t> </w:t>
            </w:r>
            <w:r>
              <w:rPr>
                <w:rFonts w:ascii="宋体" w:hAnsi="宋体" w:cs="宋体" w:eastAsia="宋体" w:hint="default"/>
                <w:spacing w:val="-6"/>
                <w:sz w:val="21"/>
                <w:szCs w:val="21"/>
              </w:rPr>
              <w:t>与上市公司及其分公司、子公司之间</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产生关联交易事项；对于不可避免发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生的关联业务往来或交易，将在平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等、自愿的基础上，按照公平、公允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和等价有偿的原则进行，交易价格将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按照市场公认的合理价格确定；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12</w:t>
            </w:r>
          </w:p>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6" w:lineRule="auto" w:before="179"/>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r>
        <w:trPr>
          <w:trHeight w:val="4110"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auto"/>
              <w:ind w:left="100" w:right="286"/>
              <w:jc w:val="both"/>
              <w:rPr>
                <w:rFonts w:ascii="宋体" w:hAnsi="宋体" w:cs="宋体" w:eastAsia="宋体" w:hint="default"/>
                <w:sz w:val="21"/>
                <w:szCs w:val="21"/>
              </w:rPr>
            </w:pPr>
            <w:r>
              <w:rPr>
                <w:rFonts w:ascii="宋体" w:hAnsi="宋体" w:cs="宋体" w:eastAsia="宋体" w:hint="default"/>
                <w:sz w:val="21"/>
                <w:szCs w:val="21"/>
              </w:rPr>
              <w:t>资产重组</w:t>
            </w:r>
            <w:r>
              <w:rPr>
                <w:rFonts w:ascii="宋体" w:hAnsi="宋体" w:cs="宋体" w:eastAsia="宋体" w:hint="default"/>
                <w:spacing w:val="-101"/>
                <w:sz w:val="21"/>
                <w:szCs w:val="21"/>
              </w:rPr>
              <w:t> </w:t>
            </w:r>
            <w:r>
              <w:rPr>
                <w:rFonts w:ascii="宋体" w:hAnsi="宋体" w:cs="宋体" w:eastAsia="宋体" w:hint="default"/>
                <w:sz w:val="21"/>
                <w:szCs w:val="21"/>
              </w:rPr>
              <w:t>时所作承</w:t>
            </w:r>
            <w:r>
              <w:rPr>
                <w:rFonts w:ascii="宋体" w:hAnsi="宋体" w:cs="宋体" w:eastAsia="宋体" w:hint="default"/>
                <w:spacing w:val="-101"/>
                <w:sz w:val="21"/>
                <w:szCs w:val="21"/>
              </w:rPr>
              <w:t> </w:t>
            </w:r>
            <w:r>
              <w:rPr>
                <w:rFonts w:ascii="宋体" w:hAnsi="宋体" w:cs="宋体" w:eastAsia="宋体" w:hint="default"/>
                <w:sz w:val="21"/>
                <w:szCs w:val="21"/>
              </w:rPr>
              <w:t>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auto"/>
              <w:ind w:left="105" w:right="224"/>
              <w:jc w:val="both"/>
              <w:rPr>
                <w:rFonts w:ascii="宋体" w:hAnsi="宋体" w:cs="宋体" w:eastAsia="宋体" w:hint="default"/>
                <w:sz w:val="21"/>
                <w:szCs w:val="21"/>
              </w:rPr>
            </w:pPr>
            <w:r>
              <w:rPr>
                <w:rFonts w:ascii="宋体" w:hAnsi="宋体" w:cs="宋体" w:eastAsia="宋体" w:hint="default"/>
                <w:sz w:val="21"/>
                <w:szCs w:val="21"/>
              </w:rPr>
              <w:t>关于同业</w:t>
            </w:r>
            <w:r>
              <w:rPr>
                <w:rFonts w:ascii="宋体" w:hAnsi="宋体" w:cs="宋体" w:eastAsia="宋体" w:hint="default"/>
                <w:spacing w:val="-101"/>
                <w:sz w:val="21"/>
                <w:szCs w:val="21"/>
              </w:rPr>
              <w:t> </w:t>
            </w:r>
            <w:r>
              <w:rPr>
                <w:rFonts w:ascii="宋体" w:hAnsi="宋体" w:cs="宋体" w:eastAsia="宋体" w:hint="default"/>
                <w:sz w:val="21"/>
                <w:szCs w:val="21"/>
              </w:rPr>
              <w:t>竞争的承</w:t>
            </w:r>
            <w:r>
              <w:rPr>
                <w:rFonts w:ascii="宋体" w:hAnsi="宋体" w:cs="宋体" w:eastAsia="宋体" w:hint="default"/>
                <w:spacing w:val="-101"/>
                <w:sz w:val="21"/>
                <w:szCs w:val="21"/>
              </w:rPr>
              <w:t> </w:t>
            </w:r>
            <w:r>
              <w:rPr>
                <w:rFonts w:ascii="宋体" w:hAnsi="宋体" w:cs="宋体" w:eastAsia="宋体" w:hint="default"/>
                <w:sz w:val="21"/>
                <w:szCs w:val="21"/>
              </w:rPr>
              <w:t>诺</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105" w:right="3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、本方及本方控制（包括直接控制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和间接控制）的企业目前没有，将来</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也不以任何方式直接或间接从事与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上市公司及其控股子公司现有及将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来从事的业务构成同业竞争的任何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活动。</w:t>
            </w:r>
            <w:r>
              <w:rPr>
                <w:rFonts w:ascii="Times New Roman" w:hAnsi="Times New Roman" w:cs="Times New Roman" w:eastAsia="Times New Roman" w:hint="default"/>
                <w:sz w:val="21"/>
                <w:szCs w:val="21"/>
              </w:rPr>
              <w:t>2</w:t>
            </w:r>
            <w:r>
              <w:rPr>
                <w:rFonts w:ascii="宋体" w:hAnsi="宋体" w:cs="宋体" w:eastAsia="宋体" w:hint="default"/>
                <w:sz w:val="21"/>
                <w:szCs w:val="21"/>
              </w:rPr>
              <w:t>、对本方下属全资企业、直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接或间接控股的企业，本方将通过派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1"/>
                <w:sz w:val="21"/>
                <w:szCs w:val="21"/>
              </w:rPr>
              <w:t>出机构和人员（包括但不限于董事、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6"/>
                <w:sz w:val="21"/>
                <w:szCs w:val="21"/>
              </w:rPr>
              <w:t>经理）以及控股地位使该等企业履行</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本承诺函中与本方相同的义务，保证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不与上市公司发生同业竞争。</w:t>
            </w:r>
            <w:r>
              <w:rPr>
                <w:rFonts w:ascii="Times New Roman" w:hAnsi="Times New Roman" w:cs="Times New Roman" w:eastAsia="Times New Roman" w:hint="default"/>
                <w:sz w:val="21"/>
                <w:szCs w:val="21"/>
              </w:rPr>
              <w:t>3</w:t>
            </w:r>
            <w:r>
              <w:rPr>
                <w:rFonts w:ascii="宋体" w:hAnsi="宋体" w:cs="宋体" w:eastAsia="宋体" w:hint="default"/>
                <w:sz w:val="21"/>
                <w:szCs w:val="21"/>
              </w:rPr>
              <w:t>、如</w:t>
            </w:r>
            <w:r>
              <w:rPr>
                <w:rFonts w:ascii="宋体" w:hAnsi="宋体" w:cs="宋体" w:eastAsia="宋体" w:hint="default"/>
                <w:spacing w:val="-102"/>
                <w:sz w:val="21"/>
                <w:szCs w:val="21"/>
              </w:rPr>
              <w:t> </w:t>
            </w:r>
            <w:r>
              <w:rPr>
                <w:rFonts w:ascii="宋体" w:hAnsi="宋体" w:cs="宋体" w:eastAsia="宋体" w:hint="default"/>
                <w:spacing w:val="-6"/>
                <w:sz w:val="21"/>
                <w:szCs w:val="21"/>
              </w:rPr>
              <w:t>上市公司进一步拓展其业务范围，本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方及本方拥有控制权的企业将不与</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57"/>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bl>
    <w:p>
      <w:pPr>
        <w:spacing w:after="0" w:line="273" w:lineRule="auto"/>
        <w:jc w:val="left"/>
        <w:rPr>
          <w:rFonts w:ascii="宋体" w:hAnsi="宋体" w:cs="宋体" w:eastAsia="宋体" w:hint="default"/>
          <w:sz w:val="21"/>
          <w:szCs w:val="21"/>
        </w:rPr>
        <w:sectPr>
          <w:pgSz w:w="11910" w:h="16840"/>
          <w:pgMar w:header="906" w:footer="1022" w:top="1100" w:bottom="1220" w:left="8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244"/>
        <w:gridCol w:w="1229"/>
        <w:gridCol w:w="1186"/>
        <w:gridCol w:w="3514"/>
        <w:gridCol w:w="1181"/>
        <w:gridCol w:w="1080"/>
        <w:gridCol w:w="740"/>
      </w:tblGrid>
      <w:tr>
        <w:trPr>
          <w:trHeight w:val="8474"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上市公司拓展后的业务相竞争；如可</w:t>
            </w:r>
          </w:p>
          <w:p>
            <w:pPr>
              <w:pStyle w:val="TableParagraph"/>
              <w:spacing w:line="268" w:lineRule="auto" w:before="37"/>
              <w:ind w:left="105" w:right="31"/>
              <w:jc w:val="left"/>
              <w:rPr>
                <w:rFonts w:ascii="宋体" w:hAnsi="宋体" w:cs="宋体" w:eastAsia="宋体" w:hint="default"/>
                <w:sz w:val="21"/>
                <w:szCs w:val="21"/>
              </w:rPr>
            </w:pPr>
            <w:r>
              <w:rPr>
                <w:rFonts w:ascii="宋体" w:hAnsi="宋体" w:cs="宋体" w:eastAsia="宋体" w:hint="default"/>
                <w:sz w:val="21"/>
                <w:szCs w:val="21"/>
              </w:rPr>
              <w:t>能与上市公司拓展后的业务产生竞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争的，本方及本方拥有控制权的企业</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将按照如下方式退出与上市公司的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2"/>
                <w:w w:val="100"/>
                <w:sz w:val="21"/>
                <w:szCs w:val="21"/>
              </w:rPr>
              <w:t>竞争：（</w:t>
            </w:r>
            <w:r>
              <w:rPr>
                <w:rFonts w:ascii="Times New Roman" w:hAnsi="Times New Roman" w:cs="Times New Roman" w:eastAsia="Times New Roman" w:hint="default"/>
                <w:spacing w:val="-12"/>
                <w:w w:val="100"/>
                <w:sz w:val="21"/>
                <w:szCs w:val="21"/>
              </w:rPr>
              <w:t>1</w:t>
            </w:r>
            <w:r>
              <w:rPr>
                <w:rFonts w:ascii="宋体" w:hAnsi="宋体" w:cs="宋体" w:eastAsia="宋体" w:hint="default"/>
                <w:spacing w:val="-12"/>
                <w:w w:val="100"/>
                <w:sz w:val="21"/>
                <w:szCs w:val="21"/>
              </w:rPr>
              <w:t>）停止与上市公司构成竞争</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12"/>
                <w:w w:val="100"/>
                <w:sz w:val="21"/>
                <w:szCs w:val="21"/>
              </w:rPr>
              <w:t>或可能构成竞争的业务；（</w:t>
            </w:r>
            <w:r>
              <w:rPr>
                <w:rFonts w:ascii="Times New Roman" w:hAnsi="Times New Roman" w:cs="Times New Roman" w:eastAsia="Times New Roman" w:hint="default"/>
                <w:spacing w:val="-12"/>
                <w:w w:val="100"/>
                <w:sz w:val="21"/>
                <w:szCs w:val="21"/>
              </w:rPr>
              <w:t>2</w:t>
            </w:r>
            <w:r>
              <w:rPr>
                <w:rFonts w:ascii="宋体" w:hAnsi="宋体" w:cs="宋体" w:eastAsia="宋体" w:hint="default"/>
                <w:spacing w:val="-12"/>
                <w:w w:val="100"/>
                <w:sz w:val="21"/>
                <w:szCs w:val="21"/>
              </w:rPr>
              <w:t>）将相竞</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8"/>
                <w:w w:val="100"/>
                <w:sz w:val="21"/>
                <w:szCs w:val="21"/>
              </w:rPr>
              <w:t>争的业务纳入到上市公司经营；（</w:t>
            </w:r>
            <w:r>
              <w:rPr>
                <w:rFonts w:ascii="Times New Roman" w:hAnsi="Times New Roman" w:cs="Times New Roman" w:eastAsia="Times New Roman" w:hint="default"/>
                <w:spacing w:val="-8"/>
                <w:w w:val="100"/>
                <w:sz w:val="21"/>
                <w:szCs w:val="21"/>
              </w:rPr>
              <w:t>3</w:t>
            </w:r>
            <w:r>
              <w:rPr>
                <w:rFonts w:ascii="宋体" w:hAnsi="宋体" w:cs="宋体" w:eastAsia="宋体" w:hint="default"/>
                <w:spacing w:val="-8"/>
                <w:w w:val="100"/>
                <w:sz w:val="21"/>
                <w:szCs w:val="21"/>
              </w:rPr>
              <w:t>）</w:t>
            </w:r>
            <w:r>
              <w:rPr>
                <w:rFonts w:ascii="宋体" w:hAnsi="宋体" w:cs="宋体" w:eastAsia="宋体" w:hint="default"/>
                <w:spacing w:val="-91"/>
                <w:w w:val="100"/>
                <w:sz w:val="21"/>
                <w:szCs w:val="21"/>
              </w:rPr>
              <w:t> </w:t>
            </w:r>
            <w:r>
              <w:rPr>
                <w:rFonts w:ascii="宋体" w:hAnsi="宋体" w:cs="宋体" w:eastAsia="宋体" w:hint="default"/>
                <w:sz w:val="21"/>
                <w:szCs w:val="21"/>
              </w:rPr>
              <w:t>将相竞争的业务转让给无关联的第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2"/>
                <w:w w:val="100"/>
                <w:sz w:val="21"/>
                <w:szCs w:val="21"/>
              </w:rPr>
              <w:t>三方；（</w:t>
            </w:r>
            <w:r>
              <w:rPr>
                <w:rFonts w:ascii="Times New Roman" w:hAnsi="Times New Roman" w:cs="Times New Roman" w:eastAsia="Times New Roman" w:hint="default"/>
                <w:spacing w:val="-12"/>
                <w:w w:val="100"/>
                <w:sz w:val="21"/>
                <w:szCs w:val="21"/>
              </w:rPr>
              <w:t>4</w:t>
            </w:r>
            <w:r>
              <w:rPr>
                <w:rFonts w:ascii="宋体" w:hAnsi="宋体" w:cs="宋体" w:eastAsia="宋体" w:hint="default"/>
                <w:spacing w:val="-12"/>
                <w:w w:val="100"/>
                <w:sz w:val="21"/>
                <w:szCs w:val="21"/>
              </w:rPr>
              <w:t>）其他有利于维护上市公司</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权益的方式。</w:t>
            </w:r>
            <w:r>
              <w:rPr>
                <w:rFonts w:ascii="Times New Roman" w:hAnsi="Times New Roman" w:cs="Times New Roman" w:eastAsia="Times New Roman" w:hint="default"/>
                <w:sz w:val="21"/>
                <w:szCs w:val="21"/>
              </w:rPr>
              <w:t>4</w:t>
            </w:r>
            <w:r>
              <w:rPr>
                <w:rFonts w:ascii="宋体" w:hAnsi="宋体" w:cs="宋体" w:eastAsia="宋体" w:hint="default"/>
                <w:sz w:val="21"/>
                <w:szCs w:val="21"/>
              </w:rPr>
              <w:t>、如本方及本方拥有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控制权的企业有任何商业机会可从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事、参与任何可能与上市公司经营构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成竞争的活动，则立即将上述商业机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会通知上市公司，在通知中所指定的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合理期间内，上市公司作出愿意利用</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该商业机会的肯定答复的，则尽力将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该商业机会给予上市公司。</w:t>
            </w:r>
            <w:r>
              <w:rPr>
                <w:rFonts w:ascii="Times New Roman" w:hAnsi="Times New Roman" w:cs="Times New Roman" w:eastAsia="Times New Roman" w:hint="default"/>
                <w:sz w:val="21"/>
                <w:szCs w:val="21"/>
              </w:rPr>
              <w:t>5</w:t>
            </w:r>
            <w:r>
              <w:rPr>
                <w:rFonts w:ascii="宋体" w:hAnsi="宋体" w:cs="宋体" w:eastAsia="宋体" w:hint="default"/>
                <w:sz w:val="21"/>
                <w:szCs w:val="21"/>
              </w:rPr>
              <w:t>、本方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确认本承诺函所载的每一项承诺均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为可独立执行之承诺，任何一项承诺</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若被视为无效或终止将不影响其他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各项承诺的有效性；如违反上述任何</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一项承诺，本方愿意承担由此给上市</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公司造成的直接或间接经济损失、索</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赔责任及与此相关的费用支出。</w:t>
            </w: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宋体" w:hAnsi="宋体" w:cs="宋体" w:eastAsia="宋体" w:hint="default"/>
                <w:spacing w:val="-102"/>
                <w:sz w:val="21"/>
                <w:szCs w:val="21"/>
              </w:rPr>
              <w:t> </w:t>
            </w:r>
            <w:r>
              <w:rPr>
                <w:rFonts w:ascii="宋体" w:hAnsi="宋体" w:cs="宋体" w:eastAsia="宋体" w:hint="default"/>
                <w:sz w:val="21"/>
                <w:szCs w:val="21"/>
              </w:rPr>
              <w:t>本承诺函在本方作为持有上市公司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以上股份的主要股东期间内持续</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有效且不可变更或撤销。</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5358"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4"/>
              <w:ind w:left="105" w:right="224"/>
              <w:jc w:val="both"/>
              <w:rPr>
                <w:rFonts w:ascii="宋体" w:hAnsi="宋体" w:cs="宋体" w:eastAsia="宋体" w:hint="default"/>
                <w:sz w:val="21"/>
                <w:szCs w:val="21"/>
              </w:rPr>
            </w:pPr>
            <w:r>
              <w:rPr>
                <w:rFonts w:ascii="宋体" w:hAnsi="宋体" w:cs="宋体" w:eastAsia="宋体" w:hint="default"/>
                <w:sz w:val="21"/>
                <w:szCs w:val="21"/>
              </w:rPr>
              <w:t>关于关联</w:t>
            </w:r>
            <w:r>
              <w:rPr>
                <w:rFonts w:ascii="宋体" w:hAnsi="宋体" w:cs="宋体" w:eastAsia="宋体" w:hint="default"/>
                <w:spacing w:val="-101"/>
                <w:sz w:val="21"/>
                <w:szCs w:val="21"/>
              </w:rPr>
              <w:t> </w:t>
            </w:r>
            <w:r>
              <w:rPr>
                <w:rFonts w:ascii="宋体" w:hAnsi="宋体" w:cs="宋体" w:eastAsia="宋体" w:hint="default"/>
                <w:sz w:val="21"/>
                <w:szCs w:val="21"/>
              </w:rPr>
              <w:t>交易的承</w:t>
            </w:r>
            <w:r>
              <w:rPr>
                <w:rFonts w:ascii="宋体" w:hAnsi="宋体" w:cs="宋体" w:eastAsia="宋体" w:hint="default"/>
                <w:spacing w:val="-101"/>
                <w:sz w:val="21"/>
                <w:szCs w:val="21"/>
              </w:rPr>
              <w:t> </w:t>
            </w:r>
            <w:r>
              <w:rPr>
                <w:rFonts w:ascii="宋体" w:hAnsi="宋体" w:cs="宋体" w:eastAsia="宋体" w:hint="default"/>
                <w:sz w:val="21"/>
                <w:szCs w:val="21"/>
              </w:rPr>
              <w:t>诺</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5" w:right="-4"/>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、就本方及本方控制的企业（如有）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与上市公司及其控股子公司之间已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存在及将来不可避免发生的关联交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易事项，保证遵循市场交易的公平原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则即正常的商业条款与上市公司及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其控股子公司发生交易。如未按市场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交易的公平原则与上市公司及其控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股子公司发生交易，而给上市公司及</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其控股子公司造成损失或已经造成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损失，由本方承担赔偿责任。</w:t>
            </w:r>
            <w:r>
              <w:rPr>
                <w:rFonts w:ascii="Times New Roman" w:hAnsi="Times New Roman" w:cs="Times New Roman" w:eastAsia="Times New Roman" w:hint="default"/>
                <w:sz w:val="21"/>
                <w:szCs w:val="21"/>
              </w:rPr>
              <w:t>2</w:t>
            </w:r>
            <w:r>
              <w:rPr>
                <w:rFonts w:ascii="宋体" w:hAnsi="宋体" w:cs="宋体" w:eastAsia="宋体" w:hint="default"/>
                <w:sz w:val="21"/>
                <w:szCs w:val="21"/>
              </w:rPr>
              <w:t>、本</w:t>
            </w:r>
            <w:r>
              <w:rPr>
                <w:rFonts w:ascii="宋体" w:hAnsi="宋体" w:cs="宋体" w:eastAsia="宋体" w:hint="default"/>
                <w:spacing w:val="-102"/>
                <w:sz w:val="21"/>
                <w:szCs w:val="21"/>
              </w:rPr>
              <w:t> </w:t>
            </w:r>
            <w:r>
              <w:rPr>
                <w:rFonts w:ascii="宋体" w:hAnsi="宋体" w:cs="宋体" w:eastAsia="宋体" w:hint="default"/>
                <w:sz w:val="21"/>
                <w:szCs w:val="21"/>
              </w:rPr>
              <w:t>方将善意履行作为上市公司股东的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义务，充分尊重上市公司的独立法人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地位，保障上市公司独立经营、自主</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12"/>
                <w:w w:val="100"/>
                <w:sz w:val="21"/>
                <w:szCs w:val="21"/>
              </w:rPr>
              <w:t>决策。本方将严格按照中国《公司法》</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6"/>
                <w:sz w:val="21"/>
                <w:szCs w:val="21"/>
              </w:rPr>
              <w:t>以及上市公司的公司章程的规定，促</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使经本方提名的上市公司董事（如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有）依法履行其应尽的诚信和勤勉责</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73" w:lineRule="auto"/>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bl>
    <w:p>
      <w:pPr>
        <w:spacing w:after="0" w:line="273" w:lineRule="auto"/>
        <w:jc w:val="left"/>
        <w:rPr>
          <w:rFonts w:ascii="宋体" w:hAnsi="宋体" w:cs="宋体" w:eastAsia="宋体" w:hint="default"/>
          <w:sz w:val="21"/>
          <w:szCs w:val="21"/>
        </w:rPr>
        <w:sectPr>
          <w:pgSz w:w="11910" w:h="16840"/>
          <w:pgMar w:header="906" w:footer="1022" w:top="1100" w:bottom="1220" w:left="8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244"/>
        <w:gridCol w:w="1229"/>
        <w:gridCol w:w="1186"/>
        <w:gridCol w:w="3514"/>
        <w:gridCol w:w="1181"/>
        <w:gridCol w:w="1080"/>
        <w:gridCol w:w="740"/>
      </w:tblGrid>
      <w:tr>
        <w:trPr>
          <w:trHeight w:val="9723" w:hRule="exact"/>
        </w:trPr>
        <w:tc>
          <w:tcPr>
            <w:tcW w:w="1244" w:type="dxa"/>
            <w:vMerge w:val="restart"/>
            <w:tcBorders>
              <w:top w:val="single" w:sz="4" w:space="0" w:color="000000"/>
              <w:left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任。</w:t>
            </w:r>
            <w:r>
              <w:rPr>
                <w:rFonts w:ascii="Times New Roman" w:hAnsi="Times New Roman" w:cs="Times New Roman" w:eastAsia="Times New Roman" w:hint="default"/>
                <w:sz w:val="21"/>
                <w:szCs w:val="21"/>
              </w:rPr>
              <w:t>3</w:t>
            </w:r>
            <w:r>
              <w:rPr>
                <w:rFonts w:ascii="宋体" w:hAnsi="宋体" w:cs="宋体" w:eastAsia="宋体" w:hint="default"/>
                <w:sz w:val="21"/>
                <w:szCs w:val="21"/>
              </w:rPr>
              <w:t>、本方以及本方控股或实际控</w:t>
            </w:r>
          </w:p>
          <w:p>
            <w:pPr>
              <w:pStyle w:val="TableParagraph"/>
              <w:spacing w:line="271" w:lineRule="auto" w:before="21"/>
              <w:ind w:left="105" w:right="71"/>
              <w:jc w:val="left"/>
              <w:rPr>
                <w:rFonts w:ascii="宋体" w:hAnsi="宋体" w:cs="宋体" w:eastAsia="宋体" w:hint="default"/>
                <w:sz w:val="21"/>
                <w:szCs w:val="21"/>
              </w:rPr>
            </w:pPr>
            <w:r>
              <w:rPr>
                <w:rFonts w:ascii="宋体" w:hAnsi="宋体" w:cs="宋体" w:eastAsia="宋体" w:hint="default"/>
                <w:sz w:val="21"/>
                <w:szCs w:val="21"/>
              </w:rPr>
              <w:t>制的其他公司或者其他企业或经济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组织（以下统称</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本方的关联企业</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宋体" w:hAnsi="宋体" w:cs="宋体" w:eastAsia="宋体" w:hint="default"/>
                <w:spacing w:val="-85"/>
                <w:sz w:val="21"/>
                <w:szCs w:val="21"/>
              </w:rPr>
              <w:t> </w:t>
            </w:r>
            <w:r>
              <w:rPr>
                <w:rFonts w:ascii="宋体" w:hAnsi="宋体" w:cs="宋体" w:eastAsia="宋体" w:hint="default"/>
                <w:spacing w:val="-8"/>
                <w:w w:val="100"/>
                <w:sz w:val="21"/>
                <w:szCs w:val="21"/>
              </w:rPr>
              <w:t>如有），将来尽可能避免与上市公司</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发生关联交易。</w:t>
            </w:r>
            <w:r>
              <w:rPr>
                <w:rFonts w:ascii="Times New Roman" w:hAnsi="Times New Roman" w:cs="Times New Roman" w:eastAsia="Times New Roman" w:hint="default"/>
                <w:sz w:val="21"/>
                <w:szCs w:val="21"/>
              </w:rPr>
              <w:t>4</w:t>
            </w:r>
            <w:r>
              <w:rPr>
                <w:rFonts w:ascii="宋体" w:hAnsi="宋体" w:cs="宋体" w:eastAsia="宋体" w:hint="default"/>
                <w:sz w:val="21"/>
                <w:szCs w:val="21"/>
              </w:rPr>
              <w:t>、本方及本方的关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联企业承诺不以借款、代偿债务、代</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垫款项或者其他方式占用上市公司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资金，也不要求上市公司为本方及本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方的关联企业进行违规担保。</w:t>
            </w:r>
            <w:r>
              <w:rPr>
                <w:rFonts w:ascii="Times New Roman" w:hAnsi="Times New Roman" w:cs="Times New Roman" w:eastAsia="Times New Roman" w:hint="default"/>
                <w:sz w:val="21"/>
                <w:szCs w:val="21"/>
              </w:rPr>
              <w:t>5</w:t>
            </w:r>
            <w:r>
              <w:rPr>
                <w:rFonts w:ascii="宋体" w:hAnsi="宋体" w:cs="宋体" w:eastAsia="宋体" w:hint="default"/>
                <w:sz w:val="21"/>
                <w:szCs w:val="21"/>
              </w:rPr>
              <w:t>、如</w:t>
            </w:r>
            <w:r>
              <w:rPr>
                <w:rFonts w:ascii="宋体" w:hAnsi="宋体" w:cs="宋体" w:eastAsia="宋体" w:hint="default"/>
                <w:spacing w:val="-102"/>
                <w:sz w:val="21"/>
                <w:szCs w:val="21"/>
              </w:rPr>
              <w:t> </w:t>
            </w:r>
            <w:r>
              <w:rPr>
                <w:rFonts w:ascii="宋体" w:hAnsi="宋体" w:cs="宋体" w:eastAsia="宋体" w:hint="default"/>
                <w:sz w:val="21"/>
                <w:szCs w:val="21"/>
              </w:rPr>
              <w:t>果上市公司在今后的经营活动中必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须与本方或本方的关联企业发生不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可避免的关联交易，本方将促使此等</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交易严格按照国家有关法律法规、上</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市公司章程和上市公司的有关规定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履行有关程序，在上市公司股东大会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对关联交易进行表决时，本方严格履</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行回避表决的义务；与上市公司依法</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签订协议，及时进行信息披露；保证</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按照正常的商业条件进行，且本方及</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本方的关联企业将不会要求或接受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上市公司给予比在任何一项市场公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平交易中第三者更优惠的条件，保证</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不通过关联交易损害上市公司及其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他股东的合法权益。</w:t>
            </w:r>
            <w:r>
              <w:rPr>
                <w:rFonts w:ascii="Times New Roman" w:hAnsi="Times New Roman" w:cs="Times New Roman" w:eastAsia="Times New Roman" w:hint="default"/>
                <w:sz w:val="21"/>
                <w:szCs w:val="21"/>
              </w:rPr>
              <w:t>6</w:t>
            </w:r>
            <w:r>
              <w:rPr>
                <w:rFonts w:ascii="宋体" w:hAnsi="宋体" w:cs="宋体" w:eastAsia="宋体" w:hint="default"/>
                <w:sz w:val="21"/>
                <w:szCs w:val="21"/>
              </w:rPr>
              <w:t>、本方及本方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的关联企业将严格和善意地履行其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与上市公司签订的各种关联交易协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议。本方及本方的关联企业将不会向</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上市公司谋求任何超出上述协议规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定以外的利益或收益。</w:t>
            </w:r>
            <w:r>
              <w:rPr>
                <w:rFonts w:ascii="Times New Roman" w:hAnsi="Times New Roman" w:cs="Times New Roman" w:eastAsia="Times New Roman" w:hint="default"/>
                <w:sz w:val="21"/>
                <w:szCs w:val="21"/>
              </w:rPr>
              <w:t>7</w:t>
            </w:r>
            <w:r>
              <w:rPr>
                <w:rFonts w:ascii="宋体" w:hAnsi="宋体" w:cs="宋体" w:eastAsia="宋体" w:hint="default"/>
                <w:sz w:val="21"/>
                <w:szCs w:val="21"/>
              </w:rPr>
              <w:t>、如违反上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述承诺给上市公司造成损失，本方将</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向上市公司作出赔偿。</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44" w:type="dxa"/>
            <w:vMerge/>
            <w:tcBorders>
              <w:left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105" w:right="224"/>
              <w:jc w:val="both"/>
              <w:rPr>
                <w:rFonts w:ascii="宋体" w:hAnsi="宋体" w:cs="宋体" w:eastAsia="宋体" w:hint="default"/>
                <w:sz w:val="21"/>
                <w:szCs w:val="21"/>
              </w:rPr>
            </w:pPr>
            <w:r>
              <w:rPr>
                <w:rFonts w:ascii="宋体" w:hAnsi="宋体" w:cs="宋体" w:eastAsia="宋体" w:hint="default"/>
                <w:sz w:val="21"/>
                <w:szCs w:val="21"/>
              </w:rPr>
              <w:t>关于同业</w:t>
            </w:r>
            <w:r>
              <w:rPr>
                <w:rFonts w:ascii="宋体" w:hAnsi="宋体" w:cs="宋体" w:eastAsia="宋体" w:hint="default"/>
                <w:spacing w:val="-101"/>
                <w:sz w:val="21"/>
                <w:szCs w:val="21"/>
              </w:rPr>
              <w:t> </w:t>
            </w:r>
            <w:r>
              <w:rPr>
                <w:rFonts w:ascii="宋体" w:hAnsi="宋体" w:cs="宋体" w:eastAsia="宋体" w:hint="default"/>
                <w:sz w:val="21"/>
                <w:szCs w:val="21"/>
              </w:rPr>
              <w:t>竞争的承</w:t>
            </w:r>
            <w:r>
              <w:rPr>
                <w:rFonts w:ascii="宋体" w:hAnsi="宋体" w:cs="宋体" w:eastAsia="宋体" w:hint="default"/>
                <w:spacing w:val="-101"/>
                <w:sz w:val="21"/>
                <w:szCs w:val="21"/>
              </w:rPr>
              <w:t> </w:t>
            </w:r>
            <w:r>
              <w:rPr>
                <w:rFonts w:ascii="宋体" w:hAnsi="宋体" w:cs="宋体" w:eastAsia="宋体" w:hint="default"/>
                <w:sz w:val="21"/>
                <w:szCs w:val="21"/>
              </w:rPr>
              <w:t>诺</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32"/>
              <w:jc w:val="left"/>
              <w:rPr>
                <w:rFonts w:ascii="宋体" w:hAnsi="宋体" w:cs="宋体" w:eastAsia="宋体" w:hint="default"/>
                <w:sz w:val="21"/>
                <w:szCs w:val="21"/>
              </w:rPr>
            </w:pPr>
            <w:r>
              <w:rPr>
                <w:rFonts w:ascii="宋体" w:hAnsi="宋体" w:cs="宋体" w:eastAsia="宋体" w:hint="default"/>
                <w:spacing w:val="-6"/>
                <w:sz w:val="21"/>
                <w:szCs w:val="21"/>
              </w:rPr>
              <w:t>本方及本方控制（包括直接控制和间</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接控制）的企业目前没有，将来也不</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以任何方式直接或间接从事与上市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公司及其控股子公司现有及将来从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事的业务构成同业竞争的任何活动。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73" w:lineRule="auto"/>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r>
        <w:trPr>
          <w:trHeight w:val="2549"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73" w:lineRule="auto"/>
              <w:ind w:left="105" w:right="224"/>
              <w:jc w:val="both"/>
              <w:rPr>
                <w:rFonts w:ascii="宋体" w:hAnsi="宋体" w:cs="宋体" w:eastAsia="宋体" w:hint="default"/>
                <w:sz w:val="21"/>
                <w:szCs w:val="21"/>
              </w:rPr>
            </w:pPr>
            <w:r>
              <w:rPr>
                <w:rFonts w:ascii="宋体" w:hAnsi="宋体" w:cs="宋体" w:eastAsia="宋体" w:hint="default"/>
                <w:sz w:val="21"/>
                <w:szCs w:val="21"/>
              </w:rPr>
              <w:t>关于关联</w:t>
            </w:r>
            <w:r>
              <w:rPr>
                <w:rFonts w:ascii="宋体" w:hAnsi="宋体" w:cs="宋体" w:eastAsia="宋体" w:hint="default"/>
                <w:spacing w:val="-101"/>
                <w:sz w:val="21"/>
                <w:szCs w:val="21"/>
              </w:rPr>
              <w:t> </w:t>
            </w:r>
            <w:r>
              <w:rPr>
                <w:rFonts w:ascii="宋体" w:hAnsi="宋体" w:cs="宋体" w:eastAsia="宋体" w:hint="default"/>
                <w:sz w:val="21"/>
                <w:szCs w:val="21"/>
              </w:rPr>
              <w:t>交易的承</w:t>
            </w:r>
            <w:r>
              <w:rPr>
                <w:rFonts w:ascii="宋体" w:hAnsi="宋体" w:cs="宋体" w:eastAsia="宋体" w:hint="default"/>
                <w:spacing w:val="-101"/>
                <w:sz w:val="21"/>
                <w:szCs w:val="21"/>
              </w:rPr>
              <w:t> </w:t>
            </w:r>
            <w:r>
              <w:rPr>
                <w:rFonts w:ascii="宋体" w:hAnsi="宋体" w:cs="宋体" w:eastAsia="宋体" w:hint="default"/>
                <w:sz w:val="21"/>
                <w:szCs w:val="21"/>
              </w:rPr>
              <w:t>诺</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5" w:right="-4"/>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、就本方及本方控制的企业（如有）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与上市公司及其控股子公司之间已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存在及将来不可避免发生的关联交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易事项，保证遵循市场交易的公平原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则即正常的商业条款与上市公司及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其控股子公司发生交易。如未按市场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交易的公平原则与上市公司及其控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股子公司发生交易，而给上市公司及</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8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04</w:t>
            </w:r>
          </w:p>
          <w:p>
            <w:pPr>
              <w:pStyle w:val="TableParagraph"/>
              <w:spacing w:line="240" w:lineRule="auto" w:before="22"/>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73" w:lineRule="auto"/>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bl>
    <w:p>
      <w:pPr>
        <w:spacing w:after="0" w:line="273" w:lineRule="auto"/>
        <w:jc w:val="left"/>
        <w:rPr>
          <w:rFonts w:ascii="宋体" w:hAnsi="宋体" w:cs="宋体" w:eastAsia="宋体" w:hint="default"/>
          <w:sz w:val="21"/>
          <w:szCs w:val="21"/>
        </w:rPr>
        <w:sectPr>
          <w:pgSz w:w="11910" w:h="16840"/>
          <w:pgMar w:header="906" w:footer="1022" w:top="1100" w:bottom="1220" w:left="8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244"/>
        <w:gridCol w:w="1229"/>
        <w:gridCol w:w="1186"/>
        <w:gridCol w:w="3514"/>
        <w:gridCol w:w="1181"/>
        <w:gridCol w:w="1080"/>
        <w:gridCol w:w="740"/>
      </w:tblGrid>
      <w:tr>
        <w:trPr>
          <w:trHeight w:val="672"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其控股子公司造成损失或已经造成</w:t>
            </w:r>
          </w:p>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损失，由本方承担赔偿责任。</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3212" w:hRule="exact"/>
        </w:trPr>
        <w:tc>
          <w:tcPr>
            <w:tcW w:w="12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7"/>
              <w:ind w:left="100" w:right="286"/>
              <w:jc w:val="both"/>
              <w:rPr>
                <w:rFonts w:ascii="宋体" w:hAnsi="宋体" w:cs="宋体" w:eastAsia="宋体" w:hint="default"/>
                <w:sz w:val="21"/>
                <w:szCs w:val="21"/>
              </w:rPr>
            </w:pPr>
            <w:r>
              <w:rPr>
                <w:rFonts w:ascii="宋体" w:hAnsi="宋体" w:cs="宋体" w:eastAsia="宋体" w:hint="default"/>
                <w:sz w:val="21"/>
                <w:szCs w:val="21"/>
              </w:rPr>
              <w:t>首次公开</w:t>
            </w:r>
            <w:r>
              <w:rPr>
                <w:rFonts w:ascii="宋体" w:hAnsi="宋体" w:cs="宋体" w:eastAsia="宋体" w:hint="default"/>
                <w:spacing w:val="-101"/>
                <w:sz w:val="21"/>
                <w:szCs w:val="21"/>
              </w:rPr>
              <w:t> </w:t>
            </w:r>
            <w:r>
              <w:rPr>
                <w:rFonts w:ascii="宋体" w:hAnsi="宋体" w:cs="宋体" w:eastAsia="宋体" w:hint="default"/>
                <w:sz w:val="21"/>
                <w:szCs w:val="21"/>
              </w:rPr>
              <w:t>发行或再</w:t>
            </w:r>
            <w:r>
              <w:rPr>
                <w:rFonts w:ascii="宋体" w:hAnsi="宋体" w:cs="宋体" w:eastAsia="宋体" w:hint="default"/>
                <w:spacing w:val="-101"/>
                <w:sz w:val="21"/>
                <w:szCs w:val="21"/>
              </w:rPr>
              <w:t> </w:t>
            </w:r>
            <w:r>
              <w:rPr>
                <w:rFonts w:ascii="宋体" w:hAnsi="宋体" w:cs="宋体" w:eastAsia="宋体" w:hint="default"/>
                <w:sz w:val="21"/>
                <w:szCs w:val="21"/>
              </w:rPr>
              <w:t>融资时所</w:t>
            </w:r>
            <w:r>
              <w:rPr>
                <w:rFonts w:ascii="宋体" w:hAnsi="宋体" w:cs="宋体" w:eastAsia="宋体" w:hint="default"/>
                <w:spacing w:val="-101"/>
                <w:sz w:val="21"/>
                <w:szCs w:val="21"/>
              </w:rPr>
              <w:t> </w:t>
            </w:r>
            <w:r>
              <w:rPr>
                <w:rFonts w:ascii="宋体" w:hAnsi="宋体" w:cs="宋体" w:eastAsia="宋体" w:hint="default"/>
                <w:sz w:val="21"/>
                <w:szCs w:val="21"/>
              </w:rPr>
              <w:t>作承诺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1186"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105"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、在任职董事期间每年转让的公司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股份不超过其所持有股份总数的百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分之二十五；在离职后半年内，不转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让所持有的股份。还承诺：在任职鑫</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诚科技董事期间每年转让的鑫诚科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技股权不超过其所持有鑫诚科技股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权总数的百分之二十五；在离职后半</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年内，不转让所持有的鑫诚科技股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w:t>
            </w:r>
            <w:r>
              <w:rPr>
                <w:rFonts w:ascii="Times New Roman" w:hAnsi="Times New Roman" w:cs="Times New Roman" w:eastAsia="Times New Roman" w:hint="default"/>
                <w:sz w:val="21"/>
                <w:szCs w:val="21"/>
              </w:rPr>
              <w:t>2</w:t>
            </w:r>
            <w:r>
              <w:rPr>
                <w:rFonts w:ascii="宋体" w:hAnsi="宋体" w:cs="宋体" w:eastAsia="宋体" w:hint="default"/>
                <w:sz w:val="21"/>
                <w:szCs w:val="21"/>
              </w:rPr>
              <w:t>、避免同业竞争、规范和减少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关联交易承诺。</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09</w:t>
            </w:r>
          </w:p>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长期有效</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6" w:lineRule="auto" w:before="127"/>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r>
        <w:trPr>
          <w:trHeight w:val="4773" w:hRule="exact"/>
        </w:trPr>
        <w:tc>
          <w:tcPr>
            <w:tcW w:w="1244" w:type="dxa"/>
            <w:vMerge/>
            <w:tcBorders>
              <w:left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73" w:lineRule="auto"/>
              <w:ind w:left="105" w:right="60"/>
              <w:jc w:val="left"/>
              <w:rPr>
                <w:rFonts w:ascii="宋体" w:hAnsi="宋体" w:cs="宋体" w:eastAsia="宋体" w:hint="default"/>
                <w:sz w:val="21"/>
                <w:szCs w:val="21"/>
              </w:rPr>
            </w:pPr>
            <w:r>
              <w:rPr>
                <w:rFonts w:ascii="宋体" w:hAnsi="宋体" w:cs="宋体" w:eastAsia="宋体" w:hint="default"/>
                <w:sz w:val="21"/>
                <w:szCs w:val="21"/>
              </w:rPr>
              <w:t>控股股东、</w:t>
            </w:r>
            <w:r>
              <w:rPr>
                <w:rFonts w:ascii="宋体" w:hAnsi="宋体" w:cs="宋体" w:eastAsia="宋体" w:hint="default"/>
                <w:w w:val="100"/>
                <w:sz w:val="21"/>
                <w:szCs w:val="21"/>
              </w:rPr>
              <w:t> </w:t>
            </w:r>
            <w:r>
              <w:rPr>
                <w:rFonts w:ascii="宋体" w:hAnsi="宋体" w:cs="宋体" w:eastAsia="宋体" w:hint="default"/>
                <w:sz w:val="21"/>
                <w:szCs w:val="21"/>
              </w:rPr>
              <w:t>实际控制</w:t>
            </w:r>
            <w:r>
              <w:rPr>
                <w:rFonts w:ascii="宋体" w:hAnsi="宋体" w:cs="宋体" w:eastAsia="宋体" w:hint="default"/>
                <w:spacing w:val="-101"/>
                <w:sz w:val="21"/>
                <w:szCs w:val="21"/>
              </w:rPr>
              <w:t> </w:t>
            </w:r>
            <w:r>
              <w:rPr>
                <w:rFonts w:ascii="宋体" w:hAnsi="宋体" w:cs="宋体" w:eastAsia="宋体" w:hint="default"/>
                <w:sz w:val="21"/>
                <w:szCs w:val="21"/>
              </w:rPr>
              <w:t>人</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68" w:lineRule="auto"/>
              <w:ind w:left="105" w:right="94"/>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年度非公</w:t>
            </w:r>
            <w:r>
              <w:rPr>
                <w:rFonts w:ascii="宋体" w:hAnsi="宋体" w:cs="宋体" w:eastAsia="宋体" w:hint="default"/>
                <w:spacing w:val="-101"/>
                <w:sz w:val="21"/>
                <w:szCs w:val="21"/>
              </w:rPr>
              <w:t> </w:t>
            </w:r>
            <w:r>
              <w:rPr>
                <w:rFonts w:ascii="宋体" w:hAnsi="宋体" w:cs="宋体" w:eastAsia="宋体" w:hint="default"/>
                <w:sz w:val="21"/>
                <w:szCs w:val="21"/>
              </w:rPr>
              <w:t>开发行</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股股票摊</w:t>
            </w:r>
            <w:r>
              <w:rPr>
                <w:rFonts w:ascii="宋体" w:hAnsi="宋体" w:cs="宋体" w:eastAsia="宋体" w:hint="default"/>
                <w:spacing w:val="-101"/>
                <w:sz w:val="21"/>
                <w:szCs w:val="21"/>
              </w:rPr>
              <w:t> </w:t>
            </w:r>
            <w:r>
              <w:rPr>
                <w:rFonts w:ascii="宋体" w:hAnsi="宋体" w:cs="宋体" w:eastAsia="宋体" w:hint="default"/>
                <w:sz w:val="21"/>
                <w:szCs w:val="21"/>
              </w:rPr>
              <w:t>薄即期回</w:t>
            </w:r>
            <w:r>
              <w:rPr>
                <w:rFonts w:ascii="宋体" w:hAnsi="宋体" w:cs="宋体" w:eastAsia="宋体" w:hint="default"/>
                <w:spacing w:val="-101"/>
                <w:sz w:val="21"/>
                <w:szCs w:val="21"/>
              </w:rPr>
              <w:t> </w:t>
            </w:r>
            <w:r>
              <w:rPr>
                <w:rFonts w:ascii="宋体" w:hAnsi="宋体" w:cs="宋体" w:eastAsia="宋体" w:hint="default"/>
                <w:spacing w:val="-17"/>
                <w:sz w:val="21"/>
                <w:szCs w:val="21"/>
              </w:rPr>
              <w:t>报、填补措</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施及相关</w:t>
            </w:r>
            <w:r>
              <w:rPr>
                <w:rFonts w:ascii="宋体" w:hAnsi="宋体" w:cs="宋体" w:eastAsia="宋体" w:hint="default"/>
                <w:spacing w:val="-101"/>
                <w:sz w:val="21"/>
                <w:szCs w:val="21"/>
              </w:rPr>
              <w:t> </w:t>
            </w:r>
            <w:r>
              <w:rPr>
                <w:rFonts w:ascii="宋体" w:hAnsi="宋体" w:cs="宋体" w:eastAsia="宋体" w:hint="default"/>
                <w:sz w:val="21"/>
                <w:szCs w:val="21"/>
              </w:rPr>
              <w:t>主体的承</w:t>
            </w:r>
            <w:r>
              <w:rPr>
                <w:rFonts w:ascii="宋体" w:hAnsi="宋体" w:cs="宋体" w:eastAsia="宋体" w:hint="default"/>
                <w:spacing w:val="-101"/>
                <w:sz w:val="21"/>
                <w:szCs w:val="21"/>
              </w:rPr>
              <w:t> </w:t>
            </w:r>
            <w:r>
              <w:rPr>
                <w:rFonts w:ascii="宋体" w:hAnsi="宋体" w:cs="宋体" w:eastAsia="宋体" w:hint="default"/>
                <w:sz w:val="21"/>
                <w:szCs w:val="21"/>
              </w:rPr>
              <w:t>诺</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105"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、不越权干预公司经营管理活动，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不侵占公司利益，切实履行对公司填</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补摊薄即期回报的相关措施；</w:t>
            </w:r>
            <w:r>
              <w:rPr>
                <w:rFonts w:ascii="Times New Roman" w:hAnsi="Times New Roman" w:cs="Times New Roman" w:eastAsia="Times New Roman" w:hint="default"/>
                <w:sz w:val="21"/>
                <w:szCs w:val="21"/>
              </w:rPr>
              <w:t>2</w:t>
            </w:r>
            <w:r>
              <w:rPr>
                <w:rFonts w:ascii="宋体" w:hAnsi="宋体" w:cs="宋体" w:eastAsia="宋体" w:hint="default"/>
                <w:sz w:val="21"/>
                <w:szCs w:val="21"/>
              </w:rPr>
              <w:t>、在</w:t>
            </w:r>
            <w:r>
              <w:rPr>
                <w:rFonts w:ascii="宋体" w:hAnsi="宋体" w:cs="宋体" w:eastAsia="宋体" w:hint="default"/>
                <w:spacing w:val="-102"/>
                <w:sz w:val="21"/>
                <w:szCs w:val="21"/>
              </w:rPr>
              <w:t> </w:t>
            </w:r>
            <w:r>
              <w:rPr>
                <w:rFonts w:ascii="宋体" w:hAnsi="宋体" w:cs="宋体" w:eastAsia="宋体" w:hint="default"/>
                <w:spacing w:val="-6"/>
                <w:sz w:val="21"/>
                <w:szCs w:val="21"/>
              </w:rPr>
              <w:t>中国证监会、深圳证券交易所另行发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布填补摊薄即期回报措施及其承诺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的相关意见及实施细则后，如果公司</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的相关制度及本人承诺与该等规定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不符时，本人将自愿无条件按照中国</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证监会及深圳证券交易所的规定予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以承诺，并积极推进公司修订相关制</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度，以符合中国证监会及深圳证券交</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易所的要求；</w:t>
            </w:r>
            <w:r>
              <w:rPr>
                <w:rFonts w:ascii="Times New Roman" w:hAnsi="Times New Roman" w:cs="Times New Roman" w:eastAsia="Times New Roman" w:hint="default"/>
                <w:sz w:val="21"/>
                <w:szCs w:val="21"/>
              </w:rPr>
              <w:t>3</w:t>
            </w:r>
            <w:r>
              <w:rPr>
                <w:rFonts w:ascii="宋体" w:hAnsi="宋体" w:cs="宋体" w:eastAsia="宋体" w:hint="default"/>
                <w:sz w:val="21"/>
                <w:szCs w:val="21"/>
              </w:rPr>
              <w:t>、作为填补回报措施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相关责任主体之一，本人承诺严格履</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6"/>
                <w:sz w:val="21"/>
                <w:szCs w:val="21"/>
              </w:rPr>
              <w:t>行所作出的上述承诺事项，确保公司</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填补回报措施能够得到切实履行。</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73" w:lineRule="auto"/>
              <w:ind w:left="105" w:right="118"/>
              <w:jc w:val="both"/>
              <w:rPr>
                <w:rFonts w:ascii="宋体" w:hAnsi="宋体" w:cs="宋体" w:eastAsia="宋体" w:hint="default"/>
                <w:sz w:val="21"/>
                <w:szCs w:val="21"/>
              </w:rPr>
            </w:pPr>
            <w:r>
              <w:rPr>
                <w:rFonts w:ascii="宋体" w:hAnsi="宋体" w:cs="宋体" w:eastAsia="宋体" w:hint="default"/>
                <w:sz w:val="21"/>
                <w:szCs w:val="21"/>
              </w:rPr>
              <w:t>自承诺之</w:t>
            </w:r>
            <w:r>
              <w:rPr>
                <w:rFonts w:ascii="宋体" w:hAnsi="宋体" w:cs="宋体" w:eastAsia="宋体" w:hint="default"/>
                <w:spacing w:val="-101"/>
                <w:sz w:val="21"/>
                <w:szCs w:val="21"/>
              </w:rPr>
              <w:t> </w:t>
            </w:r>
            <w:r>
              <w:rPr>
                <w:rFonts w:ascii="宋体" w:hAnsi="宋体" w:cs="宋体" w:eastAsia="宋体" w:hint="default"/>
                <w:sz w:val="21"/>
                <w:szCs w:val="21"/>
              </w:rPr>
              <w:t>日起，至</w:t>
            </w:r>
            <w:r>
              <w:rPr>
                <w:rFonts w:ascii="宋体" w:hAnsi="宋体" w:cs="宋体" w:eastAsia="宋体" w:hint="default"/>
                <w:spacing w:val="-101"/>
                <w:sz w:val="21"/>
                <w:szCs w:val="21"/>
              </w:rPr>
              <w:t> </w:t>
            </w:r>
            <w:r>
              <w:rPr>
                <w:rFonts w:ascii="宋体" w:hAnsi="宋体" w:cs="宋体" w:eastAsia="宋体" w:hint="default"/>
                <w:sz w:val="21"/>
                <w:szCs w:val="21"/>
              </w:rPr>
              <w:t>本次再融</w:t>
            </w:r>
            <w:r>
              <w:rPr>
                <w:rFonts w:ascii="宋体" w:hAnsi="宋体" w:cs="宋体" w:eastAsia="宋体" w:hint="default"/>
                <w:spacing w:val="-101"/>
                <w:sz w:val="21"/>
                <w:szCs w:val="21"/>
              </w:rPr>
              <w:t> </w:t>
            </w:r>
            <w:r>
              <w:rPr>
                <w:rFonts w:ascii="宋体" w:hAnsi="宋体" w:cs="宋体" w:eastAsia="宋体" w:hint="default"/>
                <w:sz w:val="21"/>
                <w:szCs w:val="21"/>
              </w:rPr>
              <w:t>资事项实</w:t>
            </w:r>
            <w:r>
              <w:rPr>
                <w:rFonts w:ascii="宋体" w:hAnsi="宋体" w:cs="宋体" w:eastAsia="宋体" w:hint="default"/>
                <w:spacing w:val="-101"/>
                <w:sz w:val="21"/>
                <w:szCs w:val="21"/>
              </w:rPr>
              <w:t> </w:t>
            </w:r>
            <w:r>
              <w:rPr>
                <w:rFonts w:ascii="宋体" w:hAnsi="宋体" w:cs="宋体" w:eastAsia="宋体" w:hint="default"/>
                <w:sz w:val="21"/>
                <w:szCs w:val="21"/>
              </w:rPr>
              <w:t>施完毕。</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73" w:lineRule="auto"/>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r>
        <w:trPr>
          <w:trHeight w:val="5042"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73" w:lineRule="auto"/>
              <w:ind w:left="105" w:right="60"/>
              <w:jc w:val="left"/>
              <w:rPr>
                <w:rFonts w:ascii="宋体" w:hAnsi="宋体" w:cs="宋体" w:eastAsia="宋体" w:hint="default"/>
                <w:sz w:val="21"/>
                <w:szCs w:val="21"/>
              </w:rPr>
            </w:pPr>
            <w:r>
              <w:rPr>
                <w:rFonts w:ascii="宋体" w:hAnsi="宋体" w:cs="宋体" w:eastAsia="宋体" w:hint="default"/>
                <w:sz w:val="21"/>
                <w:szCs w:val="21"/>
              </w:rPr>
              <w:t>公司董事、</w:t>
            </w:r>
            <w:r>
              <w:rPr>
                <w:rFonts w:ascii="宋体" w:hAnsi="宋体" w:cs="宋体" w:eastAsia="宋体" w:hint="default"/>
                <w:w w:val="100"/>
                <w:sz w:val="21"/>
                <w:szCs w:val="21"/>
              </w:rPr>
              <w:t> </w:t>
            </w:r>
            <w:r>
              <w:rPr>
                <w:rFonts w:ascii="宋体" w:hAnsi="宋体" w:cs="宋体" w:eastAsia="宋体" w:hint="default"/>
                <w:sz w:val="21"/>
                <w:szCs w:val="21"/>
              </w:rPr>
              <w:t>高级管理</w:t>
            </w:r>
            <w:r>
              <w:rPr>
                <w:rFonts w:ascii="宋体" w:hAnsi="宋体" w:cs="宋体" w:eastAsia="宋体" w:hint="default"/>
                <w:spacing w:val="-101"/>
                <w:sz w:val="21"/>
                <w:szCs w:val="21"/>
              </w:rPr>
              <w:t> </w:t>
            </w:r>
            <w:r>
              <w:rPr>
                <w:rFonts w:ascii="宋体" w:hAnsi="宋体" w:cs="宋体" w:eastAsia="宋体" w:hint="default"/>
                <w:sz w:val="21"/>
                <w:szCs w:val="21"/>
              </w:rPr>
              <w:t>人员</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8" w:lineRule="auto" w:before="179"/>
              <w:ind w:left="105" w:right="94"/>
              <w:jc w:val="left"/>
              <w:rPr>
                <w:rFonts w:ascii="宋体" w:hAnsi="宋体" w:cs="宋体" w:eastAsia="宋体" w:hint="default"/>
                <w:sz w:val="21"/>
                <w:szCs w:val="21"/>
              </w:rPr>
            </w:pPr>
            <w:r>
              <w:rPr>
                <w:rFonts w:ascii="宋体" w:hAnsi="宋体" w:cs="宋体" w:eastAsia="宋体" w:hint="default"/>
                <w:sz w:val="21"/>
                <w:szCs w:val="21"/>
              </w:rPr>
              <w:t>关于</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年度非公</w:t>
            </w:r>
            <w:r>
              <w:rPr>
                <w:rFonts w:ascii="宋体" w:hAnsi="宋体" w:cs="宋体" w:eastAsia="宋体" w:hint="default"/>
                <w:spacing w:val="-101"/>
                <w:sz w:val="21"/>
                <w:szCs w:val="21"/>
              </w:rPr>
              <w:t> </w:t>
            </w:r>
            <w:r>
              <w:rPr>
                <w:rFonts w:ascii="宋体" w:hAnsi="宋体" w:cs="宋体" w:eastAsia="宋体" w:hint="default"/>
                <w:sz w:val="21"/>
                <w:szCs w:val="21"/>
              </w:rPr>
              <w:t>开发行</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股股票摊</w:t>
            </w:r>
            <w:r>
              <w:rPr>
                <w:rFonts w:ascii="宋体" w:hAnsi="宋体" w:cs="宋体" w:eastAsia="宋体" w:hint="default"/>
                <w:spacing w:val="-101"/>
                <w:sz w:val="21"/>
                <w:szCs w:val="21"/>
              </w:rPr>
              <w:t> </w:t>
            </w:r>
            <w:r>
              <w:rPr>
                <w:rFonts w:ascii="宋体" w:hAnsi="宋体" w:cs="宋体" w:eastAsia="宋体" w:hint="default"/>
                <w:sz w:val="21"/>
                <w:szCs w:val="21"/>
              </w:rPr>
              <w:t>薄即期回</w:t>
            </w:r>
            <w:r>
              <w:rPr>
                <w:rFonts w:ascii="宋体" w:hAnsi="宋体" w:cs="宋体" w:eastAsia="宋体" w:hint="default"/>
                <w:spacing w:val="-101"/>
                <w:sz w:val="21"/>
                <w:szCs w:val="21"/>
              </w:rPr>
              <w:t> </w:t>
            </w:r>
            <w:r>
              <w:rPr>
                <w:rFonts w:ascii="宋体" w:hAnsi="宋体" w:cs="宋体" w:eastAsia="宋体" w:hint="default"/>
                <w:spacing w:val="-17"/>
                <w:sz w:val="21"/>
                <w:szCs w:val="21"/>
              </w:rPr>
              <w:t>报、填补措</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施及相关</w:t>
            </w:r>
            <w:r>
              <w:rPr>
                <w:rFonts w:ascii="宋体" w:hAnsi="宋体" w:cs="宋体" w:eastAsia="宋体" w:hint="default"/>
                <w:spacing w:val="-101"/>
                <w:sz w:val="21"/>
                <w:szCs w:val="21"/>
              </w:rPr>
              <w:t> </w:t>
            </w:r>
            <w:r>
              <w:rPr>
                <w:rFonts w:ascii="宋体" w:hAnsi="宋体" w:cs="宋体" w:eastAsia="宋体" w:hint="default"/>
                <w:sz w:val="21"/>
                <w:szCs w:val="21"/>
              </w:rPr>
              <w:t>主体的承</w:t>
            </w:r>
            <w:r>
              <w:rPr>
                <w:rFonts w:ascii="宋体" w:hAnsi="宋体" w:cs="宋体" w:eastAsia="宋体" w:hint="default"/>
                <w:spacing w:val="-101"/>
                <w:sz w:val="21"/>
                <w:szCs w:val="21"/>
              </w:rPr>
              <w:t> </w:t>
            </w:r>
            <w:r>
              <w:rPr>
                <w:rFonts w:ascii="宋体" w:hAnsi="宋体" w:cs="宋体" w:eastAsia="宋体" w:hint="default"/>
                <w:sz w:val="21"/>
                <w:szCs w:val="21"/>
              </w:rPr>
              <w:t>诺</w:t>
            </w: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8"/>
              <w:ind w:left="105" w:right="-5"/>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、本人承诺不无偿或以不公平条件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向其他单位或者个人输送利益，也不</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采用其他方式损害公司利益；</w:t>
            </w:r>
            <w:r>
              <w:rPr>
                <w:rFonts w:ascii="Times New Roman" w:hAnsi="Times New Roman" w:cs="Times New Roman" w:eastAsia="Times New Roman" w:hint="default"/>
                <w:sz w:val="21"/>
                <w:szCs w:val="21"/>
              </w:rPr>
              <w:t>2</w:t>
            </w:r>
            <w:r>
              <w:rPr>
                <w:rFonts w:ascii="宋体" w:hAnsi="宋体" w:cs="宋体" w:eastAsia="宋体" w:hint="default"/>
                <w:sz w:val="21"/>
                <w:szCs w:val="21"/>
              </w:rPr>
              <w:t>、本</w:t>
            </w:r>
            <w:r>
              <w:rPr>
                <w:rFonts w:ascii="宋体" w:hAnsi="宋体" w:cs="宋体" w:eastAsia="宋体" w:hint="default"/>
                <w:spacing w:val="-102"/>
                <w:sz w:val="21"/>
                <w:szCs w:val="21"/>
              </w:rPr>
              <w:t> </w:t>
            </w:r>
            <w:r>
              <w:rPr>
                <w:rFonts w:ascii="宋体" w:hAnsi="宋体" w:cs="宋体" w:eastAsia="宋体" w:hint="default"/>
                <w:spacing w:val="-5"/>
                <w:sz w:val="21"/>
                <w:szCs w:val="21"/>
              </w:rPr>
              <w:t>人承诺对职务消费行为进行约束；</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w:t>
            </w:r>
            <w:r>
              <w:rPr>
                <w:rFonts w:ascii="宋体" w:hAnsi="宋体" w:cs="宋体" w:eastAsia="宋体" w:hint="default"/>
                <w:spacing w:val="-83"/>
                <w:sz w:val="21"/>
                <w:szCs w:val="21"/>
              </w:rPr>
              <w:t> </w:t>
            </w:r>
            <w:r>
              <w:rPr>
                <w:rFonts w:ascii="宋体" w:hAnsi="宋体" w:cs="宋体" w:eastAsia="宋体" w:hint="default"/>
                <w:sz w:val="21"/>
                <w:szCs w:val="21"/>
              </w:rPr>
              <w:t>本人承诺不动用公司资产从事与其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5"/>
                <w:sz w:val="21"/>
                <w:szCs w:val="21"/>
              </w:rPr>
              <w:t>履行职责无关的投资、消费活动；</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w:t>
            </w:r>
            <w:r>
              <w:rPr>
                <w:rFonts w:ascii="宋体" w:hAnsi="宋体" w:cs="宋体" w:eastAsia="宋体" w:hint="default"/>
                <w:spacing w:val="-83"/>
                <w:sz w:val="21"/>
                <w:szCs w:val="21"/>
              </w:rPr>
              <w:t> </w:t>
            </w:r>
            <w:r>
              <w:rPr>
                <w:rFonts w:ascii="宋体" w:hAnsi="宋体" w:cs="宋体" w:eastAsia="宋体" w:hint="default"/>
                <w:sz w:val="21"/>
                <w:szCs w:val="21"/>
              </w:rPr>
              <w:t>本人承诺由董事会或薪酬与考核委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员会制定的薪酬制度与公司填补回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报措施的执行情况相挂钩；</w:t>
            </w:r>
            <w:r>
              <w:rPr>
                <w:rFonts w:ascii="Times New Roman" w:hAnsi="Times New Roman" w:cs="Times New Roman" w:eastAsia="Times New Roman" w:hint="default"/>
                <w:sz w:val="21"/>
                <w:szCs w:val="21"/>
              </w:rPr>
              <w:t>5</w:t>
            </w:r>
            <w:r>
              <w:rPr>
                <w:rFonts w:ascii="宋体" w:hAnsi="宋体" w:cs="宋体" w:eastAsia="宋体" w:hint="default"/>
                <w:sz w:val="21"/>
                <w:szCs w:val="21"/>
              </w:rPr>
              <w:t>、若公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司后续推出股权激励政策，本人承诺</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拟公布的公司股权激励的行权条件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与公司填补回报措施的执行情况相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挂钩；</w:t>
            </w:r>
            <w:r>
              <w:rPr>
                <w:rFonts w:ascii="Times New Roman" w:hAnsi="Times New Roman" w:cs="Times New Roman" w:eastAsia="Times New Roman" w:hint="default"/>
                <w:sz w:val="21"/>
                <w:szCs w:val="21"/>
              </w:rPr>
              <w:t>6</w:t>
            </w:r>
            <w:r>
              <w:rPr>
                <w:rFonts w:ascii="宋体" w:hAnsi="宋体" w:cs="宋体" w:eastAsia="宋体" w:hint="default"/>
                <w:sz w:val="21"/>
                <w:szCs w:val="21"/>
              </w:rPr>
              <w:t>、自本承诺出具日至公司本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次非公开发行股票实施完毕前，若中</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国证监会、深圳证券交易所作出关于</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填补回报措施及其承诺的其他新的</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70"/>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273" w:lineRule="auto"/>
              <w:ind w:left="105" w:right="118"/>
              <w:jc w:val="both"/>
              <w:rPr>
                <w:rFonts w:ascii="宋体" w:hAnsi="宋体" w:cs="宋体" w:eastAsia="宋体" w:hint="default"/>
                <w:sz w:val="21"/>
                <w:szCs w:val="21"/>
              </w:rPr>
            </w:pPr>
            <w:r>
              <w:rPr>
                <w:rFonts w:ascii="宋体" w:hAnsi="宋体" w:cs="宋体" w:eastAsia="宋体" w:hint="default"/>
                <w:sz w:val="21"/>
                <w:szCs w:val="21"/>
              </w:rPr>
              <w:t>自承诺之</w:t>
            </w:r>
            <w:r>
              <w:rPr>
                <w:rFonts w:ascii="宋体" w:hAnsi="宋体" w:cs="宋体" w:eastAsia="宋体" w:hint="default"/>
                <w:spacing w:val="-101"/>
                <w:sz w:val="21"/>
                <w:szCs w:val="21"/>
              </w:rPr>
              <w:t> </w:t>
            </w:r>
            <w:r>
              <w:rPr>
                <w:rFonts w:ascii="宋体" w:hAnsi="宋体" w:cs="宋体" w:eastAsia="宋体" w:hint="default"/>
                <w:sz w:val="21"/>
                <w:szCs w:val="21"/>
              </w:rPr>
              <w:t>日起，至</w:t>
            </w:r>
            <w:r>
              <w:rPr>
                <w:rFonts w:ascii="宋体" w:hAnsi="宋体" w:cs="宋体" w:eastAsia="宋体" w:hint="default"/>
                <w:spacing w:val="-101"/>
                <w:sz w:val="21"/>
                <w:szCs w:val="21"/>
              </w:rPr>
              <w:t> </w:t>
            </w:r>
            <w:r>
              <w:rPr>
                <w:rFonts w:ascii="宋体" w:hAnsi="宋体" w:cs="宋体" w:eastAsia="宋体" w:hint="default"/>
                <w:sz w:val="21"/>
                <w:szCs w:val="21"/>
              </w:rPr>
              <w:t>本次再融</w:t>
            </w:r>
            <w:r>
              <w:rPr>
                <w:rFonts w:ascii="宋体" w:hAnsi="宋体" w:cs="宋体" w:eastAsia="宋体" w:hint="default"/>
                <w:spacing w:val="-101"/>
                <w:sz w:val="21"/>
                <w:szCs w:val="21"/>
              </w:rPr>
              <w:t> </w:t>
            </w:r>
            <w:r>
              <w:rPr>
                <w:rFonts w:ascii="宋体" w:hAnsi="宋体" w:cs="宋体" w:eastAsia="宋体" w:hint="default"/>
                <w:sz w:val="21"/>
                <w:szCs w:val="21"/>
              </w:rPr>
              <w:t>资事项实</w:t>
            </w:r>
            <w:r>
              <w:rPr>
                <w:rFonts w:ascii="宋体" w:hAnsi="宋体" w:cs="宋体" w:eastAsia="宋体" w:hint="default"/>
                <w:spacing w:val="-101"/>
                <w:sz w:val="21"/>
                <w:szCs w:val="21"/>
              </w:rPr>
              <w:t> </w:t>
            </w:r>
            <w:r>
              <w:rPr>
                <w:rFonts w:ascii="宋体" w:hAnsi="宋体" w:cs="宋体" w:eastAsia="宋体" w:hint="default"/>
                <w:sz w:val="21"/>
                <w:szCs w:val="21"/>
              </w:rPr>
              <w:t>施完毕。</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4"/>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bl>
    <w:p>
      <w:pPr>
        <w:spacing w:after="0" w:line="273" w:lineRule="auto"/>
        <w:jc w:val="left"/>
        <w:rPr>
          <w:rFonts w:ascii="宋体" w:hAnsi="宋体" w:cs="宋体" w:eastAsia="宋体" w:hint="default"/>
          <w:sz w:val="21"/>
          <w:szCs w:val="21"/>
        </w:rPr>
        <w:sectPr>
          <w:pgSz w:w="11910" w:h="16840"/>
          <w:pgMar w:header="906" w:footer="1022" w:top="1100" w:bottom="1220" w:left="8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244"/>
        <w:gridCol w:w="1229"/>
        <w:gridCol w:w="1186"/>
        <w:gridCol w:w="3514"/>
        <w:gridCol w:w="1181"/>
        <w:gridCol w:w="1080"/>
        <w:gridCol w:w="740"/>
      </w:tblGrid>
      <w:tr>
        <w:trPr>
          <w:trHeight w:val="3481"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6"/>
                <w:sz w:val="21"/>
                <w:szCs w:val="21"/>
              </w:rPr>
              <w:t>监管规定的，且上述承诺不能满足中</w:t>
            </w:r>
          </w:p>
          <w:p>
            <w:pPr>
              <w:pStyle w:val="TableParagraph"/>
              <w:spacing w:line="271" w:lineRule="auto" w:before="37"/>
              <w:ind w:left="105" w:right="32"/>
              <w:jc w:val="left"/>
              <w:rPr>
                <w:rFonts w:ascii="宋体" w:hAnsi="宋体" w:cs="宋体" w:eastAsia="宋体" w:hint="default"/>
                <w:sz w:val="21"/>
                <w:szCs w:val="21"/>
              </w:rPr>
            </w:pPr>
            <w:r>
              <w:rPr>
                <w:rFonts w:ascii="宋体" w:hAnsi="宋体" w:cs="宋体" w:eastAsia="宋体" w:hint="default"/>
                <w:spacing w:val="-6"/>
                <w:sz w:val="21"/>
                <w:szCs w:val="21"/>
              </w:rPr>
              <w:t>国证监会该等规定时，本人承诺届时</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6"/>
                <w:sz w:val="21"/>
                <w:szCs w:val="21"/>
              </w:rPr>
              <w:t>将按照中国证监会、深圳证券交易所</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的最新规定出具补充承诺；</w:t>
            </w:r>
            <w:r>
              <w:rPr>
                <w:rFonts w:ascii="Times New Roman" w:hAnsi="Times New Roman" w:cs="Times New Roman" w:eastAsia="Times New Roman" w:hint="default"/>
                <w:sz w:val="21"/>
                <w:szCs w:val="21"/>
              </w:rPr>
              <w:t>7</w:t>
            </w:r>
            <w:r>
              <w:rPr>
                <w:rFonts w:ascii="宋体" w:hAnsi="宋体" w:cs="宋体" w:eastAsia="宋体" w:hint="default"/>
                <w:sz w:val="21"/>
                <w:szCs w:val="21"/>
              </w:rPr>
              <w:t>、如本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人违反上述承诺或拒不履行上述承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诺，本人将积极采取措施，使上述承</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诺能够重新得到履行并使上述公司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填补回报措施能够得到有效的实施，</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在中国证监会指定网站上公开说明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未能履行上述承诺的具体原因，并向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股东及公众投资者道歉。</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18"/>
              <w:ind w:left="100" w:right="286"/>
              <w:jc w:val="left"/>
              <w:rPr>
                <w:rFonts w:ascii="宋体" w:hAnsi="宋体" w:cs="宋体" w:eastAsia="宋体" w:hint="default"/>
                <w:sz w:val="21"/>
                <w:szCs w:val="21"/>
              </w:rPr>
            </w:pPr>
            <w:r>
              <w:rPr>
                <w:rFonts w:ascii="宋体" w:hAnsi="宋体" w:cs="宋体" w:eastAsia="宋体" w:hint="default"/>
                <w:sz w:val="21"/>
                <w:szCs w:val="21"/>
              </w:rPr>
              <w:t>股权激励</w:t>
            </w:r>
            <w:r>
              <w:rPr>
                <w:rFonts w:ascii="宋体" w:hAnsi="宋体" w:cs="宋体" w:eastAsia="宋体" w:hint="default"/>
                <w:spacing w:val="-101"/>
                <w:sz w:val="21"/>
                <w:szCs w:val="21"/>
              </w:rPr>
              <w:t> </w:t>
            </w:r>
            <w:r>
              <w:rPr>
                <w:rFonts w:ascii="宋体" w:hAnsi="宋体" w:cs="宋体" w:eastAsia="宋体" w:hint="default"/>
                <w:sz w:val="21"/>
                <w:szCs w:val="21"/>
              </w:rPr>
              <w:t>承诺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汪宇</w:t>
            </w:r>
          </w:p>
        </w:tc>
        <w:tc>
          <w:tcPr>
            <w:tcW w:w="1186"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3"/>
              <w:jc w:val="both"/>
              <w:rPr>
                <w:rFonts w:ascii="宋体" w:hAnsi="宋体" w:cs="宋体" w:eastAsia="宋体" w:hint="default"/>
                <w:sz w:val="21"/>
                <w:szCs w:val="21"/>
              </w:rPr>
            </w:pPr>
            <w:r>
              <w:rPr>
                <w:rFonts w:ascii="宋体" w:hAnsi="宋体" w:cs="宋体" w:eastAsia="宋体" w:hint="default"/>
                <w:spacing w:val="-1"/>
                <w:sz w:val="21"/>
                <w:szCs w:val="21"/>
              </w:rPr>
              <w:t>在任职高管期间每年转让的公司股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
                <w:sz w:val="21"/>
                <w:szCs w:val="21"/>
              </w:rPr>
              <w:t>份不超过其所持有股份总数的百分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之二十五。</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r>
        <w:trPr>
          <w:trHeight w:val="1027" w:hRule="exact"/>
        </w:trPr>
        <w:tc>
          <w:tcPr>
            <w:tcW w:w="1244" w:type="dxa"/>
            <w:vMerge/>
            <w:tcBorders>
              <w:left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闫涛</w:t>
            </w:r>
          </w:p>
        </w:tc>
        <w:tc>
          <w:tcPr>
            <w:tcW w:w="1186"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3"/>
              <w:jc w:val="both"/>
              <w:rPr>
                <w:rFonts w:ascii="宋体" w:hAnsi="宋体" w:cs="宋体" w:eastAsia="宋体" w:hint="default"/>
                <w:sz w:val="21"/>
                <w:szCs w:val="21"/>
              </w:rPr>
            </w:pPr>
            <w:r>
              <w:rPr>
                <w:rFonts w:ascii="宋体" w:hAnsi="宋体" w:cs="宋体" w:eastAsia="宋体" w:hint="default"/>
                <w:spacing w:val="-1"/>
                <w:sz w:val="21"/>
                <w:szCs w:val="21"/>
              </w:rPr>
              <w:t>在任职高管期间每年转让的公司股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
                <w:sz w:val="21"/>
                <w:szCs w:val="21"/>
              </w:rPr>
              <w:t>份不超过其所持有股份总数的百分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之二十五。</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r>
        <w:trPr>
          <w:trHeight w:val="1028" w:hRule="exact"/>
        </w:trPr>
        <w:tc>
          <w:tcPr>
            <w:tcW w:w="1244" w:type="dxa"/>
            <w:vMerge/>
            <w:tcBorders>
              <w:left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李小庆</w:t>
            </w:r>
          </w:p>
        </w:tc>
        <w:tc>
          <w:tcPr>
            <w:tcW w:w="1186"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3"/>
              <w:jc w:val="both"/>
              <w:rPr>
                <w:rFonts w:ascii="宋体" w:hAnsi="宋体" w:cs="宋体" w:eastAsia="宋体" w:hint="default"/>
                <w:sz w:val="21"/>
                <w:szCs w:val="21"/>
              </w:rPr>
            </w:pPr>
            <w:r>
              <w:rPr>
                <w:rFonts w:ascii="宋体" w:hAnsi="宋体" w:cs="宋体" w:eastAsia="宋体" w:hint="default"/>
                <w:spacing w:val="-1"/>
                <w:sz w:val="21"/>
                <w:szCs w:val="21"/>
              </w:rPr>
              <w:t>在任职高管期间每年转让的公司股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
                <w:sz w:val="21"/>
                <w:szCs w:val="21"/>
              </w:rPr>
              <w:t>份不超过其所持有股份总数的百分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之二十五。</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05</w:t>
            </w:r>
          </w:p>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6" w:lineRule="auto"/>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r>
        <w:trPr>
          <w:trHeight w:val="1022" w:hRule="exact"/>
        </w:trPr>
        <w:tc>
          <w:tcPr>
            <w:tcW w:w="1244" w:type="dxa"/>
            <w:vMerge/>
            <w:tcBorders>
              <w:left w:val="single" w:sz="4" w:space="0" w:color="000000"/>
              <w:bottom w:val="single" w:sz="4" w:space="0" w:color="000000"/>
              <w:right w:val="single" w:sz="4" w:space="0" w:color="000000"/>
            </w:tcBorders>
            <w:shd w:val="clear" w:color="auto" w:fill="D2D2D2"/>
          </w:tcPr>
          <w:p>
            <w:pP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陶黎明</w:t>
            </w:r>
          </w:p>
        </w:tc>
        <w:tc>
          <w:tcPr>
            <w:tcW w:w="1186"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43"/>
              <w:jc w:val="both"/>
              <w:rPr>
                <w:rFonts w:ascii="宋体" w:hAnsi="宋体" w:cs="宋体" w:eastAsia="宋体" w:hint="default"/>
                <w:sz w:val="21"/>
                <w:szCs w:val="21"/>
              </w:rPr>
            </w:pPr>
            <w:r>
              <w:rPr>
                <w:rFonts w:ascii="宋体" w:hAnsi="宋体" w:cs="宋体" w:eastAsia="宋体" w:hint="default"/>
                <w:spacing w:val="-1"/>
                <w:sz w:val="21"/>
                <w:szCs w:val="21"/>
              </w:rPr>
              <w:t>在任职高管期间每年转让的公司股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
                <w:sz w:val="21"/>
                <w:szCs w:val="21"/>
              </w:rPr>
              <w:t>份不超过其所持有股份总数的百分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之二十五。</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05</w:t>
            </w:r>
          </w:p>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2"/>
              <w:jc w:val="center"/>
              <w:rPr>
                <w:rFonts w:ascii="宋体" w:hAnsi="宋体" w:cs="宋体" w:eastAsia="宋体" w:hint="default"/>
                <w:sz w:val="21"/>
                <w:szCs w:val="21"/>
              </w:rPr>
            </w:pPr>
            <w:r>
              <w:rPr>
                <w:rFonts w:ascii="宋体" w:hAnsi="宋体" w:cs="宋体" w:eastAsia="宋体" w:hint="default"/>
                <w:sz w:val="21"/>
                <w:szCs w:val="21"/>
              </w:rPr>
              <w:t>长期有效</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6" w:lineRule="auto"/>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r>
        <w:trPr>
          <w:trHeight w:val="1964"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100" w:right="286"/>
              <w:jc w:val="both"/>
              <w:rPr>
                <w:rFonts w:ascii="宋体" w:hAnsi="宋体" w:cs="宋体" w:eastAsia="宋体" w:hint="default"/>
                <w:sz w:val="21"/>
                <w:szCs w:val="21"/>
              </w:rPr>
            </w:pPr>
            <w:r>
              <w:rPr>
                <w:rFonts w:ascii="宋体" w:hAnsi="宋体" w:cs="宋体" w:eastAsia="宋体" w:hint="default"/>
                <w:sz w:val="21"/>
                <w:szCs w:val="21"/>
              </w:rPr>
              <w:t>其他对公</w:t>
            </w:r>
            <w:r>
              <w:rPr>
                <w:rFonts w:ascii="宋体" w:hAnsi="宋体" w:cs="宋体" w:eastAsia="宋体" w:hint="default"/>
                <w:spacing w:val="-101"/>
                <w:sz w:val="21"/>
                <w:szCs w:val="21"/>
              </w:rPr>
              <w:t> </w:t>
            </w:r>
            <w:r>
              <w:rPr>
                <w:rFonts w:ascii="宋体" w:hAnsi="宋体" w:cs="宋体" w:eastAsia="宋体" w:hint="default"/>
                <w:sz w:val="21"/>
                <w:szCs w:val="21"/>
              </w:rPr>
              <w:t>司中小股</w:t>
            </w:r>
            <w:r>
              <w:rPr>
                <w:rFonts w:ascii="宋体" w:hAnsi="宋体" w:cs="宋体" w:eastAsia="宋体" w:hint="default"/>
                <w:spacing w:val="-101"/>
                <w:sz w:val="21"/>
                <w:szCs w:val="21"/>
              </w:rPr>
              <w:t> </w:t>
            </w:r>
            <w:r>
              <w:rPr>
                <w:rFonts w:ascii="宋体" w:hAnsi="宋体" w:cs="宋体" w:eastAsia="宋体" w:hint="default"/>
                <w:sz w:val="21"/>
                <w:szCs w:val="21"/>
              </w:rPr>
              <w:t>东所作承</w:t>
            </w:r>
            <w:r>
              <w:rPr>
                <w:rFonts w:ascii="宋体" w:hAnsi="宋体" w:cs="宋体" w:eastAsia="宋体" w:hint="default"/>
                <w:spacing w:val="-101"/>
                <w:sz w:val="21"/>
                <w:szCs w:val="21"/>
              </w:rPr>
              <w:t> </w:t>
            </w:r>
            <w:r>
              <w:rPr>
                <w:rFonts w:ascii="宋体" w:hAnsi="宋体" w:cs="宋体" w:eastAsia="宋体" w:hint="default"/>
                <w:sz w:val="21"/>
                <w:szCs w:val="21"/>
              </w:rPr>
              <w:t>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105" w:right="267"/>
              <w:jc w:val="both"/>
              <w:rPr>
                <w:rFonts w:ascii="宋体" w:hAnsi="宋体" w:cs="宋体" w:eastAsia="宋体" w:hint="default"/>
                <w:sz w:val="21"/>
                <w:szCs w:val="21"/>
              </w:rPr>
            </w:pPr>
            <w:r>
              <w:rPr>
                <w:rFonts w:ascii="宋体" w:hAnsi="宋体" w:cs="宋体" w:eastAsia="宋体" w:hint="default"/>
                <w:sz w:val="21"/>
                <w:szCs w:val="21"/>
              </w:rPr>
              <w:t>安徽中电</w:t>
            </w:r>
            <w:r>
              <w:rPr>
                <w:rFonts w:ascii="宋体" w:hAnsi="宋体" w:cs="宋体" w:eastAsia="宋体" w:hint="default"/>
                <w:spacing w:val="-101"/>
                <w:sz w:val="21"/>
                <w:szCs w:val="21"/>
              </w:rPr>
              <w:t> </w:t>
            </w:r>
            <w:r>
              <w:rPr>
                <w:rFonts w:ascii="宋体" w:hAnsi="宋体" w:cs="宋体" w:eastAsia="宋体" w:hint="default"/>
                <w:sz w:val="21"/>
                <w:szCs w:val="21"/>
              </w:rPr>
              <w:t>兴发与鑫</w:t>
            </w:r>
            <w:r>
              <w:rPr>
                <w:rFonts w:ascii="宋体" w:hAnsi="宋体" w:cs="宋体" w:eastAsia="宋体" w:hint="default"/>
                <w:spacing w:val="-101"/>
                <w:sz w:val="21"/>
                <w:szCs w:val="21"/>
              </w:rPr>
              <w:t> </w:t>
            </w:r>
            <w:r>
              <w:rPr>
                <w:rFonts w:ascii="宋体" w:hAnsi="宋体" w:cs="宋体" w:eastAsia="宋体" w:hint="default"/>
                <w:sz w:val="21"/>
                <w:szCs w:val="21"/>
              </w:rPr>
              <w:t>龙科技股</w:t>
            </w:r>
            <w:r>
              <w:rPr>
                <w:rFonts w:ascii="宋体" w:hAnsi="宋体" w:cs="宋体" w:eastAsia="宋体" w:hint="default"/>
                <w:spacing w:val="-101"/>
                <w:sz w:val="21"/>
                <w:szCs w:val="21"/>
              </w:rPr>
              <w:t> </w:t>
            </w:r>
            <w:r>
              <w:rPr>
                <w:rFonts w:ascii="宋体" w:hAnsi="宋体" w:cs="宋体" w:eastAsia="宋体" w:hint="default"/>
                <w:sz w:val="21"/>
                <w:szCs w:val="21"/>
              </w:rPr>
              <w:t>份有限公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1186" w:type="dxa"/>
            <w:tcBorders>
              <w:top w:val="single" w:sz="4" w:space="0" w:color="000000"/>
              <w:left w:val="single" w:sz="4" w:space="0" w:color="000000"/>
              <w:bottom w:val="single" w:sz="4" w:space="0" w:color="000000"/>
              <w:right w:val="single" w:sz="4" w:space="0" w:color="000000"/>
            </w:tcBorders>
          </w:tcPr>
          <w:p>
            <w:pPr/>
          </w:p>
        </w:tc>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5" w:right="98"/>
              <w:jc w:val="left"/>
              <w:rPr>
                <w:rFonts w:ascii="宋体" w:hAnsi="宋体" w:cs="宋体" w:eastAsia="宋体" w:hint="default"/>
                <w:sz w:val="21"/>
                <w:szCs w:val="21"/>
              </w:rPr>
            </w:pPr>
            <w:r>
              <w:rPr>
                <w:rFonts w:ascii="宋体" w:hAnsi="宋体" w:cs="宋体" w:eastAsia="宋体" w:hint="default"/>
                <w:sz w:val="21"/>
                <w:szCs w:val="21"/>
              </w:rPr>
              <w:t>在公司盈利且现金能够满足公司持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续经营和长期发展的前提下，公司计</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5"/>
                <w:sz w:val="21"/>
                <w:szCs w:val="21"/>
              </w:rPr>
              <w:t>划未来三年（</w:t>
            </w:r>
            <w:r>
              <w:rPr>
                <w:rFonts w:ascii="Times New Roman" w:hAnsi="Times New Roman" w:cs="Times New Roman" w:eastAsia="Times New Roman" w:hint="default"/>
                <w:spacing w:val="-5"/>
                <w:sz w:val="21"/>
                <w:szCs w:val="21"/>
              </w:rPr>
              <w:t>2018</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2020</w:t>
            </w:r>
            <w:r>
              <w:rPr>
                <w:rFonts w:ascii="宋体" w:hAnsi="宋体" w:cs="宋体" w:eastAsia="宋体" w:hint="default"/>
                <w:spacing w:val="-5"/>
                <w:sz w:val="21"/>
                <w:szCs w:val="21"/>
              </w:rPr>
              <w:t>）连续三年</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内以现金方式累计分配的利润不少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于该三年实现的年均可分配利润的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Times New Roman" w:hAnsi="Times New Roman" w:cs="Times New Roman" w:eastAsia="Times New Roman" w:hint="default"/>
                <w:sz w:val="21"/>
                <w:szCs w:val="21"/>
              </w:rPr>
              <w:t>30</w:t>
            </w:r>
            <w:r>
              <w:rPr>
                <w:rFonts w:ascii="宋体" w:hAnsi="宋体" w:cs="宋体" w:eastAsia="宋体" w:hint="default"/>
                <w:sz w:val="21"/>
                <w:szCs w:val="21"/>
              </w:rPr>
              <w:t>％。</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6"/>
              <w:ind w:left="10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05</w:t>
            </w:r>
          </w:p>
          <w:p>
            <w:pPr>
              <w:pStyle w:val="TableParagraph"/>
              <w:spacing w:line="240" w:lineRule="auto" w:before="26"/>
              <w:ind w:left="10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到</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2020</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6" w:lineRule="auto"/>
              <w:ind w:left="105" w:right="200"/>
              <w:jc w:val="left"/>
              <w:rPr>
                <w:rFonts w:ascii="宋体" w:hAnsi="宋体" w:cs="宋体" w:eastAsia="宋体" w:hint="default"/>
                <w:sz w:val="21"/>
                <w:szCs w:val="21"/>
              </w:rPr>
            </w:pPr>
            <w:r>
              <w:rPr>
                <w:rFonts w:ascii="宋体" w:hAnsi="宋体" w:cs="宋体" w:eastAsia="宋体" w:hint="default"/>
                <w:sz w:val="21"/>
                <w:szCs w:val="21"/>
              </w:rPr>
              <w:t>严格</w:t>
            </w:r>
            <w:r>
              <w:rPr>
                <w:rFonts w:ascii="宋体" w:hAnsi="宋体" w:cs="宋体" w:eastAsia="宋体" w:hint="default"/>
                <w:spacing w:val="-103"/>
                <w:sz w:val="21"/>
                <w:szCs w:val="21"/>
              </w:rPr>
              <w:t> </w:t>
            </w:r>
            <w:r>
              <w:rPr>
                <w:rFonts w:ascii="宋体" w:hAnsi="宋体" w:cs="宋体" w:eastAsia="宋体" w:hint="default"/>
                <w:sz w:val="21"/>
                <w:szCs w:val="21"/>
              </w:rPr>
              <w:t>履行</w:t>
            </w:r>
          </w:p>
        </w:tc>
      </w:tr>
      <w:tr>
        <w:trPr>
          <w:trHeight w:val="715"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0" w:right="286"/>
              <w:jc w:val="left"/>
              <w:rPr>
                <w:rFonts w:ascii="宋体" w:hAnsi="宋体" w:cs="宋体" w:eastAsia="宋体" w:hint="default"/>
                <w:sz w:val="21"/>
                <w:szCs w:val="21"/>
              </w:rPr>
            </w:pPr>
            <w:r>
              <w:rPr>
                <w:rFonts w:ascii="宋体" w:hAnsi="宋体" w:cs="宋体" w:eastAsia="宋体" w:hint="default"/>
                <w:sz w:val="21"/>
                <w:szCs w:val="21"/>
              </w:rPr>
              <w:t>承诺是否</w:t>
            </w:r>
            <w:r>
              <w:rPr>
                <w:rFonts w:ascii="宋体" w:hAnsi="宋体" w:cs="宋体" w:eastAsia="宋体" w:hint="default"/>
                <w:spacing w:val="-101"/>
                <w:sz w:val="21"/>
                <w:szCs w:val="21"/>
              </w:rPr>
              <w:t> </w:t>
            </w:r>
            <w:r>
              <w:rPr>
                <w:rFonts w:ascii="宋体" w:hAnsi="宋体" w:cs="宋体" w:eastAsia="宋体" w:hint="default"/>
                <w:sz w:val="21"/>
                <w:szCs w:val="21"/>
              </w:rPr>
              <w:t>按时履行</w:t>
            </w:r>
          </w:p>
        </w:tc>
        <w:tc>
          <w:tcPr>
            <w:tcW w:w="89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line="240" w:lineRule="auto" w:before="10"/>
        <w:rPr>
          <w:rFonts w:ascii="Times New Roman" w:hAnsi="Times New Roman" w:cs="Times New Roman" w:eastAsia="Times New Roman" w:hint="default"/>
          <w:sz w:val="21"/>
          <w:szCs w:val="21"/>
        </w:rPr>
      </w:pPr>
    </w:p>
    <w:p>
      <w:pPr>
        <w:pStyle w:val="Heading5"/>
        <w:spacing w:line="256" w:lineRule="auto" w:before="36"/>
        <w:ind w:left="313"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4"/>
        </w:rPr>
        <w:t> </w:t>
      </w:r>
      <w:r>
        <w:rPr>
          <w:spacing w:val="-64"/>
        </w:rPr>
      </w:r>
      <w:r>
        <w:rPr/>
        <w:t>其原因做出说明</w:t>
      </w:r>
      <w:r>
        <w:rPr>
          <w:b w:val="0"/>
          <w:bCs w:val="0"/>
        </w:rPr>
      </w:r>
    </w:p>
    <w:p>
      <w:pPr>
        <w:spacing w:line="240" w:lineRule="auto" w:before="2"/>
        <w:rPr>
          <w:rFonts w:ascii="宋体" w:hAnsi="宋体" w:cs="宋体" w:eastAsia="宋体" w:hint="default"/>
          <w:b/>
          <w:bCs/>
          <w:sz w:val="27"/>
          <w:szCs w:val="27"/>
        </w:rPr>
      </w:pPr>
    </w:p>
    <w:p>
      <w:pPr>
        <w:spacing w:before="0"/>
        <w:ind w:left="31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left="313"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8"/>
        <w:rPr>
          <w:rFonts w:ascii="宋体" w:hAnsi="宋体" w:cs="宋体" w:eastAsia="宋体" w:hint="default"/>
          <w:b/>
          <w:bCs/>
          <w:sz w:val="27"/>
          <w:szCs w:val="27"/>
        </w:rPr>
      </w:pPr>
    </w:p>
    <w:p>
      <w:pPr>
        <w:spacing w:line="357" w:lineRule="auto" w:before="0"/>
        <w:ind w:left="313" w:right="3606"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公司报告期不存在控股股东及其关联方对上市公司的非经营性占用资金。</w:t>
      </w:r>
    </w:p>
    <w:p>
      <w:pPr>
        <w:spacing w:after="0" w:line="357" w:lineRule="auto"/>
        <w:jc w:val="left"/>
        <w:rPr>
          <w:rFonts w:ascii="宋体" w:hAnsi="宋体" w:cs="宋体" w:eastAsia="宋体" w:hint="default"/>
          <w:sz w:val="18"/>
          <w:szCs w:val="18"/>
        </w:rPr>
        <w:sectPr>
          <w:pgSz w:w="11910" w:h="16840"/>
          <w:pgMar w:header="906" w:footer="1022" w:top="1100" w:bottom="1220" w:left="820" w:right="0"/>
        </w:sectPr>
      </w:pPr>
    </w:p>
    <w:p>
      <w:pPr>
        <w:spacing w:line="240" w:lineRule="auto" w:before="6"/>
        <w:rPr>
          <w:rFonts w:ascii="宋体" w:hAnsi="宋体" w:cs="宋体" w:eastAsia="宋体" w:hint="default"/>
          <w:sz w:val="20"/>
          <w:szCs w:val="20"/>
        </w:rPr>
      </w:pPr>
    </w:p>
    <w:p>
      <w:pPr>
        <w:pStyle w:val="Heading2"/>
        <w:spacing w:line="308" w:lineRule="exact" w:before="60"/>
        <w:ind w:left="653" w:right="1113"/>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五、董事会、监事会、独立董事（如有）对会计师事务所本报告期“非标准审计报告”的说</w:t>
      </w:r>
      <w:r>
        <w:rPr>
          <w:w w:val="99"/>
        </w:rPr>
        <w:t> </w:t>
      </w:r>
      <w:r>
        <w:rPr/>
        <w:t>明</w:t>
      </w:r>
      <w:r>
        <w:rPr>
          <w:b w:val="0"/>
          <w:bCs w:val="0"/>
        </w:rPr>
      </w:r>
    </w:p>
    <w:p>
      <w:pPr>
        <w:spacing w:line="240" w:lineRule="auto" w:before="6"/>
        <w:rPr>
          <w:rFonts w:ascii="宋体" w:hAnsi="宋体" w:cs="宋体" w:eastAsia="宋体" w:hint="default"/>
          <w:b/>
          <w:bCs/>
          <w:sz w:val="25"/>
          <w:szCs w:val="25"/>
        </w:rPr>
      </w:pPr>
    </w:p>
    <w:p>
      <w:pPr>
        <w:spacing w:before="0"/>
        <w:ind w:left="653" w:right="111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left="653" w:right="1113"/>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7"/>
        <w:rPr>
          <w:rFonts w:ascii="宋体" w:hAnsi="宋体" w:cs="宋体" w:eastAsia="宋体" w:hint="default"/>
          <w:b/>
          <w:bCs/>
          <w:sz w:val="27"/>
          <w:szCs w:val="27"/>
        </w:rPr>
      </w:pPr>
    </w:p>
    <w:p>
      <w:pPr>
        <w:spacing w:before="0"/>
        <w:ind w:left="653" w:right="111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3"/>
          <w:szCs w:val="13"/>
        </w:rPr>
      </w:pPr>
    </w:p>
    <w:p>
      <w:pPr>
        <w:pStyle w:val="Heading5"/>
        <w:spacing w:line="240" w:lineRule="auto"/>
        <w:ind w:left="1018" w:right="1113"/>
        <w:jc w:val="left"/>
        <w:rPr>
          <w:b w:val="0"/>
          <w:bCs w:val="0"/>
        </w:rPr>
      </w:pPr>
      <w:r>
        <w:rPr>
          <w:rFonts w:ascii="宋体" w:hAnsi="宋体" w:cs="宋体" w:eastAsia="宋体" w:hint="default"/>
        </w:rPr>
        <w:t>1.</w:t>
      </w:r>
      <w:r>
        <w:rPr/>
        <w:t>会计政策变更</w:t>
      </w:r>
      <w:r>
        <w:rPr>
          <w:b w:val="0"/>
          <w:bCs w:val="0"/>
        </w:rPr>
      </w:r>
    </w:p>
    <w:p>
      <w:pPr>
        <w:spacing w:line="240" w:lineRule="auto" w:before="8"/>
        <w:rPr>
          <w:rFonts w:ascii="宋体" w:hAnsi="宋体" w:cs="宋体" w:eastAsia="宋体" w:hint="default"/>
          <w:b/>
          <w:bCs/>
          <w:sz w:val="3"/>
          <w:szCs w:val="3"/>
        </w:rPr>
      </w:pPr>
    </w:p>
    <w:tbl>
      <w:tblPr>
        <w:tblW w:w="0" w:type="auto"/>
        <w:jc w:val="left"/>
        <w:tblInd w:w="643" w:type="dxa"/>
        <w:tblLayout w:type="fixed"/>
        <w:tblCellMar>
          <w:top w:w="0" w:type="dxa"/>
          <w:left w:w="0" w:type="dxa"/>
          <w:bottom w:w="0" w:type="dxa"/>
          <w:right w:w="0" w:type="dxa"/>
        </w:tblCellMar>
        <w:tblLook w:val="01E0"/>
      </w:tblPr>
      <w:tblGrid>
        <w:gridCol w:w="5580"/>
        <w:gridCol w:w="3150"/>
        <w:gridCol w:w="797"/>
      </w:tblGrid>
      <w:tr>
        <w:trPr>
          <w:trHeight w:val="504" w:hRule="exact"/>
        </w:trPr>
        <w:tc>
          <w:tcPr>
            <w:tcW w:w="55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22"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1421" w:hRule="exact"/>
        </w:trPr>
        <w:tc>
          <w:tcPr>
            <w:tcW w:w="5580"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4" w:right="-4"/>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日起执行财政部</w:t>
            </w:r>
            <w:r>
              <w:rPr>
                <w:rFonts w:ascii="宋体" w:hAnsi="宋体" w:cs="宋体" w:eastAsia="宋体" w:hint="default"/>
                <w:sz w:val="21"/>
                <w:szCs w:val="21"/>
              </w:rPr>
              <w:t>2017</w:t>
            </w:r>
            <w:r>
              <w:rPr>
                <w:rFonts w:ascii="宋体" w:hAnsi="宋体" w:cs="宋体" w:eastAsia="宋体" w:hint="default"/>
                <w:sz w:val="21"/>
                <w:szCs w:val="21"/>
              </w:rPr>
              <w:t>年修订的《企业会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w w:val="100"/>
                <w:sz w:val="21"/>
                <w:szCs w:val="21"/>
              </w:rPr>
              <w:t>计准则第</w:t>
            </w:r>
            <w:r>
              <w:rPr>
                <w:rFonts w:ascii="宋体" w:hAnsi="宋体" w:cs="宋体" w:eastAsia="宋体" w:hint="default"/>
                <w:spacing w:val="-10"/>
                <w:w w:val="100"/>
                <w:sz w:val="21"/>
                <w:szCs w:val="21"/>
              </w:rPr>
              <w:t>22</w:t>
            </w:r>
            <w:r>
              <w:rPr>
                <w:rFonts w:ascii="宋体" w:hAnsi="宋体" w:cs="宋体" w:eastAsia="宋体" w:hint="default"/>
                <w:spacing w:val="-10"/>
                <w:w w:val="100"/>
                <w:sz w:val="21"/>
                <w:szCs w:val="21"/>
              </w:rPr>
              <w:t>号</w:t>
            </w:r>
            <w:r>
              <w:rPr>
                <w:rFonts w:ascii="Times New Roman" w:hAnsi="Times New Roman" w:cs="Times New Roman" w:eastAsia="Times New Roman" w:hint="default"/>
                <w:spacing w:val="-10"/>
                <w:w w:val="100"/>
                <w:sz w:val="21"/>
                <w:szCs w:val="21"/>
              </w:rPr>
              <w:t>-</w:t>
            </w:r>
            <w:r>
              <w:rPr>
                <w:rFonts w:ascii="宋体" w:hAnsi="宋体" w:cs="宋体" w:eastAsia="宋体" w:hint="default"/>
                <w:spacing w:val="-10"/>
                <w:w w:val="100"/>
                <w:sz w:val="21"/>
                <w:szCs w:val="21"/>
              </w:rPr>
              <w:t>金融工具确认和计量》、《企业会计准则第</w:t>
            </w:r>
            <w:r>
              <w:rPr>
                <w:rFonts w:ascii="宋体" w:hAnsi="宋体" w:cs="宋体" w:eastAsia="宋体" w:hint="default"/>
                <w:spacing w:val="-10"/>
                <w:w w:val="100"/>
                <w:sz w:val="21"/>
                <w:szCs w:val="21"/>
              </w:rPr>
              <w:t>23</w:t>
            </w:r>
            <w:r>
              <w:rPr>
                <w:rFonts w:ascii="宋体" w:hAnsi="宋体" w:cs="宋体" w:eastAsia="宋体" w:hint="default"/>
                <w:spacing w:val="-10"/>
                <w:w w:val="100"/>
                <w:sz w:val="21"/>
                <w:szCs w:val="21"/>
              </w:rPr>
              <w:t>号</w:t>
            </w:r>
            <w:r>
              <w:rPr>
                <w:rFonts w:ascii="Times New Roman" w:hAnsi="Times New Roman" w:cs="Times New Roman" w:eastAsia="Times New Roman" w:hint="default"/>
                <w:spacing w:val="-10"/>
                <w:w w:val="100"/>
                <w:sz w:val="21"/>
                <w:szCs w:val="21"/>
              </w:rPr>
              <w:t>-</w:t>
            </w:r>
            <w:r>
              <w:rPr>
                <w:rFonts w:ascii="Times New Roman" w:hAnsi="Times New Roman" w:cs="Times New Roman" w:eastAsia="Times New Roman" w:hint="default"/>
                <w:spacing w:val="-26"/>
                <w:w w:val="100"/>
                <w:sz w:val="21"/>
                <w:szCs w:val="21"/>
              </w:rPr>
              <w:t> </w:t>
            </w:r>
            <w:r>
              <w:rPr>
                <w:rFonts w:ascii="宋体" w:hAnsi="宋体" w:cs="宋体" w:eastAsia="宋体" w:hint="default"/>
                <w:spacing w:val="-9"/>
                <w:w w:val="100"/>
                <w:sz w:val="21"/>
                <w:szCs w:val="21"/>
              </w:rPr>
              <w:t>金融资产转移》和《企业会计准则第</w:t>
            </w:r>
            <w:r>
              <w:rPr>
                <w:rFonts w:ascii="宋体" w:hAnsi="宋体" w:cs="宋体" w:eastAsia="宋体" w:hint="default"/>
                <w:spacing w:val="-9"/>
                <w:w w:val="100"/>
                <w:sz w:val="21"/>
                <w:szCs w:val="21"/>
              </w:rPr>
              <w:t>24</w:t>
            </w:r>
            <w:r>
              <w:rPr>
                <w:rFonts w:ascii="宋体" w:hAnsi="宋体" w:cs="宋体" w:eastAsia="宋体" w:hint="default"/>
                <w:spacing w:val="-9"/>
                <w:w w:val="100"/>
                <w:sz w:val="21"/>
                <w:szCs w:val="21"/>
              </w:rPr>
              <w:t>号</w:t>
            </w:r>
            <w:r>
              <w:rPr>
                <w:rFonts w:ascii="Times New Roman" w:hAnsi="Times New Roman" w:cs="Times New Roman" w:eastAsia="Times New Roman" w:hint="default"/>
                <w:spacing w:val="-9"/>
                <w:w w:val="100"/>
                <w:sz w:val="21"/>
                <w:szCs w:val="21"/>
              </w:rPr>
              <w:t>-</w:t>
            </w:r>
            <w:r>
              <w:rPr>
                <w:rFonts w:ascii="宋体" w:hAnsi="宋体" w:cs="宋体" w:eastAsia="宋体" w:hint="default"/>
                <w:spacing w:val="-9"/>
                <w:w w:val="100"/>
                <w:sz w:val="21"/>
                <w:szCs w:val="21"/>
              </w:rPr>
              <w:t>套期会计》、《企业</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会计准则第</w:t>
            </w:r>
            <w:r>
              <w:rPr>
                <w:rFonts w:ascii="宋体" w:hAnsi="宋体" w:cs="宋体" w:eastAsia="宋体" w:hint="default"/>
                <w:sz w:val="21"/>
                <w:szCs w:val="21"/>
              </w:rPr>
              <w:t>37</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金融工具列报》</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80"/>
              <w:jc w:val="left"/>
              <w:rPr>
                <w:rFonts w:ascii="宋体" w:hAnsi="宋体" w:cs="宋体" w:eastAsia="宋体" w:hint="default"/>
                <w:sz w:val="21"/>
                <w:szCs w:val="21"/>
              </w:rPr>
            </w:pPr>
            <w:r>
              <w:rPr>
                <w:rFonts w:ascii="宋体" w:hAnsi="宋体" w:cs="宋体" w:eastAsia="宋体" w:hint="default"/>
                <w:spacing w:val="-1"/>
                <w:sz w:val="21"/>
                <w:szCs w:val="21"/>
              </w:rPr>
              <w:t>公司于</w:t>
            </w:r>
            <w:r>
              <w:rPr>
                <w:rFonts w:ascii="宋体" w:hAnsi="宋体" w:cs="宋体" w:eastAsia="宋体" w:hint="default"/>
                <w:spacing w:val="-1"/>
                <w:sz w:val="21"/>
                <w:szCs w:val="21"/>
              </w:rPr>
              <w:t>2019</w:t>
            </w:r>
            <w:r>
              <w:rPr>
                <w:rFonts w:ascii="宋体" w:hAnsi="宋体" w:cs="宋体" w:eastAsia="宋体" w:hint="default"/>
                <w:spacing w:val="-1"/>
                <w:sz w:val="21"/>
                <w:szCs w:val="21"/>
              </w:rPr>
              <w:t>年</w:t>
            </w:r>
            <w:r>
              <w:rPr>
                <w:rFonts w:ascii="宋体" w:hAnsi="宋体" w:cs="宋体" w:eastAsia="宋体" w:hint="default"/>
                <w:spacing w:val="-1"/>
                <w:sz w:val="21"/>
                <w:szCs w:val="21"/>
              </w:rPr>
              <w:t>4</w:t>
            </w:r>
            <w:r>
              <w:rPr>
                <w:rFonts w:ascii="宋体" w:hAnsi="宋体" w:cs="宋体" w:eastAsia="宋体" w:hint="default"/>
                <w:spacing w:val="-1"/>
                <w:sz w:val="21"/>
                <w:szCs w:val="21"/>
              </w:rPr>
              <w:t>月</w:t>
            </w:r>
            <w:r>
              <w:rPr>
                <w:rFonts w:ascii="宋体" w:hAnsi="宋体" w:cs="宋体" w:eastAsia="宋体" w:hint="default"/>
                <w:spacing w:val="-1"/>
                <w:sz w:val="21"/>
                <w:szCs w:val="21"/>
              </w:rPr>
              <w:t>24</w:t>
            </w:r>
            <w:r>
              <w:rPr>
                <w:rFonts w:ascii="宋体" w:hAnsi="宋体" w:cs="宋体" w:eastAsia="宋体" w:hint="default"/>
                <w:spacing w:val="-1"/>
                <w:sz w:val="21"/>
                <w:szCs w:val="21"/>
              </w:rPr>
              <w:t>日召开第八届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董事会第三次会议，审议通过了</w:t>
            </w:r>
          </w:p>
          <w:p>
            <w:pPr>
              <w:pStyle w:val="TableParagraph"/>
              <w:spacing w:line="240" w:lineRule="auto" w:before="7"/>
              <w:ind w:left="4" w:right="0"/>
              <w:jc w:val="left"/>
              <w:rPr>
                <w:rFonts w:ascii="宋体" w:hAnsi="宋体" w:cs="宋体" w:eastAsia="宋体" w:hint="default"/>
                <w:sz w:val="21"/>
                <w:szCs w:val="21"/>
              </w:rPr>
            </w:pPr>
            <w:r>
              <w:rPr>
                <w:rFonts w:ascii="宋体" w:hAnsi="宋体" w:cs="宋体" w:eastAsia="宋体" w:hint="default"/>
                <w:sz w:val="21"/>
                <w:szCs w:val="21"/>
              </w:rPr>
              <w:t>《关于会计政策变更的议案》</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p>
        </w:tc>
      </w:tr>
      <w:tr>
        <w:trPr>
          <w:trHeight w:val="1142" w:hRule="exact"/>
        </w:trPr>
        <w:tc>
          <w:tcPr>
            <w:tcW w:w="55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0"/>
              <w:jc w:val="both"/>
              <w:rPr>
                <w:rFonts w:ascii="宋体" w:hAnsi="宋体" w:cs="宋体" w:eastAsia="宋体" w:hint="default"/>
                <w:sz w:val="21"/>
                <w:szCs w:val="21"/>
              </w:rPr>
            </w:pPr>
            <w:r>
              <w:rPr>
                <w:rFonts w:ascii="宋体" w:hAnsi="宋体" w:cs="宋体" w:eastAsia="宋体" w:hint="default"/>
                <w:spacing w:val="-2"/>
                <w:sz w:val="21"/>
                <w:szCs w:val="21"/>
              </w:rPr>
              <w:t>本公司自</w:t>
            </w:r>
            <w:r>
              <w:rPr>
                <w:rFonts w:ascii="宋体" w:hAnsi="宋体" w:cs="宋体" w:eastAsia="宋体"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2"/>
                <w:sz w:val="21"/>
                <w:szCs w:val="21"/>
              </w:rPr>
              <w:t>6</w:t>
            </w:r>
            <w:r>
              <w:rPr>
                <w:rFonts w:ascii="宋体" w:hAnsi="宋体" w:cs="宋体" w:eastAsia="宋体" w:hint="default"/>
                <w:spacing w:val="-2"/>
                <w:sz w:val="21"/>
                <w:szCs w:val="21"/>
              </w:rPr>
              <w:t>月</w:t>
            </w:r>
            <w:r>
              <w:rPr>
                <w:rFonts w:ascii="宋体" w:hAnsi="宋体" w:cs="宋体" w:eastAsia="宋体" w:hint="default"/>
                <w:spacing w:val="-2"/>
                <w:sz w:val="21"/>
                <w:szCs w:val="21"/>
              </w:rPr>
              <w:t>10</w:t>
            </w:r>
            <w:r>
              <w:rPr>
                <w:rFonts w:ascii="宋体" w:hAnsi="宋体" w:cs="宋体" w:eastAsia="宋体" w:hint="default"/>
                <w:spacing w:val="-2"/>
                <w:sz w:val="21"/>
                <w:szCs w:val="21"/>
              </w:rPr>
              <w:t>日起执行财政部</w:t>
            </w:r>
            <w:r>
              <w:rPr>
                <w:rFonts w:ascii="宋体" w:hAnsi="宋体" w:cs="宋体" w:eastAsia="宋体" w:hint="default"/>
                <w:spacing w:val="-2"/>
                <w:sz w:val="21"/>
                <w:szCs w:val="21"/>
              </w:rPr>
              <w:t>2019</w:t>
            </w:r>
            <w:r>
              <w:rPr>
                <w:rFonts w:ascii="宋体" w:hAnsi="宋体" w:cs="宋体" w:eastAsia="宋体" w:hint="default"/>
                <w:spacing w:val="-2"/>
                <w:sz w:val="21"/>
                <w:szCs w:val="21"/>
              </w:rPr>
              <w:t>年修订的《企业会</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5"/>
                <w:w w:val="100"/>
                <w:sz w:val="21"/>
                <w:szCs w:val="21"/>
              </w:rPr>
              <w:t>计准则第</w:t>
            </w:r>
            <w:r>
              <w:rPr>
                <w:rFonts w:ascii="宋体" w:hAnsi="宋体" w:cs="宋体" w:eastAsia="宋体" w:hint="default"/>
                <w:spacing w:val="-5"/>
                <w:w w:val="100"/>
                <w:sz w:val="21"/>
                <w:szCs w:val="21"/>
              </w:rPr>
              <w:t>7</w:t>
            </w:r>
            <w:r>
              <w:rPr>
                <w:rFonts w:ascii="宋体" w:hAnsi="宋体" w:cs="宋体" w:eastAsia="宋体" w:hint="default"/>
                <w:spacing w:val="-5"/>
                <w:w w:val="100"/>
                <w:sz w:val="21"/>
                <w:szCs w:val="21"/>
              </w:rPr>
              <w:t>号——非货币性资产交换》，自</w:t>
            </w:r>
            <w:r>
              <w:rPr>
                <w:rFonts w:ascii="宋体" w:hAnsi="宋体" w:cs="宋体" w:eastAsia="宋体" w:hint="default"/>
                <w:spacing w:val="-5"/>
                <w:w w:val="100"/>
                <w:sz w:val="21"/>
                <w:szCs w:val="21"/>
              </w:rPr>
              <w:t>2019</w:t>
            </w:r>
            <w:r>
              <w:rPr>
                <w:rFonts w:ascii="宋体" w:hAnsi="宋体" w:cs="宋体" w:eastAsia="宋体" w:hint="default"/>
                <w:spacing w:val="-5"/>
                <w:w w:val="100"/>
                <w:sz w:val="21"/>
                <w:szCs w:val="21"/>
              </w:rPr>
              <w:t>年</w:t>
            </w:r>
            <w:r>
              <w:rPr>
                <w:rFonts w:ascii="宋体" w:hAnsi="宋体" w:cs="宋体" w:eastAsia="宋体" w:hint="default"/>
                <w:spacing w:val="-5"/>
                <w:w w:val="100"/>
                <w:sz w:val="21"/>
                <w:szCs w:val="21"/>
              </w:rPr>
              <w:t>6</w:t>
            </w:r>
            <w:r>
              <w:rPr>
                <w:rFonts w:ascii="宋体" w:hAnsi="宋体" w:cs="宋体" w:eastAsia="宋体" w:hint="default"/>
                <w:spacing w:val="-5"/>
                <w:w w:val="100"/>
                <w:sz w:val="21"/>
                <w:szCs w:val="21"/>
              </w:rPr>
              <w:t>月</w:t>
            </w:r>
            <w:r>
              <w:rPr>
                <w:rFonts w:ascii="宋体" w:hAnsi="宋体" w:cs="宋体" w:eastAsia="宋体" w:hint="default"/>
                <w:spacing w:val="-5"/>
                <w:w w:val="100"/>
                <w:sz w:val="21"/>
                <w:szCs w:val="21"/>
              </w:rPr>
              <w:t>17</w:t>
            </w:r>
            <w:r>
              <w:rPr>
                <w:rFonts w:ascii="宋体" w:hAnsi="宋体" w:cs="宋体" w:eastAsia="宋体" w:hint="default"/>
                <w:spacing w:val="-5"/>
                <w:w w:val="100"/>
                <w:sz w:val="21"/>
                <w:szCs w:val="21"/>
              </w:rPr>
              <w:t>日起执</w:t>
            </w:r>
            <w:r>
              <w:rPr>
                <w:rFonts w:ascii="宋体" w:hAnsi="宋体" w:cs="宋体" w:eastAsia="宋体" w:hint="default"/>
                <w:spacing w:val="-96"/>
                <w:w w:val="100"/>
                <w:sz w:val="21"/>
                <w:szCs w:val="21"/>
              </w:rPr>
              <w:t> </w:t>
            </w:r>
            <w:r>
              <w:rPr>
                <w:rFonts w:ascii="宋体" w:hAnsi="宋体" w:cs="宋体" w:eastAsia="宋体" w:hint="default"/>
                <w:spacing w:val="-5"/>
                <w:w w:val="100"/>
                <w:sz w:val="21"/>
                <w:szCs w:val="21"/>
              </w:rPr>
              <w:t>行财政部</w:t>
            </w:r>
            <w:r>
              <w:rPr>
                <w:rFonts w:ascii="宋体" w:hAnsi="宋体" w:cs="宋体" w:eastAsia="宋体" w:hint="default"/>
                <w:spacing w:val="-5"/>
                <w:w w:val="100"/>
                <w:sz w:val="21"/>
                <w:szCs w:val="21"/>
              </w:rPr>
              <w:t>2019</w:t>
            </w:r>
            <w:r>
              <w:rPr>
                <w:rFonts w:ascii="宋体" w:hAnsi="宋体" w:cs="宋体" w:eastAsia="宋体" w:hint="default"/>
                <w:spacing w:val="-5"/>
                <w:w w:val="100"/>
                <w:sz w:val="21"/>
                <w:szCs w:val="21"/>
              </w:rPr>
              <w:t>年修订的《企业会计准则第</w:t>
            </w:r>
            <w:r>
              <w:rPr>
                <w:rFonts w:ascii="宋体" w:hAnsi="宋体" w:cs="宋体" w:eastAsia="宋体" w:hint="default"/>
                <w:spacing w:val="-5"/>
                <w:w w:val="100"/>
                <w:sz w:val="21"/>
                <w:szCs w:val="21"/>
              </w:rPr>
              <w:t>12</w:t>
            </w:r>
            <w:r>
              <w:rPr>
                <w:rFonts w:ascii="宋体" w:hAnsi="宋体" w:cs="宋体" w:eastAsia="宋体" w:hint="default"/>
                <w:spacing w:val="-5"/>
                <w:w w:val="100"/>
                <w:sz w:val="21"/>
                <w:szCs w:val="21"/>
              </w:rPr>
              <w:t>号——债务重组》</w:t>
            </w:r>
            <w:r>
              <w:rPr>
                <w:rFonts w:ascii="宋体" w:hAnsi="宋体" w:cs="宋体" w:eastAsia="宋体" w:hint="default"/>
                <w:w w:val="100"/>
                <w:sz w:val="21"/>
                <w:szCs w:val="21"/>
              </w:rPr>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z w:val="21"/>
                <w:szCs w:val="21"/>
              </w:rPr>
              <w:t>2020</w:t>
            </w:r>
            <w:r>
              <w:rPr>
                <w:rFonts w:ascii="宋体" w:hAnsi="宋体" w:cs="宋体" w:eastAsia="宋体" w:hint="default"/>
                <w:sz w:val="21"/>
                <w:szCs w:val="21"/>
              </w:rPr>
              <w:t>年</w:t>
            </w:r>
            <w:r>
              <w:rPr>
                <w:rFonts w:ascii="宋体" w:hAnsi="宋体" w:cs="宋体" w:eastAsia="宋体" w:hint="default"/>
                <w:sz w:val="21"/>
                <w:szCs w:val="21"/>
              </w:rPr>
              <w:t>4</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日召开第八届</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董事会第十四次会议，审议通过了</w:t>
            </w:r>
          </w:p>
          <w:p>
            <w:pPr>
              <w:pStyle w:val="TableParagraph"/>
              <w:spacing w:line="240" w:lineRule="auto" w:before="7"/>
              <w:ind w:left="4" w:right="0"/>
              <w:jc w:val="left"/>
              <w:rPr>
                <w:rFonts w:ascii="宋体" w:hAnsi="宋体" w:cs="宋体" w:eastAsia="宋体" w:hint="default"/>
                <w:sz w:val="21"/>
                <w:szCs w:val="21"/>
              </w:rPr>
            </w:pPr>
            <w:r>
              <w:rPr>
                <w:rFonts w:ascii="宋体" w:hAnsi="宋体" w:cs="宋体" w:eastAsia="宋体" w:hint="default"/>
                <w:sz w:val="21"/>
                <w:szCs w:val="21"/>
              </w:rPr>
              <w:t>《关于会计政策变更的议案》</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p>
        </w:tc>
      </w:tr>
    </w:tbl>
    <w:p>
      <w:pPr>
        <w:spacing w:line="348" w:lineRule="auto" w:before="76"/>
        <w:ind w:left="1075" w:right="111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）执行新金融工具准则对本公司的影响</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本公司自</w:t>
      </w:r>
      <w:r>
        <w:rPr>
          <w:rFonts w:ascii="宋体" w:hAnsi="宋体" w:cs="宋体" w:eastAsia="宋体" w:hint="default"/>
          <w:spacing w:val="-7"/>
          <w:w w:val="100"/>
          <w:sz w:val="21"/>
          <w:szCs w:val="21"/>
        </w:rPr>
        <w:t>2019</w:t>
      </w:r>
      <w:r>
        <w:rPr>
          <w:rFonts w:ascii="宋体" w:hAnsi="宋体" w:cs="宋体" w:eastAsia="宋体" w:hint="default"/>
          <w:spacing w:val="-7"/>
          <w:w w:val="100"/>
          <w:sz w:val="21"/>
          <w:szCs w:val="21"/>
        </w:rPr>
        <w:t>年</w:t>
      </w:r>
      <w:r>
        <w:rPr>
          <w:rFonts w:ascii="宋体" w:hAnsi="宋体" w:cs="宋体" w:eastAsia="宋体" w:hint="default"/>
          <w:spacing w:val="-7"/>
          <w:w w:val="100"/>
          <w:sz w:val="21"/>
          <w:szCs w:val="21"/>
        </w:rPr>
        <w:t>1</w:t>
      </w:r>
      <w:r>
        <w:rPr>
          <w:rFonts w:ascii="宋体" w:hAnsi="宋体" w:cs="宋体" w:eastAsia="宋体" w:hint="default"/>
          <w:spacing w:val="-7"/>
          <w:w w:val="100"/>
          <w:sz w:val="21"/>
          <w:szCs w:val="21"/>
        </w:rPr>
        <w:t>月</w:t>
      </w:r>
      <w:r>
        <w:rPr>
          <w:rFonts w:ascii="宋体" w:hAnsi="宋体" w:cs="宋体" w:eastAsia="宋体" w:hint="default"/>
          <w:spacing w:val="-7"/>
          <w:w w:val="100"/>
          <w:sz w:val="21"/>
          <w:szCs w:val="21"/>
        </w:rPr>
        <w:t>1</w:t>
      </w:r>
      <w:r>
        <w:rPr>
          <w:rFonts w:ascii="宋体" w:hAnsi="宋体" w:cs="宋体" w:eastAsia="宋体" w:hint="default"/>
          <w:spacing w:val="-7"/>
          <w:w w:val="100"/>
          <w:sz w:val="21"/>
          <w:szCs w:val="21"/>
        </w:rPr>
        <w:t>日起执行财政部</w:t>
      </w:r>
      <w:r>
        <w:rPr>
          <w:rFonts w:ascii="宋体" w:hAnsi="宋体" w:cs="宋体" w:eastAsia="宋体" w:hint="default"/>
          <w:spacing w:val="-7"/>
          <w:w w:val="100"/>
          <w:sz w:val="21"/>
          <w:szCs w:val="21"/>
        </w:rPr>
        <w:t>2017</w:t>
      </w:r>
      <w:r>
        <w:rPr>
          <w:rFonts w:ascii="宋体" w:hAnsi="宋体" w:cs="宋体" w:eastAsia="宋体" w:hint="default"/>
          <w:spacing w:val="-7"/>
          <w:w w:val="100"/>
          <w:sz w:val="21"/>
          <w:szCs w:val="21"/>
        </w:rPr>
        <w:t>年修订的《企业会计准则第</w:t>
      </w:r>
      <w:r>
        <w:rPr>
          <w:rFonts w:ascii="宋体" w:hAnsi="宋体" w:cs="宋体" w:eastAsia="宋体" w:hint="default"/>
          <w:spacing w:val="-7"/>
          <w:w w:val="100"/>
          <w:sz w:val="21"/>
          <w:szCs w:val="21"/>
        </w:rPr>
        <w:t>22</w:t>
      </w:r>
      <w:r>
        <w:rPr>
          <w:rFonts w:ascii="宋体" w:hAnsi="宋体" w:cs="宋体" w:eastAsia="宋体" w:hint="default"/>
          <w:spacing w:val="-7"/>
          <w:w w:val="100"/>
          <w:sz w:val="21"/>
          <w:szCs w:val="21"/>
        </w:rPr>
        <w:t>号</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金融工具确认和计量》、《企</w:t>
      </w:r>
    </w:p>
    <w:p>
      <w:pPr>
        <w:pStyle w:val="BodyText"/>
        <w:spacing w:line="328" w:lineRule="auto" w:before="8"/>
        <w:ind w:left="653" w:right="1111"/>
        <w:jc w:val="left"/>
      </w:pPr>
      <w:r>
        <w:rPr>
          <w:w w:val="100"/>
        </w:rPr>
        <w:t>业会计准</w:t>
      </w:r>
      <w:r>
        <w:rPr>
          <w:spacing w:val="-5"/>
          <w:w w:val="100"/>
        </w:rPr>
        <w:t>则</w:t>
      </w:r>
      <w:r>
        <w:rPr>
          <w:w w:val="100"/>
        </w:rPr>
        <w:t>第</w:t>
      </w:r>
      <w:r>
        <w:rPr>
          <w:rFonts w:ascii="宋体" w:hAnsi="宋体" w:cs="宋体" w:eastAsia="宋体" w:hint="default"/>
          <w:w w:val="100"/>
        </w:rPr>
        <w:t>23</w:t>
      </w:r>
      <w:r>
        <w:rPr>
          <w:w w:val="100"/>
        </w:rPr>
        <w:t>号</w:t>
      </w:r>
      <w:r>
        <w:rPr>
          <w:rFonts w:ascii="Times New Roman" w:hAnsi="Times New Roman" w:cs="Times New Roman" w:eastAsia="Times New Roman" w:hint="default"/>
          <w:spacing w:val="-4"/>
          <w:w w:val="100"/>
        </w:rPr>
        <w:t>-</w:t>
      </w:r>
      <w:r>
        <w:rPr>
          <w:w w:val="100"/>
        </w:rPr>
        <w:t>金融</w:t>
      </w:r>
      <w:r>
        <w:rPr>
          <w:spacing w:val="-5"/>
          <w:w w:val="100"/>
        </w:rPr>
        <w:t>资</w:t>
      </w:r>
      <w:r>
        <w:rPr>
          <w:w w:val="100"/>
        </w:rPr>
        <w:t>产转移</w:t>
      </w:r>
      <w:r>
        <w:rPr>
          <w:spacing w:val="-10"/>
          <w:w w:val="100"/>
        </w:rPr>
        <w:t>》和</w:t>
      </w:r>
      <w:r>
        <w:rPr>
          <w:w w:val="100"/>
        </w:rPr>
        <w:t>《企</w:t>
      </w:r>
      <w:r>
        <w:rPr>
          <w:spacing w:val="-5"/>
          <w:w w:val="100"/>
        </w:rPr>
        <w:t>业</w:t>
      </w:r>
      <w:r>
        <w:rPr>
          <w:w w:val="100"/>
        </w:rPr>
        <w:t>会计准</w:t>
      </w:r>
      <w:r>
        <w:rPr>
          <w:spacing w:val="-5"/>
          <w:w w:val="100"/>
        </w:rPr>
        <w:t>则</w:t>
      </w:r>
      <w:r>
        <w:rPr>
          <w:spacing w:val="1"/>
          <w:w w:val="100"/>
        </w:rPr>
        <w:t>第</w:t>
      </w:r>
      <w:r>
        <w:rPr>
          <w:rFonts w:ascii="宋体" w:hAnsi="宋体" w:cs="宋体" w:eastAsia="宋体" w:hint="default"/>
          <w:w w:val="100"/>
        </w:rPr>
        <w:t>24</w:t>
      </w:r>
      <w:r>
        <w:rPr>
          <w:w w:val="100"/>
        </w:rPr>
        <w:t>号</w:t>
      </w:r>
      <w:r>
        <w:rPr>
          <w:rFonts w:ascii="Times New Roman" w:hAnsi="Times New Roman" w:cs="Times New Roman" w:eastAsia="Times New Roman" w:hint="default"/>
          <w:spacing w:val="1"/>
          <w:w w:val="100"/>
        </w:rPr>
        <w:t>-</w:t>
      </w:r>
      <w:r>
        <w:rPr>
          <w:spacing w:val="-5"/>
          <w:w w:val="100"/>
        </w:rPr>
        <w:t>套</w:t>
      </w:r>
      <w:r>
        <w:rPr>
          <w:w w:val="100"/>
        </w:rPr>
        <w:t>期会计</w:t>
      </w:r>
      <w:r>
        <w:rPr>
          <w:spacing w:val="-106"/>
          <w:w w:val="100"/>
        </w:rPr>
        <w:t>》</w:t>
      </w:r>
      <w:r>
        <w:rPr>
          <w:spacing w:val="-116"/>
          <w:w w:val="100"/>
        </w:rPr>
        <w:t>、</w:t>
      </w:r>
      <w:r>
        <w:rPr>
          <w:spacing w:val="-5"/>
          <w:w w:val="100"/>
        </w:rPr>
        <w:t>《</w:t>
      </w:r>
      <w:r>
        <w:rPr>
          <w:w w:val="100"/>
        </w:rPr>
        <w:t>企业会</w:t>
      </w:r>
      <w:r>
        <w:rPr>
          <w:spacing w:val="-5"/>
          <w:w w:val="100"/>
        </w:rPr>
        <w:t>计</w:t>
      </w:r>
      <w:r>
        <w:rPr>
          <w:w w:val="100"/>
        </w:rPr>
        <w:t>准则</w:t>
      </w:r>
      <w:r>
        <w:rPr>
          <w:spacing w:val="1"/>
          <w:w w:val="100"/>
        </w:rPr>
        <w:t>第</w:t>
      </w:r>
      <w:r>
        <w:rPr>
          <w:rFonts w:ascii="宋体" w:hAnsi="宋体" w:cs="宋体" w:eastAsia="宋体" w:hint="default"/>
          <w:w w:val="100"/>
        </w:rPr>
        <w:t>3</w:t>
      </w:r>
      <w:r>
        <w:rPr>
          <w:rFonts w:ascii="宋体" w:hAnsi="宋体" w:cs="宋体" w:eastAsia="宋体" w:hint="default"/>
          <w:spacing w:val="-5"/>
          <w:w w:val="100"/>
        </w:rPr>
        <w:t>7</w:t>
      </w:r>
      <w:r>
        <w:rPr>
          <w:w w:val="100"/>
        </w:rPr>
        <w:t>号</w:t>
      </w:r>
      <w:r>
        <w:rPr>
          <w:rFonts w:ascii="Times New Roman" w:hAnsi="Times New Roman" w:cs="Times New Roman" w:eastAsia="Times New Roman" w:hint="default"/>
          <w:spacing w:val="1"/>
          <w:w w:val="100"/>
        </w:rPr>
        <w:t>-</w:t>
      </w:r>
      <w:r>
        <w:rPr>
          <w:spacing w:val="-5"/>
          <w:w w:val="100"/>
        </w:rPr>
        <w:t>金</w:t>
      </w:r>
      <w:r>
        <w:rPr>
          <w:w w:val="100"/>
        </w:rPr>
        <w:t>融工具</w:t>
      </w:r>
      <w:r>
        <w:rPr>
          <w:w w:val="100"/>
        </w:rPr>
        <w:t> 列报</w:t>
      </w:r>
      <w:r>
        <w:rPr>
          <w:spacing w:val="-106"/>
          <w:w w:val="100"/>
        </w:rPr>
        <w:t>》</w:t>
      </w:r>
      <w:r>
        <w:rPr>
          <w:w w:val="100"/>
        </w:rPr>
        <w:t>（以</w:t>
      </w:r>
      <w:r>
        <w:rPr>
          <w:spacing w:val="-5"/>
          <w:w w:val="100"/>
        </w:rPr>
        <w:t>上</w:t>
      </w:r>
      <w:r>
        <w:rPr>
          <w:w w:val="100"/>
        </w:rPr>
        <w:t>四项统</w:t>
      </w:r>
      <w:r>
        <w:rPr>
          <w:spacing w:val="-5"/>
          <w:w w:val="100"/>
        </w:rPr>
        <w:t>称</w:t>
      </w:r>
      <w:r>
        <w:rPr>
          <w:rFonts w:ascii="宋体" w:hAnsi="宋体" w:cs="宋体" w:eastAsia="宋体" w:hint="default"/>
          <w:w w:val="100"/>
        </w:rPr>
        <w:t>&lt;</w:t>
      </w:r>
      <w:r>
        <w:rPr>
          <w:w w:val="100"/>
        </w:rPr>
        <w:t>新金</w:t>
      </w:r>
      <w:r>
        <w:rPr>
          <w:spacing w:val="-5"/>
          <w:w w:val="100"/>
        </w:rPr>
        <w:t>融</w:t>
      </w:r>
      <w:r>
        <w:rPr>
          <w:w w:val="100"/>
        </w:rPr>
        <w:t>工具准则</w:t>
      </w:r>
      <w:r>
        <w:rPr>
          <w:rFonts w:ascii="宋体" w:hAnsi="宋体" w:cs="宋体" w:eastAsia="宋体" w:hint="default"/>
          <w:spacing w:val="-5"/>
          <w:w w:val="100"/>
        </w:rPr>
        <w:t>&gt;</w:t>
      </w:r>
      <w:r>
        <w:rPr>
          <w:spacing w:val="-106"/>
          <w:w w:val="100"/>
        </w:rPr>
        <w:t>）</w:t>
      </w:r>
      <w:r>
        <w:rPr>
          <w:w w:val="100"/>
        </w:rPr>
        <w:t>，变</w:t>
      </w:r>
      <w:r>
        <w:rPr>
          <w:spacing w:val="-5"/>
          <w:w w:val="100"/>
        </w:rPr>
        <w:t>更</w:t>
      </w:r>
      <w:r>
        <w:rPr>
          <w:w w:val="100"/>
        </w:rPr>
        <w:t>后</w:t>
      </w:r>
      <w:r>
        <w:rPr>
          <w:spacing w:val="-5"/>
          <w:w w:val="100"/>
        </w:rPr>
        <w:t>的</w:t>
      </w:r>
      <w:r>
        <w:rPr>
          <w:w w:val="100"/>
        </w:rPr>
        <w:t>会计政策</w:t>
      </w:r>
      <w:r>
        <w:rPr>
          <w:spacing w:val="-5"/>
          <w:w w:val="100"/>
        </w:rPr>
        <w:t>详</w:t>
      </w:r>
      <w:r>
        <w:rPr>
          <w:w w:val="100"/>
        </w:rPr>
        <w:t>见附注</w:t>
      </w:r>
      <w:r>
        <w:rPr>
          <w:spacing w:val="-5"/>
          <w:w w:val="100"/>
        </w:rPr>
        <w:t>四</w:t>
      </w:r>
      <w:r>
        <w:rPr>
          <w:w w:val="100"/>
        </w:rPr>
        <w:t>。</w:t>
      </w:r>
    </w:p>
    <w:p>
      <w:pPr>
        <w:pStyle w:val="BodyText"/>
        <w:spacing w:line="350" w:lineRule="auto" w:before="46"/>
        <w:ind w:left="653" w:right="1122" w:firstLine="422"/>
        <w:jc w:val="both"/>
      </w:pPr>
      <w:r>
        <w:rPr>
          <w:spacing w:val="-2"/>
        </w:rPr>
        <w:t>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日之前的金融工具确认和计量与新金融工具准则要求不一致的，本公司按照新金融工具</w:t>
      </w:r>
      <w:r>
        <w:rPr>
          <w:w w:val="100"/>
        </w:rPr>
        <w:t> </w:t>
      </w:r>
      <w:r>
        <w:rPr>
          <w:spacing w:val="-2"/>
        </w:rPr>
        <w:t>准则的要求进行衔接调整。涉及前期比较财务报表数据与新金融工具准则要求不一致的，本公司未调整可</w:t>
      </w:r>
      <w:r>
        <w:rPr>
          <w:spacing w:val="-33"/>
        </w:rPr>
        <w:t> </w:t>
      </w:r>
      <w:r>
        <w:rPr>
          <w:spacing w:val="-33"/>
        </w:rPr>
      </w:r>
      <w:r>
        <w:rPr>
          <w:spacing w:val="-2"/>
        </w:rPr>
        <w:t>比期间信息。金融工具原账面价值和新金融工具准则施行日的新账面价值之间的差额，计入</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w:t>
      </w:r>
      <w:r>
        <w:rPr>
          <w:spacing w:val="-24"/>
        </w:rPr>
        <w:t> </w:t>
      </w:r>
      <w:r>
        <w:rPr/>
        <w:t>留存收益或其他综合收益。</w:t>
      </w:r>
    </w:p>
    <w:p>
      <w:pPr>
        <w:pStyle w:val="BodyText"/>
        <w:spacing w:line="240" w:lineRule="auto" w:before="32"/>
        <w:ind w:left="1013" w:right="1113"/>
        <w:jc w:val="left"/>
      </w:pPr>
      <w:r>
        <w:rPr/>
        <w:t>执行新金融工具准则对本期期初资产负债表相关项目的影响列示如下：</w:t>
      </w:r>
    </w:p>
    <w:p>
      <w:pPr>
        <w:spacing w:line="240" w:lineRule="auto" w:before="8"/>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012"/>
        <w:gridCol w:w="1724"/>
        <w:gridCol w:w="1503"/>
        <w:gridCol w:w="1589"/>
        <w:gridCol w:w="1815"/>
        <w:gridCol w:w="1830"/>
      </w:tblGrid>
      <w:tr>
        <w:trPr>
          <w:trHeight w:val="384" w:hRule="exact"/>
        </w:trPr>
        <w:tc>
          <w:tcPr>
            <w:tcW w:w="2012" w:type="dxa"/>
            <w:vMerge w:val="restart"/>
            <w:tcBorders>
              <w:top w:val="single" w:sz="6" w:space="0" w:color="000000"/>
              <w:left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4" w:type="dxa"/>
            <w:vMerge w:val="restart"/>
            <w:tcBorders>
              <w:top w:val="single" w:sz="6" w:space="0" w:color="000000"/>
              <w:left w:val="single" w:sz="6" w:space="0" w:color="000000"/>
              <w:right w:val="single" w:sz="6" w:space="0" w:color="000000"/>
            </w:tcBorders>
          </w:tcPr>
          <w:p>
            <w:pPr>
              <w:pStyle w:val="TableParagraph"/>
              <w:spacing w:line="270" w:lineRule="exact"/>
              <w:ind w:left="11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49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累积影响金额</w:t>
            </w:r>
          </w:p>
        </w:tc>
        <w:tc>
          <w:tcPr>
            <w:tcW w:w="1830" w:type="dxa"/>
            <w:vMerge w:val="restart"/>
            <w:tcBorders>
              <w:top w:val="single" w:sz="6" w:space="0" w:color="000000"/>
              <w:left w:val="single" w:sz="6" w:space="0" w:color="000000"/>
              <w:right w:val="single" w:sz="6" w:space="0" w:color="000000"/>
            </w:tcBorders>
          </w:tcPr>
          <w:p>
            <w:pPr>
              <w:pStyle w:val="TableParagraph"/>
              <w:spacing w:line="270" w:lineRule="exact"/>
              <w:ind w:left="27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r>
      <w:tr>
        <w:trPr>
          <w:trHeight w:val="974" w:hRule="exact"/>
        </w:trPr>
        <w:tc>
          <w:tcPr>
            <w:tcW w:w="2012"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22" w:right="321" w:firstLine="105"/>
              <w:jc w:val="left"/>
              <w:rPr>
                <w:rFonts w:ascii="宋体" w:hAnsi="宋体" w:cs="宋体" w:eastAsia="宋体" w:hint="default"/>
                <w:sz w:val="21"/>
                <w:szCs w:val="21"/>
              </w:rPr>
            </w:pPr>
            <w:r>
              <w:rPr>
                <w:rFonts w:ascii="宋体" w:hAnsi="宋体" w:cs="宋体" w:eastAsia="宋体" w:hint="default"/>
                <w:sz w:val="21"/>
                <w:szCs w:val="21"/>
              </w:rPr>
              <w:t>分类和</w:t>
            </w:r>
            <w:r>
              <w:rPr>
                <w:rFonts w:ascii="宋体" w:hAnsi="宋体" w:cs="宋体" w:eastAsia="宋体" w:hint="default"/>
                <w:w w:val="100"/>
                <w:sz w:val="21"/>
                <w:szCs w:val="21"/>
              </w:rPr>
              <w:t> </w:t>
            </w:r>
            <w:r>
              <w:rPr>
                <w:rFonts w:ascii="宋体" w:hAnsi="宋体" w:cs="宋体" w:eastAsia="宋体" w:hint="default"/>
                <w:sz w:val="21"/>
                <w:szCs w:val="21"/>
              </w:rPr>
              <w:t>计量影响</w:t>
            </w:r>
          </w:p>
          <w:p>
            <w:pPr>
              <w:pStyle w:val="TableParagraph"/>
              <w:spacing w:line="284" w:lineRule="exact"/>
              <w:ind w:left="375" w:right="0"/>
              <w:jc w:val="left"/>
              <w:rPr>
                <w:rFonts w:ascii="宋体" w:hAnsi="宋体" w:cs="宋体" w:eastAsia="宋体" w:hint="default"/>
                <w:sz w:val="22"/>
                <w:szCs w:val="22"/>
              </w:rPr>
            </w:pPr>
            <w:r>
              <w:rPr>
                <w:rFonts w:ascii="宋体" w:hAnsi="宋体" w:cs="宋体" w:eastAsia="宋体" w:hint="default"/>
                <w:i/>
                <w:sz w:val="22"/>
                <w:szCs w:val="22"/>
              </w:rPr>
              <w:t>（注</w:t>
            </w:r>
            <w:r>
              <w:rPr>
                <w:rFonts w:ascii="宋体" w:hAnsi="宋体" w:cs="宋体" w:eastAsia="宋体" w:hint="default"/>
                <w:i/>
                <w:sz w:val="22"/>
                <w:szCs w:val="22"/>
              </w:rPr>
              <w:t>1</w:t>
            </w:r>
            <w:r>
              <w:rPr>
                <w:rFonts w:ascii="宋体" w:hAnsi="宋体" w:cs="宋体" w:eastAsia="宋体" w:hint="default"/>
                <w:i/>
                <w:sz w:val="22"/>
                <w:szCs w:val="22"/>
              </w:rPr>
              <w:t>）</w:t>
            </w:r>
            <w:r>
              <w:rPr>
                <w:rFonts w:ascii="宋体" w:hAnsi="宋体" w:cs="宋体" w:eastAsia="宋体" w:hint="default"/>
                <w:sz w:val="22"/>
                <w:szCs w:val="22"/>
              </w:rPr>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69" w:right="358"/>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spacing w:val="-101"/>
                <w:sz w:val="21"/>
                <w:szCs w:val="21"/>
              </w:rPr>
              <w:t> </w:t>
            </w:r>
            <w:r>
              <w:rPr>
                <w:rFonts w:ascii="宋体" w:hAnsi="宋体" w:cs="宋体" w:eastAsia="宋体" w:hint="default"/>
                <w:sz w:val="21"/>
                <w:szCs w:val="21"/>
              </w:rPr>
              <w:t>减值影响</w:t>
            </w:r>
          </w:p>
          <w:p>
            <w:pPr>
              <w:pStyle w:val="TableParagraph"/>
              <w:spacing w:line="284" w:lineRule="exact"/>
              <w:ind w:left="422" w:right="0"/>
              <w:jc w:val="left"/>
              <w:rPr>
                <w:rFonts w:ascii="宋体" w:hAnsi="宋体" w:cs="宋体" w:eastAsia="宋体" w:hint="default"/>
                <w:sz w:val="22"/>
                <w:szCs w:val="22"/>
              </w:rPr>
            </w:pPr>
            <w:r>
              <w:rPr>
                <w:rFonts w:ascii="宋体" w:hAnsi="宋体" w:cs="宋体" w:eastAsia="宋体" w:hint="default"/>
                <w:i/>
                <w:sz w:val="22"/>
                <w:szCs w:val="22"/>
              </w:rPr>
              <w:t>（注</w:t>
            </w:r>
            <w:r>
              <w:rPr>
                <w:rFonts w:ascii="宋体" w:hAnsi="宋体" w:cs="宋体" w:eastAsia="宋体" w:hint="default"/>
                <w:i/>
                <w:sz w:val="22"/>
                <w:szCs w:val="22"/>
              </w:rPr>
              <w:t>2</w:t>
            </w:r>
            <w:r>
              <w:rPr>
                <w:rFonts w:ascii="宋体" w:hAnsi="宋体" w:cs="宋体" w:eastAsia="宋体" w:hint="default"/>
                <w:i/>
                <w:sz w:val="22"/>
                <w:szCs w:val="22"/>
              </w:rPr>
              <w:t>）</w:t>
            </w:r>
            <w:r>
              <w:rPr>
                <w:rFonts w:ascii="宋体" w:hAnsi="宋体" w:cs="宋体" w:eastAsia="宋体" w:hint="default"/>
                <w:sz w:val="22"/>
                <w:szCs w:val="22"/>
              </w:rPr>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30" w:type="dxa"/>
            <w:vMerge/>
            <w:tcBorders>
              <w:left w:val="single" w:sz="6" w:space="0" w:color="000000"/>
              <w:bottom w:val="single" w:sz="6" w:space="0" w:color="000000"/>
              <w:right w:val="single" w:sz="6" w:space="0" w:color="000000"/>
            </w:tcBorders>
          </w:tcPr>
          <w:p>
            <w:pPr/>
          </w:p>
        </w:tc>
      </w:tr>
      <w:tr>
        <w:trPr>
          <w:trHeight w:val="34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89,714,563.36</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-83,994,418.19</w:t>
            </w:r>
          </w:p>
        </w:tc>
        <w:tc>
          <w:tcPr>
            <w:tcW w:w="1589" w:type="dxa"/>
            <w:tcBorders>
              <w:top w:val="single" w:sz="6" w:space="0" w:color="000000"/>
              <w:left w:val="single" w:sz="6"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-83,994,418.19</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5,720,145.17</w:t>
            </w:r>
          </w:p>
        </w:tc>
      </w:tr>
      <w:tr>
        <w:trPr>
          <w:trHeight w:val="34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978,660,986.62</w:t>
            </w:r>
          </w:p>
        </w:tc>
        <w:tc>
          <w:tcPr>
            <w:tcW w:w="150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-74,393,612.21</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-74,393,612.21</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904,267,374.41</w:t>
            </w:r>
          </w:p>
        </w:tc>
      </w:tr>
      <w:tr>
        <w:trPr>
          <w:trHeight w:val="350"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724"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83,994,418.19</w:t>
            </w:r>
          </w:p>
        </w:tc>
        <w:tc>
          <w:tcPr>
            <w:tcW w:w="1589" w:type="dxa"/>
            <w:tcBorders>
              <w:top w:val="single" w:sz="6" w:space="0" w:color="000000"/>
              <w:left w:val="single" w:sz="6"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83,994,418.19</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83,994,418.19</w:t>
            </w:r>
          </w:p>
        </w:tc>
      </w:tr>
      <w:tr>
        <w:trPr>
          <w:trHeight w:val="34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123,865,514.97</w:t>
            </w:r>
          </w:p>
        </w:tc>
        <w:tc>
          <w:tcPr>
            <w:tcW w:w="150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-13,225,803.06</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-13,225,803.06</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110,639,711.91</w:t>
            </w:r>
          </w:p>
        </w:tc>
      </w:tr>
      <w:tr>
        <w:trPr>
          <w:trHeight w:val="34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6,000,000.00</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-6,000,000.00</w:t>
            </w:r>
          </w:p>
        </w:tc>
        <w:tc>
          <w:tcPr>
            <w:tcW w:w="1589" w:type="dxa"/>
            <w:tcBorders>
              <w:top w:val="single" w:sz="6" w:space="0" w:color="000000"/>
              <w:left w:val="single" w:sz="6"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-6,000,000.00</w:t>
            </w:r>
          </w:p>
        </w:tc>
        <w:tc>
          <w:tcPr>
            <w:tcW w:w="1830" w:type="dxa"/>
            <w:tcBorders>
              <w:top w:val="single" w:sz="6" w:space="0" w:color="000000"/>
              <w:left w:val="single" w:sz="6" w:space="0" w:color="000000"/>
              <w:bottom w:val="single" w:sz="6" w:space="0" w:color="000000"/>
              <w:right w:val="single" w:sz="6" w:space="0" w:color="000000"/>
            </w:tcBorders>
          </w:tcPr>
          <w:p>
            <w:pPr/>
          </w:p>
        </w:tc>
      </w:tr>
      <w:tr>
        <w:trPr>
          <w:trHeight w:val="351"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724"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5,000,000.00</w:t>
            </w:r>
          </w:p>
        </w:tc>
        <w:tc>
          <w:tcPr>
            <w:tcW w:w="1589" w:type="dxa"/>
            <w:tcBorders>
              <w:top w:val="single" w:sz="6" w:space="0" w:color="000000"/>
              <w:left w:val="single" w:sz="6"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5,000,000.00</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5,000,000.00</w:t>
            </w:r>
          </w:p>
        </w:tc>
      </w:tr>
      <w:tr>
        <w:trPr>
          <w:trHeight w:val="34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724" w:type="dxa"/>
            <w:tcBorders>
              <w:top w:val="single" w:sz="6" w:space="0" w:color="000000"/>
              <w:left w:val="single" w:sz="6" w:space="0" w:color="000000"/>
              <w:bottom w:val="single" w:sz="6" w:space="0" w:color="000000"/>
              <w:right w:val="single" w:sz="6" w:space="0" w:color="000000"/>
            </w:tcBorders>
          </w:tcPr>
          <w:p>
            <w:pP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2,703,743.81</w:t>
            </w:r>
          </w:p>
        </w:tc>
        <w:tc>
          <w:tcPr>
            <w:tcW w:w="1589" w:type="dxa"/>
            <w:tcBorders>
              <w:top w:val="single" w:sz="6" w:space="0" w:color="000000"/>
              <w:left w:val="single" w:sz="6"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2,703,743.81</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2,703,743.81</w:t>
            </w:r>
          </w:p>
        </w:tc>
      </w:tr>
      <w:tr>
        <w:trPr>
          <w:trHeight w:val="34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5"/>
              <w:jc w:val="right"/>
              <w:rPr>
                <w:rFonts w:ascii="宋体" w:hAnsi="宋体" w:cs="宋体" w:eastAsia="宋体" w:hint="default"/>
                <w:sz w:val="21"/>
                <w:szCs w:val="21"/>
              </w:rPr>
            </w:pPr>
            <w:r>
              <w:rPr>
                <w:rFonts w:ascii="宋体"/>
                <w:spacing w:val="-1"/>
                <w:sz w:val="21"/>
              </w:rPr>
              <w:t>73,558,396.02</w:t>
            </w:r>
          </w:p>
        </w:tc>
        <w:tc>
          <w:tcPr>
            <w:tcW w:w="150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5"/>
              <w:jc w:val="right"/>
              <w:rPr>
                <w:rFonts w:ascii="宋体" w:hAnsi="宋体" w:cs="宋体" w:eastAsia="宋体" w:hint="default"/>
                <w:sz w:val="21"/>
                <w:szCs w:val="21"/>
              </w:rPr>
            </w:pPr>
            <w:r>
              <w:rPr>
                <w:rFonts w:ascii="宋体"/>
                <w:spacing w:val="-1"/>
                <w:sz w:val="21"/>
              </w:rPr>
              <w:t>13,142,912.29</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5"/>
              <w:jc w:val="right"/>
              <w:rPr>
                <w:rFonts w:ascii="宋体" w:hAnsi="宋体" w:cs="宋体" w:eastAsia="宋体" w:hint="default"/>
                <w:sz w:val="21"/>
                <w:szCs w:val="21"/>
              </w:rPr>
            </w:pPr>
            <w:r>
              <w:rPr>
                <w:rFonts w:ascii="宋体"/>
                <w:spacing w:val="-1"/>
                <w:sz w:val="21"/>
              </w:rPr>
              <w:t>13,142,912.29</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5"/>
              <w:jc w:val="right"/>
              <w:rPr>
                <w:rFonts w:ascii="宋体" w:hAnsi="宋体" w:cs="宋体" w:eastAsia="宋体" w:hint="default"/>
                <w:sz w:val="21"/>
                <w:szCs w:val="21"/>
              </w:rPr>
            </w:pPr>
            <w:r>
              <w:rPr>
                <w:rFonts w:ascii="宋体"/>
                <w:spacing w:val="-1"/>
                <w:sz w:val="21"/>
              </w:rPr>
              <w:t>86,701,308.31</w:t>
            </w:r>
          </w:p>
        </w:tc>
      </w:tr>
    </w:tbl>
    <w:p>
      <w:pPr>
        <w:spacing w:after="0" w:line="269" w:lineRule="exact"/>
        <w:jc w:val="right"/>
        <w:rPr>
          <w:rFonts w:ascii="宋体" w:hAnsi="宋体" w:cs="宋体" w:eastAsia="宋体" w:hint="default"/>
          <w:sz w:val="21"/>
          <w:szCs w:val="21"/>
        </w:rPr>
        <w:sectPr>
          <w:pgSz w:w="11910" w:h="16840"/>
          <w:pgMar w:header="906" w:footer="1022" w:top="1100" w:bottom="1220" w:left="480" w:right="0"/>
        </w:sectPr>
      </w:pPr>
    </w:p>
    <w:p>
      <w:pPr>
        <w:spacing w:line="240" w:lineRule="auto" w:before="7"/>
        <w:rPr>
          <w:rFonts w:ascii="宋体" w:hAnsi="宋体" w:cs="宋体" w:eastAsia="宋体" w:hint="default"/>
          <w:sz w:val="25"/>
          <w:szCs w:val="25"/>
        </w:rPr>
      </w:pPr>
    </w:p>
    <w:tbl>
      <w:tblPr>
        <w:tblW w:w="0" w:type="auto"/>
        <w:jc w:val="left"/>
        <w:tblInd w:w="115" w:type="dxa"/>
        <w:tblLayout w:type="fixed"/>
        <w:tblCellMar>
          <w:top w:w="0" w:type="dxa"/>
          <w:left w:w="0" w:type="dxa"/>
          <w:bottom w:w="0" w:type="dxa"/>
          <w:right w:w="0" w:type="dxa"/>
        </w:tblCellMar>
        <w:tblLook w:val="01E0"/>
      </w:tblPr>
      <w:tblGrid>
        <w:gridCol w:w="2012"/>
        <w:gridCol w:w="1724"/>
        <w:gridCol w:w="1503"/>
        <w:gridCol w:w="1589"/>
        <w:gridCol w:w="1815"/>
        <w:gridCol w:w="1830"/>
      </w:tblGrid>
      <w:tr>
        <w:trPr>
          <w:trHeight w:val="34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81"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6,240,132,080.69</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1,703,743.81</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-74,476,502.98</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-72,772,759.17</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6,167,359,321.52</w:t>
            </w:r>
          </w:p>
        </w:tc>
      </w:tr>
      <w:tr>
        <w:trPr>
          <w:trHeight w:val="350"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14,207,262.92</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255,561.57</w:t>
            </w:r>
          </w:p>
        </w:tc>
        <w:tc>
          <w:tcPr>
            <w:tcW w:w="1589" w:type="dxa"/>
            <w:tcBorders>
              <w:top w:val="single" w:sz="6" w:space="0" w:color="000000"/>
              <w:left w:val="single" w:sz="6"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255,561.57</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14,462,824.49</w:t>
            </w:r>
          </w:p>
        </w:tc>
      </w:tr>
      <w:tr>
        <w:trPr>
          <w:trHeight w:val="34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8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1,822,695,792.75</w:t>
            </w:r>
          </w:p>
        </w:tc>
        <w:tc>
          <w:tcPr>
            <w:tcW w:w="15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255,561.57</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w w:val="100"/>
                <w:sz w:val="21"/>
              </w:rPr>
              <w:t>-</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255,561.57</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1,822,951,354.32</w:t>
            </w:r>
          </w:p>
        </w:tc>
      </w:tr>
      <w:tr>
        <w:trPr>
          <w:trHeight w:val="34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52,516,251.69</w:t>
            </w:r>
          </w:p>
        </w:tc>
        <w:tc>
          <w:tcPr>
            <w:tcW w:w="150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-937,389.57</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-937,389.57</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51,578,862.12</w:t>
            </w:r>
          </w:p>
        </w:tc>
      </w:tr>
      <w:tr>
        <w:trPr>
          <w:trHeight w:val="346"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782,617,386.60</w:t>
            </w:r>
          </w:p>
        </w:tc>
        <w:tc>
          <w:tcPr>
            <w:tcW w:w="150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-72,090,931.17</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-72,090,931.17</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710,526,455.43</w:t>
            </w:r>
          </w:p>
        </w:tc>
      </w:tr>
      <w:tr>
        <w:trPr>
          <w:trHeight w:val="350" w:hRule="exact"/>
        </w:trPr>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6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4,417,436,287.94</w:t>
            </w:r>
          </w:p>
        </w:tc>
        <w:tc>
          <w:tcPr>
            <w:tcW w:w="1503"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-73,028,320.74</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-73,028,320.74</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
              <w:jc w:val="right"/>
              <w:rPr>
                <w:rFonts w:ascii="宋体" w:hAnsi="宋体" w:cs="宋体" w:eastAsia="宋体" w:hint="default"/>
                <w:sz w:val="21"/>
                <w:szCs w:val="21"/>
              </w:rPr>
            </w:pPr>
            <w:r>
              <w:rPr>
                <w:rFonts w:ascii="宋体"/>
                <w:spacing w:val="-1"/>
                <w:sz w:val="21"/>
              </w:rPr>
              <w:t>4,344,407,967.20</w:t>
            </w:r>
          </w:p>
        </w:tc>
      </w:tr>
    </w:tbl>
    <w:p>
      <w:pPr>
        <w:pStyle w:val="BodyText"/>
        <w:spacing w:line="348" w:lineRule="auto" w:before="76"/>
        <w:ind w:left="653" w:right="1125" w:firstLine="422"/>
        <w:jc w:val="both"/>
      </w:pPr>
      <w:r>
        <w:rPr>
          <w:spacing w:val="-2"/>
        </w:rPr>
        <w:t>注：上表仅呈列受影响的财务报表项目，不受影响的财务报表项目不包括在内，因此所披露的小计和</w:t>
      </w:r>
      <w:r>
        <w:rPr>
          <w:w w:val="100"/>
        </w:rPr>
        <w:t> </w:t>
      </w:r>
      <w:r>
        <w:rPr/>
        <w:t>合计无法根据上表中呈列的数字重新计算得出。</w:t>
      </w:r>
    </w:p>
    <w:p>
      <w:pPr>
        <w:pStyle w:val="BodyText"/>
        <w:spacing w:line="348" w:lineRule="auto" w:before="34"/>
        <w:ind w:left="1013" w:right="1131" w:firstLine="62"/>
        <w:jc w:val="left"/>
      </w:pPr>
      <w:r>
        <w:rPr/>
        <w:t>注</w:t>
      </w:r>
      <w:r>
        <w:rPr>
          <w:rFonts w:ascii="宋体" w:hAnsi="宋体" w:cs="宋体" w:eastAsia="宋体" w:hint="default"/>
        </w:rPr>
        <w:t>1</w:t>
      </w:r>
      <w:r>
        <w:rPr/>
        <w:t>：执行本准则对首次执行日财务报表相关项目重分类情况说明：</w:t>
      </w:r>
      <w:r>
        <w:rPr>
          <w:w w:val="100"/>
        </w:rPr>
        <w:t> </w:t>
      </w:r>
      <w:r>
        <w:rPr/>
        <w:t>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日，账面价值</w:t>
      </w:r>
      <w:r>
        <w:rPr>
          <w:rFonts w:ascii="宋体" w:hAnsi="宋体" w:cs="宋体" w:eastAsia="宋体" w:hint="default"/>
        </w:rPr>
        <w:t>83,994,418.19</w:t>
      </w:r>
      <w:r>
        <w:rPr/>
        <w:t>元的以前年度被分类为摊余成本计量的应收票据</w:t>
      </w:r>
      <w:r>
        <w:rPr>
          <w:rFonts w:ascii="Times New Roman" w:hAnsi="Times New Roman" w:cs="Times New Roman" w:eastAsia="Times New Roman" w:hint="default"/>
        </w:rPr>
        <w:t>-</w:t>
      </w:r>
      <w:r>
        <w:rPr/>
        <w:t>银行承兑</w:t>
      </w:r>
    </w:p>
    <w:p>
      <w:pPr>
        <w:pStyle w:val="BodyText"/>
        <w:spacing w:line="352" w:lineRule="auto" w:before="3"/>
        <w:ind w:left="653" w:right="1017"/>
        <w:jc w:val="left"/>
      </w:pPr>
      <w:r>
        <w:rPr/>
        <w:t>汇票，本公司管理该资产的业务模式是收取合同现金流量和出售两者兼有，应分类为“以公允价值计量且</w:t>
      </w:r>
      <w:r>
        <w:rPr>
          <w:w w:val="100"/>
        </w:rPr>
        <w:t> </w:t>
      </w:r>
      <w:r>
        <w:rPr>
          <w:spacing w:val="-6"/>
          <w:w w:val="100"/>
        </w:rPr>
        <w:t>其变动计入其他综合收益的金融资产”，因此该部分金额从应收票据</w:t>
      </w:r>
      <w:r>
        <w:rPr>
          <w:rFonts w:ascii="Times New Roman" w:hAnsi="Times New Roman" w:cs="Times New Roman" w:eastAsia="Times New Roman" w:hint="default"/>
          <w:spacing w:val="-6"/>
          <w:w w:val="100"/>
        </w:rPr>
        <w:t>-</w:t>
      </w:r>
      <w:r>
        <w:rPr>
          <w:spacing w:val="-6"/>
          <w:w w:val="100"/>
        </w:rPr>
        <w:t>银行承兑汇票重分类至应收款项融资。</w:t>
      </w:r>
    </w:p>
    <w:p>
      <w:pPr>
        <w:pStyle w:val="BodyText"/>
        <w:spacing w:line="348" w:lineRule="auto" w:before="0"/>
        <w:ind w:left="653" w:right="1122" w:firstLine="360"/>
        <w:jc w:val="both"/>
      </w:pPr>
      <w:r>
        <w:rPr>
          <w:spacing w:val="-1"/>
        </w:rPr>
        <w:t>账面价值</w:t>
      </w:r>
      <w:r>
        <w:rPr>
          <w:rFonts w:ascii="宋体" w:hAnsi="宋体" w:cs="宋体" w:eastAsia="宋体" w:hint="default"/>
          <w:spacing w:val="-1"/>
        </w:rPr>
        <w:t>5,000,000.00</w:t>
      </w:r>
      <w:r>
        <w:rPr>
          <w:spacing w:val="-1"/>
        </w:rPr>
        <w:t>元的股权投资以前年度在可供出售金融资产中按成本法核算，本公司将该股权</w:t>
      </w:r>
      <w:r>
        <w:rPr>
          <w:w w:val="100"/>
        </w:rPr>
        <w:t> </w:t>
      </w:r>
      <w:r>
        <w:rPr>
          <w:spacing w:val="-2"/>
        </w:rPr>
        <w:t>投资指定为以公允价值计量且其变动计入其他综合收益的金融资产，在其他权益工具投资项下列报，因此</w:t>
      </w:r>
      <w:r>
        <w:rPr>
          <w:spacing w:val="-33"/>
        </w:rPr>
        <w:t> </w:t>
      </w:r>
      <w:r>
        <w:rPr>
          <w:spacing w:val="-33"/>
        </w:rPr>
      </w:r>
      <w:r>
        <w:rPr>
          <w:spacing w:val="-2"/>
        </w:rPr>
        <w:t>该部分金额从可供出售金融资产重分类至其他权益工具投资。该项投资非交易目的股权投资且无活跃的交</w:t>
      </w:r>
      <w:r>
        <w:rPr>
          <w:spacing w:val="-33"/>
        </w:rPr>
        <w:t> </w:t>
      </w:r>
      <w:r>
        <w:rPr>
          <w:spacing w:val="-33"/>
        </w:rPr>
      </w:r>
      <w:r>
        <w:rPr>
          <w:spacing w:val="-2"/>
        </w:rPr>
        <w:t>易市场及可观察市价，公司认为被投资单位所处环境、经营及财务状况变化不大，故将成本作为其公允价</w:t>
      </w:r>
      <w:r>
        <w:rPr>
          <w:spacing w:val="-30"/>
        </w:rPr>
        <w:t> </w:t>
      </w:r>
      <w:r>
        <w:rPr>
          <w:spacing w:val="-30"/>
        </w:rPr>
      </w:r>
      <w:r>
        <w:rPr/>
        <w:t>值的恰当估计。</w:t>
      </w:r>
    </w:p>
    <w:p>
      <w:pPr>
        <w:pStyle w:val="BodyText"/>
        <w:spacing w:line="345" w:lineRule="auto" w:before="34"/>
        <w:ind w:left="653" w:right="1106" w:firstLine="360"/>
        <w:jc w:val="both"/>
      </w:pPr>
      <w:r>
        <w:rPr/>
        <w:t>账面价值</w:t>
      </w:r>
      <w:r>
        <w:rPr>
          <w:rFonts w:ascii="宋体" w:hAnsi="宋体" w:cs="宋体" w:eastAsia="宋体" w:hint="default"/>
        </w:rPr>
        <w:t>1,000,000.00</w:t>
      </w:r>
      <w:r>
        <w:rPr/>
        <w:t>元的股权投资以前年度在可供出售金融资产中按成本法核算，本公司持有该股</w:t>
      </w:r>
      <w:r>
        <w:rPr>
          <w:w w:val="100"/>
        </w:rPr>
        <w:t> </w:t>
      </w:r>
      <w:r>
        <w:rPr>
          <w:spacing w:val="-2"/>
        </w:rPr>
        <w:t>权的目的为出售，因此该部分金额从可供出售金融资产重分类至其他非流动金融资产。公司采用可比公司</w:t>
      </w:r>
      <w:r>
        <w:rPr>
          <w:spacing w:val="-33"/>
        </w:rPr>
        <w:t> </w:t>
      </w:r>
      <w:r>
        <w:rPr>
          <w:spacing w:val="-33"/>
        </w:rPr>
      </w:r>
      <w:r>
        <w:rPr>
          <w:spacing w:val="-2"/>
        </w:rPr>
        <w:t>法选择与目标公司重要财务指标类似的相同行业的可比公司，将可比公司的市净率经综合修正后的价值比</w:t>
      </w:r>
      <w:r>
        <w:rPr>
          <w:spacing w:val="-33"/>
        </w:rPr>
        <w:t> </w:t>
      </w:r>
      <w:r>
        <w:rPr>
          <w:spacing w:val="-33"/>
        </w:rPr>
      </w:r>
      <w:r>
        <w:rPr>
          <w:spacing w:val="-2"/>
        </w:rPr>
        <w:t>率乘数加权平均值作为目标公司价值比率乘数并考虑流动性折扣，采用上市公司比较法计算其公允价值。</w:t>
      </w:r>
      <w:r>
        <w:rPr>
          <w:spacing w:val="-13"/>
        </w:rPr>
        <w:t> </w:t>
      </w:r>
      <w:r>
        <w:rPr>
          <w:spacing w:val="-13"/>
        </w:rPr>
      </w:r>
      <w:r>
        <w:rPr>
          <w:spacing w:val="-2"/>
        </w:rPr>
        <w:t>增加公允价值变动损益</w:t>
      </w:r>
      <w:r>
        <w:rPr>
          <w:rFonts w:ascii="宋体" w:hAnsi="宋体" w:cs="宋体" w:eastAsia="宋体" w:hint="default"/>
          <w:spacing w:val="-2"/>
        </w:rPr>
        <w:t>1,703,743.81</w:t>
      </w:r>
      <w:r>
        <w:rPr>
          <w:spacing w:val="-2"/>
        </w:rPr>
        <w:t>元，同时增加其他非流动金融资产账面价值；因“其他非流动金融资</w:t>
      </w:r>
      <w:r>
        <w:rPr>
          <w:spacing w:val="-19"/>
        </w:rPr>
        <w:t> </w:t>
      </w:r>
      <w:r>
        <w:rPr>
          <w:spacing w:val="-19"/>
        </w:rPr>
      </w:r>
      <w:r>
        <w:rPr>
          <w:spacing w:val="-3"/>
        </w:rPr>
        <w:t>产</w:t>
      </w:r>
      <w:r>
        <w:rPr>
          <w:rFonts w:ascii="Times New Roman" w:hAnsi="Times New Roman" w:cs="Times New Roman" w:eastAsia="Times New Roman" w:hint="default"/>
          <w:spacing w:val="-3"/>
        </w:rPr>
        <w:t>-</w:t>
      </w:r>
      <w:r>
        <w:rPr>
          <w:spacing w:val="-3"/>
        </w:rPr>
        <w:t>公允价值变动”金额增加，增加递延所得税负责</w:t>
      </w:r>
      <w:r>
        <w:rPr>
          <w:rFonts w:ascii="宋体" w:hAnsi="宋体" w:cs="宋体" w:eastAsia="宋体" w:hint="default"/>
          <w:spacing w:val="-3"/>
        </w:rPr>
        <w:t>255,561.57</w:t>
      </w:r>
      <w:r>
        <w:rPr>
          <w:spacing w:val="-3"/>
        </w:rPr>
        <w:t>元，增加盈余公积</w:t>
      </w:r>
      <w:r>
        <w:rPr>
          <w:rFonts w:ascii="宋体" w:hAnsi="宋体" w:cs="宋体" w:eastAsia="宋体" w:hint="default"/>
          <w:spacing w:val="-3"/>
        </w:rPr>
        <w:t>144,818.22</w:t>
      </w:r>
      <w:r>
        <w:rPr>
          <w:spacing w:val="-3"/>
        </w:rPr>
        <w:t>元，增加未分</w:t>
      </w:r>
      <w:r>
        <w:rPr>
          <w:spacing w:val="-22"/>
        </w:rPr>
        <w:t> </w:t>
      </w:r>
      <w:r>
        <w:rPr>
          <w:spacing w:val="-22"/>
        </w:rPr>
      </w:r>
      <w:r>
        <w:rPr/>
        <w:t>配利润</w:t>
      </w:r>
      <w:r>
        <w:rPr>
          <w:rFonts w:ascii="宋体" w:hAnsi="宋体" w:cs="宋体" w:eastAsia="宋体" w:hint="default"/>
        </w:rPr>
        <w:t>1,303,364.02</w:t>
      </w:r>
      <w:r>
        <w:rPr/>
        <w:t>元。</w:t>
      </w:r>
    </w:p>
    <w:p>
      <w:pPr>
        <w:pStyle w:val="BodyText"/>
        <w:spacing w:line="350" w:lineRule="auto" w:before="31"/>
        <w:ind w:left="653" w:right="1122" w:firstLine="360"/>
        <w:jc w:val="both"/>
      </w:pPr>
      <w:r>
        <w:rPr>
          <w:spacing w:val="-3"/>
        </w:rPr>
        <w:t>注</w:t>
      </w:r>
      <w:r>
        <w:rPr>
          <w:rFonts w:ascii="宋体" w:hAnsi="宋体" w:cs="宋体" w:eastAsia="宋体" w:hint="default"/>
          <w:spacing w:val="-3"/>
        </w:rPr>
        <w:t>2</w:t>
      </w:r>
      <w:r>
        <w:rPr>
          <w:spacing w:val="-3"/>
        </w:rPr>
        <w:t>：执行本准则对首次执行日财务报表相关项目按预期信用损失重新计量减值的情况说明：增加应收</w:t>
      </w:r>
      <w:r>
        <w:rPr>
          <w:w w:val="100"/>
        </w:rPr>
        <w:t> </w:t>
      </w:r>
      <w:r>
        <w:rPr/>
        <w:t>账款和其他应收款预期信用损失</w:t>
      </w:r>
      <w:r>
        <w:rPr>
          <w:rFonts w:ascii="宋体" w:hAnsi="宋体" w:cs="宋体" w:eastAsia="宋体" w:hint="default"/>
        </w:rPr>
        <w:t>87,619,415.27</w:t>
      </w:r>
      <w:r>
        <w:rPr/>
        <w:t>元，同时减少应收账款和其他应收款账面价值；因预期信</w:t>
      </w:r>
      <w:r>
        <w:rPr>
          <w:spacing w:val="-30"/>
        </w:rPr>
        <w:t> </w:t>
      </w:r>
      <w:r>
        <w:rPr>
          <w:spacing w:val="-30"/>
        </w:rPr>
      </w:r>
      <w:r>
        <w:rPr/>
        <w:t>用损失金额增加，增加递延所得税资产金额</w:t>
      </w:r>
      <w:r>
        <w:rPr>
          <w:rFonts w:ascii="宋体" w:hAnsi="宋体" w:cs="宋体" w:eastAsia="宋体" w:hint="default"/>
        </w:rPr>
        <w:t>13,142,912.29</w:t>
      </w:r>
      <w:r>
        <w:rPr/>
        <w:t>元，减少盈余公积</w:t>
      </w:r>
      <w:r>
        <w:rPr>
          <w:rFonts w:ascii="宋体" w:hAnsi="宋体" w:cs="宋体" w:eastAsia="宋体" w:hint="default"/>
        </w:rPr>
        <w:t>1,082,207.79</w:t>
      </w:r>
      <w:r>
        <w:rPr/>
        <w:t>元，减少未分</w:t>
      </w:r>
      <w:r>
        <w:rPr>
          <w:spacing w:val="-22"/>
        </w:rPr>
        <w:t> </w:t>
      </w:r>
      <w:r>
        <w:rPr>
          <w:spacing w:val="-22"/>
        </w:rPr>
      </w:r>
      <w:r>
        <w:rPr/>
        <w:t>配利润</w:t>
      </w:r>
      <w:r>
        <w:rPr>
          <w:rFonts w:ascii="宋体" w:hAnsi="宋体" w:cs="宋体" w:eastAsia="宋体" w:hint="default"/>
        </w:rPr>
        <w:t>73,394,295.19</w:t>
      </w:r>
      <w:r>
        <w:rPr/>
        <w:t>元。</w:t>
      </w:r>
    </w:p>
    <w:p>
      <w:pPr>
        <w:pStyle w:val="Heading5"/>
        <w:spacing w:line="240" w:lineRule="auto" w:before="147"/>
        <w:ind w:left="1013" w:right="1113"/>
        <w:jc w:val="left"/>
        <w:rPr>
          <w:b w:val="0"/>
          <w:bCs w:val="0"/>
        </w:rPr>
      </w:pPr>
      <w:r>
        <w:rPr/>
        <w:t>（</w:t>
      </w:r>
      <w:r>
        <w:rPr>
          <w:rFonts w:ascii="宋体" w:hAnsi="宋体" w:cs="宋体" w:eastAsia="宋体" w:hint="default"/>
        </w:rPr>
        <w:t>2</w:t>
      </w:r>
      <w:r>
        <w:rPr/>
        <w:t>）执行新债务重组及非货币性资产交换准则对本公司的影响</w:t>
      </w:r>
      <w:r>
        <w:rPr>
          <w:b w:val="0"/>
          <w:bCs w:val="0"/>
        </w:rPr>
      </w:r>
    </w:p>
    <w:p>
      <w:pPr>
        <w:pStyle w:val="BodyText"/>
        <w:spacing w:line="350" w:lineRule="auto" w:before="128"/>
        <w:ind w:left="653" w:right="1123" w:firstLine="360"/>
        <w:jc w:val="both"/>
      </w:pPr>
      <w:r>
        <w:rPr/>
        <w:t>本公司自</w:t>
      </w:r>
      <w:r>
        <w:rPr>
          <w:rFonts w:ascii="宋体" w:hAnsi="宋体" w:cs="宋体" w:eastAsia="宋体" w:hint="default"/>
        </w:rPr>
        <w:t>2019 </w:t>
      </w:r>
      <w:r>
        <w:rPr/>
        <w:t>年</w:t>
      </w:r>
      <w:r>
        <w:rPr>
          <w:rFonts w:ascii="宋体" w:hAnsi="宋体" w:cs="宋体" w:eastAsia="宋体" w:hint="default"/>
        </w:rPr>
        <w:t>6 </w:t>
      </w:r>
      <w:r>
        <w:rPr/>
        <w:t>月</w:t>
      </w:r>
      <w:r>
        <w:rPr>
          <w:rFonts w:ascii="宋体" w:hAnsi="宋体" w:cs="宋体" w:eastAsia="宋体" w:hint="default"/>
        </w:rPr>
        <w:t>10 </w:t>
      </w:r>
      <w:r>
        <w:rPr>
          <w:spacing w:val="2"/>
        </w:rPr>
        <w:t>日起执行财政部</w:t>
      </w:r>
      <w:r>
        <w:rPr>
          <w:rFonts w:ascii="宋体" w:hAnsi="宋体" w:cs="宋体" w:eastAsia="宋体" w:hint="default"/>
          <w:spacing w:val="2"/>
        </w:rPr>
        <w:t>2019</w:t>
      </w:r>
      <w:r>
        <w:rPr>
          <w:spacing w:val="2"/>
        </w:rPr>
        <w:t>年修订的《企业会计准则第</w:t>
      </w:r>
      <w:r>
        <w:rPr>
          <w:rFonts w:ascii="宋体" w:hAnsi="宋体" w:cs="宋体" w:eastAsia="宋体" w:hint="default"/>
          <w:spacing w:val="2"/>
        </w:rPr>
        <w:t>7</w:t>
      </w:r>
      <w:r>
        <w:rPr>
          <w:rFonts w:ascii="宋体" w:hAnsi="宋体" w:cs="宋体" w:eastAsia="宋体" w:hint="default"/>
          <w:spacing w:val="28"/>
        </w:rPr>
        <w:t> </w:t>
      </w:r>
      <w:r>
        <w:rPr>
          <w:spacing w:val="3"/>
        </w:rPr>
        <w:t>号——非货币性资产交</w:t>
      </w:r>
      <w:r>
        <w:rPr>
          <w:spacing w:val="4"/>
          <w:w w:val="100"/>
        </w:rPr>
        <w:t> </w:t>
      </w:r>
      <w:r>
        <w:rPr>
          <w:spacing w:val="-13"/>
          <w:w w:val="100"/>
        </w:rPr>
        <w:t>换》，自</w:t>
      </w:r>
      <w:r>
        <w:rPr>
          <w:rFonts w:ascii="宋体" w:hAnsi="宋体" w:cs="宋体" w:eastAsia="宋体" w:hint="default"/>
          <w:spacing w:val="-13"/>
          <w:w w:val="100"/>
        </w:rPr>
        <w:t>2019</w:t>
      </w:r>
      <w:r>
        <w:rPr>
          <w:rFonts w:ascii="宋体" w:hAnsi="宋体" w:cs="宋体" w:eastAsia="宋体" w:hint="default"/>
          <w:w w:val="100"/>
        </w:rPr>
        <w:t> </w:t>
      </w:r>
      <w:r>
        <w:rPr>
          <w:w w:val="100"/>
        </w:rPr>
        <w:t>年</w:t>
      </w:r>
      <w:r>
        <w:rPr>
          <w:rFonts w:ascii="宋体" w:hAnsi="宋体" w:cs="宋体" w:eastAsia="宋体" w:hint="default"/>
          <w:w w:val="100"/>
        </w:rPr>
        <w:t>6 </w:t>
      </w:r>
      <w:r>
        <w:rPr>
          <w:w w:val="100"/>
        </w:rPr>
        <w:t>月</w:t>
      </w:r>
      <w:r>
        <w:rPr>
          <w:rFonts w:ascii="宋体" w:hAnsi="宋体" w:cs="宋体" w:eastAsia="宋体" w:hint="default"/>
          <w:w w:val="100"/>
        </w:rPr>
        <w:t>17 </w:t>
      </w:r>
      <w:r>
        <w:rPr>
          <w:w w:val="100"/>
        </w:rPr>
        <w:t>日起执行财政部</w:t>
      </w:r>
      <w:r>
        <w:rPr>
          <w:rFonts w:ascii="宋体" w:hAnsi="宋体" w:cs="宋体" w:eastAsia="宋体" w:hint="default"/>
          <w:w w:val="100"/>
        </w:rPr>
        <w:t>2019</w:t>
      </w:r>
      <w:r>
        <w:rPr>
          <w:w w:val="100"/>
        </w:rPr>
        <w:t>年修订的《企业会计准则第</w:t>
      </w:r>
      <w:r>
        <w:rPr>
          <w:rFonts w:ascii="宋体" w:hAnsi="宋体" w:cs="宋体" w:eastAsia="宋体" w:hint="default"/>
          <w:w w:val="100"/>
        </w:rPr>
        <w:t>12</w:t>
      </w:r>
      <w:r>
        <w:rPr>
          <w:rFonts w:ascii="宋体" w:hAnsi="宋体" w:cs="宋体" w:eastAsia="宋体" w:hint="default"/>
          <w:spacing w:val="16"/>
          <w:w w:val="100"/>
        </w:rPr>
        <w:t> </w:t>
      </w:r>
      <w:r>
        <w:rPr>
          <w:spacing w:val="-8"/>
          <w:w w:val="100"/>
        </w:rPr>
        <w:t>号——债务重组》。该项会计</w:t>
      </w:r>
      <w:r>
        <w:rPr>
          <w:w w:val="100"/>
        </w:rPr>
        <w:t> </w:t>
      </w:r>
      <w:r>
        <w:rPr>
          <w:spacing w:val="-2"/>
        </w:rPr>
        <w:t>政策变更采用未来适用法处理，并根据准则的规定对于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日至准则实施日之间发生的非货币性资</w:t>
      </w:r>
      <w:r>
        <w:rPr>
          <w:spacing w:val="-25"/>
        </w:rPr>
        <w:t> </w:t>
      </w:r>
      <w:r>
        <w:rPr>
          <w:spacing w:val="-25"/>
        </w:rPr>
      </w:r>
      <w:r>
        <w:rPr/>
        <w:t>产交换和债务重组进行调整。</w:t>
      </w:r>
    </w:p>
    <w:p>
      <w:pPr>
        <w:spacing w:line="453" w:lineRule="auto" w:before="27"/>
        <w:ind w:left="1013" w:right="3754" w:firstLine="0"/>
        <w:jc w:val="left"/>
        <w:rPr>
          <w:rFonts w:ascii="宋体" w:hAnsi="宋体" w:cs="宋体" w:eastAsia="宋体" w:hint="default"/>
          <w:sz w:val="21"/>
          <w:szCs w:val="21"/>
        </w:rPr>
      </w:pPr>
      <w:r>
        <w:rPr>
          <w:rFonts w:ascii="宋体" w:hAnsi="宋体" w:cs="宋体" w:eastAsia="宋体" w:hint="default"/>
          <w:spacing w:val="-2"/>
          <w:sz w:val="21"/>
          <w:szCs w:val="21"/>
        </w:rPr>
        <w:t>本公司执行上述准则对本报告期内财务报表无重大影响。</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sz w:val="21"/>
          <w:szCs w:val="21"/>
        </w:rPr>
      </w:r>
    </w:p>
    <w:p>
      <w:pPr>
        <w:spacing w:after="0" w:line="453" w:lineRule="auto"/>
        <w:jc w:val="left"/>
        <w:rPr>
          <w:rFonts w:ascii="宋体" w:hAnsi="宋体" w:cs="宋体" w:eastAsia="宋体" w:hint="default"/>
          <w:sz w:val="21"/>
          <w:szCs w:val="21"/>
        </w:rPr>
        <w:sectPr>
          <w:pgSz w:w="11910" w:h="16840"/>
          <w:pgMar w:header="906" w:footer="1022" w:top="1100" w:bottom="1220" w:left="480" w:right="0"/>
        </w:sectPr>
      </w:pPr>
    </w:p>
    <w:p>
      <w:pPr>
        <w:spacing w:line="240" w:lineRule="auto" w:before="8"/>
        <w:rPr>
          <w:rFonts w:ascii="宋体" w:hAnsi="宋体" w:cs="宋体" w:eastAsia="宋体" w:hint="default"/>
          <w:b/>
          <w:bCs/>
          <w:sz w:val="28"/>
          <w:szCs w:val="28"/>
        </w:rPr>
      </w:pPr>
    </w:p>
    <w:p>
      <w:pPr>
        <w:pStyle w:val="BodyText"/>
        <w:spacing w:line="240" w:lineRule="auto"/>
        <w:ind w:left="473" w:right="1002"/>
        <w:jc w:val="left"/>
      </w:pPr>
      <w:r>
        <w:rPr/>
        <w:t>本报告期主要会计估计未发生变更。</w:t>
      </w:r>
    </w:p>
    <w:p>
      <w:pPr>
        <w:spacing w:line="240" w:lineRule="auto" w:before="4"/>
        <w:rPr>
          <w:rFonts w:ascii="宋体" w:hAnsi="宋体" w:cs="宋体" w:eastAsia="宋体" w:hint="default"/>
          <w:sz w:val="23"/>
          <w:szCs w:val="23"/>
        </w:rPr>
      </w:pPr>
    </w:p>
    <w:p>
      <w:pPr>
        <w:pStyle w:val="Heading2"/>
        <w:spacing w:line="240" w:lineRule="auto"/>
        <w:ind w:right="1002"/>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8"/>
        <w:rPr>
          <w:rFonts w:ascii="宋体" w:hAnsi="宋体" w:cs="宋体" w:eastAsia="宋体" w:hint="default"/>
          <w:b/>
          <w:bCs/>
          <w:sz w:val="27"/>
          <w:szCs w:val="27"/>
        </w:rPr>
      </w:pPr>
    </w:p>
    <w:p>
      <w:pPr>
        <w:spacing w:line="357" w:lineRule="auto" w:before="0"/>
        <w:ind w:left="113" w:right="573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公司报告期无重大会计差错更正需追溯重述的情况。</w:t>
      </w:r>
    </w:p>
    <w:p>
      <w:pPr>
        <w:spacing w:line="240" w:lineRule="auto" w:before="3"/>
        <w:rPr>
          <w:rFonts w:ascii="宋体" w:hAnsi="宋体" w:cs="宋体" w:eastAsia="宋体" w:hint="default"/>
          <w:sz w:val="17"/>
          <w:szCs w:val="17"/>
        </w:rPr>
      </w:pPr>
    </w:p>
    <w:p>
      <w:pPr>
        <w:pStyle w:val="Heading2"/>
        <w:spacing w:line="240" w:lineRule="auto"/>
        <w:ind w:right="1002"/>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8"/>
        <w:rPr>
          <w:rFonts w:ascii="宋体" w:hAnsi="宋体" w:cs="宋体" w:eastAsia="宋体" w:hint="default"/>
          <w:b/>
          <w:bCs/>
          <w:sz w:val="27"/>
          <w:szCs w:val="27"/>
        </w:rPr>
      </w:pPr>
    </w:p>
    <w:p>
      <w:pPr>
        <w:spacing w:line="357" w:lineRule="auto" w:before="0"/>
        <w:ind w:left="473" w:right="3345" w:hanging="36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本期纳入合并财务报表范围的主体较上期相比，增加</w:t>
      </w:r>
      <w:r>
        <w:rPr>
          <w:rFonts w:ascii="宋体" w:hAnsi="宋体" w:cs="宋体" w:eastAsia="宋体" w:hint="default"/>
          <w:spacing w:val="-3"/>
          <w:sz w:val="18"/>
          <w:szCs w:val="18"/>
        </w:rPr>
        <w:t>14</w:t>
      </w:r>
      <w:r>
        <w:rPr>
          <w:rFonts w:ascii="宋体" w:hAnsi="宋体" w:cs="宋体" w:eastAsia="宋体" w:hint="default"/>
          <w:spacing w:val="-3"/>
          <w:sz w:val="18"/>
          <w:szCs w:val="18"/>
        </w:rPr>
        <w:t>户，减少</w:t>
      </w:r>
      <w:r>
        <w:rPr>
          <w:rFonts w:ascii="宋体" w:hAnsi="宋体" w:cs="宋体" w:eastAsia="宋体" w:hint="default"/>
          <w:spacing w:val="-3"/>
          <w:sz w:val="18"/>
          <w:szCs w:val="18"/>
        </w:rPr>
        <w:t>2</w:t>
      </w:r>
      <w:r>
        <w:rPr>
          <w:rFonts w:ascii="宋体" w:hAnsi="宋体" w:cs="宋体" w:eastAsia="宋体" w:hint="default"/>
          <w:spacing w:val="-3"/>
          <w:sz w:val="18"/>
          <w:szCs w:val="18"/>
        </w:rPr>
        <w:t>户，其中：</w:t>
      </w:r>
    </w:p>
    <w:p>
      <w:pPr>
        <w:spacing w:line="224" w:lineRule="exact"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本期新纳入合并范围的子公司、特殊目的主体、通过受托经营或承租等方式形成控制权的经营实体</w:t>
      </w:r>
    </w:p>
    <w:p>
      <w:pPr>
        <w:spacing w:line="240" w:lineRule="auto" w:before="0"/>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870"/>
        <w:gridCol w:w="4768"/>
      </w:tblGrid>
      <w:tr>
        <w:trPr>
          <w:trHeight w:val="346"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变更原因</w:t>
            </w:r>
          </w:p>
        </w:tc>
      </w:tr>
      <w:tr>
        <w:trPr>
          <w:trHeight w:val="346"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湖北楚兴联怡网络技术有限公司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恒联通达信息科技河北有限公司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50"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四川恒联通达信息科技有限公司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湖南时空大数据管理有限公司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新疆云尚智慧科技有限公司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51"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中电兴发智享科技（成都）有限公司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四川中电兴发云尚科技有限公司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中电兴发工程管理（北京）有限公司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湖南易晟通信网络技术有限公司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sz w:val="21"/>
                <w:szCs w:val="21"/>
              </w:rPr>
              <w:t>非同一控制下购并</w:t>
            </w:r>
          </w:p>
        </w:tc>
      </w:tr>
      <w:tr>
        <w:trPr>
          <w:trHeight w:val="350"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芜湖中电兴发科技有限公司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开封云聚锦尚数据管理有限公司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赫章县融源信息技术有限公司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sz w:val="21"/>
                <w:szCs w:val="21"/>
              </w:rPr>
              <w:t>非同一控制下购并</w:t>
            </w:r>
          </w:p>
        </w:tc>
      </w:tr>
      <w:tr>
        <w:trPr>
          <w:trHeight w:val="350"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湖南中电兴发科技有限公司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346"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陕西中电兴发智享科技有限公司</w:t>
            </w:r>
          </w:p>
        </w:tc>
        <w:tc>
          <w:tcPr>
            <w:tcW w:w="47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新设成立</w:t>
            </w:r>
          </w:p>
        </w:tc>
      </w:tr>
    </w:tbl>
    <w:p>
      <w:pPr>
        <w:spacing w:line="240" w:lineRule="auto" w:before="6"/>
        <w:rPr>
          <w:rFonts w:ascii="宋体" w:hAnsi="宋体" w:cs="宋体" w:eastAsia="宋体" w:hint="default"/>
          <w:sz w:val="6"/>
          <w:szCs w:val="6"/>
        </w:rPr>
      </w:pPr>
    </w:p>
    <w:p>
      <w:pPr>
        <w:spacing w:before="46"/>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本期不再纳入合并范围的子公司、特殊目的主体、通过委托经营或出租等方式丧失控制权的经营实体</w:t>
      </w:r>
    </w:p>
    <w:p>
      <w:pPr>
        <w:spacing w:line="240" w:lineRule="auto" w:before="1"/>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3794"/>
        <w:gridCol w:w="4739"/>
      </w:tblGrid>
      <w:tr>
        <w:trPr>
          <w:trHeight w:val="346"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473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变更原因</w:t>
            </w:r>
          </w:p>
        </w:tc>
      </w:tr>
      <w:tr>
        <w:trPr>
          <w:trHeight w:val="350"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亳州鑫龙电气有限公司</w:t>
            </w:r>
          </w:p>
        </w:tc>
        <w:tc>
          <w:tcPr>
            <w:tcW w:w="47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注销</w:t>
            </w:r>
          </w:p>
        </w:tc>
      </w:tr>
      <w:tr>
        <w:trPr>
          <w:trHeight w:val="346"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安徽杰偌新材料技术有限公司</w:t>
            </w:r>
          </w:p>
        </w:tc>
        <w:tc>
          <w:tcPr>
            <w:tcW w:w="473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注销</w:t>
            </w:r>
          </w:p>
        </w:tc>
      </w:tr>
    </w:tbl>
    <w:p>
      <w:pPr>
        <w:spacing w:before="10"/>
        <w:ind w:left="113" w:right="1002" w:firstLine="0"/>
        <w:jc w:val="left"/>
        <w:rPr>
          <w:rFonts w:ascii="宋体" w:hAnsi="宋体" w:cs="宋体" w:eastAsia="宋体" w:hint="default"/>
          <w:sz w:val="18"/>
          <w:szCs w:val="18"/>
        </w:rPr>
      </w:pPr>
      <w:r>
        <w:rPr>
          <w:rFonts w:ascii="宋体" w:hAnsi="宋体" w:cs="宋体" w:eastAsia="宋体" w:hint="default"/>
          <w:w w:val="101"/>
          <w:sz w:val="18"/>
          <w:szCs w:val="18"/>
        </w:rPr>
        <w:t>合</w:t>
      </w:r>
      <w:r>
        <w:rPr>
          <w:rFonts w:ascii="宋体" w:hAnsi="宋体" w:cs="宋体" w:eastAsia="宋体" w:hint="default"/>
          <w:spacing w:val="-5"/>
          <w:w w:val="101"/>
          <w:sz w:val="18"/>
          <w:szCs w:val="18"/>
        </w:rPr>
        <w:t>并</w:t>
      </w:r>
      <w:r>
        <w:rPr>
          <w:rFonts w:ascii="宋体" w:hAnsi="宋体" w:cs="宋体" w:eastAsia="宋体" w:hint="default"/>
          <w:w w:val="101"/>
          <w:sz w:val="18"/>
          <w:szCs w:val="18"/>
        </w:rPr>
        <w:t>范</w:t>
      </w:r>
      <w:r>
        <w:rPr>
          <w:rFonts w:ascii="宋体" w:hAnsi="宋体" w:cs="宋体" w:eastAsia="宋体" w:hint="default"/>
          <w:spacing w:val="-5"/>
          <w:w w:val="101"/>
          <w:sz w:val="18"/>
          <w:szCs w:val="18"/>
        </w:rPr>
        <w:t>围</w:t>
      </w:r>
      <w:r>
        <w:rPr>
          <w:rFonts w:ascii="宋体" w:hAnsi="宋体" w:cs="宋体" w:eastAsia="宋体" w:hint="default"/>
          <w:w w:val="101"/>
          <w:sz w:val="18"/>
          <w:szCs w:val="18"/>
        </w:rPr>
        <w:t>变</w:t>
      </w:r>
      <w:r>
        <w:rPr>
          <w:rFonts w:ascii="宋体" w:hAnsi="宋体" w:cs="宋体" w:eastAsia="宋体" w:hint="default"/>
          <w:spacing w:val="-5"/>
          <w:w w:val="101"/>
          <w:sz w:val="18"/>
          <w:szCs w:val="18"/>
        </w:rPr>
        <w:t>更</w:t>
      </w:r>
      <w:r>
        <w:rPr>
          <w:rFonts w:ascii="宋体" w:hAnsi="宋体" w:cs="宋体" w:eastAsia="宋体" w:hint="default"/>
          <w:w w:val="101"/>
          <w:sz w:val="18"/>
          <w:szCs w:val="18"/>
        </w:rPr>
        <w:t>主</w:t>
      </w:r>
      <w:r>
        <w:rPr>
          <w:rFonts w:ascii="宋体" w:hAnsi="宋体" w:cs="宋体" w:eastAsia="宋体" w:hint="default"/>
          <w:spacing w:val="-5"/>
          <w:w w:val="101"/>
          <w:sz w:val="18"/>
          <w:szCs w:val="18"/>
        </w:rPr>
        <w:t>体</w:t>
      </w:r>
      <w:r>
        <w:rPr>
          <w:rFonts w:ascii="宋体" w:hAnsi="宋体" w:cs="宋体" w:eastAsia="宋体" w:hint="default"/>
          <w:w w:val="101"/>
          <w:sz w:val="18"/>
          <w:szCs w:val="18"/>
        </w:rPr>
        <w:t>的</w:t>
      </w:r>
      <w:r>
        <w:rPr>
          <w:rFonts w:ascii="宋体" w:hAnsi="宋体" w:cs="宋体" w:eastAsia="宋体" w:hint="default"/>
          <w:spacing w:val="-5"/>
          <w:w w:val="101"/>
          <w:sz w:val="18"/>
          <w:szCs w:val="18"/>
        </w:rPr>
        <w:t>具</w:t>
      </w:r>
      <w:r>
        <w:rPr>
          <w:rFonts w:ascii="宋体" w:hAnsi="宋体" w:cs="宋体" w:eastAsia="宋体" w:hint="default"/>
          <w:w w:val="101"/>
          <w:sz w:val="18"/>
          <w:szCs w:val="18"/>
        </w:rPr>
        <w:t>体</w:t>
      </w:r>
      <w:r>
        <w:rPr>
          <w:rFonts w:ascii="宋体" w:hAnsi="宋体" w:cs="宋体" w:eastAsia="宋体" w:hint="default"/>
          <w:spacing w:val="-5"/>
          <w:w w:val="101"/>
          <w:sz w:val="18"/>
          <w:szCs w:val="18"/>
        </w:rPr>
        <w:t>信</w:t>
      </w:r>
      <w:r>
        <w:rPr>
          <w:rFonts w:ascii="宋体" w:hAnsi="宋体" w:cs="宋体" w:eastAsia="宋体" w:hint="default"/>
          <w:w w:val="101"/>
          <w:sz w:val="18"/>
          <w:szCs w:val="18"/>
        </w:rPr>
        <w:t>息</w:t>
      </w:r>
      <w:r>
        <w:rPr>
          <w:rFonts w:ascii="宋体" w:hAnsi="宋体" w:cs="宋体" w:eastAsia="宋体" w:hint="default"/>
          <w:spacing w:val="-5"/>
          <w:w w:val="101"/>
          <w:sz w:val="18"/>
          <w:szCs w:val="18"/>
        </w:rPr>
        <w:t>详</w:t>
      </w:r>
      <w:r>
        <w:rPr>
          <w:rFonts w:ascii="宋体" w:hAnsi="宋体" w:cs="宋体" w:eastAsia="宋体" w:hint="default"/>
          <w:w w:val="101"/>
          <w:sz w:val="18"/>
          <w:szCs w:val="18"/>
        </w:rPr>
        <w:t>见</w:t>
      </w:r>
      <w:r>
        <w:rPr>
          <w:rFonts w:ascii="宋体" w:hAnsi="宋体" w:cs="宋体" w:eastAsia="宋体" w:hint="default"/>
          <w:spacing w:val="-5"/>
          <w:w w:val="101"/>
          <w:sz w:val="18"/>
          <w:szCs w:val="18"/>
        </w:rPr>
        <w:t>“</w:t>
      </w:r>
      <w:r>
        <w:rPr>
          <w:rFonts w:ascii="宋体" w:hAnsi="宋体" w:cs="宋体" w:eastAsia="宋体" w:hint="default"/>
          <w:w w:val="101"/>
          <w:sz w:val="18"/>
          <w:szCs w:val="18"/>
        </w:rPr>
        <w:t>附</w:t>
      </w:r>
      <w:r>
        <w:rPr>
          <w:rFonts w:ascii="宋体" w:hAnsi="宋体" w:cs="宋体" w:eastAsia="宋体" w:hint="default"/>
          <w:spacing w:val="-5"/>
          <w:w w:val="101"/>
          <w:sz w:val="18"/>
          <w:szCs w:val="18"/>
        </w:rPr>
        <w:t>注</w:t>
      </w:r>
      <w:r>
        <w:rPr>
          <w:rFonts w:ascii="宋体" w:hAnsi="宋体" w:cs="宋体" w:eastAsia="宋体" w:hint="default"/>
          <w:w w:val="101"/>
          <w:sz w:val="18"/>
          <w:szCs w:val="18"/>
        </w:rPr>
        <w:t>七</w:t>
      </w:r>
      <w:r>
        <w:rPr>
          <w:rFonts w:ascii="宋体" w:hAnsi="宋体" w:cs="宋体" w:eastAsia="宋体" w:hint="default"/>
          <w:spacing w:val="-5"/>
          <w:w w:val="101"/>
          <w:sz w:val="18"/>
          <w:szCs w:val="18"/>
        </w:rPr>
        <w:t>、</w:t>
      </w:r>
      <w:r>
        <w:rPr>
          <w:rFonts w:ascii="宋体" w:hAnsi="宋体" w:cs="宋体" w:eastAsia="宋体" w:hint="default"/>
          <w:w w:val="101"/>
          <w:sz w:val="18"/>
          <w:szCs w:val="18"/>
        </w:rPr>
        <w:t>合</w:t>
      </w:r>
      <w:r>
        <w:rPr>
          <w:rFonts w:ascii="宋体" w:hAnsi="宋体" w:cs="宋体" w:eastAsia="宋体" w:hint="default"/>
          <w:spacing w:val="-5"/>
          <w:w w:val="101"/>
          <w:sz w:val="18"/>
          <w:szCs w:val="18"/>
        </w:rPr>
        <w:t>并</w:t>
      </w:r>
      <w:r>
        <w:rPr>
          <w:rFonts w:ascii="宋体" w:hAnsi="宋体" w:cs="宋体" w:eastAsia="宋体" w:hint="default"/>
          <w:w w:val="101"/>
          <w:sz w:val="18"/>
          <w:szCs w:val="18"/>
        </w:rPr>
        <w:t>范</w:t>
      </w:r>
      <w:r>
        <w:rPr>
          <w:rFonts w:ascii="宋体" w:hAnsi="宋体" w:cs="宋体" w:eastAsia="宋体" w:hint="default"/>
          <w:spacing w:val="-5"/>
          <w:w w:val="101"/>
          <w:sz w:val="18"/>
          <w:szCs w:val="18"/>
        </w:rPr>
        <w:t>围</w:t>
      </w:r>
      <w:r>
        <w:rPr>
          <w:rFonts w:ascii="宋体" w:hAnsi="宋体" w:cs="宋体" w:eastAsia="宋体" w:hint="default"/>
          <w:w w:val="101"/>
          <w:sz w:val="18"/>
          <w:szCs w:val="18"/>
        </w:rPr>
        <w:t>的</w:t>
      </w:r>
      <w:r>
        <w:rPr>
          <w:rFonts w:ascii="宋体" w:hAnsi="宋体" w:cs="宋体" w:eastAsia="宋体" w:hint="default"/>
          <w:spacing w:val="-5"/>
          <w:w w:val="101"/>
          <w:sz w:val="18"/>
          <w:szCs w:val="18"/>
        </w:rPr>
        <w:t>变更</w:t>
      </w:r>
      <w:r>
        <w:rPr>
          <w:rFonts w:ascii="宋体" w:hAnsi="宋体" w:cs="宋体" w:eastAsia="宋体" w:hint="default"/>
          <w:spacing w:val="-92"/>
          <w:w w:val="101"/>
          <w:sz w:val="18"/>
          <w:szCs w:val="18"/>
        </w:rPr>
        <w:t>”</w: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2"/>
        <w:spacing w:line="240" w:lineRule="auto"/>
        <w:ind w:right="1002"/>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3"/>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5085"/>
        <w:gridCol w:w="4485"/>
      </w:tblGrid>
      <w:tr>
        <w:trPr>
          <w:trHeight w:val="399" w:hRule="exact"/>
        </w:trPr>
        <w:tc>
          <w:tcPr>
            <w:tcW w:w="5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3" w:hRule="exact"/>
        </w:trPr>
        <w:tc>
          <w:tcPr>
            <w:tcW w:w="5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4"/>
                <w:sz w:val="21"/>
              </w:rPr>
              <w:t>110</w:t>
            </w:r>
          </w:p>
        </w:tc>
      </w:tr>
      <w:tr>
        <w:trPr>
          <w:trHeight w:val="403" w:hRule="exact"/>
        </w:trPr>
        <w:tc>
          <w:tcPr>
            <w:tcW w:w="5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w w:val="100"/>
                <w:sz w:val="21"/>
              </w:rPr>
              <w:t>9</w:t>
            </w:r>
          </w:p>
        </w:tc>
      </w:tr>
    </w:tbl>
    <w:p>
      <w:pPr>
        <w:spacing w:after="0" w:line="240" w:lineRule="auto"/>
        <w:jc w:val="lef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5085"/>
        <w:gridCol w:w="4485"/>
      </w:tblGrid>
      <w:tr>
        <w:trPr>
          <w:trHeight w:val="403" w:hRule="exact"/>
        </w:trPr>
        <w:tc>
          <w:tcPr>
            <w:tcW w:w="5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吴琳、高山</w:t>
            </w:r>
          </w:p>
        </w:tc>
      </w:tr>
      <w:tr>
        <w:trPr>
          <w:trHeight w:val="403" w:hRule="exact"/>
        </w:trPr>
        <w:tc>
          <w:tcPr>
            <w:tcW w:w="5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境内会计师事务所注册会计师审计服务的连续年限</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p>
        </w:tc>
      </w:tr>
    </w:tbl>
    <w:p>
      <w:pPr>
        <w:spacing w:before="53"/>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当期是否改聘会计师事务所</w:t>
      </w:r>
    </w:p>
    <w:p>
      <w:pPr>
        <w:spacing w:line="362" w:lineRule="auto" w:before="115"/>
        <w:ind w:left="113" w:right="5730"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聘请内部控制审计会计师事务所、财务顾问或保荐人情况</w:t>
      </w:r>
    </w:p>
    <w:p>
      <w:pPr>
        <w:spacing w:before="23"/>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3"/>
          <w:szCs w:val="13"/>
        </w:rPr>
      </w:pPr>
    </w:p>
    <w:p>
      <w:pPr>
        <w:pStyle w:val="BodyText"/>
        <w:spacing w:line="352" w:lineRule="auto" w:before="0"/>
        <w:ind w:right="1002" w:firstLine="364"/>
        <w:jc w:val="left"/>
      </w:pPr>
      <w:r>
        <w:rPr>
          <w:spacing w:val="-2"/>
        </w:rPr>
        <w:t>报告期内，经公司第八届董事会第三次会议审议、</w:t>
      </w:r>
      <w:r>
        <w:rPr>
          <w:rFonts w:ascii="宋体" w:hAnsi="宋体" w:cs="宋体" w:eastAsia="宋体" w:hint="default"/>
          <w:spacing w:val="-2"/>
        </w:rPr>
        <w:t>2018</w:t>
      </w:r>
      <w:r>
        <w:rPr>
          <w:spacing w:val="-2"/>
        </w:rPr>
        <w:t>年度股东大会审议通过，公司继续聘任大华会</w:t>
      </w:r>
      <w:r>
        <w:rPr>
          <w:w w:val="100"/>
        </w:rPr>
        <w:t> </w:t>
      </w:r>
      <w:r>
        <w:rPr/>
        <w:t>计师事务所（特殊普通合伙）为公司审计会计师事务所。</w:t>
      </w:r>
    </w:p>
    <w:p>
      <w:pPr>
        <w:pStyle w:val="BodyText"/>
        <w:spacing w:line="350" w:lineRule="auto" w:before="25"/>
        <w:ind w:right="1111" w:firstLine="422"/>
        <w:jc w:val="left"/>
      </w:pPr>
      <w:r>
        <w:rPr>
          <w:spacing w:val="-2"/>
        </w:rPr>
        <w:t>报告期内，因筹划实施非公开发行股票工作需要，公司聘请中航证券有限公司担任</w:t>
      </w:r>
      <w:r>
        <w:rPr>
          <w:rFonts w:ascii="宋体" w:hAnsi="宋体" w:cs="宋体" w:eastAsia="宋体" w:hint="default"/>
          <w:spacing w:val="-2"/>
        </w:rPr>
        <w:t>2019</w:t>
      </w:r>
      <w:r>
        <w:rPr>
          <w:spacing w:val="-2"/>
        </w:rPr>
        <w:t>年度非公开发</w:t>
      </w:r>
      <w:r>
        <w:rPr>
          <w:w w:val="100"/>
        </w:rPr>
        <w:t> </w:t>
      </w:r>
      <w:r>
        <w:rPr/>
        <w:t>行</w:t>
      </w:r>
      <w:r>
        <w:rPr>
          <w:rFonts w:ascii="宋体" w:hAnsi="宋体" w:cs="宋体" w:eastAsia="宋体" w:hint="default"/>
        </w:rPr>
        <w:t>A</w:t>
      </w:r>
      <w:r>
        <w:rPr/>
        <w:t>股股票工作的保荐机构和独立主承销商，并签署《安徽中电兴发与鑫龙科技股份有限公司与中航证券</w:t>
      </w:r>
      <w:r>
        <w:rPr>
          <w:w w:val="100"/>
        </w:rPr>
        <w:t> </w:t>
      </w:r>
      <w:r>
        <w:rPr>
          <w:spacing w:val="-11"/>
          <w:w w:val="100"/>
        </w:rPr>
        <w:t>有限公司之保荐协议》。</w:t>
      </w:r>
      <w:r>
        <w:rPr>
          <w:spacing w:val="10"/>
          <w:w w:val="100"/>
        </w:rPr>
        <w:t> </w:t>
      </w:r>
      <w:r>
        <w:rPr>
          <w:spacing w:val="-2"/>
          <w:w w:val="100"/>
        </w:rPr>
        <w:t>根据《证券发行上市保荐业务管理办法》的相关规定，公司因再次申请发行证券</w:t>
      </w:r>
      <w:r>
        <w:rPr>
          <w:w w:val="100"/>
        </w:rPr>
        <w:t> </w:t>
      </w:r>
      <w:r>
        <w:rPr>
          <w:spacing w:val="-2"/>
        </w:rPr>
        <w:t>另行聘请保荐机构的，应当终止与原保荐机构的保荐协议，另行聘请的保荐机构应当完成原保荐机构未完</w:t>
      </w:r>
      <w:r>
        <w:rPr>
          <w:spacing w:val="-33"/>
        </w:rPr>
        <w:t> </w:t>
      </w:r>
      <w:r>
        <w:rPr>
          <w:spacing w:val="-33"/>
        </w:rPr>
      </w:r>
      <w:r>
        <w:rPr>
          <w:spacing w:val="-2"/>
        </w:rPr>
        <w:t>成的持续督导工作。因此，公司与开源证券股份有限公司终止了持续督导协议，开源证券股份有限公司未</w:t>
      </w:r>
      <w:r>
        <w:rPr>
          <w:spacing w:val="-33"/>
        </w:rPr>
        <w:t> </w:t>
      </w:r>
      <w:r>
        <w:rPr>
          <w:spacing w:val="-33"/>
        </w:rPr>
      </w:r>
      <w:r>
        <w:rPr>
          <w:spacing w:val="-2"/>
        </w:rPr>
        <w:t>完成的持续督导工作将由中航证券承接。中航证券指派熊岳广先生、吴雅宁女士担任保荐代表人，负责公</w:t>
      </w:r>
      <w:r>
        <w:rPr>
          <w:spacing w:val="-33"/>
        </w:rPr>
        <w:t> </w:t>
      </w:r>
      <w:r>
        <w:rPr>
          <w:spacing w:val="-33"/>
        </w:rPr>
      </w:r>
      <w:r>
        <w:rPr>
          <w:spacing w:val="-4"/>
          <w:w w:val="100"/>
        </w:rPr>
        <w:t>司持续督导相关工作。具体详见《中电兴发：关于更换保荐机构及保荐代表人的公告》（公告编号：</w:t>
      </w:r>
    </w:p>
    <w:p>
      <w:pPr>
        <w:pStyle w:val="BodyText"/>
        <w:spacing w:line="240" w:lineRule="auto" w:before="27"/>
        <w:ind w:right="1002"/>
        <w:jc w:val="left"/>
      </w:pPr>
      <w:r>
        <w:rPr>
          <w:rFonts w:ascii="宋体" w:hAnsi="宋体" w:cs="宋体" w:eastAsia="宋体" w:hint="default"/>
          <w:w w:val="100"/>
        </w:rPr>
        <w:t>2019-085</w:t>
      </w:r>
      <w:r>
        <w:rPr>
          <w:spacing w:val="-106"/>
          <w:w w:val="100"/>
        </w:rPr>
        <w:t>）。</w:t>
      </w:r>
      <w:r>
        <w:rPr>
          <w:w w:val="100"/>
        </w:rPr>
      </w:r>
    </w:p>
    <w:p>
      <w:pPr>
        <w:spacing w:line="240" w:lineRule="auto" w:before="8"/>
        <w:rPr>
          <w:rFonts w:ascii="宋体" w:hAnsi="宋体" w:cs="宋体" w:eastAsia="宋体" w:hint="default"/>
          <w:sz w:val="23"/>
          <w:szCs w:val="23"/>
        </w:rPr>
      </w:pPr>
    </w:p>
    <w:p>
      <w:pPr>
        <w:pStyle w:val="Heading2"/>
        <w:spacing w:line="240" w:lineRule="auto"/>
        <w:ind w:right="1002"/>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3"/>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002"/>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7"/>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公司报告期未发生破产重整相关事项。</w:t>
      </w:r>
    </w:p>
    <w:p>
      <w:pPr>
        <w:spacing w:line="240" w:lineRule="auto" w:before="8"/>
        <w:rPr>
          <w:rFonts w:ascii="宋体" w:hAnsi="宋体" w:cs="宋体" w:eastAsia="宋体" w:hint="default"/>
          <w:sz w:val="17"/>
          <w:szCs w:val="17"/>
        </w:rPr>
      </w:pPr>
    </w:p>
    <w:p>
      <w:pPr>
        <w:pStyle w:val="Heading2"/>
        <w:spacing w:line="240" w:lineRule="auto"/>
        <w:ind w:right="1002"/>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7"/>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61"/>
        <w:gridCol w:w="1071"/>
        <w:gridCol w:w="1105"/>
        <w:gridCol w:w="1392"/>
        <w:gridCol w:w="1277"/>
        <w:gridCol w:w="1378"/>
        <w:gridCol w:w="1008"/>
        <w:gridCol w:w="1124"/>
      </w:tblGrid>
      <w:tr>
        <w:trPr>
          <w:trHeight w:val="1028"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56" w:lineRule="auto"/>
              <w:ind w:left="460" w:right="170" w:hanging="279"/>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宋体" w:hAnsi="宋体" w:cs="宋体" w:eastAsia="宋体" w:hint="default"/>
                <w:sz w:val="21"/>
                <w:szCs w:val="21"/>
              </w:rPr>
              <w:t>基</w:t>
            </w:r>
            <w:r>
              <w:rPr>
                <w:rFonts w:ascii="宋体" w:hAnsi="宋体" w:cs="宋体" w:eastAsia="宋体" w:hint="default"/>
                <w:spacing w:val="-102"/>
                <w:sz w:val="21"/>
                <w:szCs w:val="21"/>
              </w:rPr>
              <w:t> </w:t>
            </w:r>
            <w:r>
              <w:rPr>
                <w:rFonts w:ascii="宋体" w:hAnsi="宋体" w:cs="宋体" w:eastAsia="宋体" w:hint="default"/>
                <w:sz w:val="21"/>
                <w:szCs w:val="21"/>
              </w:rPr>
              <w:t>本情况</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涉案金额</w:t>
            </w:r>
          </w:p>
          <w:p>
            <w:pPr>
              <w:pStyle w:val="TableParagraph"/>
              <w:spacing w:line="240" w:lineRule="auto" w:before="37"/>
              <w:ind w:left="110"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24" w:right="123"/>
              <w:jc w:val="left"/>
              <w:rPr>
                <w:rFonts w:ascii="宋体" w:hAnsi="宋体" w:cs="宋体" w:eastAsia="宋体" w:hint="default"/>
                <w:sz w:val="21"/>
                <w:szCs w:val="21"/>
              </w:rPr>
            </w:pPr>
            <w:r>
              <w:rPr>
                <w:rFonts w:ascii="宋体" w:hAnsi="宋体" w:cs="宋体" w:eastAsia="宋体" w:hint="default"/>
                <w:sz w:val="21"/>
                <w:szCs w:val="21"/>
              </w:rPr>
              <w:t>是否形成</w:t>
            </w:r>
            <w:r>
              <w:rPr>
                <w:rFonts w:ascii="宋体" w:hAnsi="宋体" w:cs="宋体" w:eastAsia="宋体" w:hint="default"/>
                <w:spacing w:val="-101"/>
                <w:sz w:val="21"/>
                <w:szCs w:val="21"/>
              </w:rPr>
              <w:t> </w:t>
            </w:r>
            <w:r>
              <w:rPr>
                <w:rFonts w:ascii="宋体" w:hAnsi="宋体" w:cs="宋体" w:eastAsia="宋体" w:hint="default"/>
                <w:sz w:val="21"/>
                <w:szCs w:val="21"/>
              </w:rPr>
              <w:t>预计负债</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56" w:lineRule="auto"/>
              <w:ind w:left="480" w:right="196" w:hanging="279"/>
              <w:jc w:val="left"/>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进展</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10" w:right="99" w:hanging="7"/>
              <w:jc w:val="center"/>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审理结果及</w:t>
            </w:r>
            <w:r>
              <w:rPr>
                <w:rFonts w:ascii="宋体" w:hAnsi="宋体" w:cs="宋体" w:eastAsia="宋体" w:hint="default"/>
                <w:w w:val="100"/>
                <w:sz w:val="21"/>
                <w:szCs w:val="21"/>
              </w:rPr>
              <w:t> </w:t>
            </w:r>
            <w:r>
              <w:rPr>
                <w:rFonts w:ascii="宋体" w:hAnsi="宋体" w:cs="宋体" w:eastAsia="宋体" w:hint="default"/>
                <w:sz w:val="21"/>
                <w:szCs w:val="21"/>
              </w:rPr>
              <w:t>影响</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53" w:right="158" w:firstLine="3"/>
              <w:jc w:val="center"/>
              <w:rPr>
                <w:rFonts w:ascii="宋体" w:hAnsi="宋体" w:cs="宋体" w:eastAsia="宋体" w:hint="default"/>
                <w:sz w:val="21"/>
                <w:szCs w:val="21"/>
              </w:rPr>
            </w:pPr>
            <w:r>
              <w:rPr>
                <w:rFonts w:ascii="宋体" w:hAnsi="宋体" w:cs="宋体" w:eastAsia="宋体" w:hint="default"/>
                <w:sz w:val="21"/>
                <w:szCs w:val="21"/>
              </w:rPr>
              <w:t>诉讼</w:t>
            </w:r>
            <w:r>
              <w:rPr>
                <w:rFonts w:ascii="Times New Roman" w:hAnsi="Times New Roman" w:cs="Times New Roman" w:eastAsia="Times New Roman" w:hint="default"/>
                <w:sz w:val="21"/>
                <w:szCs w:val="21"/>
              </w:rPr>
              <w:t>(</w:t>
            </w:r>
            <w:r>
              <w:rPr>
                <w:rFonts w:ascii="宋体" w:hAnsi="宋体" w:cs="宋体" w:eastAsia="宋体" w:hint="default"/>
                <w:sz w:val="21"/>
                <w:szCs w:val="21"/>
              </w:rPr>
              <w:t>仲裁</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判决执行情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393" w:right="180" w:hanging="212"/>
              <w:jc w:val="left"/>
              <w:rPr>
                <w:rFonts w:ascii="宋体" w:hAnsi="宋体" w:cs="宋体" w:eastAsia="宋体" w:hint="default"/>
                <w:sz w:val="21"/>
                <w:szCs w:val="21"/>
              </w:rPr>
            </w:pPr>
            <w:r>
              <w:rPr>
                <w:rFonts w:ascii="宋体" w:hAnsi="宋体" w:cs="宋体" w:eastAsia="宋体" w:hint="default"/>
                <w:sz w:val="21"/>
                <w:szCs w:val="21"/>
              </w:rPr>
              <w:t>披露日</w:t>
            </w:r>
            <w:r>
              <w:rPr>
                <w:rFonts w:ascii="宋体" w:hAnsi="宋体" w:cs="宋体" w:eastAsia="宋体" w:hint="default"/>
                <w:spacing w:val="-102"/>
                <w:sz w:val="21"/>
                <w:szCs w:val="21"/>
              </w:rPr>
              <w:t> </w:t>
            </w:r>
            <w:r>
              <w:rPr>
                <w:rFonts w:ascii="宋体" w:hAnsi="宋体" w:cs="宋体" w:eastAsia="宋体" w:hint="default"/>
                <w:sz w:val="21"/>
                <w:szCs w:val="21"/>
              </w:rPr>
              <w:t>期</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254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73" w:lineRule="auto"/>
              <w:ind w:left="105" w:right="180"/>
              <w:jc w:val="both"/>
              <w:rPr>
                <w:rFonts w:ascii="宋体" w:hAnsi="宋体" w:cs="宋体" w:eastAsia="宋体" w:hint="default"/>
                <w:sz w:val="21"/>
                <w:szCs w:val="21"/>
              </w:rPr>
            </w:pPr>
            <w:r>
              <w:rPr>
                <w:rFonts w:ascii="宋体" w:hAnsi="宋体" w:cs="宋体" w:eastAsia="宋体" w:hint="default"/>
                <w:sz w:val="21"/>
                <w:szCs w:val="21"/>
              </w:rPr>
              <w:t>北京中电兴发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与典基网络科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技（上海）有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限公司发生经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济纠纷</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p>
            <w:pPr>
              <w:pStyle w:val="TableParagraph"/>
              <w:spacing w:line="240" w:lineRule="auto"/>
              <w:ind w:left="225" w:right="0"/>
              <w:jc w:val="left"/>
              <w:rPr>
                <w:rFonts w:ascii="Times New Roman" w:hAnsi="Times New Roman" w:cs="Times New Roman" w:eastAsia="Times New Roman" w:hint="default"/>
                <w:sz w:val="21"/>
                <w:szCs w:val="21"/>
              </w:rPr>
            </w:pPr>
            <w:r>
              <w:rPr>
                <w:rFonts w:ascii="Times New Roman"/>
                <w:sz w:val="21"/>
              </w:rPr>
              <w:t>57,416.8</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0" w:right="94"/>
              <w:jc w:val="left"/>
              <w:rPr>
                <w:rFonts w:ascii="宋体" w:hAnsi="宋体" w:cs="宋体" w:eastAsia="宋体" w:hint="default"/>
                <w:sz w:val="21"/>
                <w:szCs w:val="21"/>
              </w:rPr>
            </w:pPr>
            <w:r>
              <w:rPr>
                <w:rFonts w:ascii="宋体" w:hAnsi="宋体" w:cs="宋体" w:eastAsia="宋体" w:hint="default"/>
                <w:sz w:val="21"/>
                <w:szCs w:val="21"/>
              </w:rPr>
              <w:t>典基网络科</w:t>
            </w:r>
            <w:r>
              <w:rPr>
                <w:rFonts w:ascii="宋体" w:hAnsi="宋体" w:cs="宋体" w:eastAsia="宋体" w:hint="default"/>
                <w:spacing w:val="-99"/>
                <w:sz w:val="21"/>
                <w:szCs w:val="21"/>
              </w:rPr>
              <w:t> </w:t>
            </w:r>
            <w:r>
              <w:rPr>
                <w:rFonts w:ascii="宋体" w:hAnsi="宋体" w:cs="宋体" w:eastAsia="宋体" w:hint="default"/>
                <w:spacing w:val="-14"/>
                <w:sz w:val="21"/>
                <w:szCs w:val="21"/>
              </w:rPr>
              <w:t>技（上海）有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限公司向北</w:t>
            </w:r>
            <w:r>
              <w:rPr>
                <w:rFonts w:ascii="宋体" w:hAnsi="宋体" w:cs="宋体" w:eastAsia="宋体" w:hint="default"/>
                <w:spacing w:val="-99"/>
                <w:sz w:val="21"/>
                <w:szCs w:val="21"/>
              </w:rPr>
              <w:t> </w:t>
            </w:r>
            <w:r>
              <w:rPr>
                <w:rFonts w:ascii="宋体" w:hAnsi="宋体" w:cs="宋体" w:eastAsia="宋体" w:hint="default"/>
                <w:sz w:val="21"/>
                <w:szCs w:val="21"/>
              </w:rPr>
              <w:t>京市高级人</w:t>
            </w:r>
            <w:r>
              <w:rPr>
                <w:rFonts w:ascii="宋体" w:hAnsi="宋体" w:cs="宋体" w:eastAsia="宋体" w:hint="default"/>
                <w:spacing w:val="-99"/>
                <w:sz w:val="21"/>
                <w:szCs w:val="21"/>
              </w:rPr>
              <w:t> </w:t>
            </w:r>
            <w:r>
              <w:rPr>
                <w:rFonts w:ascii="宋体" w:hAnsi="宋体" w:cs="宋体" w:eastAsia="宋体" w:hint="default"/>
                <w:sz w:val="21"/>
                <w:szCs w:val="21"/>
              </w:rPr>
              <w:t>民法院提出</w:t>
            </w:r>
            <w:r>
              <w:rPr>
                <w:rFonts w:ascii="宋体" w:hAnsi="宋体" w:cs="宋体" w:eastAsia="宋体" w:hint="default"/>
                <w:spacing w:val="-99"/>
                <w:sz w:val="21"/>
                <w:szCs w:val="21"/>
              </w:rPr>
              <w:t> </w:t>
            </w:r>
            <w:r>
              <w:rPr>
                <w:rFonts w:ascii="宋体" w:hAnsi="宋体" w:cs="宋体" w:eastAsia="宋体" w:hint="default"/>
                <w:sz w:val="21"/>
                <w:szCs w:val="21"/>
              </w:rPr>
              <w:t>对北京中电</w:t>
            </w:r>
            <w:r>
              <w:rPr>
                <w:rFonts w:ascii="宋体" w:hAnsi="宋体" w:cs="宋体" w:eastAsia="宋体" w:hint="default"/>
                <w:spacing w:val="-99"/>
                <w:sz w:val="21"/>
                <w:szCs w:val="21"/>
              </w:rPr>
              <w:t> </w:t>
            </w:r>
            <w:r>
              <w:rPr>
                <w:rFonts w:ascii="宋体" w:hAnsi="宋体" w:cs="宋体" w:eastAsia="宋体" w:hint="default"/>
                <w:sz w:val="21"/>
                <w:szCs w:val="21"/>
              </w:rPr>
              <w:t>兴发科技有</w:t>
            </w:r>
            <w:r>
              <w:rPr>
                <w:rFonts w:ascii="宋体" w:hAnsi="宋体" w:cs="宋体" w:eastAsia="宋体" w:hint="default"/>
                <w:spacing w:val="-99"/>
                <w:sz w:val="21"/>
                <w:szCs w:val="21"/>
              </w:rPr>
              <w:t> </w:t>
            </w:r>
            <w:r>
              <w:rPr>
                <w:rFonts w:ascii="宋体" w:hAnsi="宋体" w:cs="宋体" w:eastAsia="宋体" w:hint="default"/>
                <w:sz w:val="21"/>
                <w:szCs w:val="21"/>
              </w:rPr>
              <w:t>限公司的诉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5" w:right="105"/>
              <w:jc w:val="both"/>
              <w:rPr>
                <w:rFonts w:ascii="宋体" w:hAnsi="宋体" w:cs="宋体" w:eastAsia="宋体" w:hint="default"/>
                <w:sz w:val="21"/>
                <w:szCs w:val="21"/>
              </w:rPr>
            </w:pPr>
            <w:r>
              <w:rPr>
                <w:rFonts w:ascii="宋体" w:hAnsi="宋体" w:cs="宋体" w:eastAsia="宋体" w:hint="default"/>
                <w:sz w:val="21"/>
                <w:szCs w:val="21"/>
              </w:rPr>
              <w:t>经自查，公</w:t>
            </w:r>
            <w:r>
              <w:rPr>
                <w:rFonts w:ascii="宋体" w:hAnsi="宋体" w:cs="宋体" w:eastAsia="宋体" w:hint="default"/>
                <w:spacing w:val="-99"/>
                <w:sz w:val="21"/>
                <w:szCs w:val="21"/>
              </w:rPr>
              <w:t> </w:t>
            </w:r>
            <w:r>
              <w:rPr>
                <w:rFonts w:ascii="宋体" w:hAnsi="宋体" w:cs="宋体" w:eastAsia="宋体" w:hint="default"/>
                <w:sz w:val="21"/>
                <w:szCs w:val="21"/>
              </w:rPr>
              <w:t>司业务开展</w:t>
            </w:r>
            <w:r>
              <w:rPr>
                <w:rFonts w:ascii="宋体" w:hAnsi="宋体" w:cs="宋体" w:eastAsia="宋体" w:hint="default"/>
                <w:spacing w:val="-99"/>
                <w:sz w:val="21"/>
                <w:szCs w:val="21"/>
              </w:rPr>
              <w:t> </w:t>
            </w:r>
            <w:r>
              <w:rPr>
                <w:rFonts w:ascii="宋体" w:hAnsi="宋体" w:cs="宋体" w:eastAsia="宋体" w:hint="default"/>
                <w:sz w:val="21"/>
                <w:szCs w:val="21"/>
              </w:rPr>
              <w:t>和现金周转</w:t>
            </w:r>
            <w:r>
              <w:rPr>
                <w:rFonts w:ascii="宋体" w:hAnsi="宋体" w:cs="宋体" w:eastAsia="宋体" w:hint="default"/>
                <w:spacing w:val="-99"/>
                <w:sz w:val="21"/>
                <w:szCs w:val="21"/>
              </w:rPr>
              <w:t> </w:t>
            </w:r>
            <w:r>
              <w:rPr>
                <w:rFonts w:ascii="宋体" w:hAnsi="宋体" w:cs="宋体" w:eastAsia="宋体" w:hint="default"/>
                <w:sz w:val="21"/>
                <w:szCs w:val="21"/>
              </w:rPr>
              <w:t>情况良好，</w:t>
            </w:r>
            <w:r>
              <w:rPr>
                <w:rFonts w:ascii="宋体" w:hAnsi="宋体" w:cs="宋体" w:eastAsia="宋体" w:hint="default"/>
                <w:spacing w:val="-99"/>
                <w:sz w:val="21"/>
                <w:szCs w:val="21"/>
              </w:rPr>
              <w:t> </w:t>
            </w:r>
            <w:r>
              <w:rPr>
                <w:rFonts w:ascii="宋体" w:hAnsi="宋体" w:cs="宋体" w:eastAsia="宋体" w:hint="default"/>
                <w:sz w:val="21"/>
                <w:szCs w:val="21"/>
              </w:rPr>
              <w:t>本次资金的</w:t>
            </w:r>
            <w:r>
              <w:rPr>
                <w:rFonts w:ascii="宋体" w:hAnsi="宋体" w:cs="宋体" w:eastAsia="宋体" w:hint="default"/>
                <w:spacing w:val="-99"/>
                <w:sz w:val="21"/>
                <w:szCs w:val="21"/>
              </w:rPr>
              <w:t> </w:t>
            </w:r>
            <w:r>
              <w:rPr>
                <w:rFonts w:ascii="宋体" w:hAnsi="宋体" w:cs="宋体" w:eastAsia="宋体" w:hint="default"/>
                <w:sz w:val="21"/>
                <w:szCs w:val="21"/>
              </w:rPr>
              <w:t>冻结不会对</w:t>
            </w:r>
            <w:r>
              <w:rPr>
                <w:rFonts w:ascii="宋体" w:hAnsi="宋体" w:cs="宋体" w:eastAsia="宋体" w:hint="default"/>
                <w:spacing w:val="-99"/>
                <w:sz w:val="21"/>
                <w:szCs w:val="21"/>
              </w:rPr>
              <w:t> </w:t>
            </w:r>
            <w:r>
              <w:rPr>
                <w:rFonts w:ascii="宋体" w:hAnsi="宋体" w:cs="宋体" w:eastAsia="宋体" w:hint="default"/>
                <w:sz w:val="21"/>
                <w:szCs w:val="21"/>
              </w:rPr>
              <w:t>公司的正常</w:t>
            </w:r>
            <w:r>
              <w:rPr>
                <w:rFonts w:ascii="宋体" w:hAnsi="宋体" w:cs="宋体" w:eastAsia="宋体" w:hint="default"/>
                <w:spacing w:val="-99"/>
                <w:sz w:val="21"/>
                <w:szCs w:val="21"/>
              </w:rPr>
              <w:t> </w:t>
            </w:r>
            <w:r>
              <w:rPr>
                <w:rFonts w:ascii="宋体" w:hAnsi="宋体" w:cs="宋体" w:eastAsia="宋体" w:hint="default"/>
                <w:sz w:val="21"/>
                <w:szCs w:val="21"/>
              </w:rPr>
              <w:t>运行、经营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0" w:right="3"/>
              <w:jc w:val="left"/>
              <w:rPr>
                <w:rFonts w:ascii="宋体" w:hAnsi="宋体" w:cs="宋体" w:eastAsia="宋体" w:hint="default"/>
                <w:sz w:val="21"/>
                <w:szCs w:val="21"/>
              </w:rPr>
            </w:pPr>
            <w:r>
              <w:rPr>
                <w:rFonts w:ascii="宋体" w:hAnsi="宋体" w:cs="宋体" w:eastAsia="宋体" w:hint="default"/>
                <w:sz w:val="21"/>
                <w:szCs w:val="21"/>
              </w:rPr>
              <w:t>目前上述案</w:t>
            </w:r>
            <w:r>
              <w:rPr>
                <w:rFonts w:ascii="宋体" w:hAnsi="宋体" w:cs="宋体" w:eastAsia="宋体" w:hint="default"/>
                <w:spacing w:val="-99"/>
                <w:sz w:val="21"/>
                <w:szCs w:val="21"/>
              </w:rPr>
              <w:t> </w:t>
            </w:r>
            <w:r>
              <w:rPr>
                <w:rFonts w:ascii="宋体" w:hAnsi="宋体" w:cs="宋体" w:eastAsia="宋体" w:hint="default"/>
                <w:sz w:val="21"/>
                <w:szCs w:val="21"/>
              </w:rPr>
              <w:t>件已开庭审</w:t>
            </w:r>
            <w:r>
              <w:rPr>
                <w:rFonts w:ascii="宋体" w:hAnsi="宋体" w:cs="宋体" w:eastAsia="宋体" w:hint="default"/>
                <w:spacing w:val="-99"/>
                <w:sz w:val="21"/>
                <w:szCs w:val="21"/>
              </w:rPr>
              <w:t> </w:t>
            </w:r>
            <w:r>
              <w:rPr>
                <w:rFonts w:ascii="宋体" w:hAnsi="宋体" w:cs="宋体" w:eastAsia="宋体" w:hint="default"/>
                <w:spacing w:val="-17"/>
                <w:w w:val="100"/>
                <w:sz w:val="21"/>
                <w:szCs w:val="21"/>
              </w:rPr>
              <w:t>理，但尚未收</w:t>
            </w:r>
            <w:r>
              <w:rPr>
                <w:rFonts w:ascii="宋体" w:hAnsi="宋体" w:cs="宋体" w:eastAsia="宋体" w:hint="default"/>
                <w:w w:val="100"/>
                <w:sz w:val="21"/>
                <w:szCs w:val="21"/>
              </w:rPr>
              <w:t> </w:t>
            </w:r>
            <w:r>
              <w:rPr>
                <w:rFonts w:ascii="宋体" w:hAnsi="宋体" w:cs="宋体" w:eastAsia="宋体" w:hint="default"/>
                <w:sz w:val="21"/>
                <w:szCs w:val="21"/>
              </w:rPr>
              <w:t>到法院判决</w:t>
            </w:r>
            <w:r>
              <w:rPr>
                <w:rFonts w:ascii="宋体" w:hAnsi="宋体" w:cs="宋体" w:eastAsia="宋体" w:hint="default"/>
                <w:spacing w:val="-99"/>
                <w:sz w:val="21"/>
                <w:szCs w:val="21"/>
              </w:rPr>
              <w:t> </w:t>
            </w:r>
            <w:r>
              <w:rPr>
                <w:rFonts w:ascii="宋体" w:hAnsi="宋体" w:cs="宋体" w:eastAsia="宋体" w:hint="default"/>
                <w:spacing w:val="-17"/>
                <w:w w:val="100"/>
                <w:sz w:val="21"/>
                <w:szCs w:val="21"/>
              </w:rPr>
              <w:t>书。后续公司</w:t>
            </w:r>
            <w:r>
              <w:rPr>
                <w:rFonts w:ascii="宋体" w:hAnsi="宋体" w:cs="宋体" w:eastAsia="宋体" w:hint="default"/>
                <w:w w:val="100"/>
                <w:sz w:val="21"/>
                <w:szCs w:val="21"/>
              </w:rPr>
              <w:t> </w:t>
            </w:r>
            <w:r>
              <w:rPr>
                <w:rFonts w:ascii="宋体" w:hAnsi="宋体" w:cs="宋体" w:eastAsia="宋体" w:hint="default"/>
                <w:sz w:val="21"/>
                <w:szCs w:val="21"/>
              </w:rPr>
              <w:t>将跟进该事</w:t>
            </w:r>
            <w:r>
              <w:rPr>
                <w:rFonts w:ascii="宋体" w:hAnsi="宋体" w:cs="宋体" w:eastAsia="宋体" w:hint="default"/>
                <w:spacing w:val="-99"/>
                <w:sz w:val="21"/>
                <w:szCs w:val="21"/>
              </w:rPr>
              <w:t> </w:t>
            </w:r>
            <w:r>
              <w:rPr>
                <w:rFonts w:ascii="宋体" w:hAnsi="宋体" w:cs="宋体" w:eastAsia="宋体" w:hint="default"/>
                <w:sz w:val="21"/>
                <w:szCs w:val="21"/>
              </w:rPr>
              <w:t>项进展情况，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并及时履行</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8"/>
              <w:ind w:left="100" w:right="166"/>
              <w:jc w:val="left"/>
              <w:rPr>
                <w:rFonts w:ascii="宋体" w:hAnsi="宋体" w:cs="宋体" w:eastAsia="宋体" w:hint="default"/>
                <w:sz w:val="21"/>
                <w:szCs w:val="21"/>
              </w:rPr>
            </w:pPr>
            <w:r>
              <w:rPr>
                <w:rFonts w:ascii="宋体" w:hAnsi="宋体" w:cs="宋体" w:eastAsia="宋体" w:hint="default"/>
                <w:sz w:val="21"/>
                <w:szCs w:val="21"/>
              </w:rPr>
              <w:t>《证券时</w:t>
            </w:r>
            <w:r>
              <w:rPr>
                <w:rFonts w:ascii="宋体" w:hAnsi="宋体" w:cs="宋体" w:eastAsia="宋体" w:hint="default"/>
                <w:spacing w:val="-101"/>
                <w:sz w:val="21"/>
                <w:szCs w:val="21"/>
              </w:rPr>
              <w:t> </w:t>
            </w:r>
            <w:r>
              <w:rPr>
                <w:rFonts w:ascii="宋体" w:hAnsi="宋体" w:cs="宋体" w:eastAsia="宋体" w:hint="default"/>
                <w:spacing w:val="-43"/>
                <w:w w:val="100"/>
                <w:sz w:val="21"/>
                <w:szCs w:val="21"/>
              </w:rPr>
              <w:t>报》、《中</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国证券</w:t>
            </w:r>
            <w:r>
              <w:rPr>
                <w:rFonts w:ascii="宋体" w:hAnsi="宋体" w:cs="宋体" w:eastAsia="宋体" w:hint="default"/>
                <w:spacing w:val="-102"/>
                <w:sz w:val="21"/>
                <w:szCs w:val="21"/>
              </w:rPr>
              <w:t> </w:t>
            </w:r>
            <w:r>
              <w:rPr>
                <w:rFonts w:ascii="宋体" w:hAnsi="宋体" w:cs="宋体" w:eastAsia="宋体" w:hint="default"/>
                <w:spacing w:val="-43"/>
                <w:w w:val="100"/>
                <w:sz w:val="21"/>
                <w:szCs w:val="21"/>
              </w:rPr>
              <w:t>报》、《上</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海证券</w:t>
            </w:r>
            <w:r>
              <w:rPr>
                <w:rFonts w:ascii="宋体" w:hAnsi="宋体" w:cs="宋体" w:eastAsia="宋体" w:hint="default"/>
                <w:spacing w:val="-102"/>
                <w:sz w:val="21"/>
                <w:szCs w:val="21"/>
              </w:rPr>
              <w:t> </w:t>
            </w:r>
            <w:r>
              <w:rPr>
                <w:rFonts w:ascii="宋体" w:hAnsi="宋体" w:cs="宋体" w:eastAsia="宋体" w:hint="default"/>
                <w:sz w:val="21"/>
                <w:szCs w:val="21"/>
              </w:rPr>
              <w:t>报》和巨</w:t>
            </w:r>
            <w:r>
              <w:rPr>
                <w:rFonts w:ascii="宋体" w:hAnsi="宋体" w:cs="宋体" w:eastAsia="宋体" w:hint="default"/>
                <w:spacing w:val="-101"/>
                <w:sz w:val="21"/>
                <w:szCs w:val="21"/>
              </w:rPr>
              <w:t> </w:t>
            </w:r>
            <w:r>
              <w:rPr>
                <w:rFonts w:ascii="宋体" w:hAnsi="宋体" w:cs="宋体" w:eastAsia="宋体" w:hint="default"/>
                <w:sz w:val="21"/>
                <w:szCs w:val="21"/>
              </w:rPr>
              <w:t>潮资讯网</w:t>
            </w:r>
          </w:p>
          <w:p>
            <w:pPr>
              <w:pStyle w:val="TableParagraph"/>
              <w:spacing w:line="240" w:lineRule="auto" w:before="10"/>
              <w:ind w:left="100"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www.cn</w:t>
            </w:r>
          </w:p>
        </w:tc>
      </w:tr>
    </w:tbl>
    <w:p>
      <w:pPr>
        <w:spacing w:after="0" w:line="240" w:lineRule="auto"/>
        <w:jc w:val="lef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61"/>
        <w:gridCol w:w="1071"/>
        <w:gridCol w:w="1105"/>
        <w:gridCol w:w="1392"/>
        <w:gridCol w:w="1277"/>
        <w:gridCol w:w="1378"/>
        <w:gridCol w:w="1008"/>
        <w:gridCol w:w="1124"/>
      </w:tblGrid>
      <w:tr>
        <w:trPr>
          <w:trHeight w:val="1297" w:hRule="exact"/>
        </w:trPr>
        <w:tc>
          <w:tcPr>
            <w:tcW w:w="156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讼并申请财</w:t>
            </w:r>
          </w:p>
          <w:p>
            <w:pPr>
              <w:pStyle w:val="TableParagraph"/>
              <w:spacing w:line="276" w:lineRule="auto" w:before="37"/>
              <w:ind w:left="100" w:right="94"/>
              <w:jc w:val="left"/>
              <w:rPr>
                <w:rFonts w:ascii="宋体" w:hAnsi="宋体" w:cs="宋体" w:eastAsia="宋体" w:hint="default"/>
                <w:sz w:val="21"/>
                <w:szCs w:val="21"/>
              </w:rPr>
            </w:pPr>
            <w:r>
              <w:rPr>
                <w:rFonts w:ascii="宋体" w:hAnsi="宋体" w:cs="宋体" w:eastAsia="宋体" w:hint="default"/>
                <w:spacing w:val="-14"/>
                <w:sz w:val="21"/>
                <w:szCs w:val="21"/>
              </w:rPr>
              <w:t>产保全，目前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上述案件已</w:t>
            </w:r>
            <w:r>
              <w:rPr>
                <w:rFonts w:ascii="宋体" w:hAnsi="宋体" w:cs="宋体" w:eastAsia="宋体" w:hint="default"/>
                <w:spacing w:val="-99"/>
                <w:sz w:val="21"/>
                <w:szCs w:val="21"/>
              </w:rPr>
              <w:t> </w:t>
            </w:r>
            <w:r>
              <w:rPr>
                <w:rFonts w:ascii="宋体" w:hAnsi="宋体" w:cs="宋体" w:eastAsia="宋体" w:hint="default"/>
                <w:sz w:val="21"/>
                <w:szCs w:val="21"/>
              </w:rPr>
              <w:t>开庭审理。</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管理造成实</w:t>
            </w:r>
          </w:p>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质性影响。</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信息披露义</w:t>
            </w:r>
          </w:p>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务。</w:t>
            </w:r>
          </w:p>
        </w:tc>
        <w:tc>
          <w:tcPr>
            <w:tcW w:w="100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4"/>
              <w:ind w:left="100" w:right="116"/>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info.com.c</w:t>
            </w:r>
            <w:r>
              <w:rPr>
                <w:rFonts w:ascii="Times New Roman" w:hAnsi="Times New Roman" w:cs="Times New Roman" w:eastAsia="Times New Roman" w:hint="default"/>
                <w:spacing w:val="-39"/>
                <w:sz w:val="21"/>
                <w:szCs w:val="21"/>
              </w:rPr>
              <w:t> </w:t>
            </w:r>
            <w:r>
              <w:rPr>
                <w:rFonts w:ascii="Times New Roman" w:hAnsi="Times New Roman" w:cs="Times New Roman" w:eastAsia="Times New Roman" w:hint="default"/>
                <w:spacing w:val="-39"/>
                <w:sz w:val="21"/>
                <w:szCs w:val="21"/>
              </w:rPr>
            </w:r>
            <w:r>
              <w:rPr>
                <w:rFonts w:ascii="Times New Roman" w:hAnsi="Times New Roman" w:cs="Times New Roman" w:eastAsia="Times New Roman" w:hint="default"/>
                <w:spacing w:val="-3"/>
                <w:sz w:val="21"/>
                <w:szCs w:val="21"/>
              </w:rPr>
              <w:t>n</w:t>
            </w:r>
            <w:r>
              <w:rPr>
                <w:rFonts w:ascii="宋体" w:hAnsi="宋体" w:cs="宋体" w:eastAsia="宋体" w:hint="default"/>
                <w:spacing w:val="-3"/>
                <w:sz w:val="21"/>
                <w:szCs w:val="21"/>
              </w:rPr>
              <w:t>）</w:t>
            </w:r>
          </w:p>
        </w:tc>
      </w:tr>
    </w:tbl>
    <w:p>
      <w:pPr>
        <w:spacing w:line="240" w:lineRule="auto" w:before="9"/>
        <w:rPr>
          <w:rFonts w:ascii="宋体" w:hAnsi="宋体" w:cs="宋体" w:eastAsia="宋体" w:hint="default"/>
          <w:sz w:val="17"/>
          <w:szCs w:val="17"/>
        </w:rPr>
      </w:pPr>
    </w:p>
    <w:p>
      <w:pPr>
        <w:pStyle w:val="Heading2"/>
        <w:spacing w:line="240" w:lineRule="auto" w:before="26"/>
        <w:ind w:right="1002"/>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7"/>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公司报告期不存在处罚及整改情况。</w:t>
      </w:r>
    </w:p>
    <w:p>
      <w:pPr>
        <w:spacing w:line="240" w:lineRule="auto" w:before="3"/>
        <w:rPr>
          <w:rFonts w:ascii="宋体" w:hAnsi="宋体" w:cs="宋体" w:eastAsia="宋体" w:hint="default"/>
          <w:sz w:val="17"/>
          <w:szCs w:val="17"/>
        </w:rPr>
      </w:pPr>
    </w:p>
    <w:p>
      <w:pPr>
        <w:pStyle w:val="Heading2"/>
        <w:spacing w:line="240" w:lineRule="auto"/>
        <w:ind w:right="1002"/>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5"/>
        <w:rPr>
          <w:rFonts w:ascii="宋体" w:hAnsi="宋体" w:cs="宋体" w:eastAsia="宋体" w:hint="default"/>
          <w:sz w:val="24"/>
          <w:szCs w:val="24"/>
        </w:rPr>
      </w:pPr>
    </w:p>
    <w:p>
      <w:pPr>
        <w:pStyle w:val="Heading2"/>
        <w:spacing w:line="240" w:lineRule="auto"/>
        <w:ind w:right="1002"/>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3"/>
          <w:szCs w:val="13"/>
        </w:rPr>
      </w:pPr>
    </w:p>
    <w:p>
      <w:pPr>
        <w:pStyle w:val="BodyText"/>
        <w:spacing w:line="350" w:lineRule="auto" w:before="0"/>
        <w:ind w:right="1113" w:firstLine="456"/>
        <w:jc w:val="left"/>
      </w:pPr>
      <w:r>
        <w:rPr>
          <w:rFonts w:ascii="宋体" w:hAnsi="宋体" w:cs="宋体" w:eastAsia="宋体" w:hint="default"/>
          <w:spacing w:val="-3"/>
        </w:rPr>
        <w:t>1</w:t>
      </w:r>
      <w:r>
        <w:rPr>
          <w:spacing w:val="-3"/>
        </w:rPr>
        <w:t>、公司于</w:t>
      </w:r>
      <w:r>
        <w:rPr>
          <w:rFonts w:ascii="宋体" w:hAnsi="宋体" w:cs="宋体" w:eastAsia="宋体" w:hint="default"/>
          <w:spacing w:val="-3"/>
        </w:rPr>
        <w:t>2018</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6</w:t>
      </w:r>
      <w:r>
        <w:rPr>
          <w:spacing w:val="-3"/>
        </w:rPr>
        <w:t>日召开</w:t>
      </w:r>
      <w:r>
        <w:rPr>
          <w:rFonts w:ascii="宋体" w:hAnsi="宋体" w:cs="宋体" w:eastAsia="宋体" w:hint="default"/>
          <w:spacing w:val="-3"/>
        </w:rPr>
        <w:t>2018</w:t>
      </w:r>
      <w:r>
        <w:rPr>
          <w:spacing w:val="-3"/>
        </w:rPr>
        <w:t>年第四次临时股东大会，审议通过了《关于以集中竞价交易方式回</w:t>
      </w:r>
      <w:r>
        <w:rPr>
          <w:w w:val="100"/>
        </w:rPr>
        <w:t> </w:t>
      </w:r>
      <w:r>
        <w:rPr>
          <w:spacing w:val="-2"/>
        </w:rPr>
        <w:t>购股份的议案》等相关议案，同意公司以集中竞价交易的方式使用自有资金回购公司股份，回购价格为不</w:t>
      </w:r>
      <w:r>
        <w:rPr>
          <w:spacing w:val="-33"/>
        </w:rPr>
        <w:t> </w:t>
      </w:r>
      <w:r>
        <w:rPr>
          <w:spacing w:val="-33"/>
        </w:rPr>
      </w:r>
      <w:r>
        <w:rPr/>
        <w:t>超过</w:t>
      </w:r>
      <w:r>
        <w:rPr>
          <w:rFonts w:ascii="宋体" w:hAnsi="宋体" w:cs="宋体" w:eastAsia="宋体" w:hint="default"/>
        </w:rPr>
        <w:t>9.00</w:t>
      </w:r>
      <w:r>
        <w:rPr/>
        <w:t>元</w:t>
      </w:r>
      <w:r>
        <w:rPr>
          <w:rFonts w:ascii="宋体" w:hAnsi="宋体" w:cs="宋体" w:eastAsia="宋体" w:hint="default"/>
        </w:rPr>
        <w:t>/</w:t>
      </w:r>
      <w:r>
        <w:rPr/>
        <w:t>股。回购的资金总额预计为不低于人民币</w:t>
      </w:r>
      <w:r>
        <w:rPr>
          <w:rFonts w:ascii="宋体" w:hAnsi="宋体" w:cs="宋体" w:eastAsia="宋体" w:hint="default"/>
        </w:rPr>
        <w:t>1.5</w:t>
      </w:r>
      <w:r>
        <w:rPr/>
        <w:t>亿元，不超过人民币</w:t>
      </w:r>
      <w:r>
        <w:rPr>
          <w:rFonts w:ascii="宋体" w:hAnsi="宋体" w:cs="宋体" w:eastAsia="宋体" w:hint="default"/>
        </w:rPr>
        <w:t>3</w:t>
      </w:r>
      <w:r>
        <w:rPr/>
        <w:t>亿元。回购股份期限为自</w:t>
      </w:r>
      <w:r>
        <w:rPr>
          <w:w w:val="100"/>
        </w:rPr>
        <w:t> </w:t>
      </w:r>
      <w:r>
        <w:rPr>
          <w:spacing w:val="-2"/>
        </w:rPr>
        <w:t>股东大会审议通过回购股份方案之日起不超过</w:t>
      </w:r>
      <w:r>
        <w:rPr>
          <w:rFonts w:ascii="宋体" w:hAnsi="宋体" w:cs="宋体" w:eastAsia="宋体" w:hint="default"/>
          <w:spacing w:val="-2"/>
        </w:rPr>
        <w:t>6</w:t>
      </w:r>
      <w:r>
        <w:rPr>
          <w:spacing w:val="-2"/>
        </w:rPr>
        <w:t>个月（即本次回购股份的实施期限为</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7</w:t>
      </w:r>
      <w:r>
        <w:rPr>
          <w:spacing w:val="-2"/>
        </w:rPr>
        <w:t>日至</w:t>
      </w:r>
      <w:r>
        <w:rPr>
          <w:rFonts w:ascii="宋体" w:hAnsi="宋体" w:cs="宋体" w:eastAsia="宋体" w:hint="default"/>
          <w:spacing w:val="-2"/>
        </w:rPr>
        <w:t>2019</w:t>
      </w:r>
      <w:r>
        <w:rPr>
          <w:rFonts w:ascii="宋体" w:hAnsi="宋体" w:cs="宋体" w:eastAsia="宋体" w:hint="default"/>
          <w:spacing w:val="-24"/>
        </w:rPr>
        <w:t> </w:t>
      </w:r>
      <w:r>
        <w:rPr>
          <w:rFonts w:ascii="宋体" w:hAnsi="宋体" w:cs="宋体" w:eastAsia="宋体" w:hint="default"/>
          <w:spacing w:val="-24"/>
        </w:rPr>
      </w:r>
      <w:r>
        <w:rPr>
          <w:spacing w:val="-10"/>
          <w:w w:val="100"/>
        </w:rPr>
        <w:t>年</w:t>
      </w:r>
      <w:r>
        <w:rPr>
          <w:rFonts w:ascii="宋体" w:hAnsi="宋体" w:cs="宋体" w:eastAsia="宋体" w:hint="default"/>
          <w:spacing w:val="-10"/>
          <w:w w:val="100"/>
        </w:rPr>
        <w:t>5</w:t>
      </w:r>
      <w:r>
        <w:rPr>
          <w:spacing w:val="-10"/>
          <w:w w:val="100"/>
        </w:rPr>
        <w:t>月</w:t>
      </w:r>
      <w:r>
        <w:rPr>
          <w:rFonts w:ascii="宋体" w:hAnsi="宋体" w:cs="宋体" w:eastAsia="宋体" w:hint="default"/>
          <w:spacing w:val="-10"/>
          <w:w w:val="100"/>
        </w:rPr>
        <w:t>6</w:t>
      </w:r>
      <w:r>
        <w:rPr>
          <w:spacing w:val="-10"/>
          <w:w w:val="100"/>
        </w:rPr>
        <w:t>日）。截止</w:t>
      </w:r>
      <w:r>
        <w:rPr>
          <w:rFonts w:ascii="宋体" w:hAnsi="宋体" w:cs="宋体" w:eastAsia="宋体" w:hint="default"/>
          <w:spacing w:val="-10"/>
          <w:w w:val="100"/>
        </w:rPr>
        <w:t>2018</w:t>
      </w:r>
      <w:r>
        <w:rPr>
          <w:rFonts w:ascii="宋体" w:hAnsi="宋体" w:cs="宋体" w:eastAsia="宋体" w:hint="default"/>
          <w:w w:val="100"/>
        </w:rPr>
        <w:t> </w:t>
      </w:r>
      <w:r>
        <w:rPr>
          <w:spacing w:val="-1"/>
          <w:w w:val="100"/>
        </w:rPr>
        <w:t>年</w:t>
      </w:r>
      <w:r>
        <w:rPr>
          <w:rFonts w:ascii="宋体" w:hAnsi="宋体" w:cs="宋体" w:eastAsia="宋体" w:hint="default"/>
          <w:spacing w:val="-1"/>
          <w:w w:val="100"/>
        </w:rPr>
        <w:t>12</w:t>
      </w:r>
      <w:r>
        <w:rPr>
          <w:spacing w:val="-1"/>
          <w:w w:val="100"/>
        </w:rPr>
        <w:t>月</w:t>
      </w:r>
      <w:r>
        <w:rPr>
          <w:rFonts w:ascii="宋体" w:hAnsi="宋体" w:cs="宋体" w:eastAsia="宋体" w:hint="default"/>
          <w:spacing w:val="-1"/>
          <w:w w:val="100"/>
        </w:rPr>
        <w:t>5</w:t>
      </w:r>
      <w:r>
        <w:rPr>
          <w:rFonts w:ascii="宋体" w:hAnsi="宋体" w:cs="宋体" w:eastAsia="宋体" w:hint="default"/>
          <w:spacing w:val="16"/>
          <w:w w:val="100"/>
        </w:rPr>
        <w:t> </w:t>
      </w:r>
      <w:r>
        <w:rPr>
          <w:spacing w:val="-2"/>
          <w:w w:val="100"/>
        </w:rPr>
        <w:t>日，公司累计通过股票回购专用证券账户以集中竞价交易方式回购股份数</w:t>
      </w:r>
      <w:r>
        <w:rPr>
          <w:w w:val="100"/>
        </w:rPr>
        <w:t> </w:t>
      </w:r>
      <w:r>
        <w:rPr/>
        <w:t>量 </w:t>
      </w:r>
      <w:r>
        <w:rPr>
          <w:rFonts w:ascii="宋体" w:hAnsi="宋体" w:cs="宋体" w:eastAsia="宋体" w:hint="default"/>
        </w:rPr>
        <w:t>22,782,295 </w:t>
      </w:r>
      <w:r>
        <w:rPr/>
        <w:t>股，占公司总股本的</w:t>
      </w:r>
      <w:r>
        <w:rPr>
          <w:rFonts w:ascii="宋体" w:hAnsi="宋体" w:cs="宋体" w:eastAsia="宋体" w:hint="default"/>
        </w:rPr>
        <w:t>3.29%</w:t>
      </w:r>
      <w:r>
        <w:rPr/>
        <w:t>，最高成交价为</w:t>
      </w:r>
      <w:r>
        <w:rPr>
          <w:spacing w:val="-25"/>
        </w:rPr>
        <w:t> </w:t>
      </w:r>
      <w:r>
        <w:rPr>
          <w:rFonts w:ascii="宋体" w:hAnsi="宋体" w:cs="宋体" w:eastAsia="宋体" w:hint="default"/>
        </w:rPr>
        <w:t>7.00</w:t>
      </w:r>
      <w:r>
        <w:rPr/>
        <w:t>元</w:t>
      </w:r>
      <w:r>
        <w:rPr>
          <w:rFonts w:ascii="宋体" w:hAnsi="宋体" w:cs="宋体" w:eastAsia="宋体" w:hint="default"/>
        </w:rPr>
        <w:t>/</w:t>
      </w:r>
      <w:r>
        <w:rPr/>
        <w:t>股，最低成交价为</w:t>
      </w:r>
      <w:r>
        <w:rPr>
          <w:rFonts w:ascii="宋体" w:hAnsi="宋体" w:cs="宋体" w:eastAsia="宋体" w:hint="default"/>
        </w:rPr>
        <w:t>6.19</w:t>
      </w:r>
      <w:r>
        <w:rPr/>
        <w:t>元</w:t>
      </w:r>
      <w:r>
        <w:rPr>
          <w:rFonts w:ascii="宋体" w:hAnsi="宋体" w:cs="宋体" w:eastAsia="宋体" w:hint="default"/>
        </w:rPr>
        <w:t>/</w:t>
      </w:r>
      <w:r>
        <w:rPr/>
        <w:t>股，回购总</w:t>
      </w:r>
      <w:r>
        <w:rPr>
          <w:w w:val="100"/>
        </w:rPr>
        <w:t> </w:t>
      </w:r>
      <w:r>
        <w:rPr>
          <w:spacing w:val="-4"/>
          <w:w w:val="100"/>
        </w:rPr>
        <w:t>金额为</w:t>
      </w:r>
      <w:r>
        <w:rPr>
          <w:rFonts w:ascii="宋体" w:hAnsi="宋体" w:cs="宋体" w:eastAsia="宋体" w:hint="default"/>
          <w:spacing w:val="-4"/>
          <w:w w:val="100"/>
        </w:rPr>
        <w:t>150,033,637.57</w:t>
      </w:r>
      <w:r>
        <w:rPr>
          <w:spacing w:val="-4"/>
          <w:w w:val="100"/>
        </w:rPr>
        <w:t>元（不含交易费用），本次回购股份事项已实施完毕。</w:t>
      </w:r>
    </w:p>
    <w:p>
      <w:pPr>
        <w:pStyle w:val="BodyText"/>
        <w:spacing w:line="350" w:lineRule="auto" w:before="27"/>
        <w:ind w:right="1125" w:firstLine="528"/>
        <w:jc w:val="both"/>
      </w:pPr>
      <w:r>
        <w:rPr>
          <w:rFonts w:ascii="宋体" w:hAnsi="宋体" w:cs="宋体" w:eastAsia="宋体" w:hint="default"/>
          <w:spacing w:val="-2"/>
        </w:rPr>
        <w:t>2</w:t>
      </w:r>
      <w:r>
        <w:rPr>
          <w:spacing w:val="-2"/>
        </w:rPr>
        <w:t>、根据公司发展战略，为了进一步实现公司做稳、做强、做大，充分发挥公司回购股份用途的积极</w:t>
      </w:r>
      <w:r>
        <w:rPr>
          <w:w w:val="100"/>
        </w:rPr>
        <w:t> </w:t>
      </w:r>
      <w:r>
        <w:rPr>
          <w:spacing w:val="-2"/>
        </w:rPr>
        <w:t>促进作用，建立和完善员工、股东的利益共享机制。将使用已回购的股份用于实施员工持股计划，提高职</w:t>
      </w:r>
      <w:r>
        <w:rPr>
          <w:spacing w:val="-33"/>
        </w:rPr>
        <w:t> </w:t>
      </w:r>
      <w:r>
        <w:rPr>
          <w:spacing w:val="-33"/>
        </w:rPr>
      </w:r>
      <w:r>
        <w:rPr>
          <w:spacing w:val="-2"/>
        </w:rPr>
        <w:t>工的凝聚力和公司竞争力，调动员工的积极性和创造性，激励个人与公司共同分享企业发展的成果，促进</w:t>
      </w:r>
      <w:r>
        <w:rPr>
          <w:spacing w:val="-33"/>
        </w:rPr>
        <w:t> </w:t>
      </w:r>
      <w:r>
        <w:rPr>
          <w:spacing w:val="-33"/>
        </w:rPr>
      </w:r>
      <w:r>
        <w:rPr>
          <w:spacing w:val="-2"/>
        </w:rPr>
        <w:t>公司长期、稳定、健康的发展。</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8</w:t>
      </w:r>
      <w:r>
        <w:rPr>
          <w:spacing w:val="-2"/>
        </w:rPr>
        <w:t>日召开了第八届董事会第二次会议，审议通过了《关于确定回</w:t>
      </w:r>
      <w:r>
        <w:rPr>
          <w:spacing w:val="-31"/>
        </w:rPr>
        <w:t> </w:t>
      </w:r>
      <w:r>
        <w:rPr>
          <w:spacing w:val="-31"/>
        </w:rPr>
      </w:r>
      <w:r>
        <w:rPr>
          <w:spacing w:val="-4"/>
          <w:w w:val="100"/>
        </w:rPr>
        <w:t>购股份用途的议案》，同意公司在回购完成的</w:t>
      </w:r>
      <w:r>
        <w:rPr>
          <w:rFonts w:ascii="宋体" w:hAnsi="宋体" w:cs="宋体" w:eastAsia="宋体" w:hint="default"/>
          <w:spacing w:val="-4"/>
          <w:w w:val="100"/>
        </w:rPr>
        <w:t>36</w:t>
      </w:r>
      <w:r>
        <w:rPr>
          <w:spacing w:val="-4"/>
          <w:w w:val="100"/>
        </w:rPr>
        <w:t>个月内将本次回购的股份全部用于员工持股计划。</w:t>
      </w:r>
    </w:p>
    <w:p>
      <w:pPr>
        <w:pStyle w:val="BodyText"/>
        <w:spacing w:line="350" w:lineRule="auto" w:before="27"/>
        <w:ind w:right="1002" w:firstLine="528"/>
        <w:jc w:val="left"/>
      </w:pP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27</w:t>
      </w:r>
      <w:r>
        <w:rPr/>
        <w:t>日，公司召开第八届董事会第六次会议、第八届监事会第四次会议审议通过了《关</w:t>
      </w:r>
      <w:r>
        <w:rPr>
          <w:w w:val="100"/>
        </w:rPr>
        <w:t> </w:t>
      </w:r>
      <w:r>
        <w:rPr>
          <w:spacing w:val="-6"/>
          <w:w w:val="100"/>
        </w:rPr>
        <w:t>于</w:t>
      </w:r>
      <w:r>
        <w:rPr>
          <w:rFonts w:ascii="宋体" w:hAnsi="宋体" w:cs="宋体" w:eastAsia="宋体" w:hint="default"/>
          <w:spacing w:val="-6"/>
          <w:w w:val="100"/>
        </w:rPr>
        <w:t>&lt;</w:t>
      </w:r>
      <w:r>
        <w:rPr>
          <w:spacing w:val="-6"/>
          <w:w w:val="100"/>
        </w:rPr>
        <w:t>安徽中电兴发与鑫龙科技股份有限公司第一期员工持股计划（草案）</w:t>
      </w:r>
      <w:r>
        <w:rPr>
          <w:rFonts w:ascii="宋体" w:hAnsi="宋体" w:cs="宋体" w:eastAsia="宋体" w:hint="default"/>
          <w:spacing w:val="-6"/>
          <w:w w:val="100"/>
        </w:rPr>
        <w:t>&gt;</w:t>
      </w:r>
      <w:r>
        <w:rPr>
          <w:spacing w:val="-6"/>
          <w:w w:val="100"/>
        </w:rPr>
        <w:t>及其摘要的议案》、《关于</w:t>
      </w:r>
      <w:r>
        <w:rPr>
          <w:rFonts w:ascii="宋体" w:hAnsi="宋体" w:cs="宋体" w:eastAsia="宋体" w:hint="default"/>
          <w:spacing w:val="-6"/>
          <w:w w:val="100"/>
        </w:rPr>
        <w:t>&lt;</w:t>
      </w:r>
      <w:r>
        <w:rPr>
          <w:spacing w:val="-6"/>
          <w:w w:val="100"/>
        </w:rPr>
        <w:t>安徽</w:t>
      </w:r>
      <w:r>
        <w:rPr>
          <w:spacing w:val="-82"/>
          <w:w w:val="100"/>
        </w:rPr>
        <w:t> </w:t>
      </w:r>
      <w:r>
        <w:rPr/>
        <w:t>中电兴发与鑫龙科技股份有限公司第一期员工持股计划管理办法</w:t>
      </w:r>
      <w:r>
        <w:rPr>
          <w:rFonts w:ascii="宋体" w:hAnsi="宋体" w:cs="宋体" w:eastAsia="宋体" w:hint="default"/>
        </w:rPr>
        <w:t>&gt;</w:t>
      </w:r>
      <w:r>
        <w:rPr/>
        <w:t>的议案》等相关议案，公司独立董事、</w:t>
      </w:r>
      <w:r>
        <w:rPr>
          <w:w w:val="100"/>
        </w:rPr>
        <w:t> </w:t>
      </w:r>
      <w:r>
        <w:rPr>
          <w:spacing w:val="-4"/>
          <w:w w:val="100"/>
        </w:rPr>
        <w:t>监事会均已对本次员工持股计划方案内容进行审核，并发表了同意意见。《安徽中电兴发与鑫龙科技股份</w:t>
      </w:r>
      <w:r>
        <w:rPr>
          <w:spacing w:val="-81"/>
          <w:w w:val="100"/>
        </w:rPr>
        <w:t> </w:t>
      </w:r>
      <w:r>
        <w:rPr>
          <w:spacing w:val="-81"/>
          <w:w w:val="100"/>
        </w:rPr>
      </w:r>
      <w:r>
        <w:rPr>
          <w:spacing w:val="-5"/>
          <w:w w:val="100"/>
        </w:rPr>
        <w:t>有限公司第一期员工持股计划（草案）》及其摘要的具体内容详见</w:t>
      </w:r>
      <w:r>
        <w:rPr>
          <w:spacing w:val="4"/>
          <w:w w:val="100"/>
        </w:rPr>
        <w:t> </w:t>
      </w:r>
      <w:r>
        <w:rPr>
          <w:rFonts w:ascii="宋体" w:hAnsi="宋体" w:cs="宋体" w:eastAsia="宋体" w:hint="default"/>
          <w:spacing w:val="-1"/>
          <w:w w:val="100"/>
        </w:rPr>
        <w:t>2019</w:t>
      </w:r>
      <w:r>
        <w:rPr>
          <w:spacing w:val="-1"/>
          <w:w w:val="100"/>
        </w:rPr>
        <w:t>年</w:t>
      </w:r>
      <w:r>
        <w:rPr>
          <w:rFonts w:ascii="宋体" w:hAnsi="宋体" w:cs="宋体" w:eastAsia="宋体" w:hint="default"/>
          <w:spacing w:val="-1"/>
          <w:w w:val="100"/>
        </w:rPr>
        <w:t>5</w:t>
      </w:r>
      <w:r>
        <w:rPr>
          <w:spacing w:val="-1"/>
          <w:w w:val="100"/>
        </w:rPr>
        <w:t>月</w:t>
      </w:r>
      <w:r>
        <w:rPr>
          <w:rFonts w:ascii="宋体" w:hAnsi="宋体" w:cs="宋体" w:eastAsia="宋体" w:hint="default"/>
          <w:spacing w:val="-1"/>
          <w:w w:val="100"/>
        </w:rPr>
        <w:t>28</w:t>
      </w:r>
      <w:r>
        <w:rPr>
          <w:spacing w:val="-1"/>
          <w:w w:val="100"/>
        </w:rPr>
        <w:t>日公司指定的信息披露媒</w:t>
      </w:r>
      <w:r>
        <w:rPr>
          <w:w w:val="100"/>
        </w:rPr>
        <w:t> </w:t>
      </w:r>
      <w:r>
        <w:rPr>
          <w:spacing w:val="-9"/>
          <w:w w:val="100"/>
        </w:rPr>
        <w:t>体《证券时报》、《中国证券报》、《上海证券报》和巨潮资讯网（</w:t>
      </w:r>
      <w:hyperlink r:id="rId8">
        <w:r>
          <w:rPr>
            <w:rFonts w:ascii="宋体" w:hAnsi="宋体" w:cs="宋体" w:eastAsia="宋体" w:hint="default"/>
            <w:spacing w:val="-9"/>
            <w:w w:val="100"/>
          </w:rPr>
          <w:t>http://www.cninfo.com.cn</w:t>
        </w:r>
      </w:hyperlink>
      <w:r>
        <w:rPr>
          <w:spacing w:val="-9"/>
          <w:w w:val="100"/>
        </w:rPr>
        <w:t>）上的相关公</w:t>
      </w:r>
      <w:r>
        <w:rPr>
          <w:spacing w:val="-62"/>
          <w:w w:val="100"/>
        </w:rPr>
        <w:t> </w:t>
      </w:r>
      <w:r>
        <w:rPr>
          <w:spacing w:val="-62"/>
          <w:w w:val="100"/>
        </w:rPr>
      </w:r>
      <w:r>
        <w:rPr/>
        <w:t>告。</w:t>
      </w:r>
    </w:p>
    <w:p>
      <w:pPr>
        <w:pStyle w:val="BodyText"/>
        <w:spacing w:line="352" w:lineRule="auto" w:before="27"/>
        <w:ind w:right="1112" w:firstLine="422"/>
        <w:jc w:val="left"/>
      </w:pP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12</w:t>
      </w:r>
      <w:r>
        <w:rPr/>
        <w:t>日，公司</w:t>
      </w:r>
      <w:r>
        <w:rPr>
          <w:rFonts w:ascii="宋体" w:hAnsi="宋体" w:cs="宋体" w:eastAsia="宋体" w:hint="default"/>
        </w:rPr>
        <w:t>2019</w:t>
      </w:r>
      <w:r>
        <w:rPr/>
        <w:t>年第二次临时股东大会审议通过了《关于</w:t>
      </w:r>
      <w:r>
        <w:rPr>
          <w:rFonts w:ascii="宋体" w:hAnsi="宋体" w:cs="宋体" w:eastAsia="宋体" w:hint="default"/>
        </w:rPr>
        <w:t>&lt;</w:t>
      </w:r>
      <w:r>
        <w:rPr/>
        <w:t>安徽中电兴发与鑫龙科技股</w:t>
      </w:r>
      <w:r>
        <w:rPr>
          <w:w w:val="100"/>
        </w:rPr>
        <w:t> </w:t>
      </w:r>
      <w:r>
        <w:rPr>
          <w:spacing w:val="-6"/>
          <w:w w:val="100"/>
        </w:rPr>
        <w:t>份有限公司第一期员工持股计划（草案）</w:t>
      </w:r>
      <w:r>
        <w:rPr>
          <w:rFonts w:ascii="宋体" w:hAnsi="宋体" w:cs="宋体" w:eastAsia="宋体" w:hint="default"/>
          <w:spacing w:val="-6"/>
          <w:w w:val="100"/>
        </w:rPr>
        <w:t>&gt;</w:t>
      </w:r>
      <w:r>
        <w:rPr>
          <w:spacing w:val="-6"/>
          <w:w w:val="100"/>
        </w:rPr>
        <w:t>及其摘要的议案》、《关于</w:t>
      </w:r>
      <w:r>
        <w:rPr>
          <w:rFonts w:ascii="宋体" w:hAnsi="宋体" w:cs="宋体" w:eastAsia="宋体" w:hint="default"/>
          <w:spacing w:val="-6"/>
          <w:w w:val="100"/>
        </w:rPr>
        <w:t>&lt;</w:t>
      </w:r>
      <w:r>
        <w:rPr>
          <w:spacing w:val="-6"/>
          <w:w w:val="100"/>
        </w:rPr>
        <w:t>安徽中电兴发与鑫龙科技股份有限公</w:t>
      </w:r>
    </w:p>
    <w:p>
      <w:pPr>
        <w:spacing w:after="0" w:line="352"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210"/>
        <w:jc w:val="both"/>
      </w:pPr>
      <w:r>
        <w:rPr>
          <w:w w:val="100"/>
        </w:rPr>
        <w:t>司第一期</w:t>
      </w:r>
      <w:r>
        <w:rPr>
          <w:spacing w:val="-5"/>
          <w:w w:val="100"/>
        </w:rPr>
        <w:t>员</w:t>
      </w:r>
      <w:r>
        <w:rPr>
          <w:w w:val="100"/>
        </w:rPr>
        <w:t>工持股</w:t>
      </w:r>
      <w:r>
        <w:rPr>
          <w:spacing w:val="-5"/>
          <w:w w:val="100"/>
        </w:rPr>
        <w:t>计</w:t>
      </w:r>
      <w:r>
        <w:rPr>
          <w:w w:val="100"/>
        </w:rPr>
        <w:t>划管理</w:t>
      </w:r>
      <w:r>
        <w:rPr>
          <w:spacing w:val="-5"/>
          <w:w w:val="100"/>
        </w:rPr>
        <w:t>办</w:t>
      </w:r>
      <w:r>
        <w:rPr>
          <w:spacing w:val="1"/>
          <w:w w:val="100"/>
        </w:rPr>
        <w:t>法</w:t>
      </w:r>
      <w:r>
        <w:rPr>
          <w:rFonts w:ascii="宋体" w:hAnsi="宋体" w:cs="宋体" w:eastAsia="宋体" w:hint="default"/>
          <w:w w:val="100"/>
        </w:rPr>
        <w:t>&gt;</w:t>
      </w:r>
      <w:r>
        <w:rPr>
          <w:w w:val="100"/>
        </w:rPr>
        <w:t>的议</w:t>
      </w:r>
      <w:r>
        <w:rPr>
          <w:spacing w:val="-5"/>
          <w:w w:val="100"/>
        </w:rPr>
        <w:t>案</w:t>
      </w:r>
      <w:r>
        <w:rPr>
          <w:spacing w:val="-106"/>
          <w:w w:val="100"/>
        </w:rPr>
        <w:t>》、</w:t>
      </w:r>
      <w:r>
        <w:rPr>
          <w:w w:val="100"/>
        </w:rPr>
        <w:t>《</w:t>
      </w:r>
      <w:r>
        <w:rPr>
          <w:spacing w:val="-5"/>
          <w:w w:val="100"/>
        </w:rPr>
        <w:t>关</w:t>
      </w:r>
      <w:r>
        <w:rPr>
          <w:w w:val="100"/>
        </w:rPr>
        <w:t>于</w:t>
      </w:r>
      <w:r>
        <w:rPr>
          <w:spacing w:val="-5"/>
          <w:w w:val="100"/>
        </w:rPr>
        <w:t>提</w:t>
      </w:r>
      <w:r>
        <w:rPr>
          <w:spacing w:val="1"/>
          <w:w w:val="100"/>
        </w:rPr>
        <w:t>请</w:t>
      </w:r>
      <w:r>
        <w:rPr>
          <w:w w:val="100"/>
        </w:rPr>
        <w:t>股东大</w:t>
      </w:r>
      <w:r>
        <w:rPr>
          <w:spacing w:val="-5"/>
          <w:w w:val="100"/>
        </w:rPr>
        <w:t>会</w:t>
      </w:r>
      <w:r>
        <w:rPr>
          <w:w w:val="100"/>
        </w:rPr>
        <w:t>授权董</w:t>
      </w:r>
      <w:r>
        <w:rPr>
          <w:spacing w:val="-5"/>
          <w:w w:val="100"/>
        </w:rPr>
        <w:t>事</w:t>
      </w:r>
      <w:r>
        <w:rPr>
          <w:w w:val="100"/>
        </w:rPr>
        <w:t>会办理</w:t>
      </w:r>
      <w:r>
        <w:rPr>
          <w:spacing w:val="-5"/>
          <w:w w:val="100"/>
        </w:rPr>
        <w:t>公</w:t>
      </w:r>
      <w:r>
        <w:rPr>
          <w:w w:val="100"/>
        </w:rPr>
        <w:t>司第一</w:t>
      </w:r>
      <w:r>
        <w:rPr>
          <w:spacing w:val="-5"/>
          <w:w w:val="100"/>
        </w:rPr>
        <w:t>期</w:t>
      </w:r>
      <w:r>
        <w:rPr>
          <w:w w:val="100"/>
        </w:rPr>
        <w:t>员工持</w:t>
      </w:r>
      <w:r>
        <w:rPr>
          <w:spacing w:val="-5"/>
          <w:w w:val="100"/>
        </w:rPr>
        <w:t>股</w:t>
      </w:r>
      <w:r>
        <w:rPr>
          <w:w w:val="100"/>
        </w:rPr>
        <w:t>计划</w:t>
      </w:r>
      <w:r>
        <w:rPr>
          <w:w w:val="100"/>
        </w:rPr>
        <w:t> 有关事项</w:t>
      </w:r>
      <w:r>
        <w:rPr>
          <w:spacing w:val="-5"/>
          <w:w w:val="100"/>
        </w:rPr>
        <w:t>的</w:t>
      </w:r>
      <w:r>
        <w:rPr>
          <w:w w:val="100"/>
        </w:rPr>
        <w:t>议案》</w:t>
      </w:r>
      <w:r>
        <w:rPr>
          <w:spacing w:val="-5"/>
          <w:w w:val="100"/>
        </w:rPr>
        <w:t>等</w:t>
      </w:r>
      <w:r>
        <w:rPr>
          <w:w w:val="100"/>
        </w:rPr>
        <w:t>相关议</w:t>
      </w:r>
      <w:r>
        <w:rPr>
          <w:spacing w:val="-5"/>
          <w:w w:val="100"/>
        </w:rPr>
        <w:t>案</w:t>
      </w:r>
      <w:r>
        <w:rPr>
          <w:w w:val="100"/>
        </w:rPr>
        <w:t>。具体</w:t>
      </w:r>
      <w:r>
        <w:rPr>
          <w:spacing w:val="-5"/>
          <w:w w:val="100"/>
        </w:rPr>
        <w:t>内</w:t>
      </w:r>
      <w:r>
        <w:rPr>
          <w:w w:val="100"/>
        </w:rPr>
        <w:t>容详</w:t>
      </w:r>
      <w:r>
        <w:rPr>
          <w:spacing w:val="1"/>
          <w:w w:val="100"/>
        </w:rPr>
        <w:t>见</w:t>
      </w:r>
      <w:r>
        <w:rPr>
          <w:rFonts w:ascii="宋体" w:hAnsi="宋体" w:cs="宋体" w:eastAsia="宋体" w:hint="default"/>
          <w:w w:val="100"/>
        </w:rPr>
        <w:t>2</w:t>
      </w:r>
      <w:r>
        <w:rPr>
          <w:rFonts w:ascii="宋体" w:hAnsi="宋体" w:cs="宋体" w:eastAsia="宋体" w:hint="default"/>
          <w:spacing w:val="-5"/>
          <w:w w:val="100"/>
        </w:rPr>
        <w:t>0</w:t>
      </w:r>
      <w:r>
        <w:rPr>
          <w:rFonts w:ascii="宋体" w:hAnsi="宋体" w:cs="宋体" w:eastAsia="宋体" w:hint="default"/>
          <w:w w:val="100"/>
        </w:rPr>
        <w:t>19</w:t>
      </w:r>
      <w:r>
        <w:rPr>
          <w:spacing w:val="-5"/>
          <w:w w:val="100"/>
        </w:rPr>
        <w:t>年</w:t>
      </w:r>
      <w:r>
        <w:rPr>
          <w:rFonts w:ascii="宋体" w:hAnsi="宋体" w:cs="宋体" w:eastAsia="宋体" w:hint="default"/>
          <w:w w:val="100"/>
        </w:rPr>
        <w:t>6</w:t>
      </w:r>
      <w:r>
        <w:rPr>
          <w:w w:val="100"/>
        </w:rPr>
        <w:t>月</w:t>
      </w:r>
      <w:r>
        <w:rPr>
          <w:rFonts w:ascii="宋体" w:hAnsi="宋体" w:cs="宋体" w:eastAsia="宋体" w:hint="default"/>
          <w:w w:val="100"/>
        </w:rPr>
        <w:t>13</w:t>
      </w:r>
      <w:r>
        <w:rPr>
          <w:w w:val="100"/>
        </w:rPr>
        <w:t>日公</w:t>
      </w:r>
      <w:r>
        <w:rPr>
          <w:spacing w:val="-5"/>
          <w:w w:val="100"/>
        </w:rPr>
        <w:t>司</w:t>
      </w:r>
      <w:r>
        <w:rPr>
          <w:w w:val="100"/>
        </w:rPr>
        <w:t>指定的</w:t>
      </w:r>
      <w:r>
        <w:rPr>
          <w:spacing w:val="-5"/>
          <w:w w:val="100"/>
        </w:rPr>
        <w:t>信</w:t>
      </w:r>
      <w:r>
        <w:rPr>
          <w:w w:val="100"/>
        </w:rPr>
        <w:t>息披露</w:t>
      </w:r>
      <w:r>
        <w:rPr>
          <w:spacing w:val="-5"/>
          <w:w w:val="100"/>
        </w:rPr>
        <w:t>媒</w:t>
      </w:r>
      <w:r>
        <w:rPr>
          <w:w w:val="100"/>
        </w:rPr>
        <w:t>体《证</w:t>
      </w:r>
      <w:r>
        <w:rPr>
          <w:spacing w:val="-5"/>
          <w:w w:val="100"/>
        </w:rPr>
        <w:t>券</w:t>
      </w:r>
      <w:r>
        <w:rPr>
          <w:w w:val="100"/>
        </w:rPr>
        <w:t>时报</w:t>
      </w:r>
      <w:r>
        <w:rPr>
          <w:spacing w:val="-106"/>
          <w:w w:val="100"/>
        </w:rPr>
        <w:t>》</w:t>
      </w:r>
      <w:r>
        <w:rPr>
          <w:spacing w:val="-111"/>
          <w:w w:val="100"/>
        </w:rPr>
        <w:t>、</w:t>
      </w:r>
      <w:r>
        <w:rPr>
          <w:w w:val="100"/>
        </w:rPr>
        <w:t>《中</w:t>
      </w:r>
      <w:r>
        <w:rPr>
          <w:w w:val="100"/>
        </w:rPr>
        <w:t> 国证券报</w:t>
      </w:r>
      <w:r>
        <w:rPr>
          <w:spacing w:val="-106"/>
          <w:w w:val="100"/>
        </w:rPr>
        <w:t>》</w:t>
      </w:r>
      <w:r>
        <w:rPr>
          <w:spacing w:val="-111"/>
          <w:w w:val="100"/>
        </w:rPr>
        <w:t>、</w:t>
      </w:r>
      <w:r>
        <w:rPr>
          <w:w w:val="100"/>
        </w:rPr>
        <w:t>《上海</w:t>
      </w:r>
      <w:r>
        <w:rPr>
          <w:spacing w:val="-5"/>
          <w:w w:val="100"/>
        </w:rPr>
        <w:t>证</w:t>
      </w:r>
      <w:r>
        <w:rPr>
          <w:w w:val="100"/>
        </w:rPr>
        <w:t>券报》</w:t>
      </w:r>
      <w:r>
        <w:rPr>
          <w:spacing w:val="-5"/>
          <w:w w:val="100"/>
        </w:rPr>
        <w:t>和</w:t>
      </w:r>
      <w:r>
        <w:rPr>
          <w:w w:val="100"/>
        </w:rPr>
        <w:t>巨潮资</w:t>
      </w:r>
      <w:r>
        <w:rPr>
          <w:spacing w:val="-5"/>
          <w:w w:val="100"/>
        </w:rPr>
        <w:t>讯</w:t>
      </w:r>
      <w:r>
        <w:rPr>
          <w:w w:val="100"/>
        </w:rPr>
        <w:t>网</w:t>
      </w:r>
      <w:r>
        <w:rPr>
          <w:spacing w:val="1"/>
          <w:w w:val="100"/>
        </w:rPr>
        <w:t>（</w:t>
      </w:r>
      <w:hyperlink r:id="rId8">
        <w:r>
          <w:rPr>
            <w:rFonts w:ascii="宋体" w:hAnsi="宋体" w:cs="宋体" w:eastAsia="宋体" w:hint="default"/>
            <w:w w:val="100"/>
          </w:rPr>
          <w:t>htt</w:t>
        </w:r>
        <w:r>
          <w:rPr>
            <w:rFonts w:ascii="宋体" w:hAnsi="宋体" w:cs="宋体" w:eastAsia="宋体" w:hint="default"/>
            <w:spacing w:val="-5"/>
            <w:w w:val="100"/>
          </w:rPr>
          <w:t>p</w:t>
        </w:r>
        <w:r>
          <w:rPr>
            <w:rFonts w:ascii="宋体" w:hAnsi="宋体" w:cs="宋体" w:eastAsia="宋体" w:hint="default"/>
            <w:w w:val="100"/>
          </w:rPr>
          <w:t>://</w:t>
        </w:r>
        <w:r>
          <w:rPr>
            <w:rFonts w:ascii="宋体" w:hAnsi="宋体" w:cs="宋体" w:eastAsia="宋体" w:hint="default"/>
            <w:spacing w:val="-5"/>
            <w:w w:val="100"/>
          </w:rPr>
          <w:t>w</w:t>
        </w:r>
        <w:r>
          <w:rPr>
            <w:rFonts w:ascii="宋体" w:hAnsi="宋体" w:cs="宋体" w:eastAsia="宋体" w:hint="default"/>
            <w:w w:val="100"/>
          </w:rPr>
          <w:t>ww.cninfo.</w:t>
        </w:r>
        <w:r>
          <w:rPr>
            <w:rFonts w:ascii="宋体" w:hAnsi="宋体" w:cs="宋体" w:eastAsia="宋体" w:hint="default"/>
            <w:spacing w:val="-5"/>
            <w:w w:val="100"/>
          </w:rPr>
          <w:t>c</w:t>
        </w:r>
        <w:r>
          <w:rPr>
            <w:rFonts w:ascii="宋体" w:hAnsi="宋体" w:cs="宋体" w:eastAsia="宋体" w:hint="default"/>
            <w:w w:val="100"/>
          </w:rPr>
          <w:t>om.cn</w:t>
        </w:r>
      </w:hyperlink>
      <w:r>
        <w:rPr>
          <w:spacing w:val="-5"/>
          <w:w w:val="100"/>
        </w:rPr>
        <w:t>）</w:t>
      </w:r>
      <w:r>
        <w:rPr>
          <w:w w:val="100"/>
        </w:rPr>
        <w:t>上的相</w:t>
      </w:r>
      <w:r>
        <w:rPr>
          <w:spacing w:val="-5"/>
          <w:w w:val="100"/>
        </w:rPr>
        <w:t>关</w:t>
      </w:r>
      <w:r>
        <w:rPr>
          <w:w w:val="100"/>
        </w:rPr>
        <w:t>公告。</w:t>
      </w:r>
    </w:p>
    <w:p>
      <w:pPr>
        <w:pStyle w:val="BodyText"/>
        <w:spacing w:line="350" w:lineRule="auto" w:before="27"/>
        <w:ind w:right="1002" w:firstLine="422"/>
        <w:jc w:val="left"/>
      </w:pPr>
      <w:r>
        <w:rPr>
          <w:rFonts w:ascii="宋体" w:hAnsi="宋体" w:cs="宋体" w:eastAsia="宋体" w:hint="default"/>
          <w:spacing w:val="-2"/>
        </w:rPr>
        <w:t>5</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10</w:t>
      </w:r>
      <w:r>
        <w:rPr>
          <w:spacing w:val="-2"/>
        </w:rPr>
        <w:t>日，公司召开第八届董事会第七次会议、第八届监事会第五次会议审议通过了《关于</w:t>
      </w:r>
      <w:r>
        <w:rPr>
          <w:w w:val="100"/>
        </w:rPr>
        <w:t> </w:t>
      </w:r>
      <w:r>
        <w:rPr>
          <w:spacing w:val="-4"/>
          <w:w w:val="100"/>
        </w:rPr>
        <w:t>对公司第一期员工持股计划交易价格进行调整的议案》，鉴于公司</w:t>
      </w:r>
      <w:r>
        <w:rPr>
          <w:rFonts w:ascii="宋体" w:hAnsi="宋体" w:cs="宋体" w:eastAsia="宋体" w:hint="default"/>
          <w:spacing w:val="-4"/>
          <w:w w:val="100"/>
        </w:rPr>
        <w:t>2018</w:t>
      </w:r>
      <w:r>
        <w:rPr>
          <w:spacing w:val="-4"/>
          <w:w w:val="100"/>
        </w:rPr>
        <w:t>年度利润分配方案的实施，公司员</w:t>
      </w:r>
      <w:r>
        <w:rPr>
          <w:spacing w:val="-73"/>
          <w:w w:val="100"/>
        </w:rPr>
        <w:t> </w:t>
      </w:r>
      <w:r>
        <w:rPr>
          <w:spacing w:val="-73"/>
          <w:w w:val="100"/>
        </w:rPr>
      </w:r>
      <w:r>
        <w:rPr>
          <w:spacing w:val="-2"/>
        </w:rPr>
        <w:t>工持股计划交易价格由</w:t>
      </w:r>
      <w:r>
        <w:rPr>
          <w:rFonts w:ascii="宋体" w:hAnsi="宋体" w:cs="宋体" w:eastAsia="宋体" w:hint="default"/>
          <w:spacing w:val="-2"/>
        </w:rPr>
        <w:t>3.66</w:t>
      </w:r>
      <w:r>
        <w:rPr>
          <w:spacing w:val="-2"/>
        </w:rPr>
        <w:t>元</w:t>
      </w:r>
      <w:r>
        <w:rPr>
          <w:rFonts w:ascii="宋体" w:hAnsi="宋体" w:cs="宋体" w:eastAsia="宋体" w:hint="default"/>
          <w:spacing w:val="-2"/>
        </w:rPr>
        <w:t>/</w:t>
      </w:r>
      <w:r>
        <w:rPr>
          <w:spacing w:val="-2"/>
        </w:rPr>
        <w:t>股调整到</w:t>
      </w:r>
      <w:r>
        <w:rPr>
          <w:rFonts w:ascii="宋体" w:hAnsi="宋体" w:cs="宋体" w:eastAsia="宋体" w:hint="default"/>
          <w:spacing w:val="-2"/>
        </w:rPr>
        <w:t>3.61</w:t>
      </w:r>
      <w:r>
        <w:rPr>
          <w:spacing w:val="-2"/>
        </w:rPr>
        <w:t>元</w:t>
      </w:r>
      <w:r>
        <w:rPr>
          <w:rFonts w:ascii="宋体" w:hAnsi="宋体" w:cs="宋体" w:eastAsia="宋体" w:hint="default"/>
          <w:spacing w:val="-2"/>
        </w:rPr>
        <w:t>/</w:t>
      </w:r>
      <w:r>
        <w:rPr>
          <w:spacing w:val="-2"/>
        </w:rPr>
        <w:t>股，独立董事、监事会均已对本议案内容进行审核，并发</w:t>
      </w:r>
      <w:r>
        <w:rPr>
          <w:spacing w:val="-22"/>
        </w:rPr>
        <w:t> </w:t>
      </w:r>
      <w:r>
        <w:rPr>
          <w:spacing w:val="-22"/>
        </w:rPr>
      </w:r>
      <w:r>
        <w:rPr/>
        <w:t>表了同意意见。</w:t>
      </w:r>
    </w:p>
    <w:p>
      <w:pPr>
        <w:pStyle w:val="BodyText"/>
        <w:spacing w:line="240" w:lineRule="auto" w:before="27"/>
        <w:ind w:left="535" w:right="1002"/>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日，公司召开第八届董事会第十一次会议、第八届监事会第九次会议审议并通过了</w:t>
      </w:r>
    </w:p>
    <w:p>
      <w:pPr>
        <w:pStyle w:val="BodyText"/>
        <w:spacing w:line="340" w:lineRule="auto" w:before="112"/>
        <w:ind w:right="1002"/>
        <w:jc w:val="left"/>
      </w:pPr>
      <w:r>
        <w:rPr>
          <w:spacing w:val="-4"/>
          <w:w w:val="100"/>
        </w:rPr>
        <w:t>《关于终止公司第一期员工持股计划的议案》；自本次员工持股计划完成相关审议程序后，公司一直积极</w:t>
      </w:r>
      <w:r>
        <w:rPr>
          <w:spacing w:val="-83"/>
          <w:w w:val="100"/>
        </w:rPr>
        <w:t> </w:t>
      </w:r>
      <w:r>
        <w:rPr>
          <w:spacing w:val="-83"/>
          <w:w w:val="100"/>
        </w:rPr>
      </w:r>
      <w:r>
        <w:rPr>
          <w:spacing w:val="-2"/>
        </w:rPr>
        <w:t>推进员工持股计划的实施工作，原计划要求参与对象最迟在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日之前完成标的股票的购买，在</w:t>
      </w:r>
      <w:r>
        <w:rPr>
          <w:spacing w:val="-23"/>
        </w:rPr>
        <w:t> </w:t>
      </w:r>
      <w:r>
        <w:rPr>
          <w:spacing w:val="-23"/>
        </w:rPr>
      </w:r>
      <w:r>
        <w:rPr>
          <w:spacing w:val="-2"/>
        </w:rPr>
        <w:t>这期间公司持续提醒督促员工及时缴款，但截止上述最迟缴款日，参与对象因个人资金筹集困难等原因主</w:t>
      </w:r>
      <w:r>
        <w:rPr>
          <w:spacing w:val="-33"/>
        </w:rPr>
        <w:t> </w:t>
      </w:r>
      <w:r>
        <w:rPr>
          <w:spacing w:val="-33"/>
        </w:rPr>
      </w:r>
      <w:r>
        <w:rPr>
          <w:spacing w:val="-2"/>
        </w:rPr>
        <w:t>动向公司申请放弃认购公司本次员工持股计划授予其本人的股份。公司依据有关规定，决定终止本次员工</w:t>
      </w:r>
      <w:r>
        <w:rPr>
          <w:spacing w:val="-30"/>
        </w:rPr>
        <w:t> </w:t>
      </w:r>
      <w:r>
        <w:rPr>
          <w:spacing w:val="-30"/>
        </w:rPr>
      </w:r>
      <w:r>
        <w:rPr>
          <w:spacing w:val="-10"/>
          <w:w w:val="100"/>
        </w:rPr>
        <w:t>持股计划。具体内容详见于</w:t>
      </w:r>
      <w:r>
        <w:rPr>
          <w:rFonts w:ascii="Times New Roman" w:hAnsi="Times New Roman" w:cs="Times New Roman" w:eastAsia="Times New Roman" w:hint="default"/>
          <w:spacing w:val="-10"/>
          <w:w w:val="100"/>
        </w:rPr>
        <w:t>2019</w:t>
      </w:r>
      <w:r>
        <w:rPr>
          <w:spacing w:val="-10"/>
          <w:w w:val="100"/>
        </w:rPr>
        <w:t>年</w:t>
      </w:r>
      <w:r>
        <w:rPr>
          <w:rFonts w:ascii="Times New Roman" w:hAnsi="Times New Roman" w:cs="Times New Roman" w:eastAsia="Times New Roman" w:hint="default"/>
          <w:spacing w:val="-10"/>
          <w:w w:val="100"/>
        </w:rPr>
        <w:t>12</w:t>
      </w:r>
      <w:r>
        <w:rPr>
          <w:spacing w:val="-10"/>
          <w:w w:val="100"/>
        </w:rPr>
        <w:t>月</w:t>
      </w:r>
      <w:r>
        <w:rPr>
          <w:rFonts w:ascii="Times New Roman" w:hAnsi="Times New Roman" w:cs="Times New Roman" w:eastAsia="Times New Roman" w:hint="default"/>
          <w:spacing w:val="-10"/>
          <w:w w:val="100"/>
        </w:rPr>
        <w:t>24</w:t>
      </w:r>
      <w:r>
        <w:rPr>
          <w:spacing w:val="-10"/>
          <w:w w:val="100"/>
        </w:rPr>
        <w:t>日公司指定的信息披露媒体《证券时报》、《中国证券报》、《上海</w:t>
      </w:r>
      <w:r>
        <w:rPr>
          <w:spacing w:val="-85"/>
          <w:w w:val="100"/>
        </w:rPr>
        <w:t> </w:t>
      </w:r>
      <w:r>
        <w:rPr>
          <w:spacing w:val="-85"/>
          <w:w w:val="100"/>
        </w:rPr>
      </w:r>
      <w:r>
        <w:rPr/>
        <w:t>证券报》和巨潮资讯网（</w:t>
      </w:r>
      <w:hyperlink r:id="rId8">
        <w:r>
          <w:rPr>
            <w:rFonts w:ascii="Times New Roman" w:hAnsi="Times New Roman" w:cs="Times New Roman" w:eastAsia="Times New Roman" w:hint="default"/>
          </w:rPr>
          <w:t>http://www.cninfo.com.cn</w:t>
        </w:r>
      </w:hyperlink>
      <w:r>
        <w:rPr/>
        <w:t>）上的相关公告。</w:t>
      </w:r>
    </w:p>
    <w:p>
      <w:pPr>
        <w:spacing w:line="240" w:lineRule="auto" w:before="4"/>
        <w:rPr>
          <w:rFonts w:ascii="宋体" w:hAnsi="宋体" w:cs="宋体" w:eastAsia="宋体" w:hint="default"/>
          <w:sz w:val="23"/>
          <w:szCs w:val="23"/>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公司需遵守《深圳证券交易所行业信息披露指引第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号——上市公司从事软件与信息技术服务业务》的披露要求</w:t>
      </w:r>
    </w:p>
    <w:p>
      <w:pPr>
        <w:spacing w:line="240" w:lineRule="auto" w:before="12"/>
        <w:rPr>
          <w:rFonts w:ascii="宋体" w:hAnsi="宋体" w:cs="宋体" w:eastAsia="宋体" w:hint="default"/>
          <w:sz w:val="22"/>
          <w:szCs w:val="22"/>
        </w:rPr>
      </w:pPr>
    </w:p>
    <w:p>
      <w:pPr>
        <w:pStyle w:val="Heading2"/>
        <w:spacing w:line="240" w:lineRule="auto"/>
        <w:ind w:right="1002"/>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1002"/>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573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公司报告期未发生与日常经营相关的关联交易。</w:t>
      </w:r>
    </w:p>
    <w:p>
      <w:pPr>
        <w:spacing w:line="240" w:lineRule="auto" w:before="12"/>
        <w:rPr>
          <w:rFonts w:ascii="宋体" w:hAnsi="宋体" w:cs="宋体" w:eastAsia="宋体" w:hint="default"/>
          <w:sz w:val="19"/>
          <w:szCs w:val="19"/>
        </w:rPr>
      </w:pPr>
    </w:p>
    <w:p>
      <w:pPr>
        <w:pStyle w:val="Heading5"/>
        <w:spacing w:line="240" w:lineRule="auto"/>
        <w:ind w:right="1002"/>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573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公司报告期未发生资产或股权收购、出售的关联交易。</w:t>
      </w:r>
    </w:p>
    <w:p>
      <w:pPr>
        <w:spacing w:line="240" w:lineRule="auto" w:before="7"/>
        <w:rPr>
          <w:rFonts w:ascii="宋体" w:hAnsi="宋体" w:cs="宋体" w:eastAsia="宋体" w:hint="default"/>
          <w:sz w:val="19"/>
          <w:szCs w:val="19"/>
        </w:rPr>
      </w:pPr>
    </w:p>
    <w:p>
      <w:pPr>
        <w:pStyle w:val="Heading5"/>
        <w:spacing w:line="240" w:lineRule="auto"/>
        <w:ind w:right="1002"/>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spacing w:line="362" w:lineRule="auto" w:before="0"/>
        <w:ind w:left="113" w:right="573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公司报告期未发生共同对外投资的关联交易。</w:t>
      </w:r>
    </w:p>
    <w:p>
      <w:pPr>
        <w:spacing w:line="240" w:lineRule="auto" w:before="3"/>
        <w:rPr>
          <w:rFonts w:ascii="宋体" w:hAnsi="宋体" w:cs="宋体" w:eastAsia="宋体" w:hint="default"/>
          <w:sz w:val="19"/>
          <w:szCs w:val="19"/>
        </w:rPr>
      </w:pPr>
    </w:p>
    <w:p>
      <w:pPr>
        <w:pStyle w:val="Heading5"/>
        <w:spacing w:line="240" w:lineRule="auto"/>
        <w:ind w:right="1002"/>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公司报告期不存在关联债权债务往来。</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公司报告期无其他重大关联交易。</w:t>
      </w:r>
    </w:p>
    <w:p>
      <w:pPr>
        <w:spacing w:line="240" w:lineRule="auto" w:before="3"/>
        <w:rPr>
          <w:rFonts w:ascii="宋体" w:hAnsi="宋体" w:cs="宋体" w:eastAsia="宋体" w:hint="default"/>
          <w:sz w:val="17"/>
          <w:szCs w:val="17"/>
        </w:rPr>
      </w:pPr>
    </w:p>
    <w:p>
      <w:pPr>
        <w:pStyle w:val="Heading2"/>
        <w:spacing w:line="240" w:lineRule="auto"/>
        <w:ind w:right="1002"/>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1002"/>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公司报告期不存在托管情况。</w:t>
      </w:r>
    </w:p>
    <w:p>
      <w:pPr>
        <w:spacing w:line="240" w:lineRule="auto" w:before="12"/>
        <w:rPr>
          <w:rFonts w:ascii="宋体" w:hAnsi="宋体" w:cs="宋体" w:eastAsia="宋体" w:hint="default"/>
          <w:sz w:val="19"/>
          <w:szCs w:val="19"/>
        </w:rPr>
      </w:pPr>
    </w:p>
    <w:p>
      <w:pPr>
        <w:pStyle w:val="Heading5"/>
        <w:spacing w:line="240" w:lineRule="auto"/>
        <w:ind w:right="1002"/>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公司报告期不存在承包情况。</w:t>
      </w:r>
    </w:p>
    <w:p>
      <w:pPr>
        <w:spacing w:line="240" w:lineRule="auto" w:before="7"/>
        <w:rPr>
          <w:rFonts w:ascii="宋体" w:hAnsi="宋体" w:cs="宋体" w:eastAsia="宋体" w:hint="default"/>
          <w:sz w:val="19"/>
          <w:szCs w:val="19"/>
        </w:rPr>
      </w:pPr>
    </w:p>
    <w:p>
      <w:pPr>
        <w:pStyle w:val="Heading5"/>
        <w:spacing w:line="240" w:lineRule="auto"/>
        <w:ind w:right="1002"/>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公司报告期不存在租赁情况。</w:t>
      </w:r>
    </w:p>
    <w:p>
      <w:pPr>
        <w:spacing w:line="240" w:lineRule="auto" w:before="12"/>
        <w:rPr>
          <w:rFonts w:ascii="宋体" w:hAnsi="宋体" w:cs="宋体" w:eastAsia="宋体" w:hint="default"/>
          <w:sz w:val="19"/>
          <w:szCs w:val="19"/>
        </w:rPr>
      </w:pPr>
    </w:p>
    <w:p>
      <w:pPr>
        <w:pStyle w:val="Heading5"/>
        <w:spacing w:line="240" w:lineRule="auto"/>
        <w:ind w:right="1002"/>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1002"/>
        <w:jc w:val="left"/>
        <w:rPr>
          <w:b w:val="0"/>
          <w:bCs w:val="0"/>
        </w:rPr>
      </w:pPr>
      <w:bookmarkStart w:name="（1）担保情况" w:id="92"/>
      <w:bookmarkEnd w:id="92"/>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709"/>
        <w:gridCol w:w="1158"/>
        <w:gridCol w:w="859"/>
        <w:gridCol w:w="1215"/>
        <w:gridCol w:w="1080"/>
        <w:gridCol w:w="1201"/>
        <w:gridCol w:w="784"/>
        <w:gridCol w:w="791"/>
        <w:gridCol w:w="913"/>
      </w:tblGrid>
      <w:tr>
        <w:trPr>
          <w:trHeight w:val="403" w:hRule="exact"/>
        </w:trPr>
        <w:tc>
          <w:tcPr>
            <w:tcW w:w="971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28" w:right="0"/>
              <w:jc w:val="left"/>
              <w:rPr>
                <w:rFonts w:ascii="宋体" w:hAnsi="宋体" w:cs="宋体" w:eastAsia="宋体" w:hint="default"/>
                <w:sz w:val="21"/>
                <w:szCs w:val="21"/>
              </w:rPr>
            </w:pPr>
            <w:r>
              <w:rPr>
                <w:rFonts w:ascii="宋体" w:hAnsi="宋体" w:cs="宋体" w:eastAsia="宋体" w:hint="default"/>
                <w:sz w:val="21"/>
                <w:szCs w:val="21"/>
              </w:rPr>
              <w:t>公司及其子公司对外担保情况（不包括对子公司的担保）</w:t>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3" w:right="148"/>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spacing w:val="-101"/>
                <w:sz w:val="21"/>
                <w:szCs w:val="21"/>
              </w:rPr>
              <w:t> </w:t>
            </w:r>
            <w:r>
              <w:rPr>
                <w:rFonts w:ascii="宋体" w:hAnsi="宋体" w:cs="宋体" w:eastAsia="宋体" w:hint="default"/>
                <w:sz w:val="21"/>
                <w:szCs w:val="21"/>
              </w:rPr>
              <w:t>相关公告</w:t>
            </w:r>
            <w:r>
              <w:rPr>
                <w:rFonts w:ascii="宋体" w:hAnsi="宋体" w:cs="宋体" w:eastAsia="宋体" w:hint="default"/>
                <w:spacing w:val="-101"/>
                <w:sz w:val="21"/>
                <w:szCs w:val="21"/>
              </w:rPr>
              <w:t> </w:t>
            </w:r>
            <w:r>
              <w:rPr>
                <w:rFonts w:ascii="宋体" w:hAnsi="宋体" w:cs="宋体" w:eastAsia="宋体" w:hint="default"/>
                <w:sz w:val="21"/>
                <w:szCs w:val="21"/>
              </w:rPr>
              <w:t>披露日期</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320" w:right="104" w:hanging="212"/>
              <w:jc w:val="left"/>
              <w:rPr>
                <w:rFonts w:ascii="宋体" w:hAnsi="宋体" w:cs="宋体" w:eastAsia="宋体" w:hint="default"/>
                <w:sz w:val="21"/>
                <w:szCs w:val="21"/>
              </w:rPr>
            </w:pPr>
            <w:r>
              <w:rPr>
                <w:rFonts w:ascii="宋体" w:hAnsi="宋体" w:cs="宋体" w:eastAsia="宋体" w:hint="default"/>
                <w:sz w:val="21"/>
                <w:szCs w:val="21"/>
              </w:rPr>
              <w:t>担保额</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393" w:right="177" w:hanging="212"/>
              <w:jc w:val="left"/>
              <w:rPr>
                <w:rFonts w:ascii="宋体" w:hAnsi="宋体" w:cs="宋体" w:eastAsia="宋体" w:hint="default"/>
                <w:sz w:val="21"/>
                <w:szCs w:val="21"/>
              </w:rPr>
            </w:pPr>
            <w:r>
              <w:rPr>
                <w:rFonts w:ascii="宋体" w:hAnsi="宋体" w:cs="宋体" w:eastAsia="宋体" w:hint="default"/>
                <w:sz w:val="21"/>
                <w:szCs w:val="21"/>
              </w:rPr>
              <w:t>实际发生</w:t>
            </w:r>
            <w:r>
              <w:rPr>
                <w:rFonts w:ascii="宋体" w:hAnsi="宋体" w:cs="宋体" w:eastAsia="宋体" w:hint="default"/>
                <w:spacing w:val="-101"/>
                <w:sz w:val="21"/>
                <w:szCs w:val="21"/>
              </w:rPr>
              <w:t> </w:t>
            </w:r>
            <w:r>
              <w:rPr>
                <w:rFonts w:ascii="宋体" w:hAnsi="宋体" w:cs="宋体" w:eastAsia="宋体" w:hint="default"/>
                <w:sz w:val="21"/>
                <w:szCs w:val="21"/>
              </w:rPr>
              <w:t>日期</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321" w:right="113" w:hanging="212"/>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spacing w:val="-101"/>
                <w:sz w:val="21"/>
                <w:szCs w:val="21"/>
              </w:rPr>
              <w:t> </w:t>
            </w:r>
            <w:r>
              <w:rPr>
                <w:rFonts w:ascii="宋体" w:hAnsi="宋体" w:cs="宋体" w:eastAsia="宋体" w:hint="default"/>
                <w:sz w:val="21"/>
                <w:szCs w:val="21"/>
              </w:rPr>
              <w:t>金额</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71"/>
              <w:jc w:val="right"/>
              <w:rPr>
                <w:rFonts w:ascii="宋体" w:hAnsi="宋体" w:cs="宋体" w:eastAsia="宋体" w:hint="default"/>
                <w:sz w:val="21"/>
                <w:szCs w:val="21"/>
              </w:rPr>
            </w:pPr>
            <w:r>
              <w:rPr>
                <w:rFonts w:ascii="宋体" w:hAnsi="宋体" w:cs="宋体" w:eastAsia="宋体" w:hint="default"/>
                <w:sz w:val="21"/>
                <w:szCs w:val="21"/>
              </w:rPr>
              <w:t>担保类型</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278" w:right="173" w:hanging="101"/>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81" w:right="17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39" w:right="128"/>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r>
        <w:trPr>
          <w:trHeight w:val="716" w:hRule="exact"/>
        </w:trPr>
        <w:tc>
          <w:tcPr>
            <w:tcW w:w="28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225"/>
              <w:jc w:val="left"/>
              <w:rPr>
                <w:rFonts w:ascii="宋体" w:hAnsi="宋体" w:cs="宋体" w:eastAsia="宋体" w:hint="default"/>
                <w:sz w:val="21"/>
                <w:szCs w:val="21"/>
              </w:rPr>
            </w:pPr>
            <w:r>
              <w:rPr>
                <w:rFonts w:ascii="宋体" w:hAnsi="宋体" w:cs="宋体" w:eastAsia="宋体" w:hint="default"/>
                <w:spacing w:val="-1"/>
                <w:sz w:val="21"/>
                <w:szCs w:val="21"/>
              </w:rPr>
              <w:t>报告期内审批的对外担保额</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度合计（</w:t>
            </w:r>
            <w:r>
              <w:rPr>
                <w:rFonts w:ascii="Times New Roman" w:hAnsi="Times New Roman" w:cs="Times New Roman" w:eastAsia="Times New Roman" w:hint="default"/>
                <w:sz w:val="21"/>
                <w:szCs w:val="21"/>
              </w:rPr>
              <w:t>A1</w:t>
            </w:r>
            <w:r>
              <w:rPr>
                <w:rFonts w:ascii="宋体" w:hAnsi="宋体" w:cs="宋体" w:eastAsia="宋体" w:hint="default"/>
                <w:sz w:val="21"/>
                <w:szCs w:val="21"/>
              </w:rPr>
              <w:t>）</w:t>
            </w:r>
          </w:p>
        </w:tc>
        <w:tc>
          <w:tcPr>
            <w:tcW w:w="2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22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230"/>
              <w:jc w:val="left"/>
              <w:rPr>
                <w:rFonts w:ascii="宋体" w:hAnsi="宋体" w:cs="宋体" w:eastAsia="宋体" w:hint="default"/>
                <w:sz w:val="21"/>
                <w:szCs w:val="21"/>
              </w:rPr>
            </w:pPr>
            <w:r>
              <w:rPr>
                <w:rFonts w:ascii="宋体" w:hAnsi="宋体" w:cs="宋体" w:eastAsia="宋体" w:hint="default"/>
                <w:sz w:val="21"/>
                <w:szCs w:val="21"/>
              </w:rPr>
              <w:t>报告期内对外担保实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
                <w:sz w:val="21"/>
                <w:szCs w:val="21"/>
              </w:rPr>
              <w:t>际发生额合计（</w:t>
            </w:r>
            <w:r>
              <w:rPr>
                <w:rFonts w:ascii="Times New Roman" w:hAnsi="Times New Roman" w:cs="Times New Roman" w:eastAsia="Times New Roman" w:hint="default"/>
                <w:spacing w:val="-1"/>
                <w:sz w:val="21"/>
                <w:szCs w:val="21"/>
              </w:rPr>
              <w:t>A2</w:t>
            </w:r>
            <w:r>
              <w:rPr>
                <w:rFonts w:ascii="宋体" w:hAnsi="宋体" w:cs="宋体" w:eastAsia="宋体" w:hint="default"/>
                <w:spacing w:val="-1"/>
                <w:sz w:val="21"/>
                <w:szCs w:val="21"/>
              </w:rPr>
              <w:t>）</w:t>
            </w:r>
          </w:p>
        </w:tc>
        <w:tc>
          <w:tcPr>
            <w:tcW w:w="24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28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225"/>
              <w:jc w:val="left"/>
              <w:rPr>
                <w:rFonts w:ascii="宋体" w:hAnsi="宋体" w:cs="宋体" w:eastAsia="宋体" w:hint="default"/>
                <w:sz w:val="21"/>
                <w:szCs w:val="21"/>
              </w:rPr>
            </w:pPr>
            <w:r>
              <w:rPr>
                <w:rFonts w:ascii="宋体" w:hAnsi="宋体" w:cs="宋体" w:eastAsia="宋体" w:hint="default"/>
                <w:spacing w:val="-1"/>
                <w:sz w:val="21"/>
                <w:szCs w:val="21"/>
              </w:rPr>
              <w:t>报告期末已审批的对外担保</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额度合计（</w:t>
            </w:r>
            <w:r>
              <w:rPr>
                <w:rFonts w:ascii="Times New Roman" w:hAnsi="Times New Roman" w:cs="Times New Roman" w:eastAsia="Times New Roman" w:hint="default"/>
                <w:sz w:val="21"/>
                <w:szCs w:val="21"/>
              </w:rPr>
              <w:t>A3</w:t>
            </w:r>
            <w:r>
              <w:rPr>
                <w:rFonts w:ascii="宋体" w:hAnsi="宋体" w:cs="宋体" w:eastAsia="宋体" w:hint="default"/>
                <w:sz w:val="21"/>
                <w:szCs w:val="21"/>
              </w:rPr>
              <w:t>）</w:t>
            </w:r>
          </w:p>
        </w:tc>
        <w:tc>
          <w:tcPr>
            <w:tcW w:w="20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22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272"/>
              <w:jc w:val="left"/>
              <w:rPr>
                <w:rFonts w:ascii="宋体" w:hAnsi="宋体" w:cs="宋体" w:eastAsia="宋体" w:hint="default"/>
                <w:sz w:val="21"/>
                <w:szCs w:val="21"/>
              </w:rPr>
            </w:pPr>
            <w:r>
              <w:rPr>
                <w:rFonts w:ascii="宋体" w:hAnsi="宋体" w:cs="宋体" w:eastAsia="宋体" w:hint="default"/>
                <w:sz w:val="21"/>
                <w:szCs w:val="21"/>
              </w:rPr>
              <w:t>报告期末实际对外担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保余额合计（</w:t>
            </w:r>
            <w:r>
              <w:rPr>
                <w:rFonts w:ascii="Times New Roman" w:hAnsi="Times New Roman" w:cs="Times New Roman" w:eastAsia="Times New Roman" w:hint="default"/>
                <w:sz w:val="21"/>
                <w:szCs w:val="21"/>
              </w:rPr>
              <w:t>A4</w:t>
            </w:r>
            <w:r>
              <w:rPr>
                <w:rFonts w:ascii="宋体" w:hAnsi="宋体" w:cs="宋体" w:eastAsia="宋体" w:hint="default"/>
                <w:sz w:val="21"/>
                <w:szCs w:val="21"/>
              </w:rPr>
              <w:t>）</w:t>
            </w:r>
          </w:p>
        </w:tc>
        <w:tc>
          <w:tcPr>
            <w:tcW w:w="24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r>
      <w:tr>
        <w:trPr>
          <w:trHeight w:val="399" w:hRule="exact"/>
        </w:trPr>
        <w:tc>
          <w:tcPr>
            <w:tcW w:w="971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担保对象名称</w:t>
            </w:r>
          </w:p>
        </w:tc>
        <w:tc>
          <w:tcPr>
            <w:tcW w:w="1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7"/>
              <w:ind w:left="153" w:right="148"/>
              <w:jc w:val="left"/>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spacing w:val="-101"/>
                <w:sz w:val="21"/>
                <w:szCs w:val="21"/>
              </w:rPr>
              <w:t> </w:t>
            </w:r>
            <w:r>
              <w:rPr>
                <w:rFonts w:ascii="宋体" w:hAnsi="宋体" w:cs="宋体" w:eastAsia="宋体" w:hint="default"/>
                <w:sz w:val="21"/>
                <w:szCs w:val="21"/>
              </w:rPr>
              <w:t>相关公告</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20" w:right="104" w:hanging="212"/>
              <w:jc w:val="left"/>
              <w:rPr>
                <w:rFonts w:ascii="宋体" w:hAnsi="宋体" w:cs="宋体" w:eastAsia="宋体" w:hint="default"/>
                <w:sz w:val="21"/>
                <w:szCs w:val="21"/>
              </w:rPr>
            </w:pPr>
            <w:r>
              <w:rPr>
                <w:rFonts w:ascii="宋体" w:hAnsi="宋体" w:cs="宋体" w:eastAsia="宋体" w:hint="default"/>
                <w:sz w:val="21"/>
                <w:szCs w:val="21"/>
              </w:rPr>
              <w:t>担保额</w:t>
            </w:r>
            <w:r>
              <w:rPr>
                <w:rFonts w:ascii="宋体" w:hAnsi="宋体" w:cs="宋体" w:eastAsia="宋体" w:hint="default"/>
                <w:spacing w:val="-102"/>
                <w:sz w:val="21"/>
                <w:szCs w:val="21"/>
              </w:rPr>
              <w:t> </w:t>
            </w:r>
            <w:r>
              <w:rPr>
                <w:rFonts w:ascii="宋体" w:hAnsi="宋体" w:cs="宋体" w:eastAsia="宋体" w:hint="default"/>
                <w:sz w:val="21"/>
                <w:szCs w:val="21"/>
              </w:rPr>
              <w:t>度</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93" w:right="177" w:hanging="212"/>
              <w:jc w:val="left"/>
              <w:rPr>
                <w:rFonts w:ascii="宋体" w:hAnsi="宋体" w:cs="宋体" w:eastAsia="宋体" w:hint="default"/>
                <w:sz w:val="21"/>
                <w:szCs w:val="21"/>
              </w:rPr>
            </w:pPr>
            <w:r>
              <w:rPr>
                <w:rFonts w:ascii="宋体" w:hAnsi="宋体" w:cs="宋体" w:eastAsia="宋体" w:hint="default"/>
                <w:sz w:val="21"/>
                <w:szCs w:val="21"/>
              </w:rPr>
              <w:t>实际发生</w:t>
            </w:r>
            <w:r>
              <w:rPr>
                <w:rFonts w:ascii="宋体" w:hAnsi="宋体" w:cs="宋体" w:eastAsia="宋体" w:hint="default"/>
                <w:spacing w:val="-101"/>
                <w:sz w:val="21"/>
                <w:szCs w:val="21"/>
              </w:rPr>
              <w:t> </w:t>
            </w:r>
            <w:r>
              <w:rPr>
                <w:rFonts w:ascii="宋体" w:hAnsi="宋体" w:cs="宋体" w:eastAsia="宋体" w:hint="default"/>
                <w:sz w:val="21"/>
                <w:szCs w:val="21"/>
              </w:rPr>
              <w:t>日期</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21" w:right="113" w:hanging="212"/>
              <w:jc w:val="left"/>
              <w:rPr>
                <w:rFonts w:ascii="宋体" w:hAnsi="宋体" w:cs="宋体" w:eastAsia="宋体" w:hint="default"/>
                <w:sz w:val="21"/>
                <w:szCs w:val="21"/>
              </w:rPr>
            </w:pPr>
            <w:r>
              <w:rPr>
                <w:rFonts w:ascii="宋体" w:hAnsi="宋体" w:cs="宋体" w:eastAsia="宋体" w:hint="default"/>
                <w:sz w:val="21"/>
                <w:szCs w:val="21"/>
              </w:rPr>
              <w:t>实际担保</w:t>
            </w:r>
            <w:r>
              <w:rPr>
                <w:rFonts w:ascii="宋体" w:hAnsi="宋体" w:cs="宋体" w:eastAsia="宋体" w:hint="default"/>
                <w:spacing w:val="-101"/>
                <w:sz w:val="21"/>
                <w:szCs w:val="21"/>
              </w:rPr>
              <w:t> </w:t>
            </w:r>
            <w:r>
              <w:rPr>
                <w:rFonts w:ascii="宋体" w:hAnsi="宋体" w:cs="宋体" w:eastAsia="宋体" w:hint="default"/>
                <w:sz w:val="21"/>
                <w:szCs w:val="21"/>
              </w:rPr>
              <w:t>金额</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71"/>
              <w:jc w:val="right"/>
              <w:rPr>
                <w:rFonts w:ascii="宋体" w:hAnsi="宋体" w:cs="宋体" w:eastAsia="宋体" w:hint="default"/>
                <w:sz w:val="21"/>
                <w:szCs w:val="21"/>
              </w:rPr>
            </w:pPr>
            <w:r>
              <w:rPr>
                <w:rFonts w:ascii="宋体" w:hAnsi="宋体" w:cs="宋体" w:eastAsia="宋体" w:hint="default"/>
                <w:sz w:val="21"/>
                <w:szCs w:val="21"/>
              </w:rPr>
              <w:t>担保类型</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78" w:right="176"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7"/>
              <w:ind w:left="181" w:right="177"/>
              <w:jc w:val="left"/>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履行</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47"/>
              <w:ind w:left="139" w:right="128"/>
              <w:jc w:val="left"/>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p>
        </w:tc>
      </w:tr>
    </w:tbl>
    <w:p>
      <w:pPr>
        <w:spacing w:after="0" w:line="273" w:lineRule="auto"/>
        <w:jc w:val="left"/>
        <w:rPr>
          <w:rFonts w:ascii="宋体" w:hAnsi="宋体" w:cs="宋体" w:eastAsia="宋体" w:hint="default"/>
          <w:sz w:val="21"/>
          <w:szCs w:val="21"/>
        </w:rPr>
        <w:sectPr>
          <w:headerReference w:type="default" r:id="rId14"/>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09"/>
        <w:gridCol w:w="1157"/>
        <w:gridCol w:w="677"/>
        <w:gridCol w:w="182"/>
        <w:gridCol w:w="1215"/>
        <w:gridCol w:w="960"/>
        <w:gridCol w:w="120"/>
        <w:gridCol w:w="1201"/>
        <w:gridCol w:w="779"/>
        <w:gridCol w:w="791"/>
        <w:gridCol w:w="917"/>
      </w:tblGrid>
      <w:tr>
        <w:trPr>
          <w:trHeight w:val="360"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53"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86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8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85" w:right="0"/>
              <w:jc w:val="left"/>
              <w:rPr>
                <w:rFonts w:ascii="宋体" w:hAnsi="宋体" w:cs="宋体" w:eastAsia="宋体" w:hint="default"/>
                <w:sz w:val="21"/>
                <w:szCs w:val="21"/>
              </w:rPr>
            </w:pPr>
            <w:r>
              <w:rPr>
                <w:rFonts w:ascii="宋体" w:hAnsi="宋体" w:cs="宋体" w:eastAsia="宋体" w:hint="default"/>
                <w:sz w:val="21"/>
                <w:szCs w:val="21"/>
              </w:rPr>
              <w:t>完毕</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9" w:right="0"/>
              <w:jc w:val="left"/>
              <w:rPr>
                <w:rFonts w:ascii="宋体" w:hAnsi="宋体" w:cs="宋体" w:eastAsia="宋体" w:hint="default"/>
                <w:sz w:val="21"/>
                <w:szCs w:val="21"/>
              </w:rPr>
            </w:pPr>
            <w:r>
              <w:rPr>
                <w:rFonts w:ascii="宋体" w:hAnsi="宋体" w:cs="宋体" w:eastAsia="宋体" w:hint="default"/>
                <w:sz w:val="21"/>
                <w:szCs w:val="21"/>
              </w:rPr>
              <w:t>担保</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18"/>
              <w:jc w:val="left"/>
              <w:rPr>
                <w:rFonts w:ascii="宋体" w:hAnsi="宋体" w:cs="宋体" w:eastAsia="宋体" w:hint="default"/>
                <w:sz w:val="21"/>
                <w:szCs w:val="21"/>
              </w:rPr>
            </w:pPr>
            <w:r>
              <w:rPr>
                <w:rFonts w:ascii="宋体" w:hAnsi="宋体" w:cs="宋体" w:eastAsia="宋体" w:hint="default"/>
                <w:sz w:val="21"/>
                <w:szCs w:val="21"/>
              </w:rPr>
              <w:t>北京中电兴发科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94" w:right="0"/>
              <w:jc w:val="left"/>
              <w:rPr>
                <w:rFonts w:ascii="Times New Roman" w:hAnsi="Times New Roman" w:cs="Times New Roman" w:eastAsia="Times New Roman" w:hint="default"/>
                <w:sz w:val="21"/>
                <w:szCs w:val="21"/>
              </w:rPr>
            </w:pPr>
            <w:r>
              <w:rPr>
                <w:rFonts w:ascii="Times New Roman"/>
                <w:sz w:val="21"/>
              </w:rPr>
              <w:t>3,000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一般保证</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18"/>
              <w:jc w:val="left"/>
              <w:rPr>
                <w:rFonts w:ascii="宋体" w:hAnsi="宋体" w:cs="宋体" w:eastAsia="宋体" w:hint="default"/>
                <w:sz w:val="21"/>
                <w:szCs w:val="21"/>
              </w:rPr>
            </w:pPr>
            <w:r>
              <w:rPr>
                <w:rFonts w:ascii="宋体" w:hAnsi="宋体" w:cs="宋体" w:eastAsia="宋体" w:hint="default"/>
                <w:sz w:val="21"/>
                <w:szCs w:val="21"/>
              </w:rPr>
              <w:t>北京中电兴发科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07</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94" w:right="0"/>
              <w:jc w:val="left"/>
              <w:rPr>
                <w:rFonts w:ascii="Times New Roman" w:hAnsi="Times New Roman" w:cs="Times New Roman" w:eastAsia="Times New Roman" w:hint="default"/>
                <w:sz w:val="21"/>
                <w:szCs w:val="21"/>
              </w:rPr>
            </w:pPr>
            <w:r>
              <w:rPr>
                <w:rFonts w:ascii="Times New Roman"/>
                <w:sz w:val="21"/>
              </w:rPr>
              <w:t>3,000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一般保证</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8"/>
              <w:jc w:val="left"/>
              <w:rPr>
                <w:rFonts w:ascii="宋体" w:hAnsi="宋体" w:cs="宋体" w:eastAsia="宋体" w:hint="default"/>
                <w:sz w:val="21"/>
                <w:szCs w:val="21"/>
              </w:rPr>
            </w:pPr>
            <w:r>
              <w:rPr>
                <w:rFonts w:ascii="宋体" w:hAnsi="宋体" w:cs="宋体" w:eastAsia="宋体" w:hint="default"/>
                <w:sz w:val="21"/>
                <w:szCs w:val="21"/>
              </w:rPr>
              <w:t>北京中电兴发科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94" w:right="0"/>
              <w:jc w:val="left"/>
              <w:rPr>
                <w:rFonts w:ascii="Times New Roman" w:hAnsi="Times New Roman" w:cs="Times New Roman" w:eastAsia="Times New Roman" w:hint="default"/>
                <w:sz w:val="21"/>
                <w:szCs w:val="21"/>
              </w:rPr>
            </w:pPr>
            <w:r>
              <w:rPr>
                <w:rFonts w:ascii="Times New Roman"/>
                <w:sz w:val="21"/>
              </w:rPr>
              <w:t>3,000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一般保证</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8"/>
              <w:jc w:val="left"/>
              <w:rPr>
                <w:rFonts w:ascii="宋体" w:hAnsi="宋体" w:cs="宋体" w:eastAsia="宋体" w:hint="default"/>
                <w:sz w:val="21"/>
                <w:szCs w:val="21"/>
              </w:rPr>
            </w:pPr>
            <w:r>
              <w:rPr>
                <w:rFonts w:ascii="宋体" w:hAnsi="宋体" w:cs="宋体" w:eastAsia="宋体" w:hint="default"/>
                <w:sz w:val="21"/>
                <w:szCs w:val="21"/>
              </w:rPr>
              <w:t>北京中电兴发科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30" w:right="0"/>
              <w:jc w:val="left"/>
              <w:rPr>
                <w:rFonts w:ascii="Times New Roman" w:hAnsi="Times New Roman" w:cs="Times New Roman" w:eastAsia="Times New Roman" w:hint="default"/>
                <w:sz w:val="21"/>
                <w:szCs w:val="21"/>
              </w:rPr>
            </w:pPr>
            <w:r>
              <w:rPr>
                <w:rFonts w:ascii="Times New Roman"/>
                <w:sz w:val="21"/>
              </w:rPr>
              <w:t>1,062.46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一般保证</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18"/>
              <w:jc w:val="left"/>
              <w:rPr>
                <w:rFonts w:ascii="宋体" w:hAnsi="宋体" w:cs="宋体" w:eastAsia="宋体" w:hint="default"/>
                <w:sz w:val="21"/>
                <w:szCs w:val="21"/>
              </w:rPr>
            </w:pPr>
            <w:r>
              <w:rPr>
                <w:rFonts w:ascii="宋体" w:hAnsi="宋体" w:cs="宋体" w:eastAsia="宋体" w:hint="default"/>
                <w:sz w:val="21"/>
                <w:szCs w:val="21"/>
              </w:rPr>
              <w:t>北京中电兴发科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06</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36" w:right="0"/>
              <w:jc w:val="left"/>
              <w:rPr>
                <w:rFonts w:ascii="Times New Roman" w:hAnsi="Times New Roman" w:cs="Times New Roman" w:eastAsia="Times New Roman" w:hint="default"/>
                <w:sz w:val="21"/>
                <w:szCs w:val="21"/>
              </w:rPr>
            </w:pPr>
            <w:r>
              <w:rPr>
                <w:rFonts w:ascii="Times New Roman"/>
                <w:sz w:val="21"/>
              </w:rPr>
              <w:t>1,302.2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一般保证</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8"/>
              <w:ind w:left="105" w:right="118"/>
              <w:jc w:val="left"/>
              <w:rPr>
                <w:rFonts w:ascii="宋体" w:hAnsi="宋体" w:cs="宋体" w:eastAsia="宋体" w:hint="default"/>
                <w:sz w:val="21"/>
                <w:szCs w:val="21"/>
              </w:rPr>
            </w:pPr>
            <w:r>
              <w:rPr>
                <w:rFonts w:ascii="宋体" w:hAnsi="宋体" w:cs="宋体" w:eastAsia="宋体" w:hint="default"/>
                <w:sz w:val="21"/>
                <w:szCs w:val="21"/>
              </w:rPr>
              <w:t>北京中电兴发科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76"/>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06</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0" w:right="0"/>
              <w:jc w:val="left"/>
              <w:rPr>
                <w:rFonts w:ascii="Times New Roman" w:hAnsi="Times New Roman" w:cs="Times New Roman" w:eastAsia="Times New Roman" w:hint="default"/>
                <w:sz w:val="21"/>
                <w:szCs w:val="21"/>
              </w:rPr>
            </w:pPr>
            <w:r>
              <w:rPr>
                <w:rFonts w:ascii="Times New Roman"/>
                <w:sz w:val="21"/>
              </w:rPr>
              <w:t>1,535.34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一般保证</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8"/>
              <w:jc w:val="left"/>
              <w:rPr>
                <w:rFonts w:ascii="宋体" w:hAnsi="宋体" w:cs="宋体" w:eastAsia="宋体" w:hint="default"/>
                <w:sz w:val="21"/>
                <w:szCs w:val="21"/>
              </w:rPr>
            </w:pPr>
            <w:r>
              <w:rPr>
                <w:rFonts w:ascii="宋体" w:hAnsi="宋体" w:cs="宋体" w:eastAsia="宋体" w:hint="default"/>
                <w:sz w:val="21"/>
                <w:szCs w:val="21"/>
              </w:rPr>
              <w:t>北京中电兴发科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94" w:right="0"/>
              <w:jc w:val="left"/>
              <w:rPr>
                <w:rFonts w:ascii="Times New Roman" w:hAnsi="Times New Roman" w:cs="Times New Roman" w:eastAsia="Times New Roman" w:hint="default"/>
                <w:sz w:val="21"/>
                <w:szCs w:val="21"/>
              </w:rPr>
            </w:pPr>
            <w:r>
              <w:rPr>
                <w:rFonts w:ascii="Times New Roman"/>
                <w:sz w:val="21"/>
              </w:rPr>
              <w:t>1,000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一般保证</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8"/>
              <w:jc w:val="left"/>
              <w:rPr>
                <w:rFonts w:ascii="宋体" w:hAnsi="宋体" w:cs="宋体" w:eastAsia="宋体" w:hint="default"/>
                <w:sz w:val="21"/>
                <w:szCs w:val="21"/>
              </w:rPr>
            </w:pPr>
            <w:r>
              <w:rPr>
                <w:rFonts w:ascii="宋体" w:hAnsi="宋体" w:cs="宋体" w:eastAsia="宋体" w:hint="default"/>
                <w:sz w:val="21"/>
                <w:szCs w:val="21"/>
              </w:rPr>
              <w:t>安徽鑫龙自动化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t>15,000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94" w:right="0"/>
              <w:jc w:val="left"/>
              <w:rPr>
                <w:rFonts w:ascii="Times New Roman" w:hAnsi="Times New Roman" w:cs="Times New Roman" w:eastAsia="Times New Roman" w:hint="default"/>
                <w:sz w:val="21"/>
                <w:szCs w:val="21"/>
              </w:rPr>
            </w:pPr>
            <w:r>
              <w:rPr>
                <w:rFonts w:ascii="Times New Roman"/>
                <w:sz w:val="21"/>
              </w:rPr>
              <w:t>2,500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一般保证</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18"/>
              <w:jc w:val="left"/>
              <w:rPr>
                <w:rFonts w:ascii="宋体" w:hAnsi="宋体" w:cs="宋体" w:eastAsia="宋体" w:hint="default"/>
                <w:sz w:val="21"/>
                <w:szCs w:val="21"/>
              </w:rPr>
            </w:pPr>
            <w:r>
              <w:rPr>
                <w:rFonts w:ascii="宋体" w:hAnsi="宋体" w:cs="宋体" w:eastAsia="宋体" w:hint="default"/>
                <w:sz w:val="21"/>
                <w:szCs w:val="21"/>
              </w:rPr>
              <w:t>苏州开关二厂有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72" w:right="0"/>
              <w:jc w:val="left"/>
              <w:rPr>
                <w:rFonts w:ascii="Times New Roman" w:hAnsi="Times New Roman" w:cs="Times New Roman" w:eastAsia="Times New Roman" w:hint="default"/>
                <w:sz w:val="21"/>
                <w:szCs w:val="21"/>
              </w:rPr>
            </w:pPr>
            <w:r>
              <w:rPr>
                <w:rFonts w:ascii="Times New Roman"/>
                <w:sz w:val="21"/>
              </w:rPr>
              <w:t>10,000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pacing w:val="-10"/>
                <w:sz w:val="21"/>
                <w:szCs w:val="21"/>
              </w:rPr>
              <w:t>11</w:t>
            </w:r>
            <w:r>
              <w:rPr>
                <w:rFonts w:ascii="Times New Roman" w:hAnsi="Times New Roman" w:cs="Times New Roman" w:eastAsia="Times New Roman" w:hint="default"/>
                <w:sz w:val="21"/>
                <w:szCs w:val="21"/>
              </w:rPr>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0" w:right="0"/>
              <w:jc w:val="left"/>
              <w:rPr>
                <w:rFonts w:ascii="Times New Roman" w:hAnsi="Times New Roman" w:cs="Times New Roman" w:eastAsia="Times New Roman" w:hint="default"/>
                <w:sz w:val="21"/>
                <w:szCs w:val="21"/>
              </w:rPr>
            </w:pPr>
            <w:r>
              <w:rPr>
                <w:rFonts w:ascii="Times New Roman"/>
                <w:sz w:val="21"/>
              </w:rPr>
              <w:t>1,556.34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一般保证</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18"/>
              <w:jc w:val="left"/>
              <w:rPr>
                <w:rFonts w:ascii="宋体" w:hAnsi="宋体" w:cs="宋体" w:eastAsia="宋体" w:hint="default"/>
                <w:sz w:val="21"/>
                <w:szCs w:val="21"/>
              </w:rPr>
            </w:pPr>
            <w:r>
              <w:rPr>
                <w:rFonts w:ascii="宋体" w:hAnsi="宋体" w:cs="宋体" w:eastAsia="宋体" w:hint="default"/>
                <w:sz w:val="21"/>
                <w:szCs w:val="21"/>
              </w:rPr>
              <w:t>佑赛科技股份有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04</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78" w:right="0"/>
              <w:jc w:val="left"/>
              <w:rPr>
                <w:rFonts w:ascii="Times New Roman" w:hAnsi="Times New Roman" w:cs="Times New Roman" w:eastAsia="Times New Roman" w:hint="default"/>
                <w:sz w:val="21"/>
                <w:szCs w:val="21"/>
              </w:rPr>
            </w:pPr>
            <w:r>
              <w:rPr>
                <w:rFonts w:ascii="Times New Roman"/>
                <w:sz w:val="21"/>
              </w:rPr>
              <w:t>5,000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06</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88" w:right="0"/>
              <w:jc w:val="left"/>
              <w:rPr>
                <w:rFonts w:ascii="Times New Roman" w:hAnsi="Times New Roman" w:cs="Times New Roman" w:eastAsia="Times New Roman" w:hint="default"/>
                <w:sz w:val="21"/>
                <w:szCs w:val="21"/>
              </w:rPr>
            </w:pPr>
            <w:r>
              <w:rPr>
                <w:rFonts w:ascii="Times New Roman"/>
                <w:sz w:val="21"/>
              </w:rPr>
              <w:t>780.76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一般保证</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028" w:hRule="exact"/>
        </w:trPr>
        <w:tc>
          <w:tcPr>
            <w:tcW w:w="28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182"/>
              <w:ind w:left="105" w:right="224"/>
              <w:jc w:val="left"/>
              <w:rPr>
                <w:rFonts w:ascii="宋体" w:hAnsi="宋体" w:cs="宋体" w:eastAsia="宋体" w:hint="default"/>
                <w:sz w:val="21"/>
                <w:szCs w:val="21"/>
              </w:rPr>
            </w:pPr>
            <w:r>
              <w:rPr>
                <w:rFonts w:ascii="宋体" w:hAnsi="宋体" w:cs="宋体" w:eastAsia="宋体" w:hint="default"/>
                <w:spacing w:val="-1"/>
                <w:sz w:val="21"/>
                <w:szCs w:val="21"/>
              </w:rPr>
              <w:t>报告期内审批对子公司担保</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额度合计（</w:t>
            </w:r>
            <w:r>
              <w:rPr>
                <w:rFonts w:ascii="Times New Roman" w:hAnsi="Times New Roman" w:cs="Times New Roman" w:eastAsia="Times New Roman" w:hint="default"/>
                <w:sz w:val="21"/>
                <w:szCs w:val="21"/>
              </w:rPr>
              <w:t>B1</w:t>
            </w:r>
            <w:r>
              <w:rPr>
                <w:rFonts w:ascii="宋体" w:hAnsi="宋体" w:cs="宋体" w:eastAsia="宋体" w:hint="default"/>
                <w:sz w:val="21"/>
                <w:szCs w:val="21"/>
              </w:rPr>
              <w:t>）</w:t>
            </w:r>
          </w:p>
        </w:tc>
        <w:tc>
          <w:tcPr>
            <w:tcW w:w="20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277" w:right="0"/>
              <w:jc w:val="left"/>
              <w:rPr>
                <w:rFonts w:ascii="Times New Roman" w:hAnsi="Times New Roman" w:cs="Times New Roman" w:eastAsia="Times New Roman" w:hint="default"/>
                <w:sz w:val="21"/>
                <w:szCs w:val="21"/>
              </w:rPr>
            </w:pPr>
            <w:r>
              <w:rPr>
                <w:rFonts w:ascii="Times New Roman"/>
                <w:sz w:val="21"/>
              </w:rPr>
              <w:t>278,000</w:t>
            </w:r>
          </w:p>
        </w:tc>
        <w:tc>
          <w:tcPr>
            <w:tcW w:w="22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00" w:right="272"/>
              <w:jc w:val="left"/>
              <w:rPr>
                <w:rFonts w:ascii="宋体" w:hAnsi="宋体" w:cs="宋体" w:eastAsia="宋体" w:hint="default"/>
                <w:sz w:val="21"/>
                <w:szCs w:val="21"/>
              </w:rPr>
            </w:pPr>
            <w:r>
              <w:rPr>
                <w:rFonts w:ascii="宋体" w:hAnsi="宋体" w:cs="宋体" w:eastAsia="宋体" w:hint="default"/>
                <w:sz w:val="21"/>
                <w:szCs w:val="21"/>
              </w:rPr>
              <w:t>报告期内对子公司担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保实际发生额合计</w:t>
            </w:r>
          </w:p>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B2</w:t>
            </w:r>
            <w:r>
              <w:rPr>
                <w:rFonts w:ascii="宋体" w:hAnsi="宋体" w:cs="宋体" w:eastAsia="宋体" w:hint="default"/>
                <w:sz w:val="21"/>
                <w:szCs w:val="21"/>
              </w:rPr>
              <w:t>）</w:t>
            </w:r>
          </w:p>
        </w:tc>
        <w:tc>
          <w:tcPr>
            <w:tcW w:w="24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536" w:right="0"/>
              <w:jc w:val="left"/>
              <w:rPr>
                <w:rFonts w:ascii="Times New Roman" w:hAnsi="Times New Roman" w:cs="Times New Roman" w:eastAsia="Times New Roman" w:hint="default"/>
                <w:sz w:val="21"/>
                <w:szCs w:val="21"/>
              </w:rPr>
            </w:pPr>
            <w:r>
              <w:rPr>
                <w:rFonts w:ascii="Times New Roman"/>
                <w:sz w:val="21"/>
              </w:rPr>
              <w:t>17,180.76</w:t>
            </w:r>
          </w:p>
        </w:tc>
      </w:tr>
      <w:tr>
        <w:trPr>
          <w:trHeight w:val="715" w:hRule="exact"/>
        </w:trPr>
        <w:tc>
          <w:tcPr>
            <w:tcW w:w="28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224"/>
              <w:jc w:val="left"/>
              <w:rPr>
                <w:rFonts w:ascii="宋体" w:hAnsi="宋体" w:cs="宋体" w:eastAsia="宋体" w:hint="default"/>
                <w:sz w:val="21"/>
                <w:szCs w:val="21"/>
              </w:rPr>
            </w:pPr>
            <w:r>
              <w:rPr>
                <w:rFonts w:ascii="宋体" w:hAnsi="宋体" w:cs="宋体" w:eastAsia="宋体" w:hint="default"/>
                <w:spacing w:val="-1"/>
                <w:sz w:val="21"/>
                <w:szCs w:val="21"/>
              </w:rPr>
              <w:t>报告期末已审批的对子公司</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担保额度合计（</w:t>
            </w:r>
            <w:r>
              <w:rPr>
                <w:rFonts w:ascii="Times New Roman" w:hAnsi="Times New Roman" w:cs="Times New Roman" w:eastAsia="Times New Roman" w:hint="default"/>
                <w:sz w:val="21"/>
                <w:szCs w:val="21"/>
              </w:rPr>
              <w:t>B3</w:t>
            </w:r>
            <w:r>
              <w:rPr>
                <w:rFonts w:ascii="宋体" w:hAnsi="宋体" w:cs="宋体" w:eastAsia="宋体" w:hint="default"/>
                <w:sz w:val="21"/>
                <w:szCs w:val="21"/>
              </w:rPr>
              <w:t>）</w:t>
            </w:r>
          </w:p>
        </w:tc>
        <w:tc>
          <w:tcPr>
            <w:tcW w:w="20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277" w:right="0"/>
              <w:jc w:val="left"/>
              <w:rPr>
                <w:rFonts w:ascii="Times New Roman" w:hAnsi="Times New Roman" w:cs="Times New Roman" w:eastAsia="Times New Roman" w:hint="default"/>
                <w:sz w:val="21"/>
                <w:szCs w:val="21"/>
              </w:rPr>
            </w:pPr>
            <w:r>
              <w:rPr>
                <w:rFonts w:ascii="Times New Roman"/>
                <w:sz w:val="21"/>
              </w:rPr>
              <w:t>278,000</w:t>
            </w:r>
          </w:p>
        </w:tc>
        <w:tc>
          <w:tcPr>
            <w:tcW w:w="22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27"/>
              <w:jc w:val="left"/>
              <w:rPr>
                <w:rFonts w:ascii="宋体" w:hAnsi="宋体" w:cs="宋体" w:eastAsia="宋体" w:hint="default"/>
                <w:sz w:val="21"/>
                <w:szCs w:val="21"/>
              </w:rPr>
            </w:pPr>
            <w:r>
              <w:rPr>
                <w:rFonts w:ascii="宋体" w:hAnsi="宋体" w:cs="宋体" w:eastAsia="宋体" w:hint="default"/>
                <w:sz w:val="21"/>
                <w:szCs w:val="21"/>
              </w:rPr>
              <w:t>报告期末对子公司实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际担保余额合计（</w:t>
            </w:r>
            <w:r>
              <w:rPr>
                <w:rFonts w:ascii="Times New Roman" w:hAnsi="Times New Roman" w:cs="Times New Roman" w:eastAsia="Times New Roman" w:hint="default"/>
                <w:sz w:val="21"/>
                <w:szCs w:val="21"/>
              </w:rPr>
              <w:t>B4</w:t>
            </w:r>
            <w:r>
              <w:rPr>
                <w:rFonts w:ascii="宋体" w:hAnsi="宋体" w:cs="宋体" w:eastAsia="宋体" w:hint="default"/>
                <w:sz w:val="21"/>
                <w:szCs w:val="21"/>
              </w:rPr>
              <w:t>）</w:t>
            </w:r>
          </w:p>
        </w:tc>
        <w:tc>
          <w:tcPr>
            <w:tcW w:w="24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42" w:right="0"/>
              <w:jc w:val="left"/>
              <w:rPr>
                <w:rFonts w:ascii="Times New Roman" w:hAnsi="Times New Roman" w:cs="Times New Roman" w:eastAsia="Times New Roman" w:hint="default"/>
                <w:sz w:val="21"/>
                <w:szCs w:val="21"/>
              </w:rPr>
            </w:pPr>
            <w:r>
              <w:rPr>
                <w:rFonts w:ascii="Times New Roman"/>
                <w:sz w:val="21"/>
              </w:rPr>
              <w:t>18,737.1</w:t>
            </w:r>
          </w:p>
        </w:tc>
      </w:tr>
      <w:tr>
        <w:trPr>
          <w:trHeight w:val="394" w:hRule="exact"/>
        </w:trPr>
        <w:tc>
          <w:tcPr>
            <w:tcW w:w="97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8" w:right="0"/>
              <w:jc w:val="center"/>
              <w:rPr>
                <w:rFonts w:ascii="宋体" w:hAnsi="宋体" w:cs="宋体" w:eastAsia="宋体" w:hint="default"/>
                <w:sz w:val="21"/>
                <w:szCs w:val="21"/>
              </w:rPr>
            </w:pPr>
            <w:r>
              <w:rPr>
                <w:rFonts w:ascii="宋体" w:hAnsi="宋体" w:cs="宋体" w:eastAsia="宋体" w:hint="default"/>
                <w:sz w:val="21"/>
                <w:szCs w:val="21"/>
              </w:rPr>
              <w:t>子公司对子公司的担保情况</w:t>
            </w:r>
          </w:p>
        </w:tc>
      </w:tr>
      <w:tr>
        <w:trPr>
          <w:trHeight w:val="103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220" w:right="0"/>
              <w:jc w:val="left"/>
              <w:rPr>
                <w:rFonts w:ascii="宋体" w:hAnsi="宋体" w:cs="宋体" w:eastAsia="宋体" w:hint="default"/>
                <w:sz w:val="21"/>
                <w:szCs w:val="21"/>
              </w:rPr>
            </w:pPr>
            <w:r>
              <w:rPr>
                <w:rFonts w:ascii="宋体" w:hAnsi="宋体" w:cs="宋体" w:eastAsia="宋体" w:hint="default"/>
                <w:sz w:val="21"/>
                <w:szCs w:val="21"/>
              </w:rPr>
              <w:t>担保对象名称</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53" w:right="147"/>
              <w:jc w:val="both"/>
              <w:rPr>
                <w:rFonts w:ascii="宋体" w:hAnsi="宋体" w:cs="宋体" w:eastAsia="宋体" w:hint="default"/>
                <w:sz w:val="21"/>
                <w:szCs w:val="21"/>
              </w:rPr>
            </w:pPr>
            <w:r>
              <w:rPr>
                <w:rFonts w:ascii="宋体" w:hAnsi="宋体" w:cs="宋体" w:eastAsia="宋体" w:hint="default"/>
                <w:sz w:val="21"/>
                <w:szCs w:val="21"/>
              </w:rPr>
              <w:t>担保额度</w:t>
            </w:r>
            <w:r>
              <w:rPr>
                <w:rFonts w:ascii="宋体" w:hAnsi="宋体" w:cs="宋体" w:eastAsia="宋体" w:hint="default"/>
                <w:spacing w:val="-101"/>
                <w:sz w:val="21"/>
                <w:szCs w:val="21"/>
              </w:rPr>
              <w:t> </w:t>
            </w:r>
            <w:r>
              <w:rPr>
                <w:rFonts w:ascii="宋体" w:hAnsi="宋体" w:cs="宋体" w:eastAsia="宋体" w:hint="default"/>
                <w:sz w:val="21"/>
                <w:szCs w:val="21"/>
              </w:rPr>
              <w:t>相关公告</w:t>
            </w:r>
            <w:r>
              <w:rPr>
                <w:rFonts w:ascii="宋体" w:hAnsi="宋体" w:cs="宋体" w:eastAsia="宋体" w:hint="default"/>
                <w:spacing w:val="-101"/>
                <w:sz w:val="21"/>
                <w:szCs w:val="21"/>
              </w:rPr>
              <w:t> </w:t>
            </w:r>
            <w:r>
              <w:rPr>
                <w:rFonts w:ascii="宋体" w:hAnsi="宋体" w:cs="宋体" w:eastAsia="宋体" w:hint="default"/>
                <w:sz w:val="21"/>
                <w:szCs w:val="21"/>
              </w:rPr>
              <w:t>披露日期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124" w:right="118"/>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额度</w:t>
            </w:r>
          </w:p>
        </w:tc>
        <w:tc>
          <w:tcPr>
            <w:tcW w:w="13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590" w:right="161" w:hanging="423"/>
              <w:jc w:val="left"/>
              <w:rPr>
                <w:rFonts w:ascii="宋体" w:hAnsi="宋体" w:cs="宋体" w:eastAsia="宋体" w:hint="default"/>
                <w:sz w:val="21"/>
                <w:szCs w:val="21"/>
              </w:rPr>
            </w:pPr>
            <w:r>
              <w:rPr>
                <w:rFonts w:ascii="宋体" w:hAnsi="宋体" w:cs="宋体" w:eastAsia="宋体" w:hint="default"/>
                <w:sz w:val="21"/>
                <w:szCs w:val="21"/>
              </w:rPr>
              <w:t>实际发生日</w:t>
            </w:r>
            <w:r>
              <w:rPr>
                <w:rFonts w:ascii="宋体" w:hAnsi="宋体" w:cs="宋体" w:eastAsia="宋体" w:hint="default"/>
                <w:spacing w:val="-99"/>
                <w:sz w:val="21"/>
                <w:szCs w:val="21"/>
              </w:rPr>
              <w:t> </w:t>
            </w:r>
            <w:r>
              <w:rPr>
                <w:rFonts w:ascii="宋体" w:hAnsi="宋体" w:cs="宋体" w:eastAsia="宋体" w:hint="default"/>
                <w:sz w:val="21"/>
                <w:szCs w:val="21"/>
              </w:rPr>
              <w:t>期</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158" w:right="156"/>
              <w:jc w:val="left"/>
              <w:rPr>
                <w:rFonts w:ascii="宋体" w:hAnsi="宋体" w:cs="宋体" w:eastAsia="宋体" w:hint="default"/>
                <w:sz w:val="21"/>
                <w:szCs w:val="21"/>
              </w:rPr>
            </w:pPr>
            <w:r>
              <w:rPr>
                <w:rFonts w:ascii="宋体" w:hAnsi="宋体" w:cs="宋体" w:eastAsia="宋体" w:hint="default"/>
                <w:sz w:val="21"/>
                <w:szCs w:val="21"/>
              </w:rPr>
              <w:t>实际担</w:t>
            </w:r>
            <w:r>
              <w:rPr>
                <w:rFonts w:ascii="宋体" w:hAnsi="宋体" w:cs="宋体" w:eastAsia="宋体" w:hint="default"/>
                <w:spacing w:val="-102"/>
                <w:sz w:val="21"/>
                <w:szCs w:val="21"/>
              </w:rPr>
              <w:t> </w:t>
            </w:r>
            <w:r>
              <w:rPr>
                <w:rFonts w:ascii="宋体" w:hAnsi="宋体" w:cs="宋体" w:eastAsia="宋体" w:hint="default"/>
                <w:sz w:val="21"/>
                <w:szCs w:val="21"/>
              </w:rPr>
              <w:t>保金额</w:t>
            </w:r>
          </w:p>
        </w:tc>
        <w:tc>
          <w:tcPr>
            <w:tcW w:w="13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left="235" w:right="0"/>
              <w:jc w:val="left"/>
              <w:rPr>
                <w:rFonts w:ascii="宋体" w:hAnsi="宋体" w:cs="宋体" w:eastAsia="宋体" w:hint="default"/>
                <w:sz w:val="21"/>
                <w:szCs w:val="21"/>
              </w:rPr>
            </w:pPr>
            <w:r>
              <w:rPr>
                <w:rFonts w:ascii="宋体" w:hAnsi="宋体" w:cs="宋体" w:eastAsia="宋体" w:hint="default"/>
                <w:sz w:val="21"/>
                <w:szCs w:val="21"/>
              </w:rPr>
              <w:t>担保类型</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3" w:lineRule="auto"/>
              <w:ind w:left="278" w:right="173" w:hanging="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81" w:right="177"/>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履行</w:t>
            </w:r>
            <w:r>
              <w:rPr>
                <w:rFonts w:ascii="宋体" w:hAnsi="宋体" w:cs="宋体" w:eastAsia="宋体" w:hint="default"/>
                <w:spacing w:val="-103"/>
                <w:sz w:val="21"/>
                <w:szCs w:val="21"/>
              </w:rPr>
              <w:t> </w:t>
            </w:r>
            <w:r>
              <w:rPr>
                <w:rFonts w:ascii="宋体" w:hAnsi="宋体" w:cs="宋体" w:eastAsia="宋体" w:hint="default"/>
                <w:sz w:val="21"/>
                <w:szCs w:val="21"/>
              </w:rPr>
              <w:t>完毕</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39" w:right="134"/>
              <w:jc w:val="both"/>
              <w:rPr>
                <w:rFonts w:ascii="宋体" w:hAnsi="宋体" w:cs="宋体" w:eastAsia="宋体" w:hint="default"/>
                <w:sz w:val="21"/>
                <w:szCs w:val="21"/>
              </w:rPr>
            </w:pPr>
            <w:r>
              <w:rPr>
                <w:rFonts w:ascii="宋体" w:hAnsi="宋体" w:cs="宋体" w:eastAsia="宋体" w:hint="default"/>
                <w:sz w:val="21"/>
                <w:szCs w:val="21"/>
              </w:rPr>
              <w:t>是否为</w:t>
            </w:r>
            <w:r>
              <w:rPr>
                <w:rFonts w:ascii="宋体" w:hAnsi="宋体" w:cs="宋体" w:eastAsia="宋体" w:hint="default"/>
                <w:spacing w:val="-102"/>
                <w:sz w:val="21"/>
                <w:szCs w:val="21"/>
              </w:rPr>
              <w:t> </w:t>
            </w:r>
            <w:r>
              <w:rPr>
                <w:rFonts w:ascii="宋体" w:hAnsi="宋体" w:cs="宋体" w:eastAsia="宋体" w:hint="default"/>
                <w:sz w:val="21"/>
                <w:szCs w:val="21"/>
              </w:rPr>
              <w:t>关联方</w:t>
            </w:r>
            <w:r>
              <w:rPr>
                <w:rFonts w:ascii="宋体" w:hAnsi="宋体" w:cs="宋体" w:eastAsia="宋体" w:hint="default"/>
                <w:spacing w:val="-102"/>
                <w:sz w:val="21"/>
                <w:szCs w:val="21"/>
              </w:rPr>
              <w:t> </w:t>
            </w:r>
            <w:r>
              <w:rPr>
                <w:rFonts w:ascii="宋体" w:hAnsi="宋体" w:cs="宋体" w:eastAsia="宋体" w:hint="default"/>
                <w:sz w:val="21"/>
                <w:szCs w:val="21"/>
              </w:rPr>
              <w:t>担保</w:t>
            </w:r>
          </w:p>
        </w:tc>
      </w:tr>
      <w:tr>
        <w:trPr>
          <w:trHeight w:val="1028" w:hRule="exact"/>
        </w:trPr>
        <w:tc>
          <w:tcPr>
            <w:tcW w:w="28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182"/>
              <w:ind w:left="105" w:right="224"/>
              <w:jc w:val="left"/>
              <w:rPr>
                <w:rFonts w:ascii="宋体" w:hAnsi="宋体" w:cs="宋体" w:eastAsia="宋体" w:hint="default"/>
                <w:sz w:val="21"/>
                <w:szCs w:val="21"/>
              </w:rPr>
            </w:pPr>
            <w:r>
              <w:rPr>
                <w:rFonts w:ascii="宋体" w:hAnsi="宋体" w:cs="宋体" w:eastAsia="宋体" w:hint="default"/>
                <w:spacing w:val="-1"/>
                <w:sz w:val="21"/>
                <w:szCs w:val="21"/>
              </w:rPr>
              <w:t>报告期内审批对子公司担保</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额度合计（</w:t>
            </w:r>
            <w:r>
              <w:rPr>
                <w:rFonts w:ascii="Times New Roman" w:hAnsi="Times New Roman" w:cs="Times New Roman" w:eastAsia="Times New Roman" w:hint="default"/>
                <w:sz w:val="21"/>
                <w:szCs w:val="21"/>
              </w:rPr>
              <w:t>C1</w:t>
            </w:r>
            <w:r>
              <w:rPr>
                <w:rFonts w:ascii="宋体" w:hAnsi="宋体" w:cs="宋体" w:eastAsia="宋体" w:hint="default"/>
                <w:sz w:val="21"/>
                <w:szCs w:val="21"/>
              </w:rPr>
              <w:t>）</w:t>
            </w:r>
          </w:p>
        </w:tc>
        <w:tc>
          <w:tcPr>
            <w:tcW w:w="20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sz w:val="21"/>
              </w:rPr>
              <w:t>20,000</w:t>
            </w:r>
          </w:p>
        </w:tc>
        <w:tc>
          <w:tcPr>
            <w:tcW w:w="22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00" w:right="272"/>
              <w:jc w:val="left"/>
              <w:rPr>
                <w:rFonts w:ascii="宋体" w:hAnsi="宋体" w:cs="宋体" w:eastAsia="宋体" w:hint="default"/>
                <w:sz w:val="21"/>
                <w:szCs w:val="21"/>
              </w:rPr>
            </w:pPr>
            <w:r>
              <w:rPr>
                <w:rFonts w:ascii="宋体" w:hAnsi="宋体" w:cs="宋体" w:eastAsia="宋体" w:hint="default"/>
                <w:sz w:val="21"/>
                <w:szCs w:val="21"/>
              </w:rPr>
              <w:t>报告期内对子公司担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保实际发生额合计</w:t>
            </w:r>
          </w:p>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C2</w:t>
            </w:r>
            <w:r>
              <w:rPr>
                <w:rFonts w:ascii="宋体" w:hAnsi="宋体" w:cs="宋体" w:eastAsia="宋体" w:hint="default"/>
                <w:sz w:val="21"/>
                <w:szCs w:val="21"/>
              </w:rPr>
              <w:t>）</w:t>
            </w:r>
          </w:p>
        </w:tc>
        <w:tc>
          <w:tcPr>
            <w:tcW w:w="24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99"/>
              <w:jc w:val="right"/>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28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224"/>
              <w:jc w:val="left"/>
              <w:rPr>
                <w:rFonts w:ascii="宋体" w:hAnsi="宋体" w:cs="宋体" w:eastAsia="宋体" w:hint="default"/>
                <w:sz w:val="21"/>
                <w:szCs w:val="21"/>
              </w:rPr>
            </w:pPr>
            <w:r>
              <w:rPr>
                <w:rFonts w:ascii="宋体" w:hAnsi="宋体" w:cs="宋体" w:eastAsia="宋体" w:hint="default"/>
                <w:spacing w:val="-1"/>
                <w:sz w:val="21"/>
                <w:szCs w:val="21"/>
              </w:rPr>
              <w:t>报告期末已审批的对子公司</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担保额度合计（</w:t>
            </w:r>
            <w:r>
              <w:rPr>
                <w:rFonts w:ascii="Times New Roman" w:hAnsi="Times New Roman" w:cs="Times New Roman" w:eastAsia="Times New Roman" w:hint="default"/>
                <w:sz w:val="21"/>
                <w:szCs w:val="21"/>
              </w:rPr>
              <w:t>C3</w:t>
            </w:r>
            <w:r>
              <w:rPr>
                <w:rFonts w:ascii="宋体" w:hAnsi="宋体" w:cs="宋体" w:eastAsia="宋体" w:hint="default"/>
                <w:sz w:val="21"/>
                <w:szCs w:val="21"/>
              </w:rPr>
              <w:t>）</w:t>
            </w:r>
          </w:p>
        </w:tc>
        <w:tc>
          <w:tcPr>
            <w:tcW w:w="20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20,000</w:t>
            </w:r>
          </w:p>
        </w:tc>
        <w:tc>
          <w:tcPr>
            <w:tcW w:w="22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27"/>
              <w:jc w:val="left"/>
              <w:rPr>
                <w:rFonts w:ascii="宋体" w:hAnsi="宋体" w:cs="宋体" w:eastAsia="宋体" w:hint="default"/>
                <w:sz w:val="21"/>
                <w:szCs w:val="21"/>
              </w:rPr>
            </w:pPr>
            <w:r>
              <w:rPr>
                <w:rFonts w:ascii="宋体" w:hAnsi="宋体" w:cs="宋体" w:eastAsia="宋体" w:hint="default"/>
                <w:sz w:val="21"/>
                <w:szCs w:val="21"/>
              </w:rPr>
              <w:t>报告期末对子公司实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际担保余额合计（</w:t>
            </w:r>
            <w:r>
              <w:rPr>
                <w:rFonts w:ascii="Times New Roman" w:hAnsi="Times New Roman" w:cs="Times New Roman" w:eastAsia="Times New Roman" w:hint="default"/>
                <w:sz w:val="21"/>
                <w:szCs w:val="21"/>
              </w:rPr>
              <w:t>C4</w:t>
            </w:r>
            <w:r>
              <w:rPr>
                <w:rFonts w:ascii="宋体" w:hAnsi="宋体" w:cs="宋体" w:eastAsia="宋体" w:hint="default"/>
                <w:sz w:val="21"/>
                <w:szCs w:val="21"/>
              </w:rPr>
              <w:t>）</w:t>
            </w:r>
          </w:p>
        </w:tc>
        <w:tc>
          <w:tcPr>
            <w:tcW w:w="24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r>
      <w:tr>
        <w:trPr>
          <w:trHeight w:val="394" w:hRule="exact"/>
        </w:trPr>
        <w:tc>
          <w:tcPr>
            <w:tcW w:w="97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公司担保总额（即前三大项的合计）</w:t>
            </w:r>
          </w:p>
        </w:tc>
      </w:tr>
      <w:tr>
        <w:trPr>
          <w:trHeight w:val="721" w:hRule="exact"/>
        </w:trPr>
        <w:tc>
          <w:tcPr>
            <w:tcW w:w="28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报告期内审批担保额度合计</w:t>
            </w:r>
          </w:p>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A1+B1+C1</w:t>
            </w:r>
            <w:r>
              <w:rPr>
                <w:rFonts w:ascii="宋体" w:hAnsi="宋体" w:cs="宋体" w:eastAsia="宋体" w:hint="default"/>
                <w:sz w:val="21"/>
                <w:szCs w:val="21"/>
              </w:rPr>
              <w:t>）</w:t>
            </w:r>
          </w:p>
        </w:tc>
        <w:tc>
          <w:tcPr>
            <w:tcW w:w="20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277" w:right="0"/>
              <w:jc w:val="left"/>
              <w:rPr>
                <w:rFonts w:ascii="Times New Roman" w:hAnsi="Times New Roman" w:cs="Times New Roman" w:eastAsia="Times New Roman" w:hint="default"/>
                <w:sz w:val="21"/>
                <w:szCs w:val="21"/>
              </w:rPr>
            </w:pPr>
            <w:r>
              <w:rPr>
                <w:rFonts w:ascii="Times New Roman"/>
                <w:sz w:val="21"/>
              </w:rPr>
              <w:t>298,000</w:t>
            </w:r>
          </w:p>
        </w:tc>
        <w:tc>
          <w:tcPr>
            <w:tcW w:w="22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33"/>
              <w:ind w:left="100" w:right="-5"/>
              <w:jc w:val="left"/>
              <w:rPr>
                <w:rFonts w:ascii="宋体" w:hAnsi="宋体" w:cs="宋体" w:eastAsia="宋体" w:hint="default"/>
                <w:sz w:val="21"/>
                <w:szCs w:val="21"/>
              </w:rPr>
            </w:pPr>
            <w:r>
              <w:rPr>
                <w:rFonts w:ascii="宋体" w:hAnsi="宋体" w:cs="宋体" w:eastAsia="宋体" w:hint="default"/>
                <w:sz w:val="21"/>
                <w:szCs w:val="21"/>
              </w:rPr>
              <w:t>报告期内担保实际发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7"/>
                <w:sz w:val="21"/>
                <w:szCs w:val="21"/>
              </w:rPr>
              <w:t>生额合计（</w:t>
            </w:r>
            <w:r>
              <w:rPr>
                <w:rFonts w:ascii="Times New Roman" w:hAnsi="Times New Roman" w:cs="Times New Roman" w:eastAsia="Times New Roman" w:hint="default"/>
                <w:spacing w:val="-7"/>
                <w:sz w:val="21"/>
                <w:szCs w:val="21"/>
              </w:rPr>
              <w:t>A2+B2+C2</w:t>
            </w:r>
            <w:r>
              <w:rPr>
                <w:rFonts w:ascii="宋体" w:hAnsi="宋体" w:cs="宋体" w:eastAsia="宋体" w:hint="default"/>
                <w:spacing w:val="-7"/>
                <w:sz w:val="21"/>
                <w:szCs w:val="21"/>
              </w:rPr>
              <w:t>）</w:t>
            </w:r>
          </w:p>
        </w:tc>
        <w:tc>
          <w:tcPr>
            <w:tcW w:w="24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536" w:right="0"/>
              <w:jc w:val="left"/>
              <w:rPr>
                <w:rFonts w:ascii="Times New Roman" w:hAnsi="Times New Roman" w:cs="Times New Roman" w:eastAsia="Times New Roman" w:hint="default"/>
                <w:sz w:val="21"/>
                <w:szCs w:val="21"/>
              </w:rPr>
            </w:pPr>
            <w:r>
              <w:rPr>
                <w:rFonts w:ascii="Times New Roman"/>
                <w:sz w:val="21"/>
              </w:rPr>
              <w:t>17,180.76</w:t>
            </w:r>
          </w:p>
        </w:tc>
      </w:tr>
      <w:tr>
        <w:trPr>
          <w:trHeight w:val="403" w:hRule="exact"/>
        </w:trPr>
        <w:tc>
          <w:tcPr>
            <w:tcW w:w="28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报告期末已审批的担保额度</w:t>
            </w:r>
          </w:p>
        </w:tc>
        <w:tc>
          <w:tcPr>
            <w:tcW w:w="20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77" w:right="0"/>
              <w:jc w:val="left"/>
              <w:rPr>
                <w:rFonts w:ascii="Times New Roman" w:hAnsi="Times New Roman" w:cs="Times New Roman" w:eastAsia="Times New Roman" w:hint="default"/>
                <w:sz w:val="21"/>
                <w:szCs w:val="21"/>
              </w:rPr>
            </w:pPr>
            <w:r>
              <w:rPr>
                <w:rFonts w:ascii="Times New Roman"/>
                <w:sz w:val="21"/>
              </w:rPr>
              <w:t>298,000</w:t>
            </w:r>
          </w:p>
        </w:tc>
        <w:tc>
          <w:tcPr>
            <w:tcW w:w="22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报告期末实际担保余</w:t>
            </w:r>
          </w:p>
        </w:tc>
        <w:tc>
          <w:tcPr>
            <w:tcW w:w="24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6" w:right="0"/>
              <w:jc w:val="left"/>
              <w:rPr>
                <w:rFonts w:ascii="Times New Roman" w:hAnsi="Times New Roman" w:cs="Times New Roman" w:eastAsia="Times New Roman" w:hint="default"/>
                <w:sz w:val="21"/>
                <w:szCs w:val="21"/>
              </w:rPr>
            </w:pPr>
            <w:r>
              <w:rPr>
                <w:rFonts w:ascii="Times New Roman"/>
                <w:sz w:val="21"/>
              </w:rPr>
              <w:t>18,737.10</w:t>
            </w:r>
          </w:p>
        </w:tc>
      </w:tr>
    </w:tbl>
    <w:p>
      <w:pPr>
        <w:spacing w:after="0" w:line="240" w:lineRule="auto"/>
        <w:jc w:val="lef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67"/>
        <w:gridCol w:w="2075"/>
        <w:gridCol w:w="2281"/>
        <w:gridCol w:w="2487"/>
      </w:tblGrid>
      <w:tr>
        <w:trPr>
          <w:trHeight w:val="360" w:hRule="exact"/>
        </w:trPr>
        <w:tc>
          <w:tcPr>
            <w:tcW w:w="2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0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Times New Roman" w:hAnsi="Times New Roman" w:cs="Times New Roman" w:eastAsia="Times New Roman" w:hint="default"/>
                <w:sz w:val="21"/>
                <w:szCs w:val="21"/>
              </w:rPr>
              <w:t>A3+B3+C3</w:t>
            </w:r>
            <w:r>
              <w:rPr>
                <w:rFonts w:ascii="宋体" w:hAnsi="宋体" w:cs="宋体" w:eastAsia="宋体" w:hint="default"/>
                <w:sz w:val="21"/>
                <w:szCs w:val="21"/>
              </w:rPr>
              <w:t>）</w:t>
            </w:r>
          </w:p>
        </w:tc>
        <w:tc>
          <w:tcPr>
            <w:tcW w:w="2075"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额合计（</w:t>
            </w:r>
            <w:r>
              <w:rPr>
                <w:rFonts w:ascii="Times New Roman" w:hAnsi="Times New Roman" w:cs="Times New Roman" w:eastAsia="Times New Roman" w:hint="default"/>
                <w:sz w:val="21"/>
                <w:szCs w:val="21"/>
              </w:rPr>
              <w:t>A4+B4+C4</w:t>
            </w:r>
            <w:r>
              <w:rPr>
                <w:rFonts w:ascii="宋体" w:hAnsi="宋体" w:cs="宋体" w:eastAsia="宋体" w:hint="default"/>
                <w:sz w:val="21"/>
                <w:szCs w:val="21"/>
              </w:rPr>
              <w:t>）</w:t>
            </w: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9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pacing w:val="-7"/>
                <w:sz w:val="21"/>
                <w:szCs w:val="21"/>
              </w:rPr>
              <w:t>实际担保总额（即</w:t>
            </w:r>
            <w:r>
              <w:rPr>
                <w:rFonts w:ascii="宋体" w:hAnsi="宋体" w:cs="宋体" w:eastAsia="宋体" w:hint="default"/>
                <w:spacing w:val="-21"/>
                <w:sz w:val="21"/>
                <w:szCs w:val="21"/>
              </w:rPr>
              <w:t> </w:t>
            </w:r>
            <w:r>
              <w:rPr>
                <w:rFonts w:ascii="Times New Roman" w:hAnsi="Times New Roman" w:cs="Times New Roman" w:eastAsia="Times New Roman" w:hint="default"/>
                <w:spacing w:val="-4"/>
                <w:sz w:val="21"/>
                <w:szCs w:val="21"/>
              </w:rPr>
              <w:t>A4+B4+C4</w:t>
            </w:r>
            <w:r>
              <w:rPr>
                <w:rFonts w:ascii="宋体" w:hAnsi="宋体" w:cs="宋体" w:eastAsia="宋体" w:hint="default"/>
                <w:spacing w:val="-4"/>
                <w:sz w:val="21"/>
                <w:szCs w:val="21"/>
              </w:rPr>
              <w:t>）占公司净资产的比例</w:t>
            </w:r>
          </w:p>
        </w:tc>
        <w:tc>
          <w:tcPr>
            <w:tcW w:w="4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4.28%</w:t>
            </w:r>
          </w:p>
        </w:tc>
      </w:tr>
      <w:tr>
        <w:trPr>
          <w:trHeight w:val="394" w:hRule="exact"/>
        </w:trPr>
        <w:tc>
          <w:tcPr>
            <w:tcW w:w="97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408" w:hRule="exact"/>
        </w:trPr>
        <w:tc>
          <w:tcPr>
            <w:tcW w:w="49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5"/>
              <w:jc w:val="left"/>
              <w:rPr>
                <w:rFonts w:ascii="宋体" w:hAnsi="宋体" w:cs="宋体" w:eastAsia="宋体" w:hint="default"/>
                <w:sz w:val="21"/>
                <w:szCs w:val="21"/>
              </w:rPr>
            </w:pPr>
            <w:r>
              <w:rPr>
                <w:rFonts w:ascii="宋体" w:hAnsi="宋体" w:cs="宋体" w:eastAsia="宋体" w:hint="default"/>
                <w:spacing w:val="-8"/>
                <w:sz w:val="21"/>
                <w:szCs w:val="21"/>
              </w:rPr>
              <w:t>为股东、实际控制人及其关联方提供担保的余额（</w:t>
            </w:r>
            <w:r>
              <w:rPr>
                <w:rFonts w:ascii="Times New Roman" w:hAnsi="Times New Roman" w:cs="Times New Roman" w:eastAsia="Times New Roman" w:hint="default"/>
                <w:spacing w:val="-8"/>
                <w:sz w:val="21"/>
                <w:szCs w:val="21"/>
              </w:rPr>
              <w:t>D</w:t>
            </w:r>
            <w:r>
              <w:rPr>
                <w:rFonts w:ascii="宋体" w:hAnsi="宋体" w:cs="宋体" w:eastAsia="宋体" w:hint="default"/>
                <w:spacing w:val="-8"/>
                <w:sz w:val="21"/>
                <w:szCs w:val="21"/>
              </w:rPr>
              <w:t>）</w:t>
            </w:r>
          </w:p>
        </w:tc>
        <w:tc>
          <w:tcPr>
            <w:tcW w:w="4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w w:val="100"/>
                <w:sz w:val="21"/>
              </w:rPr>
              <w:t>0</w:t>
            </w:r>
          </w:p>
        </w:tc>
      </w:tr>
      <w:tr>
        <w:trPr>
          <w:trHeight w:val="710" w:hRule="exact"/>
        </w:trPr>
        <w:tc>
          <w:tcPr>
            <w:tcW w:w="49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18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w:t>
            </w:r>
            <w:r>
              <w:rPr>
                <w:rFonts w:ascii="宋体" w:hAnsi="宋体" w:cs="宋体" w:eastAsia="宋体" w:hint="default"/>
                <w:w w:val="100"/>
                <w:sz w:val="21"/>
                <w:szCs w:val="21"/>
              </w:rPr>
              <w:t> </w:t>
            </w:r>
            <w:r>
              <w:rPr>
                <w:rFonts w:ascii="宋体" w:hAnsi="宋体" w:cs="宋体" w:eastAsia="宋体" w:hint="default"/>
                <w:sz w:val="21"/>
                <w:szCs w:val="21"/>
              </w:rPr>
              <w:t>供的债务担保余额（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49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F</w:t>
            </w:r>
            <w:r>
              <w:rPr>
                <w:rFonts w:ascii="宋体" w:hAnsi="宋体" w:cs="宋体" w:eastAsia="宋体" w:hint="default"/>
                <w:sz w:val="21"/>
                <w:szCs w:val="21"/>
              </w:rPr>
              <w:t>）</w:t>
            </w:r>
          </w:p>
        </w:tc>
        <w:tc>
          <w:tcPr>
            <w:tcW w:w="4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w w:val="100"/>
                <w:sz w:val="21"/>
              </w:rPr>
              <w:t>0</w:t>
            </w:r>
          </w:p>
        </w:tc>
      </w:tr>
      <w:tr>
        <w:trPr>
          <w:trHeight w:val="404" w:hRule="exact"/>
        </w:trPr>
        <w:tc>
          <w:tcPr>
            <w:tcW w:w="49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D+E+F</w:t>
            </w:r>
            <w:r>
              <w:rPr>
                <w:rFonts w:ascii="宋体" w:hAnsi="宋体" w:cs="宋体" w:eastAsia="宋体" w:hint="default"/>
                <w:sz w:val="21"/>
                <w:szCs w:val="21"/>
              </w:rPr>
              <w:t>）</w:t>
            </w:r>
          </w:p>
        </w:tc>
        <w:tc>
          <w:tcPr>
            <w:tcW w:w="47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w w:val="100"/>
                <w:sz w:val="21"/>
              </w:rPr>
              <w:t>0</w:t>
            </w:r>
          </w:p>
        </w:tc>
      </w:tr>
    </w:tbl>
    <w:p>
      <w:pPr>
        <w:spacing w:before="53"/>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采用复合方式担保的具体情况说明</w:t>
      </w:r>
    </w:p>
    <w:p>
      <w:pPr>
        <w:spacing w:line="240" w:lineRule="auto" w:before="8"/>
        <w:rPr>
          <w:rFonts w:ascii="宋体" w:hAnsi="宋体" w:cs="宋体" w:eastAsia="宋体" w:hint="default"/>
          <w:sz w:val="26"/>
          <w:szCs w:val="26"/>
        </w:rPr>
      </w:pPr>
    </w:p>
    <w:p>
      <w:pPr>
        <w:pStyle w:val="Heading5"/>
        <w:spacing w:line="240" w:lineRule="auto"/>
        <w:ind w:right="1002"/>
        <w:jc w:val="left"/>
        <w:rPr>
          <w:b w:val="0"/>
          <w:bCs w:val="0"/>
        </w:rPr>
      </w:pPr>
      <w:bookmarkStart w:name="（2）违规对外担保情况" w:id="93"/>
      <w:bookmarkEnd w:id="93"/>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公司报告期无违规对外担保情况。</w:t>
      </w:r>
    </w:p>
    <w:p>
      <w:pPr>
        <w:spacing w:line="240" w:lineRule="auto" w:before="7"/>
        <w:rPr>
          <w:rFonts w:ascii="宋体" w:hAnsi="宋体" w:cs="宋体" w:eastAsia="宋体" w:hint="default"/>
          <w:sz w:val="19"/>
          <w:szCs w:val="19"/>
        </w:rPr>
      </w:pPr>
    </w:p>
    <w:p>
      <w:pPr>
        <w:pStyle w:val="Heading5"/>
        <w:spacing w:line="240" w:lineRule="auto"/>
        <w:ind w:right="1002"/>
        <w:jc w:val="left"/>
        <w:rPr>
          <w:b w:val="0"/>
          <w:bCs w:val="0"/>
        </w:rPr>
      </w:pPr>
      <w:bookmarkStart w:name="3、委托他人进行现金资产管理情况" w:id="94"/>
      <w:bookmarkEnd w:id="94"/>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委托理财情况" w:id="95"/>
      <w:bookmarkEnd w:id="95"/>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公司报告期不存在委托理财。</w:t>
      </w:r>
    </w:p>
    <w:p>
      <w:pPr>
        <w:spacing w:line="240" w:lineRule="auto" w:before="12"/>
        <w:rPr>
          <w:rFonts w:ascii="宋体" w:hAnsi="宋体" w:cs="宋体" w:eastAsia="宋体" w:hint="default"/>
          <w:sz w:val="19"/>
          <w:szCs w:val="19"/>
        </w:rPr>
      </w:pPr>
    </w:p>
    <w:p>
      <w:pPr>
        <w:pStyle w:val="Heading5"/>
        <w:spacing w:line="240" w:lineRule="auto"/>
        <w:ind w:right="1002"/>
        <w:jc w:val="left"/>
        <w:rPr>
          <w:b w:val="0"/>
          <w:bCs w:val="0"/>
        </w:rPr>
      </w:pPr>
      <w:bookmarkStart w:name="（2）委托贷款情况" w:id="96"/>
      <w:bookmarkEnd w:id="96"/>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公司报告期不存在委托贷款。</w:t>
      </w:r>
    </w:p>
    <w:p>
      <w:pPr>
        <w:spacing w:line="240" w:lineRule="auto" w:before="7"/>
        <w:rPr>
          <w:rFonts w:ascii="宋体" w:hAnsi="宋体" w:cs="宋体" w:eastAsia="宋体" w:hint="default"/>
          <w:sz w:val="19"/>
          <w:szCs w:val="19"/>
        </w:rPr>
      </w:pPr>
    </w:p>
    <w:p>
      <w:pPr>
        <w:pStyle w:val="Heading5"/>
        <w:spacing w:line="240" w:lineRule="auto"/>
        <w:ind w:right="1002"/>
        <w:jc w:val="left"/>
        <w:rPr>
          <w:b w:val="0"/>
          <w:bCs w:val="0"/>
        </w:rPr>
      </w:pPr>
      <w:bookmarkStart w:name="4、其他重大合同" w:id="97"/>
      <w:bookmarkEnd w:id="97"/>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spacing w:line="362"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公司报告期不存在其他重大合同。</w:t>
      </w:r>
    </w:p>
    <w:p>
      <w:pPr>
        <w:spacing w:line="240" w:lineRule="auto" w:before="12"/>
        <w:rPr>
          <w:rFonts w:ascii="宋体" w:hAnsi="宋体" w:cs="宋体" w:eastAsia="宋体" w:hint="default"/>
          <w:sz w:val="16"/>
          <w:szCs w:val="16"/>
        </w:rPr>
      </w:pPr>
    </w:p>
    <w:p>
      <w:pPr>
        <w:pStyle w:val="Heading2"/>
        <w:spacing w:line="240" w:lineRule="auto"/>
        <w:ind w:right="1002"/>
        <w:jc w:val="left"/>
        <w:rPr>
          <w:b w:val="0"/>
          <w:bCs w:val="0"/>
        </w:rPr>
      </w:pPr>
      <w:bookmarkStart w:name="十八、社会责任情况" w:id="98"/>
      <w:bookmarkEnd w:id="98"/>
      <w:r>
        <w:rPr>
          <w:b w:val="0"/>
          <w:bCs w:val="0"/>
        </w:rPr>
      </w:r>
      <w:r>
        <w:rPr/>
        <w:t>十八、社会责任情况</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right="1002"/>
        <w:jc w:val="left"/>
        <w:rPr>
          <w:b w:val="0"/>
          <w:bCs w:val="0"/>
        </w:rPr>
      </w:pPr>
      <w:bookmarkStart w:name="1、履行社会责任情况" w:id="99"/>
      <w:bookmarkEnd w:id="99"/>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9"/>
        <w:rPr>
          <w:rFonts w:ascii="宋体" w:hAnsi="宋体" w:cs="宋体" w:eastAsia="宋体" w:hint="default"/>
          <w:b/>
          <w:bCs/>
          <w:sz w:val="26"/>
          <w:szCs w:val="26"/>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公司报告年度暂未开展精准扶贫工作，也无后续计划。</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1002"/>
        <w:jc w:val="left"/>
        <w:rPr>
          <w:b w:val="0"/>
          <w:bCs w:val="0"/>
        </w:rPr>
      </w:pPr>
      <w:bookmarkStart w:name="2、履行精准扶贫社会责任情况" w:id="100"/>
      <w:bookmarkEnd w:id="100"/>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1002"/>
        <w:jc w:val="left"/>
        <w:rPr>
          <w:b w:val="0"/>
          <w:bCs w:val="0"/>
        </w:rPr>
      </w:pPr>
      <w:bookmarkStart w:name="（1）精准扶贫规划" w:id="101"/>
      <w:bookmarkEnd w:id="101"/>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2）年度精准扶贫概要" w:id="102"/>
      <w:bookmarkEnd w:id="102"/>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1002"/>
        <w:jc w:val="left"/>
        <w:rPr>
          <w:b w:val="0"/>
          <w:bCs w:val="0"/>
        </w:rPr>
      </w:pPr>
      <w:bookmarkStart w:name="（3）精准扶贫成效" w:id="103"/>
      <w:bookmarkEnd w:id="103"/>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97"/>
        <w:gridCol w:w="1460"/>
        <w:gridCol w:w="4513"/>
      </w:tblGrid>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指标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计量单位</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Times New Roman" w:hAnsi="Times New Roman" w:cs="Times New Roman" w:eastAsia="Times New Roman" w:hint="default"/>
                <w:sz w:val="21"/>
                <w:szCs w:val="21"/>
              </w:rPr>
              <w:t>/</w:t>
            </w:r>
            <w:r>
              <w:rPr>
                <w:rFonts w:ascii="宋体" w:hAnsi="宋体" w:cs="宋体" w:eastAsia="宋体" w:hint="default"/>
                <w:sz w:val="21"/>
                <w:szCs w:val="21"/>
              </w:rPr>
              <w:t>开展情况</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一、总体情况</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二、分项投入</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产业发展脱贫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转移就业脱贫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易地搬迁脱贫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教育扶贫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健康扶贫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生态保护扶贫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兜底保障</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社会扶贫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其他项目</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三、所获奖项（内容、级别）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3"/>
        <w:rPr>
          <w:rFonts w:ascii="宋体" w:hAnsi="宋体" w:cs="宋体" w:eastAsia="宋体" w:hint="default"/>
          <w:b/>
          <w:bCs/>
          <w:sz w:val="19"/>
          <w:szCs w:val="19"/>
        </w:rPr>
      </w:pPr>
    </w:p>
    <w:p>
      <w:pPr>
        <w:pStyle w:val="Heading5"/>
        <w:spacing w:line="240" w:lineRule="auto" w:before="36"/>
        <w:ind w:right="1002"/>
        <w:jc w:val="left"/>
        <w:rPr>
          <w:b w:val="0"/>
          <w:bCs w:val="0"/>
        </w:rPr>
      </w:pPr>
      <w:bookmarkStart w:name="（4）后续精准扶贫计划" w:id="104"/>
      <w:bookmarkEnd w:id="104"/>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1002"/>
        <w:jc w:val="left"/>
        <w:rPr>
          <w:b w:val="0"/>
          <w:bCs w:val="0"/>
        </w:rPr>
      </w:pPr>
      <w:bookmarkStart w:name="3、环境保护相关的情况" w:id="105"/>
      <w:bookmarkEnd w:id="105"/>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113" w:right="5730" w:firstLine="0"/>
        <w:jc w:val="left"/>
        <w:rPr>
          <w:rFonts w:ascii="宋体" w:hAnsi="宋体" w:cs="宋体" w:eastAsia="宋体" w:hint="default"/>
          <w:sz w:val="18"/>
          <w:szCs w:val="18"/>
        </w:rPr>
      </w:pPr>
      <w:r>
        <w:rPr>
          <w:rFonts w:ascii="宋体" w:hAnsi="宋体" w:cs="宋体" w:eastAsia="宋体" w:hint="default"/>
          <w:spacing w:val="-3"/>
          <w:sz w:val="18"/>
          <w:szCs w:val="18"/>
        </w:rPr>
        <w:t>上市公司及其子公司是否属于环境保护部门公布的重点排污单位</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不适用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上市公司及其子公司不属于环境保护部门公布的重点排污单位</w:t>
      </w:r>
    </w:p>
    <w:p>
      <w:pPr>
        <w:spacing w:line="240" w:lineRule="auto" w:before="13"/>
        <w:rPr>
          <w:rFonts w:ascii="宋体" w:hAnsi="宋体" w:cs="宋体" w:eastAsia="宋体" w:hint="default"/>
          <w:sz w:val="17"/>
          <w:szCs w:val="17"/>
        </w:rPr>
      </w:pPr>
    </w:p>
    <w:p>
      <w:pPr>
        <w:pStyle w:val="Heading2"/>
        <w:spacing w:line="240" w:lineRule="auto"/>
        <w:ind w:right="1002"/>
        <w:jc w:val="left"/>
        <w:rPr>
          <w:b w:val="0"/>
          <w:bCs w:val="0"/>
        </w:rPr>
      </w:pPr>
      <w:bookmarkStart w:name="十九、其他重大事项的说明" w:id="106"/>
      <w:bookmarkEnd w:id="106"/>
      <w:r>
        <w:rPr>
          <w:b w:val="0"/>
          <w:bCs w:val="0"/>
        </w:rPr>
      </w:r>
      <w:r>
        <w:rPr/>
        <w:t>十九、其他重大事项的说明</w:t>
      </w:r>
      <w:r>
        <w:rPr>
          <w:b w:val="0"/>
          <w:bCs w:val="0"/>
        </w:rPr>
      </w:r>
    </w:p>
    <w:p>
      <w:pPr>
        <w:spacing w:line="240" w:lineRule="auto" w:before="3"/>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3"/>
          <w:szCs w:val="13"/>
        </w:rPr>
      </w:pPr>
    </w:p>
    <w:p>
      <w:pPr>
        <w:spacing w:line="352" w:lineRule="auto" w:before="0"/>
        <w:ind w:left="535" w:right="1002" w:hanging="120"/>
        <w:jc w:val="left"/>
        <w:rPr>
          <w:rFonts w:ascii="宋体" w:hAnsi="宋体" w:cs="宋体" w:eastAsia="宋体" w:hint="default"/>
          <w:sz w:val="21"/>
          <w:szCs w:val="21"/>
        </w:rPr>
      </w:pPr>
      <w:r>
        <w:rPr>
          <w:rFonts w:ascii="宋体" w:hAnsi="宋体" w:cs="宋体" w:eastAsia="宋体" w:hint="default"/>
          <w:b/>
          <w:bCs/>
          <w:sz w:val="21"/>
          <w:szCs w:val="21"/>
        </w:rPr>
        <w:t>（一）本报告期内，公司控股股东、实际控制人发生了变更，具体情况如下：</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、根据</w:t>
      </w:r>
      <w:r>
        <w:rPr>
          <w:rFonts w:ascii="宋体" w:hAnsi="宋体" w:cs="宋体" w:eastAsia="宋体" w:hint="default"/>
          <w:spacing w:val="-2"/>
          <w:sz w:val="21"/>
          <w:szCs w:val="21"/>
        </w:rPr>
        <w:t>2018</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11</w:t>
      </w:r>
      <w:r>
        <w:rPr>
          <w:rFonts w:ascii="宋体" w:hAnsi="宋体" w:cs="宋体" w:eastAsia="宋体" w:hint="default"/>
          <w:spacing w:val="-2"/>
          <w:sz w:val="21"/>
          <w:szCs w:val="21"/>
        </w:rPr>
        <w:t>日公司披露了束龙胜先生减持股份预披露的公告和瞿洪桂先生计划增持公司股</w:t>
      </w:r>
    </w:p>
    <w:p>
      <w:pPr>
        <w:pStyle w:val="BodyText"/>
        <w:spacing w:line="350" w:lineRule="auto" w:before="25"/>
        <w:ind w:right="1111"/>
        <w:jc w:val="left"/>
      </w:pPr>
      <w:r>
        <w:rPr/>
        <w:t>份的公告，主要内容：自本公告发布之日起</w:t>
      </w:r>
      <w:r>
        <w:rPr>
          <w:rFonts w:ascii="宋体" w:hAnsi="宋体" w:cs="宋体" w:eastAsia="宋体" w:hint="default"/>
        </w:rPr>
        <w:t>3</w:t>
      </w:r>
      <w:r>
        <w:rPr/>
        <w:t>个交易日后的六个月内以大宗交易方式增减持本公司股份不</w:t>
      </w:r>
      <w:r>
        <w:rPr>
          <w:w w:val="100"/>
        </w:rPr>
        <w:t> </w:t>
      </w:r>
      <w:r>
        <w:rPr/>
        <w:t>超过</w:t>
      </w:r>
      <w:r>
        <w:rPr>
          <w:rFonts w:ascii="宋体" w:hAnsi="宋体" w:cs="宋体" w:eastAsia="宋体" w:hint="default"/>
        </w:rPr>
        <w:t>1,626</w:t>
      </w:r>
      <w:r>
        <w:rPr/>
        <w:t>万股（减持比例不超过本公司总股本的</w:t>
      </w:r>
      <w:r>
        <w:rPr>
          <w:rFonts w:ascii="宋体" w:hAnsi="宋体" w:cs="宋体" w:eastAsia="宋体" w:hint="default"/>
        </w:rPr>
        <w:t>2.36%</w:t>
      </w:r>
      <w:r>
        <w:rPr/>
        <w:t>，且任意连续 </w:t>
      </w:r>
      <w:r>
        <w:rPr>
          <w:rFonts w:ascii="宋体" w:hAnsi="宋体" w:cs="宋体" w:eastAsia="宋体" w:hint="default"/>
        </w:rPr>
        <w:t>90</w:t>
      </w:r>
      <w:r>
        <w:rPr>
          <w:rFonts w:ascii="宋体" w:hAnsi="宋体" w:cs="宋体" w:eastAsia="宋体" w:hint="default"/>
          <w:spacing w:val="-20"/>
        </w:rPr>
        <w:t> </w:t>
      </w:r>
      <w:r>
        <w:rPr/>
        <w:t>个自然日内减持比例不超过本公</w:t>
      </w:r>
      <w:r>
        <w:rPr>
          <w:w w:val="100"/>
        </w:rPr>
        <w:t> 司总股本的</w:t>
      </w:r>
      <w:r>
        <w:rPr>
          <w:spacing w:val="11"/>
          <w:w w:val="100"/>
        </w:rPr>
        <w:t> </w:t>
      </w:r>
      <w:r>
        <w:rPr>
          <w:rFonts w:ascii="宋体" w:hAnsi="宋体" w:cs="宋体" w:eastAsia="宋体" w:hint="default"/>
          <w:spacing w:val="-4"/>
          <w:w w:val="100"/>
        </w:rPr>
        <w:t>2%</w:t>
      </w:r>
      <w:r>
        <w:rPr>
          <w:spacing w:val="-4"/>
          <w:w w:val="100"/>
        </w:rPr>
        <w:t>），符合相关规定；</w:t>
      </w:r>
      <w:r>
        <w:rPr>
          <w:rFonts w:ascii="宋体" w:hAnsi="宋体" w:cs="宋体" w:eastAsia="宋体" w:hint="default"/>
          <w:spacing w:val="-4"/>
          <w:w w:val="100"/>
        </w:rPr>
        <w:t>2018</w:t>
      </w:r>
      <w:r>
        <w:rPr>
          <w:spacing w:val="-4"/>
          <w:w w:val="100"/>
        </w:rPr>
        <w:t>年</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17</w:t>
      </w:r>
      <w:r>
        <w:rPr>
          <w:spacing w:val="-4"/>
          <w:w w:val="100"/>
        </w:rPr>
        <w:t>日至</w:t>
      </w:r>
      <w:r>
        <w:rPr>
          <w:rFonts w:ascii="宋体" w:hAnsi="宋体" w:cs="宋体" w:eastAsia="宋体" w:hint="default"/>
          <w:spacing w:val="-4"/>
          <w:w w:val="100"/>
        </w:rPr>
        <w:t>12</w:t>
      </w:r>
      <w:r>
        <w:rPr>
          <w:spacing w:val="-4"/>
          <w:w w:val="100"/>
        </w:rPr>
        <w:t>月</w:t>
      </w:r>
      <w:r>
        <w:rPr>
          <w:rFonts w:ascii="宋体" w:hAnsi="宋体" w:cs="宋体" w:eastAsia="宋体" w:hint="default"/>
          <w:spacing w:val="-4"/>
          <w:w w:val="100"/>
        </w:rPr>
        <w:t>28</w:t>
      </w:r>
      <w:r>
        <w:rPr>
          <w:spacing w:val="-4"/>
          <w:w w:val="100"/>
        </w:rPr>
        <w:t>日，累计交易</w:t>
      </w:r>
      <w:r>
        <w:rPr>
          <w:rFonts w:ascii="宋体" w:hAnsi="宋体" w:cs="宋体" w:eastAsia="宋体" w:hint="default"/>
          <w:spacing w:val="-4"/>
          <w:w w:val="100"/>
        </w:rPr>
        <w:t>1308</w:t>
      </w:r>
      <w:r>
        <w:rPr>
          <w:spacing w:val="-4"/>
          <w:w w:val="100"/>
        </w:rPr>
        <w:t>万股，期间同时披露了《详</w:t>
      </w:r>
      <w:r>
        <w:rPr>
          <w:spacing w:val="-103"/>
          <w:w w:val="100"/>
        </w:rPr>
        <w:t> </w:t>
      </w:r>
      <w:r>
        <w:rPr>
          <w:spacing w:val="-103"/>
          <w:w w:val="100"/>
        </w:rPr>
      </w:r>
      <w:r>
        <w:rPr>
          <w:spacing w:val="-6"/>
          <w:w w:val="100"/>
        </w:rPr>
        <w:t>式权益变动报告书》和《简式权益变动报告书》；</w:t>
      </w:r>
    </w:p>
    <w:p>
      <w:pPr>
        <w:spacing w:after="0" w:line="35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007" w:firstLine="422"/>
        <w:jc w:val="left"/>
      </w:pPr>
      <w:r>
        <w:rPr>
          <w:rFonts w:ascii="宋体" w:hAnsi="宋体" w:cs="宋体" w:eastAsia="宋体" w:hint="default"/>
        </w:rPr>
        <w:t>2</w:t>
      </w:r>
      <w:r>
        <w:rPr/>
        <w:t>、报告期内，分别披露了束龙胜先生减持计划暨实施完毕的公告以及瞿洪桂先生增持股份计划暨实</w:t>
      </w:r>
      <w:r>
        <w:rPr>
          <w:w w:val="100"/>
        </w:rPr>
        <w:t> </w:t>
      </w:r>
      <w:r>
        <w:rPr>
          <w:spacing w:val="-4"/>
        </w:rPr>
        <w:t>施完毕的公告，主要内容：束龙胜先生于</w:t>
      </w:r>
      <w:r>
        <w:rPr>
          <w:rFonts w:ascii="宋体" w:hAnsi="宋体" w:cs="宋体" w:eastAsia="宋体" w:hint="default"/>
          <w:spacing w:val="-4"/>
        </w:rPr>
        <w:t>2019</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15</w:t>
      </w:r>
      <w:r>
        <w:rPr>
          <w:spacing w:val="-4"/>
        </w:rPr>
        <w:t>日通过大宗交易的方式减持持有公司</w:t>
      </w:r>
      <w:r>
        <w:rPr>
          <w:spacing w:val="23"/>
        </w:rPr>
        <w:t> </w:t>
      </w:r>
      <w:r>
        <w:rPr>
          <w:rFonts w:ascii="宋体" w:hAnsi="宋体" w:cs="宋体" w:eastAsia="宋体" w:hint="default"/>
        </w:rPr>
        <w:t>316</w:t>
      </w:r>
      <w:r>
        <w:rPr>
          <w:rFonts w:ascii="宋体" w:hAnsi="宋体" w:cs="宋体" w:eastAsia="宋体" w:hint="default"/>
          <w:spacing w:val="23"/>
        </w:rPr>
        <w:t> </w:t>
      </w:r>
      <w:r>
        <w:rPr/>
        <w:t>万股股票，</w:t>
      </w:r>
      <w:r>
        <w:rPr>
          <w:spacing w:val="-103"/>
        </w:rPr>
        <w:t> </w:t>
      </w:r>
      <w:r>
        <w:rPr>
          <w:spacing w:val="-103"/>
        </w:rPr>
      </w:r>
      <w:r>
        <w:rPr/>
        <w:t>云泽投资 </w:t>
      </w:r>
      <w:r>
        <w:rPr>
          <w:rFonts w:ascii="宋体" w:hAnsi="宋体" w:cs="宋体" w:eastAsia="宋体" w:hint="default"/>
        </w:rPr>
        <w:t>1 </w:t>
      </w:r>
      <w:r>
        <w:rPr/>
        <w:t>号基金同日受让</w:t>
      </w:r>
      <w:r>
        <w:rPr>
          <w:rFonts w:ascii="宋体" w:hAnsi="宋体" w:cs="宋体" w:eastAsia="宋体" w:hint="default"/>
        </w:rPr>
        <w:t>316 </w:t>
      </w:r>
      <w:r>
        <w:rPr/>
        <w:t>万股股票，占公司总股本的</w:t>
      </w:r>
      <w:r>
        <w:rPr>
          <w:spacing w:val="-2"/>
        </w:rPr>
        <w:t> </w:t>
      </w:r>
      <w:r>
        <w:rPr>
          <w:rFonts w:ascii="宋体" w:hAnsi="宋体" w:cs="宋体" w:eastAsia="宋体" w:hint="default"/>
        </w:rPr>
        <w:t>0.46%</w:t>
      </w:r>
      <w:r>
        <w:rPr/>
        <w:t>。自此，上述大股东增减持公司股份</w:t>
      </w:r>
      <w:r>
        <w:rPr>
          <w:w w:val="100"/>
        </w:rPr>
        <w:t> </w:t>
      </w:r>
      <w:r>
        <w:rPr/>
        <w:t>的交易事项按照计划全部完成。瞿洪桂先生直接持有公司</w:t>
      </w:r>
      <w:r>
        <w:rPr>
          <w:rFonts w:ascii="宋体" w:hAnsi="宋体" w:cs="宋体" w:eastAsia="宋体" w:hint="default"/>
        </w:rPr>
        <w:t>127,394,324</w:t>
      </w:r>
      <w:r>
        <w:rPr/>
        <w:t>股，占公司总股本比例的</w:t>
      </w:r>
      <w:r>
        <w:rPr>
          <w:rFonts w:ascii="宋体" w:hAnsi="宋体" w:cs="宋体" w:eastAsia="宋体" w:hint="default"/>
        </w:rPr>
        <w:t>18.42%</w:t>
      </w:r>
      <w:r>
        <w:rPr/>
        <w:t>，</w:t>
      </w:r>
      <w:r>
        <w:rPr>
          <w:spacing w:val="-103"/>
        </w:rPr>
        <w:t> </w:t>
      </w:r>
      <w:r>
        <w:rPr/>
        <w:t>通过其控制的云泽投资公司发行的云泽投资</w:t>
      </w:r>
      <w:r>
        <w:rPr>
          <w:rFonts w:ascii="宋体" w:hAnsi="宋体" w:cs="宋体" w:eastAsia="宋体" w:hint="default"/>
        </w:rPr>
        <w:t>1</w:t>
      </w:r>
      <w:r>
        <w:rPr/>
        <w:t>号私募证券投资基金间接持有公司</w:t>
      </w:r>
      <w:r>
        <w:rPr>
          <w:rFonts w:ascii="宋体" w:hAnsi="宋体" w:cs="宋体" w:eastAsia="宋体" w:hint="default"/>
        </w:rPr>
        <w:t>16,240,000</w:t>
      </w:r>
      <w:r>
        <w:rPr/>
        <w:t>股，占公司总</w:t>
      </w:r>
      <w:r>
        <w:rPr>
          <w:w w:val="100"/>
        </w:rPr>
        <w:t> </w:t>
      </w:r>
      <w:r>
        <w:rPr/>
        <w:t>股本比例的</w:t>
      </w:r>
      <w:r>
        <w:rPr>
          <w:rFonts w:ascii="宋体" w:hAnsi="宋体" w:cs="宋体" w:eastAsia="宋体" w:hint="default"/>
        </w:rPr>
        <w:t>2.35%</w:t>
      </w:r>
      <w:r>
        <w:rPr/>
        <w:t>，瞿洪桂先生直接和间接合计持有公司</w:t>
      </w:r>
      <w:r>
        <w:rPr>
          <w:rFonts w:ascii="宋体" w:hAnsi="宋体" w:cs="宋体" w:eastAsia="宋体" w:hint="default"/>
        </w:rPr>
        <w:t>143,634,324</w:t>
      </w:r>
      <w:r>
        <w:rPr/>
        <w:t>股，占公司总股本的</w:t>
      </w:r>
      <w:r>
        <w:rPr>
          <w:rFonts w:ascii="宋体" w:hAnsi="宋体" w:cs="宋体" w:eastAsia="宋体" w:hint="default"/>
        </w:rPr>
        <w:t>20.77%</w:t>
      </w:r>
      <w:r>
        <w:rPr/>
        <w:t>，为公司</w:t>
      </w:r>
      <w:r>
        <w:rPr>
          <w:w w:val="100"/>
        </w:rPr>
        <w:t> </w:t>
      </w:r>
      <w:r>
        <w:rPr/>
        <w:t>第一大股东。</w:t>
      </w:r>
    </w:p>
    <w:p>
      <w:pPr>
        <w:pStyle w:val="BodyText"/>
        <w:spacing w:line="350" w:lineRule="auto" w:before="27"/>
        <w:ind w:right="1122" w:firstLine="422"/>
        <w:jc w:val="left"/>
      </w:pP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8</w:t>
      </w:r>
      <w:r>
        <w:rPr>
          <w:spacing w:val="-2"/>
        </w:rPr>
        <w:t>日召开的第七届董事会第二十次会议、第七届监事会第十三次会议，</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25</w:t>
      </w:r>
      <w:r>
        <w:rPr>
          <w:spacing w:val="-2"/>
        </w:rPr>
        <w:t>日召</w:t>
      </w:r>
      <w:r>
        <w:rPr>
          <w:spacing w:val="-5"/>
          <w:w w:val="100"/>
        </w:rPr>
        <w:t> </w:t>
      </w:r>
      <w:r>
        <w:rPr>
          <w:spacing w:val="-2"/>
        </w:rPr>
        <w:t>开的</w:t>
      </w:r>
      <w:r>
        <w:rPr>
          <w:rFonts w:ascii="宋体" w:hAnsi="宋体" w:cs="宋体" w:eastAsia="宋体" w:hint="default"/>
          <w:spacing w:val="-2"/>
        </w:rPr>
        <w:t>2019</w:t>
      </w:r>
      <w:r>
        <w:rPr>
          <w:spacing w:val="-2"/>
        </w:rPr>
        <w:t>年第一次临时股东大会审议通过并完成了对公司第七届董事会、监事会提前换届选举工作。</w:t>
      </w:r>
      <w:r>
        <w:rPr>
          <w:rFonts w:ascii="宋体" w:hAnsi="宋体" w:cs="宋体" w:eastAsia="宋体" w:hint="default"/>
          <w:spacing w:val="-2"/>
        </w:rPr>
        <w:t>2019</w:t>
      </w:r>
      <w:r>
        <w:rPr>
          <w:rFonts w:ascii="宋体" w:hAnsi="宋体" w:cs="宋体" w:eastAsia="宋体" w:hint="default"/>
          <w:spacing w:val="-22"/>
        </w:rPr>
        <w:t> </w:t>
      </w:r>
      <w:r>
        <w:rPr/>
        <w:t>年</w:t>
      </w:r>
      <w:r>
        <w:rPr>
          <w:rFonts w:ascii="宋体" w:hAnsi="宋体" w:cs="宋体" w:eastAsia="宋体" w:hint="default"/>
        </w:rPr>
        <w:t>1</w:t>
      </w:r>
      <w:r>
        <w:rPr/>
        <w:t>月</w:t>
      </w:r>
      <w:r>
        <w:rPr>
          <w:rFonts w:ascii="宋体" w:hAnsi="宋体" w:cs="宋体" w:eastAsia="宋体" w:hint="default"/>
        </w:rPr>
        <w:t>25</w:t>
      </w:r>
      <w:r>
        <w:rPr/>
        <w:t>日召开的第八届董事会第一次会议审议通过同意选举瞿洪桂先生为公司第八届董事会董事长，按</w:t>
      </w:r>
      <w:r>
        <w:rPr>
          <w:w w:val="100"/>
        </w:rPr>
        <w:t> </w:t>
      </w:r>
      <w:r>
        <w:rPr/>
        <w:t>照公司章程及相关规定，为公司法定代表人。</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28</w:t>
      </w:r>
      <w:r>
        <w:rPr/>
        <w:t>日，公司披露了《关于法定代表人变更完成工</w:t>
      </w:r>
      <w:r>
        <w:rPr>
          <w:w w:val="100"/>
        </w:rPr>
        <w:t> </w:t>
      </w:r>
      <w:r>
        <w:rPr>
          <w:spacing w:val="-6"/>
          <w:w w:val="100"/>
        </w:rPr>
        <w:t>商登记并取得营业执照的公告》（公告编号：</w:t>
      </w:r>
      <w:r>
        <w:rPr>
          <w:rFonts w:ascii="宋体" w:hAnsi="宋体" w:cs="宋体" w:eastAsia="宋体" w:hint="default"/>
          <w:spacing w:val="-6"/>
          <w:w w:val="100"/>
        </w:rPr>
        <w:t>2019-021</w:t>
      </w:r>
      <w:r>
        <w:rPr>
          <w:spacing w:val="-6"/>
          <w:w w:val="100"/>
        </w:rPr>
        <w:t>），自此至本报告披露日，瞿洪桂先生为公司第一大</w:t>
      </w:r>
      <w:r>
        <w:rPr>
          <w:spacing w:val="-86"/>
          <w:w w:val="100"/>
        </w:rPr>
        <w:t> </w:t>
      </w:r>
      <w:r>
        <w:rPr>
          <w:spacing w:val="-86"/>
          <w:w w:val="100"/>
        </w:rPr>
      </w:r>
      <w:r>
        <w:rPr/>
        <w:t>股东、实际控制人。</w:t>
      </w:r>
    </w:p>
    <w:p>
      <w:pPr>
        <w:spacing w:line="352" w:lineRule="auto" w:before="27"/>
        <w:ind w:left="535" w:right="1002" w:hanging="106"/>
        <w:jc w:val="left"/>
        <w:rPr>
          <w:rFonts w:ascii="宋体" w:hAnsi="宋体" w:cs="宋体" w:eastAsia="宋体" w:hint="default"/>
          <w:sz w:val="21"/>
          <w:szCs w:val="21"/>
        </w:rPr>
      </w:pPr>
      <w:r>
        <w:rPr>
          <w:rFonts w:ascii="宋体" w:hAnsi="宋体" w:cs="宋体" w:eastAsia="宋体" w:hint="default"/>
          <w:b/>
          <w:bCs/>
          <w:sz w:val="21"/>
          <w:szCs w:val="21"/>
        </w:rPr>
        <w:t>（二）重大经营合同——凤凰县智慧城市项目进展</w:t>
      </w:r>
      <w:r>
        <w:rPr>
          <w:rFonts w:ascii="宋体" w:hAnsi="宋体" w:cs="宋体" w:eastAsia="宋体" w:hint="default"/>
          <w:b/>
          <w:bCs/>
          <w:w w:val="100"/>
          <w:sz w:val="21"/>
          <w:szCs w:val="21"/>
        </w:rPr>
        <w:t> </w:t>
      </w:r>
      <w:r>
        <w:rPr>
          <w:rFonts w:ascii="宋体" w:hAnsi="宋体" w:cs="宋体" w:eastAsia="宋体" w:hint="default"/>
          <w:spacing w:val="-2"/>
          <w:sz w:val="21"/>
          <w:szCs w:val="21"/>
        </w:rPr>
        <w:t>2017</w:t>
      </w:r>
      <w:r>
        <w:rPr>
          <w:rFonts w:ascii="宋体" w:hAnsi="宋体" w:cs="宋体" w:eastAsia="宋体" w:hint="default"/>
          <w:spacing w:val="-2"/>
          <w:sz w:val="21"/>
          <w:szCs w:val="21"/>
        </w:rPr>
        <w:t>年</w:t>
      </w:r>
      <w:r>
        <w:rPr>
          <w:rFonts w:ascii="宋体" w:hAnsi="宋体" w:cs="宋体" w:eastAsia="宋体" w:hint="default"/>
          <w:spacing w:val="-2"/>
          <w:sz w:val="21"/>
          <w:szCs w:val="21"/>
        </w:rPr>
        <w:t>11</w:t>
      </w:r>
      <w:r>
        <w:rPr>
          <w:rFonts w:ascii="宋体" w:hAnsi="宋体" w:cs="宋体" w:eastAsia="宋体" w:hint="default"/>
          <w:spacing w:val="-2"/>
          <w:sz w:val="21"/>
          <w:szCs w:val="21"/>
        </w:rPr>
        <w:t>月，公司全资子公司北京中电兴发在凤凰县智慧城市建设</w:t>
      </w:r>
      <w:r>
        <w:rPr>
          <w:rFonts w:ascii="宋体" w:hAnsi="宋体" w:cs="宋体" w:eastAsia="宋体" w:hint="default"/>
          <w:spacing w:val="-2"/>
          <w:sz w:val="21"/>
          <w:szCs w:val="21"/>
        </w:rPr>
        <w:t>PPP</w:t>
      </w:r>
      <w:r>
        <w:rPr>
          <w:rFonts w:ascii="宋体" w:hAnsi="宋体" w:cs="宋体" w:eastAsia="宋体" w:hint="default"/>
          <w:spacing w:val="-2"/>
          <w:sz w:val="21"/>
          <w:szCs w:val="21"/>
        </w:rPr>
        <w:t>项目公开招标中中标，中标金</w:t>
      </w:r>
    </w:p>
    <w:p>
      <w:pPr>
        <w:pStyle w:val="BodyText"/>
        <w:spacing w:line="350" w:lineRule="auto" w:before="25"/>
        <w:ind w:right="1002"/>
        <w:jc w:val="left"/>
      </w:pPr>
      <w:r>
        <w:rPr/>
        <w:t>额</w:t>
      </w:r>
      <w:r>
        <w:rPr>
          <w:rFonts w:ascii="宋体" w:hAnsi="宋体" w:cs="宋体" w:eastAsia="宋体" w:hint="default"/>
        </w:rPr>
        <w:t>20.1</w:t>
      </w:r>
      <w:r>
        <w:rPr/>
        <w:t>亿元，并收到该项目的中标通知书，且与凤凰县经济和信息化局签订《凤凰县智慧城市建设</w:t>
      </w:r>
      <w:r>
        <w:rPr>
          <w:rFonts w:ascii="宋体" w:hAnsi="宋体" w:cs="宋体" w:eastAsia="宋体" w:hint="default"/>
        </w:rPr>
        <w:t>PPP</w:t>
      </w:r>
      <w:r>
        <w:rPr/>
        <w:t>项</w:t>
      </w:r>
      <w:r>
        <w:rPr>
          <w:spacing w:val="-103"/>
        </w:rPr>
        <w:t> </w:t>
      </w:r>
      <w:r>
        <w:rPr>
          <w:spacing w:val="-4"/>
          <w:w w:val="100"/>
        </w:rPr>
        <w:t>目合同》。按照合同约定，北京中电兴发作为总承包商，与其他合作单位合资设立凤凰智慧城市管理运营</w:t>
      </w:r>
      <w:r>
        <w:rPr>
          <w:spacing w:val="-83"/>
          <w:w w:val="100"/>
        </w:rPr>
        <w:t> </w:t>
      </w:r>
      <w:r>
        <w:rPr>
          <w:spacing w:val="-83"/>
          <w:w w:val="100"/>
        </w:rPr>
      </w:r>
      <w:r>
        <w:rPr>
          <w:spacing w:val="-2"/>
        </w:rPr>
        <w:t>有限责任公司，参与凤凰县智慧城市</w:t>
      </w:r>
      <w:r>
        <w:rPr>
          <w:rFonts w:ascii="宋体" w:hAnsi="宋体" w:cs="宋体" w:eastAsia="宋体" w:hint="default"/>
          <w:spacing w:val="-2"/>
        </w:rPr>
        <w:t>PPP</w:t>
      </w:r>
      <w:r>
        <w:rPr>
          <w:spacing w:val="-2"/>
        </w:rPr>
        <w:t>项目的投资、建设与运营。该公司注册资本金</w:t>
      </w:r>
      <w:r>
        <w:rPr>
          <w:rFonts w:ascii="宋体" w:hAnsi="宋体" w:cs="宋体" w:eastAsia="宋体" w:hint="default"/>
          <w:spacing w:val="-2"/>
        </w:rPr>
        <w:t>1</w:t>
      </w:r>
      <w:r>
        <w:rPr>
          <w:spacing w:val="-2"/>
        </w:rPr>
        <w:t>亿元，北京中电兴</w:t>
      </w:r>
      <w:r>
        <w:rPr>
          <w:spacing w:val="-32"/>
        </w:rPr>
        <w:t> </w:t>
      </w:r>
      <w:r>
        <w:rPr>
          <w:spacing w:val="-32"/>
        </w:rPr>
      </w:r>
      <w:r>
        <w:rPr/>
        <w:t>发持有其</w:t>
      </w:r>
      <w:r>
        <w:rPr>
          <w:rFonts w:ascii="宋体" w:hAnsi="宋体" w:cs="宋体" w:eastAsia="宋体" w:hint="default"/>
        </w:rPr>
        <w:t>80%</w:t>
      </w:r>
      <w:r>
        <w:rPr/>
        <w:t>股权。截止本报告期末，北京中电兴发投资全力打造凤凰县全域旅游服务、社会综合治理、</w:t>
      </w:r>
      <w:r>
        <w:rPr>
          <w:w w:val="100"/>
        </w:rPr>
        <w:t> </w:t>
      </w:r>
      <w:r>
        <w:rPr>
          <w:spacing w:val="-2"/>
        </w:rPr>
        <w:t>社会惠民服务和基础支撑四大智慧城市体系，包含建设子工程内容为大数据中心、运营管理指挥中心、智</w:t>
      </w:r>
      <w:r>
        <w:rPr>
          <w:spacing w:val="-31"/>
        </w:rPr>
        <w:t> </w:t>
      </w:r>
      <w:r>
        <w:rPr>
          <w:spacing w:val="-31"/>
        </w:rPr>
      </w:r>
      <w:r>
        <w:rPr>
          <w:spacing w:val="-2"/>
        </w:rPr>
        <w:t>慧诚信等基础支撑系统，社会治理与服务一体化平台（含服务面的智慧政务、党务村务、绩效考核、智慧</w:t>
      </w:r>
      <w:r>
        <w:rPr>
          <w:spacing w:val="-38"/>
        </w:rPr>
        <w:t> </w:t>
      </w:r>
      <w:r>
        <w:rPr>
          <w:spacing w:val="-38"/>
        </w:rPr>
      </w:r>
      <w:r>
        <w:rPr>
          <w:spacing w:val="-4"/>
          <w:w w:val="100"/>
        </w:rPr>
        <w:t>农业等系统，治理面的智慧城管、智慧综治、平安城市、智慧交通、平安社区、平安校园等系统）、全域</w:t>
      </w:r>
      <w:r>
        <w:rPr>
          <w:spacing w:val="-83"/>
          <w:w w:val="100"/>
        </w:rPr>
        <w:t> </w:t>
      </w:r>
      <w:r>
        <w:rPr>
          <w:spacing w:val="-83"/>
          <w:w w:val="100"/>
        </w:rPr>
      </w:r>
      <w:r>
        <w:rPr>
          <w:spacing w:val="-4"/>
          <w:w w:val="100"/>
        </w:rPr>
        <w:t>旅游服务平台（含景区信息化建设、景区接驳票务系统、旅游大数据展示平台、“带您游”微信小程序线</w:t>
      </w:r>
      <w:r>
        <w:rPr>
          <w:spacing w:val="-80"/>
          <w:w w:val="100"/>
        </w:rPr>
        <w:t> </w:t>
      </w:r>
      <w:r>
        <w:rPr>
          <w:spacing w:val="-80"/>
          <w:w w:val="100"/>
        </w:rPr>
      </w:r>
      <w:r>
        <w:rPr>
          <w:spacing w:val="-2"/>
        </w:rPr>
        <w:t>上服务平台、旅游官网等系统）的一期建设工程，工程建设投资金额约</w:t>
      </w:r>
      <w:r>
        <w:rPr>
          <w:rFonts w:ascii="宋体" w:hAnsi="宋体" w:cs="宋体" w:eastAsia="宋体" w:hint="default"/>
          <w:spacing w:val="-2"/>
        </w:rPr>
        <w:t>1.74</w:t>
      </w:r>
      <w:r>
        <w:rPr>
          <w:spacing w:val="-2"/>
        </w:rPr>
        <w:t>亿元左右，目前仍处于建设投</w:t>
      </w:r>
      <w:r>
        <w:rPr>
          <w:spacing w:val="-27"/>
        </w:rPr>
        <w:t> </w:t>
      </w:r>
      <w:r>
        <w:rPr>
          <w:spacing w:val="-27"/>
        </w:rPr>
      </w:r>
      <w:r>
        <w:rPr/>
        <w:t>资阶段，尚未验收，最终金额以最终工程决算来核算收入确认。</w:t>
      </w:r>
    </w:p>
    <w:p>
      <w:pPr>
        <w:spacing w:line="352" w:lineRule="auto" w:before="27"/>
        <w:ind w:left="535" w:right="1002" w:hanging="212"/>
        <w:jc w:val="left"/>
        <w:rPr>
          <w:rFonts w:ascii="宋体" w:hAnsi="宋体" w:cs="宋体" w:eastAsia="宋体" w:hint="default"/>
          <w:sz w:val="21"/>
          <w:szCs w:val="21"/>
        </w:rPr>
      </w:pPr>
      <w:r>
        <w:rPr>
          <w:rFonts w:ascii="宋体" w:hAnsi="宋体" w:cs="宋体" w:eastAsia="宋体" w:hint="default"/>
          <w:b/>
          <w:bCs/>
          <w:sz w:val="21"/>
          <w:szCs w:val="21"/>
        </w:rPr>
        <w:t>（三）截至本报告披露日，公司实施非公开发行股票重大事项进展情况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公司作为国内领先的智慧中国全面解决方案提供商和建设与运营服务商，始终专注于智慧科技方向的</w:t>
      </w:r>
    </w:p>
    <w:p>
      <w:pPr>
        <w:pStyle w:val="BodyText"/>
        <w:spacing w:line="350" w:lineRule="auto" w:before="25"/>
        <w:ind w:right="1122"/>
        <w:jc w:val="both"/>
      </w:pPr>
      <w:r>
        <w:rPr>
          <w:spacing w:val="-2"/>
        </w:rPr>
        <w:t>尖端传感器、嵌入式处理器、人工智能、物联网、产业互联网、大数据、云计算与云存储、网络安全、智</w:t>
      </w:r>
      <w:r>
        <w:rPr>
          <w:spacing w:val="-33"/>
        </w:rPr>
        <w:t> </w:t>
      </w:r>
      <w:r>
        <w:rPr>
          <w:spacing w:val="-33"/>
        </w:rPr>
      </w:r>
      <w:r>
        <w:rPr>
          <w:spacing w:val="-2"/>
        </w:rPr>
        <w:t>慧应用软件等关键技术的研究和开发，坚持“自主可控、国产代替”的创新发展方向，已形成完全自主可</w:t>
      </w:r>
      <w:r>
        <w:rPr>
          <w:spacing w:val="-36"/>
        </w:rPr>
        <w:t> </w:t>
      </w:r>
      <w:r>
        <w:rPr>
          <w:spacing w:val="-36"/>
        </w:rPr>
      </w:r>
      <w:r>
        <w:rPr>
          <w:spacing w:val="-2"/>
        </w:rPr>
        <w:t>控、国内领先且具有国际竞争力的核心技术、产品、全面解决方案和商业运营模式，并不断精益求精地复</w:t>
      </w:r>
      <w:r>
        <w:rPr>
          <w:spacing w:val="-33"/>
        </w:rPr>
        <w:t> </w:t>
      </w:r>
      <w:r>
        <w:rPr>
          <w:spacing w:val="-33"/>
        </w:rPr>
      </w:r>
      <w:r>
        <w:rPr>
          <w:spacing w:val="-2"/>
        </w:rPr>
        <w:t>制，以加速形成并夯实做“业界最佳的智慧中国解决方案供应商与运营服务商”的行业龙头品牌地位，形</w:t>
      </w:r>
      <w:r>
        <w:rPr>
          <w:spacing w:val="-30"/>
        </w:rPr>
        <w:t> </w:t>
      </w:r>
      <w:r>
        <w:rPr>
          <w:spacing w:val="-30"/>
        </w:rPr>
      </w:r>
      <w:r>
        <w:rPr>
          <w:spacing w:val="-2"/>
        </w:rPr>
        <w:t>成“以智慧中国业务为龙头，以新通信业务和新一代光纤网络业务为两翼”的主营业务发展格局，实现公</w:t>
      </w:r>
      <w:r>
        <w:rPr>
          <w:spacing w:val="-31"/>
        </w:rPr>
        <w:t> </w:t>
      </w:r>
      <w:r>
        <w:rPr>
          <w:spacing w:val="-31"/>
        </w:rPr>
      </w:r>
      <w:r>
        <w:rPr/>
        <w:t>司做稳、做强、做大。根据公司发展战略，报告期内，公司筹划实施非公开发行股票重大事项，如下：</w:t>
      </w:r>
    </w:p>
    <w:p>
      <w:pPr>
        <w:pStyle w:val="BodyText"/>
        <w:spacing w:line="240" w:lineRule="auto" w:before="27"/>
        <w:ind w:left="430" w:right="1002"/>
        <w:jc w:val="left"/>
      </w:pPr>
      <w:r>
        <w:rPr>
          <w:rFonts w:ascii="宋体" w:hAnsi="宋体" w:cs="宋体" w:eastAsia="宋体" w:hint="default"/>
          <w:w w:val="100"/>
        </w:rPr>
        <w:t>(1)</w:t>
      </w:r>
      <w:r>
        <w:rPr>
          <w:rFonts w:ascii="宋体" w:hAnsi="宋体" w:cs="宋体" w:eastAsia="宋体" w:hint="default"/>
        </w:rPr>
        <w:t> </w:t>
      </w:r>
      <w:r>
        <w:rPr>
          <w:rFonts w:ascii="宋体" w:hAnsi="宋体" w:cs="宋体" w:eastAsia="宋体" w:hint="default"/>
          <w:w w:val="100"/>
        </w:rPr>
        <w:t>201</w:t>
      </w:r>
      <w:r>
        <w:rPr>
          <w:rFonts w:ascii="宋体" w:hAnsi="宋体" w:cs="宋体" w:eastAsia="宋体" w:hint="default"/>
          <w:spacing w:val="-5"/>
          <w:w w:val="100"/>
        </w:rPr>
        <w:t>9</w:t>
      </w:r>
      <w:r>
        <w:rPr>
          <w:w w:val="100"/>
        </w:rPr>
        <w:t>年</w:t>
      </w:r>
      <w:r>
        <w:rPr>
          <w:rFonts w:ascii="宋体" w:hAnsi="宋体" w:cs="宋体" w:eastAsia="宋体" w:hint="default"/>
          <w:w w:val="100"/>
        </w:rPr>
        <w:t>8</w:t>
      </w:r>
      <w:r>
        <w:rPr>
          <w:w w:val="100"/>
        </w:rPr>
        <w:t>月</w:t>
      </w:r>
      <w:r>
        <w:rPr>
          <w:rFonts w:ascii="宋体" w:hAnsi="宋体" w:cs="宋体" w:eastAsia="宋体" w:hint="default"/>
          <w:w w:val="100"/>
        </w:rPr>
        <w:t>1</w:t>
      </w:r>
      <w:r>
        <w:rPr>
          <w:rFonts w:ascii="宋体" w:hAnsi="宋体" w:cs="宋体" w:eastAsia="宋体" w:hint="default"/>
          <w:spacing w:val="-5"/>
          <w:w w:val="100"/>
        </w:rPr>
        <w:t>0</w:t>
      </w:r>
      <w:r>
        <w:rPr>
          <w:w w:val="100"/>
        </w:rPr>
        <w:t>日，公</w:t>
      </w:r>
      <w:r>
        <w:rPr>
          <w:spacing w:val="-5"/>
          <w:w w:val="100"/>
        </w:rPr>
        <w:t>司</w:t>
      </w:r>
      <w:r>
        <w:rPr>
          <w:w w:val="100"/>
        </w:rPr>
        <w:t>披露了</w:t>
      </w:r>
      <w:r>
        <w:rPr>
          <w:spacing w:val="-5"/>
          <w:w w:val="100"/>
        </w:rPr>
        <w:t>《</w:t>
      </w:r>
      <w:r>
        <w:rPr>
          <w:w w:val="100"/>
        </w:rPr>
        <w:t>关于筹</w:t>
      </w:r>
      <w:r>
        <w:rPr>
          <w:spacing w:val="-5"/>
          <w:w w:val="100"/>
        </w:rPr>
        <w:t>划</w:t>
      </w:r>
      <w:r>
        <w:rPr>
          <w:w w:val="100"/>
        </w:rPr>
        <w:t>非</w:t>
      </w:r>
      <w:r>
        <w:rPr>
          <w:spacing w:val="-5"/>
          <w:w w:val="100"/>
        </w:rPr>
        <w:t>公</w:t>
      </w:r>
      <w:r>
        <w:rPr>
          <w:w w:val="100"/>
        </w:rPr>
        <w:t>开发行股</w:t>
      </w:r>
      <w:r>
        <w:rPr>
          <w:spacing w:val="-5"/>
          <w:w w:val="100"/>
        </w:rPr>
        <w:t>票</w:t>
      </w:r>
      <w:r>
        <w:rPr>
          <w:w w:val="100"/>
        </w:rPr>
        <w:t>的提示</w:t>
      </w:r>
      <w:r>
        <w:rPr>
          <w:spacing w:val="-5"/>
          <w:w w:val="100"/>
        </w:rPr>
        <w:t>性</w:t>
      </w:r>
      <w:r>
        <w:rPr>
          <w:w w:val="100"/>
        </w:rPr>
        <w:t>公告</w:t>
      </w:r>
      <w:r>
        <w:rPr>
          <w:spacing w:val="-106"/>
          <w:w w:val="100"/>
        </w:rPr>
        <w:t>》</w:t>
      </w:r>
      <w:r>
        <w:rPr>
          <w:w w:val="100"/>
        </w:rPr>
        <w:t>；</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21" w:firstLine="422"/>
        <w:jc w:val="left"/>
      </w:pPr>
      <w:r>
        <w:rPr>
          <w:rFonts w:ascii="宋体" w:hAnsi="宋体" w:cs="宋体" w:eastAsia="宋体" w:hint="default"/>
        </w:rPr>
        <w:t>(2)2019 </w:t>
      </w:r>
      <w:r>
        <w:rPr/>
        <w:t>年 </w:t>
      </w:r>
      <w:r>
        <w:rPr>
          <w:rFonts w:ascii="宋体" w:hAnsi="宋体" w:cs="宋体" w:eastAsia="宋体" w:hint="default"/>
        </w:rPr>
        <w:t>9 </w:t>
      </w:r>
      <w:r>
        <w:rPr/>
        <w:t>月 </w:t>
      </w:r>
      <w:r>
        <w:rPr>
          <w:rFonts w:ascii="宋体" w:hAnsi="宋体" w:cs="宋体" w:eastAsia="宋体" w:hint="default"/>
        </w:rPr>
        <w:t>27</w:t>
      </w:r>
      <w:r>
        <w:rPr>
          <w:rFonts w:ascii="宋体" w:hAnsi="宋体" w:cs="宋体" w:eastAsia="宋体" w:hint="default"/>
          <w:spacing w:val="73"/>
        </w:rPr>
        <w:t> </w:t>
      </w:r>
      <w:r>
        <w:rPr>
          <w:spacing w:val="-6"/>
        </w:rPr>
        <w:t>日召开第八届董事会第九次会议，第八届监事会第七次会议，审议并通过了《关</w:t>
      </w:r>
      <w:r>
        <w:rPr>
          <w:w w:val="100"/>
        </w:rPr>
        <w:t> </w:t>
      </w:r>
      <w:r>
        <w:rPr>
          <w:spacing w:val="-10"/>
          <w:w w:val="100"/>
        </w:rPr>
        <w:t>于公司符合非公开发行</w:t>
      </w:r>
      <w:r>
        <w:rPr>
          <w:rFonts w:ascii="宋体" w:hAnsi="宋体" w:cs="宋体" w:eastAsia="宋体" w:hint="default"/>
          <w:spacing w:val="-10"/>
          <w:w w:val="100"/>
        </w:rPr>
        <w:t>A</w:t>
      </w:r>
      <w:r>
        <w:rPr>
          <w:spacing w:val="-10"/>
          <w:w w:val="100"/>
        </w:rPr>
        <w:t>股股票条件的议案》、《关于公司</w:t>
      </w:r>
      <w:r>
        <w:rPr>
          <w:w w:val="100"/>
        </w:rPr>
        <w:t> </w:t>
      </w:r>
      <w:r>
        <w:rPr>
          <w:rFonts w:ascii="宋体" w:hAnsi="宋体" w:cs="宋体" w:eastAsia="宋体" w:hint="default"/>
          <w:w w:val="100"/>
        </w:rPr>
        <w:t>2019 </w:t>
      </w:r>
      <w:r>
        <w:rPr>
          <w:spacing w:val="-1"/>
          <w:w w:val="100"/>
        </w:rPr>
        <w:t>年度非公开发行</w:t>
      </w:r>
      <w:r>
        <w:rPr>
          <w:w w:val="100"/>
        </w:rPr>
        <w:t> </w:t>
      </w:r>
      <w:r>
        <w:rPr>
          <w:rFonts w:ascii="宋体" w:hAnsi="宋体" w:cs="宋体" w:eastAsia="宋体" w:hint="default"/>
          <w:w w:val="100"/>
        </w:rPr>
        <w:t>A </w:t>
      </w:r>
      <w:r>
        <w:rPr>
          <w:spacing w:val="-2"/>
          <w:w w:val="100"/>
        </w:rPr>
        <w:t>股股票发行方案的议</w:t>
      </w:r>
      <w:r>
        <w:rPr>
          <w:spacing w:val="-87"/>
          <w:w w:val="100"/>
        </w:rPr>
        <w:t> </w:t>
      </w:r>
      <w:r>
        <w:rPr>
          <w:spacing w:val="-87"/>
          <w:w w:val="100"/>
        </w:rPr>
      </w:r>
      <w:r>
        <w:rPr>
          <w:spacing w:val="-29"/>
          <w:w w:val="100"/>
        </w:rPr>
        <w:t>案》、《关于公司</w:t>
      </w:r>
      <w:r>
        <w:rPr>
          <w:w w:val="100"/>
        </w:rPr>
        <w:t> </w:t>
      </w:r>
      <w:r>
        <w:rPr>
          <w:rFonts w:ascii="宋体" w:hAnsi="宋体" w:cs="宋体" w:eastAsia="宋体" w:hint="default"/>
          <w:spacing w:val="-2"/>
          <w:w w:val="100"/>
        </w:rPr>
        <w:t>2019</w:t>
      </w:r>
      <w:r>
        <w:rPr>
          <w:rFonts w:ascii="宋体" w:hAnsi="宋体" w:cs="宋体" w:eastAsia="宋体" w:hint="default"/>
          <w:w w:val="100"/>
        </w:rPr>
        <w:t> </w:t>
      </w:r>
      <w:r>
        <w:rPr>
          <w:spacing w:val="-2"/>
          <w:w w:val="100"/>
        </w:rPr>
        <w:t>年度非公开发行</w:t>
      </w:r>
      <w:r>
        <w:rPr>
          <w:w w:val="100"/>
        </w:rPr>
        <w:t> </w:t>
      </w:r>
      <w:r>
        <w:rPr>
          <w:rFonts w:ascii="宋体" w:hAnsi="宋体" w:cs="宋体" w:eastAsia="宋体" w:hint="default"/>
          <w:w w:val="100"/>
        </w:rPr>
        <w:t>A </w:t>
      </w:r>
      <w:r>
        <w:rPr>
          <w:spacing w:val="-16"/>
          <w:w w:val="100"/>
        </w:rPr>
        <w:t>股股票预案的议案》、《关于公司</w:t>
      </w:r>
      <w:r>
        <w:rPr>
          <w:w w:val="100"/>
        </w:rPr>
        <w:t> </w:t>
      </w:r>
      <w:r>
        <w:rPr>
          <w:rFonts w:ascii="宋体" w:hAnsi="宋体" w:cs="宋体" w:eastAsia="宋体" w:hint="default"/>
          <w:spacing w:val="-2"/>
          <w:w w:val="100"/>
        </w:rPr>
        <w:t>2019</w:t>
      </w:r>
      <w:r>
        <w:rPr>
          <w:rFonts w:ascii="宋体" w:hAnsi="宋体" w:cs="宋体" w:eastAsia="宋体" w:hint="default"/>
          <w:w w:val="100"/>
        </w:rPr>
        <w:t> </w:t>
      </w:r>
      <w:r>
        <w:rPr>
          <w:spacing w:val="-1"/>
          <w:w w:val="100"/>
        </w:rPr>
        <w:t>年度非公开发行</w:t>
      </w:r>
      <w:r>
        <w:rPr>
          <w:w w:val="100"/>
        </w:rPr>
        <w:t> </w:t>
      </w:r>
      <w:r>
        <w:rPr>
          <w:rFonts w:ascii="宋体" w:hAnsi="宋体" w:cs="宋体" w:eastAsia="宋体" w:hint="default"/>
          <w:w w:val="100"/>
        </w:rPr>
        <w:t>A</w:t>
      </w:r>
      <w:r>
        <w:rPr>
          <w:rFonts w:ascii="宋体" w:hAnsi="宋体" w:cs="宋体" w:eastAsia="宋体" w:hint="default"/>
          <w:spacing w:val="11"/>
          <w:w w:val="100"/>
        </w:rPr>
        <w:t> </w:t>
      </w:r>
      <w:r>
        <w:rPr>
          <w:spacing w:val="-5"/>
          <w:w w:val="100"/>
        </w:rPr>
        <w:t>股股 </w:t>
      </w:r>
      <w:r>
        <w:rPr>
          <w:spacing w:val="-6"/>
          <w:w w:val="100"/>
        </w:rPr>
        <w:t>票募集资金使用可行性分析报告的议案》等相关议案；，</w:t>
      </w:r>
    </w:p>
    <w:p>
      <w:pPr>
        <w:pStyle w:val="BodyText"/>
        <w:spacing w:line="352" w:lineRule="auto" w:before="27"/>
        <w:ind w:right="1210" w:firstLine="422"/>
        <w:jc w:val="both"/>
      </w:pPr>
      <w:r>
        <w:rPr>
          <w:rFonts w:ascii="宋体" w:hAnsi="宋体" w:cs="宋体" w:eastAsia="宋体" w:hint="default"/>
          <w:spacing w:val="-2"/>
        </w:rPr>
        <w:t>(3)2019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16</w:t>
      </w:r>
      <w:r>
        <w:rPr>
          <w:spacing w:val="-2"/>
        </w:rPr>
        <w:t>日，公司召开了</w:t>
      </w:r>
      <w:r>
        <w:rPr>
          <w:rFonts w:ascii="宋体" w:hAnsi="宋体" w:cs="宋体" w:eastAsia="宋体" w:hint="default"/>
          <w:spacing w:val="-2"/>
        </w:rPr>
        <w:t>2019</w:t>
      </w:r>
      <w:r>
        <w:rPr>
          <w:spacing w:val="-2"/>
        </w:rPr>
        <w:t>年第三次临时股东大会，审议并通过上述董事会审议通过的所</w:t>
      </w:r>
      <w:r>
        <w:rPr>
          <w:w w:val="100"/>
        </w:rPr>
        <w:t> </w:t>
      </w:r>
      <w:r>
        <w:rPr/>
        <w:t>有议案；</w:t>
      </w:r>
    </w:p>
    <w:p>
      <w:pPr>
        <w:pStyle w:val="BodyText"/>
        <w:spacing w:line="348" w:lineRule="auto" w:before="25"/>
        <w:ind w:right="1122" w:firstLine="422"/>
        <w:jc w:val="both"/>
      </w:pPr>
      <w:r>
        <w:rPr>
          <w:rFonts w:ascii="宋体" w:hAnsi="宋体" w:cs="宋体" w:eastAsia="宋体" w:hint="default"/>
          <w:spacing w:val="-2"/>
        </w:rPr>
        <w:t>(4)</w:t>
      </w:r>
      <w:r>
        <w:rPr>
          <w:spacing w:val="-2"/>
        </w:rPr>
        <w:t>公司按照规定，于</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1</w:t>
      </w:r>
      <w:r>
        <w:rPr>
          <w:spacing w:val="-2"/>
        </w:rPr>
        <w:t>日及时将非公开发行股票相关申报资料报送至证监会，</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w:t>
      </w:r>
      <w:r>
        <w:rPr>
          <w:w w:val="100"/>
        </w:rPr>
        <w:t> </w:t>
      </w:r>
      <w:r>
        <w:rPr>
          <w:rFonts w:ascii="宋体" w:hAnsi="宋体" w:cs="宋体" w:eastAsia="宋体" w:hint="default"/>
          <w:spacing w:val="-5"/>
          <w:w w:val="100"/>
        </w:rPr>
        <w:t>7</w:t>
      </w:r>
      <w:r>
        <w:rPr>
          <w:spacing w:val="-5"/>
          <w:w w:val="100"/>
        </w:rPr>
        <w:t>日，公司披露了《关于非公开发行股票申请获得中国证监会受理的公告》；</w:t>
      </w:r>
    </w:p>
    <w:p>
      <w:pPr>
        <w:pStyle w:val="BodyText"/>
        <w:spacing w:line="348" w:lineRule="auto" w:before="34"/>
        <w:ind w:right="1211" w:firstLine="422"/>
        <w:jc w:val="both"/>
      </w:pPr>
      <w:r>
        <w:rPr>
          <w:rFonts w:ascii="宋体" w:hAnsi="宋体" w:cs="宋体" w:eastAsia="宋体" w:hint="default"/>
          <w:spacing w:val="-2"/>
        </w:rPr>
        <w:t>(5)2019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16</w:t>
      </w:r>
      <w:r>
        <w:rPr>
          <w:spacing w:val="-2"/>
        </w:rPr>
        <w:t>日，公司收到中国证监会出具的《中国证监会行政许可项目审查一次反馈意见通知</w:t>
      </w:r>
      <w:r>
        <w:rPr>
          <w:w w:val="100"/>
        </w:rPr>
        <w:t> </w:t>
      </w:r>
      <w:r>
        <w:rPr>
          <w:spacing w:val="-8"/>
          <w:w w:val="100"/>
        </w:rPr>
        <w:t>书》（</w:t>
      </w:r>
      <w:r>
        <w:rPr>
          <w:rFonts w:ascii="宋体" w:hAnsi="宋体" w:cs="宋体" w:eastAsia="宋体" w:hint="default"/>
          <w:spacing w:val="-8"/>
          <w:w w:val="100"/>
        </w:rPr>
        <w:t>192733</w:t>
      </w:r>
      <w:r>
        <w:rPr>
          <w:spacing w:val="-8"/>
          <w:w w:val="100"/>
        </w:rPr>
        <w:t>号），</w:t>
      </w:r>
      <w:r>
        <w:rPr>
          <w:rFonts w:ascii="宋体" w:hAnsi="宋体" w:cs="宋体" w:eastAsia="宋体" w:hint="default"/>
          <w:spacing w:val="-8"/>
          <w:w w:val="100"/>
        </w:rPr>
        <w:t>2019</w:t>
      </w:r>
      <w:r>
        <w:rPr>
          <w:spacing w:val="-8"/>
          <w:w w:val="100"/>
        </w:rPr>
        <w:t>年</w:t>
      </w:r>
      <w:r>
        <w:rPr>
          <w:rFonts w:ascii="宋体" w:hAnsi="宋体" w:cs="宋体" w:eastAsia="宋体" w:hint="default"/>
          <w:spacing w:val="-8"/>
          <w:w w:val="100"/>
        </w:rPr>
        <w:t>12</w:t>
      </w:r>
      <w:r>
        <w:rPr>
          <w:spacing w:val="-8"/>
          <w:w w:val="100"/>
        </w:rPr>
        <w:t>月</w:t>
      </w:r>
      <w:r>
        <w:rPr>
          <w:rFonts w:ascii="宋体" w:hAnsi="宋体" w:cs="宋体" w:eastAsia="宋体" w:hint="default"/>
          <w:spacing w:val="-8"/>
          <w:w w:val="100"/>
        </w:rPr>
        <w:t>18</w:t>
      </w:r>
      <w:r>
        <w:rPr>
          <w:spacing w:val="-8"/>
          <w:w w:val="100"/>
        </w:rPr>
        <w:t>日，公司披露了《关于收到非公开发行股票反馈意见的公告》；</w:t>
      </w:r>
    </w:p>
    <w:p>
      <w:pPr>
        <w:pStyle w:val="BodyText"/>
        <w:spacing w:line="350" w:lineRule="auto" w:before="29"/>
        <w:ind w:right="1208" w:firstLine="422"/>
        <w:jc w:val="both"/>
      </w:pPr>
      <w:r>
        <w:rPr>
          <w:rFonts w:ascii="宋体" w:hAnsi="宋体" w:cs="宋体" w:eastAsia="宋体" w:hint="default"/>
          <w:spacing w:val="-2"/>
        </w:rPr>
        <w:t>(6)2019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28</w:t>
      </w:r>
      <w:r>
        <w:rPr>
          <w:spacing w:val="-2"/>
        </w:rPr>
        <w:t>日，公司披露了《关于对</w:t>
      </w:r>
      <w:r>
        <w:rPr>
          <w:rFonts w:ascii="宋体" w:hAnsi="宋体" w:cs="宋体" w:eastAsia="宋体" w:hint="default"/>
          <w:spacing w:val="-2"/>
        </w:rPr>
        <w:t>&lt;</w:t>
      </w:r>
      <w:r>
        <w:rPr>
          <w:spacing w:val="-2"/>
        </w:rPr>
        <w:t>中国证监会行政许可项目审查一次反馈意见通知书</w:t>
      </w:r>
      <w:r>
        <w:rPr>
          <w:rFonts w:ascii="宋体" w:hAnsi="宋体" w:cs="宋体" w:eastAsia="宋体" w:hint="default"/>
          <w:spacing w:val="-2"/>
        </w:rPr>
        <w:t>&gt;</w:t>
      </w:r>
      <w:r>
        <w:rPr>
          <w:spacing w:val="-2"/>
        </w:rPr>
        <w:t>反馈</w:t>
      </w:r>
      <w:r>
        <w:rPr>
          <w:w w:val="100"/>
        </w:rPr>
        <w:t> </w:t>
      </w:r>
      <w:r>
        <w:rPr>
          <w:spacing w:val="-4"/>
          <w:w w:val="100"/>
        </w:rPr>
        <w:t>意见回复的公告》，同时披露了关于非公开发行股票申请文件反馈意见的回复；同日，非公开发行股票申</w:t>
      </w:r>
      <w:r>
        <w:rPr>
          <w:spacing w:val="-83"/>
          <w:w w:val="100"/>
        </w:rPr>
        <w:t> </w:t>
      </w:r>
      <w:r>
        <w:rPr>
          <w:spacing w:val="-83"/>
          <w:w w:val="100"/>
        </w:rPr>
      </w:r>
      <w:r>
        <w:rPr/>
        <w:t>请文件反馈意见的回复等有关资料按照规定及时报送至证监会；</w:t>
      </w:r>
    </w:p>
    <w:p>
      <w:pPr>
        <w:pStyle w:val="BodyText"/>
        <w:spacing w:line="386" w:lineRule="auto" w:before="27"/>
        <w:ind w:left="535" w:right="1125" w:hanging="106"/>
        <w:jc w:val="left"/>
        <w:rPr>
          <w:rFonts w:ascii="宋体" w:hAnsi="宋体" w:cs="宋体" w:eastAsia="宋体" w:hint="default"/>
        </w:rPr>
      </w:pPr>
      <w:r>
        <w:rPr>
          <w:rFonts w:ascii="宋体" w:hAnsi="宋体" w:cs="宋体" w:eastAsia="宋体" w:hint="default"/>
        </w:rPr>
        <w:t>(7)</w:t>
      </w:r>
      <w:r>
        <w:rPr>
          <w:rFonts w:ascii="宋体" w:hAnsi="宋体" w:cs="宋体" w:eastAsia="宋体" w:hint="default"/>
          <w:spacing w:val="-1"/>
        </w:rPr>
        <w:t> </w:t>
      </w:r>
      <w:r>
        <w:rPr/>
        <w:t>截至本报告披露日且非本报告期内，非公开发行股票进展事项，具体如下：</w:t>
      </w:r>
      <w:r>
        <w:rPr>
          <w:w w:val="100"/>
        </w:rPr>
        <w:t> </w:t>
      </w:r>
      <w:r>
        <w:rPr>
          <w:spacing w:val="-6"/>
          <w:w w:val="100"/>
        </w:rPr>
        <w:t>根据</w:t>
      </w:r>
      <w:r>
        <w:rPr>
          <w:rFonts w:ascii="宋体" w:hAnsi="宋体" w:cs="宋体" w:eastAsia="宋体" w:hint="default"/>
          <w:spacing w:val="-6"/>
          <w:w w:val="100"/>
        </w:rPr>
        <w:t>2020</w:t>
      </w:r>
      <w:r>
        <w:rPr>
          <w:spacing w:val="-6"/>
          <w:w w:val="100"/>
        </w:rPr>
        <w:t>年</w:t>
      </w:r>
      <w:r>
        <w:rPr>
          <w:rFonts w:ascii="宋体" w:hAnsi="宋体" w:cs="宋体" w:eastAsia="宋体" w:hint="default"/>
          <w:spacing w:val="-6"/>
          <w:w w:val="100"/>
        </w:rPr>
        <w:t>2</w:t>
      </w:r>
      <w:r>
        <w:rPr>
          <w:spacing w:val="-6"/>
          <w:w w:val="100"/>
        </w:rPr>
        <w:t>月</w:t>
      </w:r>
      <w:r>
        <w:rPr>
          <w:rFonts w:ascii="宋体" w:hAnsi="宋体" w:cs="宋体" w:eastAsia="宋体" w:hint="default"/>
          <w:spacing w:val="-6"/>
          <w:w w:val="100"/>
        </w:rPr>
        <w:t>14</w:t>
      </w:r>
      <w:r>
        <w:rPr>
          <w:spacing w:val="-6"/>
          <w:w w:val="100"/>
        </w:rPr>
        <w:t>日中国证监会发布的《关于修改</w:t>
      </w:r>
      <w:r>
        <w:rPr>
          <w:rFonts w:ascii="宋体" w:hAnsi="宋体" w:cs="宋体" w:eastAsia="宋体" w:hint="default"/>
          <w:spacing w:val="-6"/>
          <w:w w:val="100"/>
        </w:rPr>
        <w:t>&lt;</w:t>
      </w:r>
      <w:r>
        <w:rPr>
          <w:spacing w:val="-6"/>
          <w:w w:val="100"/>
        </w:rPr>
        <w:t>上市公司证券发行管理办法</w:t>
      </w:r>
      <w:r>
        <w:rPr>
          <w:rFonts w:ascii="宋体" w:hAnsi="宋体" w:cs="宋体" w:eastAsia="宋体" w:hint="default"/>
          <w:spacing w:val="-6"/>
          <w:w w:val="100"/>
        </w:rPr>
        <w:t>&gt;</w:t>
      </w:r>
      <w:r>
        <w:rPr>
          <w:spacing w:val="-6"/>
          <w:w w:val="100"/>
        </w:rPr>
        <w:t>的决定》、《关于修改</w:t>
      </w:r>
      <w:r>
        <w:rPr>
          <w:rFonts w:ascii="宋体" w:hAnsi="宋体" w:cs="宋体" w:eastAsia="宋体" w:hint="default"/>
          <w:spacing w:val="-6"/>
          <w:w w:val="100"/>
        </w:rPr>
        <w:t>&lt;</w:t>
      </w:r>
    </w:p>
    <w:p>
      <w:pPr>
        <w:pStyle w:val="BodyText"/>
        <w:spacing w:line="345" w:lineRule="auto" w:before="0"/>
        <w:ind w:right="999"/>
        <w:jc w:val="left"/>
      </w:pPr>
      <w:r>
        <w:rPr>
          <w:spacing w:val="-5"/>
          <w:w w:val="100"/>
        </w:rPr>
        <w:t>上市公司非公开发行股票实施细则</w:t>
      </w:r>
      <w:r>
        <w:rPr>
          <w:rFonts w:ascii="宋体" w:hAnsi="宋体" w:cs="宋体" w:eastAsia="宋体" w:hint="default"/>
          <w:spacing w:val="-5"/>
          <w:w w:val="100"/>
        </w:rPr>
        <w:t>&gt;</w:t>
      </w:r>
      <w:r>
        <w:rPr>
          <w:spacing w:val="-5"/>
          <w:w w:val="100"/>
        </w:rPr>
        <w:t>的决定》、《发行监管问答</w:t>
      </w:r>
      <w:r>
        <w:rPr>
          <w:rFonts w:ascii="Times New Roman" w:hAnsi="Times New Roman" w:cs="Times New Roman" w:eastAsia="Times New Roman" w:hint="default"/>
          <w:spacing w:val="-5"/>
          <w:w w:val="100"/>
        </w:rPr>
        <w:t>——</w:t>
      </w:r>
      <w:r>
        <w:rPr>
          <w:spacing w:val="-5"/>
          <w:w w:val="100"/>
        </w:rPr>
        <w:t>关于引导规范上市公司融资行为的监管</w:t>
      </w:r>
      <w:r>
        <w:rPr>
          <w:spacing w:val="-65"/>
          <w:w w:val="100"/>
        </w:rPr>
        <w:t> </w:t>
      </w:r>
      <w:r>
        <w:rPr>
          <w:spacing w:val="-65"/>
          <w:w w:val="100"/>
        </w:rPr>
      </w:r>
      <w:r>
        <w:rPr/>
        <w:t>要求》以及证券市场变化情况，为保证本次非公开发行股票顺利实施，拟对前述公司非公开发行股票方案</w:t>
      </w:r>
      <w:r>
        <w:rPr>
          <w:w w:val="100"/>
        </w:rPr>
        <w:t> </w:t>
      </w:r>
      <w:r>
        <w:rPr>
          <w:spacing w:val="-20"/>
          <w:w w:val="100"/>
        </w:rPr>
        <w:t>中的“发行方式和发行时间”、“定价基准日、发行价格和定价原则”、“发行数量”、“发行对象及认购方式”、</w:t>
      </w:r>
      <w:r>
        <w:rPr>
          <w:w w:val="100"/>
        </w:rPr>
        <w:t> </w:t>
      </w:r>
      <w:r>
        <w:rPr/>
        <w:t>“限售期”等进行调整修订；公司于</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19</w:t>
      </w:r>
      <w:r>
        <w:rPr/>
        <w:t>日召开第八届董事会第十二次会议和第八届监事会第十</w:t>
      </w:r>
      <w:r>
        <w:rPr>
          <w:spacing w:val="-30"/>
        </w:rPr>
        <w:t> </w:t>
      </w:r>
      <w:r>
        <w:rPr>
          <w:spacing w:val="-30"/>
        </w:rPr>
      </w:r>
      <w:r>
        <w:rPr/>
        <w:t>次会议对前述公司非公开发行股票方案中的部分发行条件进行调整修订，并在</w:t>
      </w:r>
      <w:r>
        <w:rPr>
          <w:rFonts w:ascii="宋体" w:hAnsi="宋体" w:cs="宋体" w:eastAsia="宋体" w:hint="default"/>
        </w:rPr>
        <w:t>2020</w:t>
      </w:r>
      <w:r>
        <w:rPr/>
        <w:t>年</w:t>
      </w:r>
      <w:r>
        <w:rPr>
          <w:rFonts w:ascii="宋体" w:hAnsi="宋体" w:cs="宋体" w:eastAsia="宋体" w:hint="default"/>
        </w:rPr>
        <w:t>3</w:t>
      </w:r>
      <w:r>
        <w:rPr/>
        <w:t>月</w:t>
      </w:r>
      <w:r>
        <w:rPr>
          <w:rFonts w:ascii="宋体" w:hAnsi="宋体" w:cs="宋体" w:eastAsia="宋体" w:hint="default"/>
        </w:rPr>
        <w:t>12</w:t>
      </w:r>
      <w:r>
        <w:rPr/>
        <w:t>日召开</w:t>
      </w:r>
      <w:r>
        <w:rPr>
          <w:rFonts w:ascii="宋体" w:hAnsi="宋体" w:cs="宋体" w:eastAsia="宋体" w:hint="default"/>
        </w:rPr>
        <w:t>2020</w:t>
      </w:r>
      <w:r>
        <w:rPr/>
        <w:t>年</w:t>
      </w:r>
      <w:r>
        <w:rPr>
          <w:spacing w:val="-28"/>
        </w:rPr>
        <w:t> </w:t>
      </w:r>
      <w:r>
        <w:rPr/>
        <w:t>第一次临时股东大会审议通过了关于非公开发行股票方案调整相关事项的议案；</w:t>
      </w:r>
    </w:p>
    <w:p>
      <w:pPr>
        <w:pStyle w:val="BodyText"/>
        <w:spacing w:line="350" w:lineRule="auto" w:before="74"/>
        <w:ind w:right="1122" w:firstLine="422"/>
        <w:jc w:val="both"/>
      </w:pPr>
      <w:r>
        <w:rPr>
          <w:rFonts w:ascii="宋体" w:hAnsi="宋体" w:cs="宋体" w:eastAsia="宋体" w:hint="default"/>
          <w:spacing w:val="-2"/>
        </w:rPr>
        <w:t>2020</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9</w:t>
      </w:r>
      <w:r>
        <w:rPr>
          <w:spacing w:val="-2"/>
        </w:rPr>
        <w:t>日公司收到中国证监会出具的《关于请做好中电兴发非公开发行股票申请发审委会议准备</w:t>
      </w:r>
      <w:r>
        <w:rPr>
          <w:w w:val="100"/>
        </w:rPr>
        <w:t> </w:t>
      </w:r>
      <w:r>
        <w:rPr>
          <w:spacing w:val="-8"/>
          <w:w w:val="100"/>
        </w:rPr>
        <w:t>工作的函》，并就告知函所提问题逐条进行了认真的分析、核查以及回复说明；于</w:t>
      </w:r>
      <w:r>
        <w:rPr>
          <w:rFonts w:ascii="宋体" w:hAnsi="宋体" w:cs="宋体" w:eastAsia="宋体" w:hint="default"/>
          <w:spacing w:val="-8"/>
          <w:w w:val="100"/>
        </w:rPr>
        <w:t>2020</w:t>
      </w:r>
      <w:r>
        <w:rPr>
          <w:spacing w:val="-8"/>
          <w:w w:val="100"/>
        </w:rPr>
        <w:t>年</w:t>
      </w:r>
      <w:r>
        <w:rPr>
          <w:rFonts w:ascii="宋体" w:hAnsi="宋体" w:cs="宋体" w:eastAsia="宋体" w:hint="default"/>
          <w:spacing w:val="-8"/>
          <w:w w:val="100"/>
        </w:rPr>
        <w:t>4</w:t>
      </w:r>
      <w:r>
        <w:rPr>
          <w:spacing w:val="-8"/>
          <w:w w:val="100"/>
        </w:rPr>
        <w:t>月</w:t>
      </w:r>
      <w:r>
        <w:rPr>
          <w:rFonts w:ascii="宋体" w:hAnsi="宋体" w:cs="宋体" w:eastAsia="宋体" w:hint="default"/>
          <w:spacing w:val="-8"/>
          <w:w w:val="100"/>
        </w:rPr>
        <w:t>21</w:t>
      </w:r>
      <w:r>
        <w:rPr>
          <w:spacing w:val="-8"/>
          <w:w w:val="100"/>
        </w:rPr>
        <w:t>日披露了《关</w:t>
      </w:r>
      <w:r>
        <w:rPr>
          <w:spacing w:val="-88"/>
          <w:w w:val="100"/>
        </w:rPr>
        <w:t> </w:t>
      </w:r>
      <w:r>
        <w:rPr>
          <w:spacing w:val="-88"/>
          <w:w w:val="100"/>
        </w:rPr>
      </w:r>
      <w:r>
        <w:rPr>
          <w:spacing w:val="-2"/>
        </w:rPr>
        <w:t>于非公开发行股票发审委会议准备工作告知函回复的公告》和《安徽中电兴发与鑫龙科技股份有限公司与</w:t>
      </w:r>
      <w:r>
        <w:rPr>
          <w:spacing w:val="-33"/>
        </w:rPr>
        <w:t> </w:t>
      </w:r>
      <w:r>
        <w:rPr>
          <w:spacing w:val="-33"/>
        </w:rPr>
      </w:r>
      <w:r>
        <w:rPr>
          <w:spacing w:val="-4"/>
          <w:w w:val="100"/>
        </w:rPr>
        <w:t>中航证券有限公司关于</w:t>
      </w:r>
      <w:r>
        <w:rPr>
          <w:rFonts w:ascii="宋体" w:hAnsi="宋体" w:cs="宋体" w:eastAsia="宋体" w:hint="default"/>
          <w:spacing w:val="-4"/>
          <w:w w:val="100"/>
        </w:rPr>
        <w:t>&lt;</w:t>
      </w:r>
      <w:r>
        <w:rPr>
          <w:spacing w:val="-4"/>
          <w:w w:val="100"/>
        </w:rPr>
        <w:t>关于请做好中电兴发非公开发行股票申请发审委会议准备工作的函</w:t>
      </w:r>
      <w:r>
        <w:rPr>
          <w:rFonts w:ascii="宋体" w:hAnsi="宋体" w:cs="宋体" w:eastAsia="宋体" w:hint="default"/>
          <w:spacing w:val="-4"/>
          <w:w w:val="100"/>
        </w:rPr>
        <w:t>&gt;</w:t>
      </w:r>
      <w:r>
        <w:rPr>
          <w:spacing w:val="-4"/>
          <w:w w:val="100"/>
        </w:rPr>
        <w:t>的回复》；</w:t>
      </w:r>
    </w:p>
    <w:p>
      <w:pPr>
        <w:pStyle w:val="BodyText"/>
        <w:spacing w:line="352" w:lineRule="auto" w:before="65"/>
        <w:ind w:right="1134" w:firstLine="422"/>
        <w:jc w:val="both"/>
      </w:pP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24</w:t>
      </w:r>
      <w:r>
        <w:rPr/>
        <w:t>日，中国证监会发行审核委员会对本公司非公开发行股票的申请进行了审核。根据审核</w:t>
      </w:r>
      <w:r>
        <w:rPr>
          <w:w w:val="100"/>
        </w:rPr>
        <w:t> </w:t>
      </w:r>
      <w:r>
        <w:rPr/>
        <w:t>结果，公司本次非公开发行股票申请获得通过，次日公司披露了相关公告。</w:t>
      </w:r>
    </w:p>
    <w:p>
      <w:pPr>
        <w:spacing w:line="240" w:lineRule="auto" w:before="5"/>
        <w:rPr>
          <w:rFonts w:ascii="宋体" w:hAnsi="宋体" w:cs="宋体" w:eastAsia="宋体" w:hint="default"/>
          <w:sz w:val="15"/>
          <w:szCs w:val="15"/>
        </w:rPr>
      </w:pPr>
    </w:p>
    <w:p>
      <w:pPr>
        <w:pStyle w:val="Heading2"/>
        <w:spacing w:line="240" w:lineRule="auto"/>
        <w:ind w:right="1002"/>
        <w:jc w:val="left"/>
        <w:rPr>
          <w:b w:val="0"/>
          <w:bCs w:val="0"/>
        </w:rPr>
      </w:pPr>
      <w:bookmarkStart w:name="二十、公司子公司重大事项" w:id="107"/>
      <w:bookmarkEnd w:id="107"/>
      <w:r>
        <w:rPr>
          <w:b w:val="0"/>
          <w:bCs w:val="0"/>
        </w:rPr>
      </w:r>
      <w:r>
        <w:rPr/>
        <w:t>二十、公司子公司重大事项</w:t>
      </w:r>
      <w:r>
        <w:rPr>
          <w:b w:val="0"/>
          <w:bCs w:val="0"/>
        </w:rPr>
      </w:r>
    </w:p>
    <w:p>
      <w:pPr>
        <w:spacing w:line="240" w:lineRule="auto" w:before="7"/>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spacing w:line="348" w:lineRule="auto" w:before="0"/>
        <w:ind w:left="535" w:right="1002" w:hanging="149"/>
        <w:jc w:val="left"/>
        <w:rPr>
          <w:rFonts w:ascii="宋体" w:hAnsi="宋体" w:cs="宋体" w:eastAsia="宋体" w:hint="default"/>
          <w:sz w:val="21"/>
          <w:szCs w:val="21"/>
        </w:rPr>
      </w:pPr>
      <w:r>
        <w:rPr>
          <w:rFonts w:ascii="宋体" w:hAnsi="宋体" w:cs="宋体" w:eastAsia="宋体" w:hint="default"/>
          <w:b/>
          <w:bCs/>
          <w:sz w:val="21"/>
          <w:szCs w:val="21"/>
        </w:rPr>
        <w:t>（一）报告期内全资子公司北京中电兴发中标及签订合同的相关公告</w:t>
      </w:r>
      <w:r>
        <w:rPr>
          <w:rFonts w:ascii="宋体" w:hAnsi="宋体" w:cs="宋体" w:eastAsia="宋体" w:hint="default"/>
          <w:b/>
          <w:bCs/>
          <w:w w:val="100"/>
          <w:sz w:val="21"/>
          <w:szCs w:val="21"/>
        </w:rPr>
        <w:t> </w:t>
      </w:r>
      <w:r>
        <w:rPr>
          <w:rFonts w:ascii="宋体" w:hAnsi="宋体" w:cs="宋体" w:eastAsia="宋体"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2"/>
          <w:sz w:val="21"/>
          <w:szCs w:val="21"/>
        </w:rPr>
        <w:t>2</w:t>
      </w:r>
      <w:r>
        <w:rPr>
          <w:rFonts w:ascii="宋体" w:hAnsi="宋体" w:cs="宋体" w:eastAsia="宋体" w:hint="default"/>
          <w:spacing w:val="-2"/>
          <w:sz w:val="21"/>
          <w:szCs w:val="21"/>
        </w:rPr>
        <w:t>月，北京中电兴发在第七届世界军人运动会东西湖体育中心场馆智慧安保项目（信息化部</w:t>
      </w:r>
    </w:p>
    <w:p>
      <w:pPr>
        <w:pStyle w:val="BodyText"/>
        <w:spacing w:line="352" w:lineRule="auto" w:before="29"/>
        <w:ind w:right="1012"/>
        <w:jc w:val="left"/>
      </w:pPr>
      <w:r>
        <w:rPr/>
        <w:t>分）设备采购及安装工程项目（</w:t>
      </w:r>
      <w:r>
        <w:rPr>
          <w:rFonts w:ascii="宋体" w:hAnsi="宋体" w:cs="宋体" w:eastAsia="宋体" w:hint="default"/>
        </w:rPr>
        <w:t>201812141225092269</w:t>
      </w:r>
      <w:r>
        <w:rPr/>
        <w:t>）中中标，中标总金额为人民币</w:t>
      </w:r>
      <w:r>
        <w:rPr>
          <w:spacing w:val="1"/>
        </w:rPr>
        <w:t> </w:t>
      </w:r>
      <w:r>
        <w:rPr>
          <w:rFonts w:ascii="宋体" w:hAnsi="宋体" w:cs="宋体" w:eastAsia="宋体" w:hint="default"/>
        </w:rPr>
        <w:t>3,826.02</w:t>
      </w:r>
      <w:r>
        <w:rPr/>
        <w:t>万元，并</w:t>
      </w:r>
      <w:r>
        <w:rPr>
          <w:w w:val="100"/>
        </w:rPr>
        <w:t> </w:t>
      </w:r>
      <w:r>
        <w:rPr>
          <w:spacing w:val="-4"/>
          <w:w w:val="100"/>
        </w:rPr>
        <w:t>收到了该项目的中标通知书。具体详见《中电兴发：关于全资子公司收到中标通知书的公告》（公告编号：</w:t>
      </w:r>
    </w:p>
    <w:p>
      <w:pPr>
        <w:spacing w:after="0" w:line="352"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240" w:lineRule="auto"/>
        <w:ind w:right="1002"/>
        <w:jc w:val="left"/>
      </w:pPr>
      <w:r>
        <w:rPr>
          <w:rFonts w:ascii="宋体" w:hAnsi="宋体" w:cs="宋体" w:eastAsia="宋体" w:hint="default"/>
          <w:w w:val="100"/>
        </w:rPr>
        <w:t>2019-020</w:t>
      </w:r>
      <w:r>
        <w:rPr>
          <w:spacing w:val="-106"/>
          <w:w w:val="100"/>
        </w:rPr>
        <w:t>）。</w:t>
      </w:r>
      <w:r>
        <w:rPr>
          <w:w w:val="100"/>
        </w:rPr>
      </w:r>
    </w:p>
    <w:p>
      <w:pPr>
        <w:pStyle w:val="BodyText"/>
        <w:spacing w:line="240" w:lineRule="auto" w:before="123"/>
        <w:ind w:left="535" w:right="1002"/>
        <w:jc w:val="left"/>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4</w:t>
      </w:r>
      <w:r>
        <w:rPr/>
        <w:t>月，北京中电兴发作为联合体牵头人在洛宁县土地后备资源开发复垦项目（宁财采</w:t>
      </w:r>
    </w:p>
    <w:p>
      <w:pPr>
        <w:pStyle w:val="BodyText"/>
        <w:spacing w:line="348" w:lineRule="auto" w:before="129"/>
        <w:ind w:right="1128"/>
        <w:jc w:val="left"/>
      </w:pPr>
      <w:r>
        <w:rPr>
          <w:rFonts w:ascii="宋体" w:hAnsi="宋体" w:cs="宋体" w:eastAsia="宋体" w:hint="default"/>
        </w:rPr>
        <w:t>20190308</w:t>
      </w:r>
      <w:r>
        <w:rPr>
          <w:rFonts w:ascii="宋体" w:hAnsi="宋体" w:cs="宋体" w:eastAsia="宋体" w:hint="default"/>
          <w:spacing w:val="-21"/>
        </w:rPr>
        <w:t> </w:t>
      </w:r>
      <w:r>
        <w:rPr/>
        <w:t>号）中中标，中标总金额为人民币</w:t>
      </w:r>
      <w:r>
        <w:rPr>
          <w:rFonts w:ascii="宋体" w:hAnsi="宋体" w:cs="宋体" w:eastAsia="宋体" w:hint="default"/>
        </w:rPr>
        <w:t>29,190.00</w:t>
      </w:r>
      <w:r>
        <w:rPr/>
        <w:t>万元。具体详见《中电兴发：关于全资子公司收到</w:t>
      </w:r>
      <w:r>
        <w:rPr>
          <w:w w:val="100"/>
        </w:rPr>
        <w:t> </w:t>
      </w:r>
      <w:r>
        <w:rPr>
          <w:spacing w:val="-6"/>
          <w:w w:val="100"/>
        </w:rPr>
        <w:t>中标通知书的公告》（公告编号：</w:t>
      </w:r>
      <w:r>
        <w:rPr>
          <w:rFonts w:ascii="宋体" w:hAnsi="宋体" w:cs="宋体" w:eastAsia="宋体" w:hint="default"/>
          <w:spacing w:val="-6"/>
          <w:w w:val="100"/>
        </w:rPr>
        <w:t>2019-044</w:t>
      </w:r>
      <w:r>
        <w:rPr>
          <w:spacing w:val="-6"/>
          <w:w w:val="100"/>
        </w:rPr>
        <w:t>）。该项目的中标，是公司智慧国土业务的重大突破，为构建全</w:t>
      </w:r>
      <w:r>
        <w:rPr>
          <w:spacing w:val="-91"/>
          <w:w w:val="100"/>
        </w:rPr>
        <w:t> </w:t>
      </w:r>
      <w:r>
        <w:rPr>
          <w:spacing w:val="-91"/>
          <w:w w:val="100"/>
        </w:rPr>
      </w:r>
      <w:r>
        <w:rPr/>
        <w:t>域智慧城市打下了坚实基础。</w:t>
      </w:r>
      <w:r>
        <w:rPr>
          <w:rFonts w:ascii="宋体" w:hAnsi="宋体" w:cs="宋体" w:eastAsia="宋体" w:hint="default"/>
        </w:rPr>
        <w:t>2019</w:t>
      </w:r>
      <w:r>
        <w:rPr/>
        <w:t>年</w:t>
      </w:r>
      <w:r>
        <w:rPr>
          <w:rFonts w:ascii="宋体" w:hAnsi="宋体" w:cs="宋体" w:eastAsia="宋体" w:hint="default"/>
        </w:rPr>
        <w:t>7</w:t>
      </w:r>
      <w:r>
        <w:rPr/>
        <w:t>月，北京中电兴发就该项目已经签订了《中电兴发：洛宁县土地后</w:t>
      </w:r>
      <w:r>
        <w:rPr>
          <w:w w:val="100"/>
        </w:rPr>
        <w:t> </w:t>
      </w:r>
      <w:r>
        <w:rPr>
          <w:spacing w:val="-4"/>
          <w:w w:val="100"/>
        </w:rPr>
        <w:t>备资源开发复垦项目政府采购合同》。具体详见《中电兴发：关于全资子公司签订智慧国土项目合同的公</w:t>
      </w:r>
      <w:r>
        <w:rPr>
          <w:spacing w:val="-82"/>
          <w:w w:val="100"/>
        </w:rPr>
        <w:t> </w:t>
      </w:r>
      <w:r>
        <w:rPr>
          <w:spacing w:val="-82"/>
          <w:w w:val="100"/>
        </w:rPr>
      </w:r>
      <w:r>
        <w:rPr>
          <w:spacing w:val="-19"/>
          <w:w w:val="100"/>
        </w:rPr>
        <w:t>告》（公告编号：</w:t>
      </w:r>
      <w:r>
        <w:rPr>
          <w:rFonts w:ascii="宋体" w:hAnsi="宋体" w:cs="宋体" w:eastAsia="宋体" w:hint="default"/>
          <w:spacing w:val="-19"/>
          <w:w w:val="100"/>
        </w:rPr>
        <w:t>2019-067</w:t>
      </w:r>
      <w:r>
        <w:rPr>
          <w:spacing w:val="-19"/>
          <w:w w:val="100"/>
        </w:rPr>
        <w:t>）。</w:t>
      </w:r>
      <w:r>
        <w:rPr>
          <w:w w:val="100"/>
        </w:rPr>
      </w:r>
    </w:p>
    <w:p>
      <w:pPr>
        <w:pStyle w:val="BodyText"/>
        <w:spacing w:line="350" w:lineRule="auto" w:before="29"/>
        <w:ind w:right="1122" w:firstLine="422"/>
        <w:jc w:val="left"/>
      </w:pP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5</w:t>
      </w:r>
      <w:r>
        <w:rPr/>
        <w:t>月，公司作为云南联通项目建设</w:t>
      </w:r>
      <w:r>
        <w:rPr>
          <w:rFonts w:ascii="宋体" w:hAnsi="宋体" w:cs="宋体" w:eastAsia="宋体" w:hint="default"/>
        </w:rPr>
        <w:t>6</w:t>
      </w:r>
      <w:r>
        <w:rPr/>
        <w:t>亿元的总承包商与中国联合网络通信有限公司云南省分</w:t>
      </w:r>
      <w:r>
        <w:rPr>
          <w:w w:val="100"/>
        </w:rPr>
        <w:t> </w:t>
      </w:r>
      <w:r>
        <w:rPr>
          <w:spacing w:val="-2"/>
        </w:rPr>
        <w:t>公司签订了“双百行动”综合改革合作协议。本次合作协议的签署，将进一步强化公司与云南联通的协同</w:t>
      </w:r>
      <w:r>
        <w:rPr>
          <w:spacing w:val="-33"/>
        </w:rPr>
        <w:t> </w:t>
      </w:r>
      <w:r>
        <w:rPr>
          <w:spacing w:val="-33"/>
        </w:rPr>
      </w:r>
      <w:r>
        <w:rPr>
          <w:spacing w:val="-2"/>
        </w:rPr>
        <w:t>合作，并优先参与云南联通</w:t>
      </w:r>
      <w:r>
        <w:rPr>
          <w:rFonts w:ascii="宋体" w:hAnsi="宋体" w:cs="宋体" w:eastAsia="宋体" w:hint="default"/>
          <w:spacing w:val="-2"/>
        </w:rPr>
        <w:t>5G</w:t>
      </w:r>
      <w:r>
        <w:rPr>
          <w:spacing w:val="-2"/>
        </w:rPr>
        <w:t>的合作以及云南全省的智慧城市的建设与运营，同时也奠定“以智慧中国业</w:t>
      </w:r>
      <w:r>
        <w:rPr>
          <w:spacing w:val="-29"/>
        </w:rPr>
        <w:t> </w:t>
      </w:r>
      <w:r>
        <w:rPr>
          <w:spacing w:val="-29"/>
        </w:rPr>
      </w:r>
      <w:r>
        <w:rPr>
          <w:spacing w:val="-2"/>
        </w:rPr>
        <w:t>务为龙头，以新通信业务和新一代光纤网络业务为两翼”的主营业务加速发展格局，促进公司在智慧中国</w:t>
      </w:r>
      <w:r>
        <w:rPr>
          <w:spacing w:val="-31"/>
        </w:rPr>
        <w:t> </w:t>
      </w:r>
      <w:r>
        <w:rPr>
          <w:spacing w:val="-31"/>
        </w:rPr>
      </w:r>
      <w:r>
        <w:rPr>
          <w:spacing w:val="-2"/>
        </w:rPr>
        <w:t>业务的建设、投资与运营等方面的更好发展。具体详见《中电兴发：关于全资子公司参与云南联通“双百</w:t>
      </w:r>
      <w:r>
        <w:rPr>
          <w:spacing w:val="-40"/>
        </w:rPr>
        <w:t> </w:t>
      </w:r>
      <w:r>
        <w:rPr>
          <w:spacing w:val="-40"/>
        </w:rPr>
      </w:r>
      <w:r>
        <w:rPr>
          <w:spacing w:val="-13"/>
          <w:w w:val="100"/>
        </w:rPr>
        <w:t>行动”综合改革项目的公告》（公告编号：</w:t>
      </w:r>
      <w:r>
        <w:rPr>
          <w:rFonts w:ascii="宋体" w:hAnsi="宋体" w:cs="宋体" w:eastAsia="宋体" w:hint="default"/>
          <w:spacing w:val="-13"/>
          <w:w w:val="100"/>
        </w:rPr>
        <w:t>2019-049</w:t>
      </w:r>
      <w:r>
        <w:rPr>
          <w:spacing w:val="-13"/>
          <w:w w:val="100"/>
        </w:rPr>
        <w:t>）。</w:t>
      </w:r>
      <w:r>
        <w:rPr>
          <w:w w:val="100"/>
        </w:rPr>
      </w:r>
    </w:p>
    <w:p>
      <w:pPr>
        <w:pStyle w:val="BodyText"/>
        <w:spacing w:line="350" w:lineRule="auto" w:before="27"/>
        <w:ind w:right="1210" w:firstLine="422"/>
        <w:jc w:val="both"/>
      </w:pPr>
      <w:r>
        <w:rPr>
          <w:rFonts w:ascii="宋体" w:hAnsi="宋体" w:cs="宋体" w:eastAsia="宋体" w:hint="default"/>
        </w:rPr>
        <w:t>4</w:t>
      </w:r>
      <w:r>
        <w:rPr/>
        <w:t>、</w:t>
      </w:r>
      <w:r>
        <w:rPr>
          <w:spacing w:val="-3"/>
        </w:rPr>
        <w:t> </w:t>
      </w:r>
      <w:r>
        <w:rPr>
          <w:rFonts w:ascii="宋体" w:hAnsi="宋体" w:cs="宋体" w:eastAsia="宋体" w:hint="default"/>
        </w:rPr>
        <w:t>2019</w:t>
      </w:r>
      <w:r>
        <w:rPr/>
        <w:t>年</w:t>
      </w:r>
      <w:r>
        <w:rPr>
          <w:rFonts w:ascii="宋体" w:hAnsi="宋体" w:cs="宋体" w:eastAsia="宋体" w:hint="default"/>
        </w:rPr>
        <w:t>5</w:t>
      </w:r>
      <w:r>
        <w:rPr/>
        <w:t>月，北京中电兴发中标中国移动云南公司保山分公司保山市立体化边境防控体系技防一</w:t>
      </w:r>
      <w:r>
        <w:rPr>
          <w:w w:val="100"/>
        </w:rPr>
        <w:t> </w:t>
      </w:r>
      <w:r>
        <w:rPr>
          <w:spacing w:val="-5"/>
          <w:w w:val="100"/>
        </w:rPr>
        <w:t>期前后端数据服务项目（二次）（</w:t>
      </w:r>
      <w:r>
        <w:rPr>
          <w:rFonts w:ascii="宋体" w:hAnsi="宋体" w:cs="宋体" w:eastAsia="宋体" w:hint="default"/>
          <w:spacing w:val="-5"/>
          <w:w w:val="100"/>
        </w:rPr>
        <w:t>YNYD20190000274</w:t>
      </w:r>
      <w:r>
        <w:rPr>
          <w:spacing w:val="-5"/>
          <w:w w:val="100"/>
        </w:rPr>
        <w:t>），并就该项目签订了《保山市立体化边境防控体系技</w:t>
      </w:r>
      <w:r>
        <w:rPr>
          <w:spacing w:val="-101"/>
          <w:w w:val="100"/>
        </w:rPr>
        <w:t> </w:t>
      </w:r>
      <w:r>
        <w:rPr>
          <w:spacing w:val="-101"/>
          <w:w w:val="100"/>
        </w:rPr>
      </w:r>
      <w:r>
        <w:rPr>
          <w:spacing w:val="-4"/>
          <w:w w:val="100"/>
        </w:rPr>
        <w:t>防一期前后端数据服务项目合同》，总金额为人民币</w:t>
      </w:r>
      <w:r>
        <w:rPr>
          <w:rFonts w:ascii="宋体" w:hAnsi="宋体" w:cs="宋体" w:eastAsia="宋体" w:hint="default"/>
          <w:spacing w:val="-4"/>
          <w:w w:val="100"/>
        </w:rPr>
        <w:t>5,924.78</w:t>
      </w:r>
      <w:r>
        <w:rPr>
          <w:spacing w:val="-4"/>
          <w:w w:val="100"/>
        </w:rPr>
        <w:t>万元。具体详见《中电兴发：关于全资子公</w:t>
      </w:r>
      <w:r>
        <w:rPr>
          <w:spacing w:val="-65"/>
          <w:w w:val="100"/>
        </w:rPr>
        <w:t> </w:t>
      </w:r>
      <w:r>
        <w:rPr>
          <w:spacing w:val="-65"/>
          <w:w w:val="100"/>
        </w:rPr>
      </w:r>
      <w:r>
        <w:rPr>
          <w:spacing w:val="-11"/>
          <w:w w:val="100"/>
        </w:rPr>
        <w:t>司收到中标通知书并签订合同的公告》（公告编号：</w:t>
      </w:r>
      <w:r>
        <w:rPr>
          <w:rFonts w:ascii="宋体" w:hAnsi="宋体" w:cs="宋体" w:eastAsia="宋体" w:hint="default"/>
          <w:spacing w:val="-11"/>
          <w:w w:val="100"/>
        </w:rPr>
        <w:t>2019-056</w:t>
      </w:r>
      <w:r>
        <w:rPr>
          <w:spacing w:val="-11"/>
          <w:w w:val="100"/>
        </w:rPr>
        <w:t>）。</w:t>
      </w:r>
      <w:r>
        <w:rPr>
          <w:w w:val="100"/>
        </w:rPr>
      </w:r>
    </w:p>
    <w:p>
      <w:pPr>
        <w:pStyle w:val="BodyText"/>
        <w:spacing w:line="348" w:lineRule="auto" w:before="31"/>
        <w:ind w:right="1128" w:firstLine="422"/>
        <w:jc w:val="both"/>
      </w:pPr>
      <w:r>
        <w:rPr>
          <w:rFonts w:ascii="宋体" w:hAnsi="宋体" w:cs="宋体" w:eastAsia="宋体" w:hint="default"/>
        </w:rPr>
        <w:t>5</w:t>
      </w:r>
      <w:r>
        <w:rPr/>
        <w:t>、</w:t>
      </w:r>
      <w:r>
        <w:rPr>
          <w:spacing w:val="29"/>
        </w:rPr>
        <w:t> </w:t>
      </w:r>
      <w:r>
        <w:rPr>
          <w:rFonts w:ascii="宋体" w:hAnsi="宋体" w:cs="宋体" w:eastAsia="宋体" w:hint="default"/>
          <w:spacing w:val="-4"/>
        </w:rPr>
        <w:t>2019</w:t>
      </w:r>
      <w:r>
        <w:rPr>
          <w:spacing w:val="-4"/>
        </w:rPr>
        <w:t>年</w:t>
      </w:r>
      <w:r>
        <w:rPr>
          <w:rFonts w:ascii="宋体" w:hAnsi="宋体" w:cs="宋体" w:eastAsia="宋体" w:hint="default"/>
          <w:spacing w:val="-4"/>
        </w:rPr>
        <w:t>6</w:t>
      </w:r>
      <w:r>
        <w:rPr>
          <w:spacing w:val="-4"/>
        </w:rPr>
        <w:t>月，北京中电兴发作为联合体牵头人在伊川县土地复垦和补充耕地指标开发建设项目（伊</w:t>
      </w:r>
      <w:r>
        <w:rPr>
          <w:w w:val="100"/>
        </w:rPr>
        <w:t> </w:t>
      </w:r>
      <w:r>
        <w:rPr>
          <w:spacing w:val="-2"/>
        </w:rPr>
        <w:t>公交易采【</w:t>
      </w:r>
      <w:r>
        <w:rPr>
          <w:rFonts w:ascii="宋体" w:hAnsi="宋体" w:cs="宋体" w:eastAsia="宋体" w:hint="default"/>
          <w:spacing w:val="-2"/>
        </w:rPr>
        <w:t>2019</w:t>
      </w:r>
      <w:r>
        <w:rPr>
          <w:spacing w:val="-2"/>
        </w:rPr>
        <w:t>】</w:t>
      </w:r>
      <w:r>
        <w:rPr>
          <w:rFonts w:ascii="宋体" w:hAnsi="宋体" w:cs="宋体" w:eastAsia="宋体" w:hint="default"/>
          <w:spacing w:val="-2"/>
        </w:rPr>
        <w:t>054</w:t>
      </w:r>
      <w:r>
        <w:rPr>
          <w:spacing w:val="-2"/>
        </w:rPr>
        <w:t>号）中中标，中标总金额为人民币</w:t>
      </w:r>
      <w:r>
        <w:rPr>
          <w:rFonts w:ascii="宋体" w:hAnsi="宋体" w:cs="宋体" w:eastAsia="宋体" w:hint="default"/>
          <w:spacing w:val="-2"/>
        </w:rPr>
        <w:t>29,190.00</w:t>
      </w:r>
      <w:r>
        <w:rPr>
          <w:spacing w:val="-2"/>
        </w:rPr>
        <w:t>万元，且已收到中标通知书。具体详见</w:t>
      </w:r>
    </w:p>
    <w:p>
      <w:pPr>
        <w:pStyle w:val="BodyText"/>
        <w:spacing w:line="352" w:lineRule="auto" w:before="29"/>
        <w:ind w:left="535" w:right="1112" w:hanging="423"/>
        <w:jc w:val="left"/>
        <w:rPr>
          <w:rFonts w:ascii="宋体" w:hAnsi="宋体" w:cs="宋体" w:eastAsia="宋体" w:hint="default"/>
        </w:rPr>
      </w:pPr>
      <w:r>
        <w:rPr>
          <w:w w:val="100"/>
        </w:rPr>
        <w:t>《中电兴</w:t>
      </w:r>
      <w:r>
        <w:rPr>
          <w:spacing w:val="-5"/>
          <w:w w:val="100"/>
        </w:rPr>
        <w:t>发</w:t>
      </w:r>
      <w:r>
        <w:rPr>
          <w:w w:val="100"/>
        </w:rPr>
        <w:t>：关于</w:t>
      </w:r>
      <w:r>
        <w:rPr>
          <w:spacing w:val="-5"/>
          <w:w w:val="100"/>
        </w:rPr>
        <w:t>全</w:t>
      </w:r>
      <w:r>
        <w:rPr>
          <w:w w:val="100"/>
        </w:rPr>
        <w:t>资子公</w:t>
      </w:r>
      <w:r>
        <w:rPr>
          <w:spacing w:val="-5"/>
          <w:w w:val="100"/>
        </w:rPr>
        <w:t>司</w:t>
      </w:r>
      <w:r>
        <w:rPr>
          <w:w w:val="100"/>
        </w:rPr>
        <w:t>收到中</w:t>
      </w:r>
      <w:r>
        <w:rPr>
          <w:spacing w:val="-5"/>
          <w:w w:val="100"/>
        </w:rPr>
        <w:t>标</w:t>
      </w:r>
      <w:r>
        <w:rPr>
          <w:w w:val="100"/>
        </w:rPr>
        <w:t>通知书</w:t>
      </w:r>
      <w:r>
        <w:rPr>
          <w:spacing w:val="-5"/>
          <w:w w:val="100"/>
        </w:rPr>
        <w:t>的</w:t>
      </w:r>
      <w:r>
        <w:rPr>
          <w:w w:val="100"/>
        </w:rPr>
        <w:t>公</w:t>
      </w:r>
      <w:r>
        <w:rPr>
          <w:spacing w:val="-5"/>
          <w:w w:val="100"/>
        </w:rPr>
        <w:t>告</w:t>
      </w:r>
      <w:r>
        <w:rPr>
          <w:spacing w:val="-106"/>
          <w:w w:val="100"/>
        </w:rPr>
        <w:t>》</w:t>
      </w:r>
      <w:r>
        <w:rPr>
          <w:w w:val="100"/>
        </w:rPr>
        <w:t>（公告编</w:t>
      </w:r>
      <w:r>
        <w:rPr>
          <w:spacing w:val="-5"/>
          <w:w w:val="100"/>
        </w:rPr>
        <w:t>号</w:t>
      </w:r>
      <w:r>
        <w:rPr>
          <w:spacing w:val="2"/>
          <w:w w:val="100"/>
        </w:rPr>
        <w:t>：</w:t>
      </w:r>
      <w:r>
        <w:rPr>
          <w:rFonts w:ascii="宋体" w:hAnsi="宋体" w:cs="宋体" w:eastAsia="宋体" w:hint="default"/>
          <w:w w:val="100"/>
        </w:rPr>
        <w:t>2019-</w:t>
      </w:r>
      <w:r>
        <w:rPr>
          <w:rFonts w:ascii="宋体" w:hAnsi="宋体" w:cs="宋体" w:eastAsia="宋体" w:hint="default"/>
          <w:spacing w:val="-5"/>
          <w:w w:val="100"/>
        </w:rPr>
        <w:t>0</w:t>
      </w:r>
      <w:r>
        <w:rPr>
          <w:rFonts w:ascii="宋体" w:hAnsi="宋体" w:cs="宋体" w:eastAsia="宋体" w:hint="default"/>
          <w:w w:val="100"/>
        </w:rPr>
        <w:t>58</w:t>
      </w:r>
      <w:r>
        <w:rPr>
          <w:spacing w:val="-106"/>
          <w:w w:val="100"/>
        </w:rPr>
        <w:t>）。 </w:t>
      </w:r>
      <w:r>
        <w:rPr>
          <w:rFonts w:ascii="宋体" w:hAnsi="宋体" w:cs="宋体" w:eastAsia="宋体" w:hint="default"/>
          <w:w w:val="100"/>
        </w:rPr>
        <w:t>6</w:t>
      </w:r>
      <w:r>
        <w:rPr>
          <w:spacing w:val="-87"/>
          <w:w w:val="100"/>
        </w:rPr>
        <w:t>、</w:t>
      </w:r>
      <w:r>
        <w:rPr>
          <w:rFonts w:ascii="宋体" w:hAnsi="宋体" w:cs="宋体" w:eastAsia="宋体" w:hint="default"/>
          <w:spacing w:val="-5"/>
          <w:w w:val="100"/>
        </w:rPr>
        <w:t>2</w:t>
      </w:r>
      <w:r>
        <w:rPr>
          <w:rFonts w:ascii="宋体" w:hAnsi="宋体" w:cs="宋体" w:eastAsia="宋体" w:hint="default"/>
          <w:w w:val="100"/>
        </w:rPr>
        <w:t>019</w:t>
      </w:r>
      <w:r>
        <w:rPr>
          <w:w w:val="100"/>
        </w:rPr>
        <w:t>年</w:t>
      </w:r>
      <w:r>
        <w:rPr>
          <w:rFonts w:ascii="宋体" w:hAnsi="宋体" w:cs="宋体" w:eastAsia="宋体" w:hint="default"/>
          <w:w w:val="100"/>
        </w:rPr>
        <w:t>7</w:t>
      </w:r>
      <w:r>
        <w:rPr>
          <w:spacing w:val="-5"/>
          <w:w w:val="100"/>
        </w:rPr>
        <w:t>月</w:t>
      </w:r>
      <w:r>
        <w:rPr>
          <w:spacing w:val="-87"/>
          <w:w w:val="100"/>
        </w:rPr>
        <w:t>，</w:t>
      </w:r>
      <w:r>
        <w:rPr>
          <w:spacing w:val="-5"/>
          <w:w w:val="100"/>
        </w:rPr>
        <w:t>北</w:t>
      </w:r>
      <w:r>
        <w:rPr>
          <w:w w:val="100"/>
        </w:rPr>
        <w:t>京中电</w:t>
      </w:r>
      <w:r>
        <w:rPr>
          <w:spacing w:val="-5"/>
          <w:w w:val="100"/>
        </w:rPr>
        <w:t>兴</w:t>
      </w:r>
      <w:r>
        <w:rPr>
          <w:w w:val="100"/>
        </w:rPr>
        <w:t>发在赫</w:t>
      </w:r>
      <w:r>
        <w:rPr>
          <w:spacing w:val="-5"/>
          <w:w w:val="100"/>
        </w:rPr>
        <w:t>章</w:t>
      </w:r>
      <w:r>
        <w:rPr>
          <w:w w:val="100"/>
        </w:rPr>
        <w:t>县智慧</w:t>
      </w:r>
      <w:r>
        <w:rPr>
          <w:spacing w:val="-5"/>
          <w:w w:val="100"/>
        </w:rPr>
        <w:t>赫</w:t>
      </w:r>
      <w:r>
        <w:rPr>
          <w:w w:val="100"/>
        </w:rPr>
        <w:t>章</w:t>
      </w:r>
      <w:r>
        <w:rPr>
          <w:spacing w:val="-5"/>
          <w:w w:val="100"/>
        </w:rPr>
        <w:t>建</w:t>
      </w:r>
      <w:r>
        <w:rPr>
          <w:w w:val="100"/>
        </w:rPr>
        <w:t>设政府和</w:t>
      </w:r>
      <w:r>
        <w:rPr>
          <w:spacing w:val="-5"/>
          <w:w w:val="100"/>
        </w:rPr>
        <w:t>社</w:t>
      </w:r>
      <w:r>
        <w:rPr>
          <w:w w:val="100"/>
        </w:rPr>
        <w:t>会合</w:t>
      </w:r>
      <w:r>
        <w:rPr>
          <w:spacing w:val="-92"/>
          <w:w w:val="100"/>
        </w:rPr>
        <w:t>作</w:t>
      </w:r>
      <w:r>
        <w:rPr>
          <w:spacing w:val="2"/>
          <w:w w:val="100"/>
        </w:rPr>
        <w:t>（</w:t>
      </w:r>
      <w:r>
        <w:rPr>
          <w:rFonts w:ascii="宋体" w:hAnsi="宋体" w:cs="宋体" w:eastAsia="宋体" w:hint="default"/>
          <w:w w:val="100"/>
        </w:rPr>
        <w:t>PP</w:t>
      </w:r>
      <w:r>
        <w:rPr>
          <w:rFonts w:ascii="宋体" w:hAnsi="宋体" w:cs="宋体" w:eastAsia="宋体" w:hint="default"/>
          <w:spacing w:val="-5"/>
          <w:w w:val="100"/>
        </w:rPr>
        <w:t>P</w:t>
      </w:r>
      <w:r>
        <w:rPr>
          <w:spacing w:val="-87"/>
          <w:w w:val="100"/>
        </w:rPr>
        <w:t>）</w:t>
      </w:r>
      <w:r>
        <w:rPr>
          <w:w w:val="100"/>
        </w:rPr>
        <w:t>项目</w:t>
      </w:r>
      <w:r>
        <w:rPr>
          <w:spacing w:val="-4"/>
        </w:rPr>
        <w:t> </w:t>
      </w:r>
      <w:r>
        <w:rPr>
          <w:rFonts w:ascii="宋体" w:hAnsi="宋体" w:cs="宋体" w:eastAsia="宋体" w:hint="default"/>
          <w:w w:val="100"/>
        </w:rPr>
        <w:t>EPC</w:t>
      </w:r>
      <w:r>
        <w:rPr>
          <w:rFonts w:ascii="宋体" w:hAnsi="宋体" w:cs="宋体" w:eastAsia="宋体" w:hint="default"/>
        </w:rPr>
        <w:t> </w:t>
      </w:r>
      <w:r>
        <w:rPr>
          <w:w w:val="100"/>
        </w:rPr>
        <w:t>总</w:t>
      </w:r>
      <w:r>
        <w:rPr>
          <w:spacing w:val="-5"/>
          <w:w w:val="100"/>
        </w:rPr>
        <w:t>承</w:t>
      </w:r>
      <w:r>
        <w:rPr>
          <w:w w:val="100"/>
        </w:rPr>
        <w:t>包工</w:t>
      </w:r>
      <w:r>
        <w:rPr>
          <w:spacing w:val="-92"/>
          <w:w w:val="100"/>
        </w:rPr>
        <w:t>程</w:t>
      </w:r>
      <w:r>
        <w:rPr>
          <w:w w:val="100"/>
        </w:rPr>
        <w:t>【</w:t>
      </w:r>
      <w:r>
        <w:rPr>
          <w:rFonts w:ascii="宋体" w:hAnsi="宋体" w:cs="宋体" w:eastAsia="宋体" w:hint="default"/>
          <w:w w:val="100"/>
        </w:rPr>
        <w:t>GZEF</w:t>
      </w:r>
    </w:p>
    <w:p>
      <w:pPr>
        <w:pStyle w:val="BodyText"/>
        <w:spacing w:line="350" w:lineRule="auto" w:before="25"/>
        <w:ind w:right="1017"/>
        <w:jc w:val="left"/>
      </w:pPr>
      <w:r>
        <w:rPr/>
        <w:t>（采）</w:t>
      </w:r>
      <w:r>
        <w:rPr>
          <w:rFonts w:ascii="宋体" w:hAnsi="宋体" w:cs="宋体" w:eastAsia="宋体" w:hint="default"/>
        </w:rPr>
        <w:t>2019-013</w:t>
      </w:r>
      <w:r>
        <w:rPr/>
        <w:t>】中中标，中标总金额为人民币 </w:t>
      </w:r>
      <w:r>
        <w:rPr>
          <w:rFonts w:ascii="宋体" w:hAnsi="宋体" w:cs="宋体" w:eastAsia="宋体" w:hint="default"/>
        </w:rPr>
        <w:t>66,650.447</w:t>
      </w:r>
      <w:r>
        <w:rPr>
          <w:rFonts w:ascii="宋体" w:hAnsi="宋体" w:cs="宋体" w:eastAsia="宋体" w:hint="default"/>
          <w:spacing w:val="-12"/>
        </w:rPr>
        <w:t> </w:t>
      </w:r>
      <w:r>
        <w:rPr/>
        <w:t>万元，且已收到中标通知书。具体详见《中</w:t>
      </w:r>
      <w:r>
        <w:rPr>
          <w:w w:val="100"/>
        </w:rPr>
        <w:t> </w:t>
      </w:r>
      <w:r>
        <w:rPr>
          <w:spacing w:val="-5"/>
          <w:w w:val="100"/>
        </w:rPr>
        <w:t>电兴发：关于全资子公司收到中标通知书的公告》（公告编号：</w:t>
      </w:r>
      <w:r>
        <w:rPr>
          <w:rFonts w:ascii="宋体" w:hAnsi="宋体" w:cs="宋体" w:eastAsia="宋体" w:hint="default"/>
          <w:spacing w:val="-5"/>
          <w:w w:val="100"/>
        </w:rPr>
        <w:t>2019-066</w:t>
      </w:r>
      <w:r>
        <w:rPr>
          <w:spacing w:val="-5"/>
          <w:w w:val="100"/>
        </w:rPr>
        <w:t>）。</w:t>
      </w:r>
      <w:r>
        <w:rPr>
          <w:rFonts w:ascii="宋体" w:hAnsi="宋体" w:cs="宋体" w:eastAsia="宋体" w:hint="default"/>
          <w:spacing w:val="-5"/>
          <w:w w:val="100"/>
        </w:rPr>
        <w:t>2019</w:t>
      </w:r>
      <w:r>
        <w:rPr>
          <w:spacing w:val="-5"/>
          <w:w w:val="100"/>
        </w:rPr>
        <w:t>年</w:t>
      </w:r>
      <w:r>
        <w:rPr>
          <w:rFonts w:ascii="宋体" w:hAnsi="宋体" w:cs="宋体" w:eastAsia="宋体" w:hint="default"/>
          <w:spacing w:val="-5"/>
          <w:w w:val="100"/>
        </w:rPr>
        <w:t>7</w:t>
      </w:r>
      <w:r>
        <w:rPr>
          <w:spacing w:val="-5"/>
          <w:w w:val="100"/>
        </w:rPr>
        <w:t>月，北京中电兴发就</w:t>
      </w:r>
      <w:r>
        <w:rPr>
          <w:w w:val="100"/>
        </w:rPr>
        <w:t> </w:t>
      </w:r>
      <w:r>
        <w:rPr>
          <w:spacing w:val="-4"/>
          <w:w w:val="100"/>
        </w:rPr>
        <w:t>该项目签订了《中电兴发：赫章县智慧赫章建设政府和社会合作（</w:t>
      </w:r>
      <w:r>
        <w:rPr>
          <w:rFonts w:ascii="宋体" w:hAnsi="宋体" w:cs="宋体" w:eastAsia="宋体" w:hint="default"/>
          <w:spacing w:val="-4"/>
          <w:w w:val="100"/>
        </w:rPr>
        <w:t>PPP</w:t>
      </w:r>
      <w:r>
        <w:rPr>
          <w:spacing w:val="-4"/>
          <w:w w:val="100"/>
        </w:rPr>
        <w:t>）项目</w:t>
      </w:r>
      <w:r>
        <w:rPr>
          <w:rFonts w:ascii="宋体" w:hAnsi="宋体" w:cs="宋体" w:eastAsia="宋体" w:hint="default"/>
          <w:spacing w:val="-4"/>
          <w:w w:val="100"/>
        </w:rPr>
        <w:t>EPC</w:t>
      </w:r>
      <w:r>
        <w:rPr>
          <w:spacing w:val="-4"/>
          <w:w w:val="100"/>
        </w:rPr>
        <w:t>总承包工程合同协议书》。</w:t>
      </w:r>
      <w:r>
        <w:rPr>
          <w:spacing w:val="-86"/>
          <w:w w:val="100"/>
        </w:rPr>
        <w:t> </w:t>
      </w:r>
      <w:r>
        <w:rPr>
          <w:spacing w:val="-86"/>
          <w:w w:val="100"/>
        </w:rPr>
      </w:r>
      <w:r>
        <w:rPr>
          <w:spacing w:val="-8"/>
          <w:w w:val="100"/>
        </w:rPr>
        <w:t>具体详见《中电兴发：关于全资子公司签订智慧城市</w:t>
      </w:r>
      <w:r>
        <w:rPr>
          <w:rFonts w:ascii="宋体" w:hAnsi="宋体" w:cs="宋体" w:eastAsia="宋体" w:hint="default"/>
          <w:spacing w:val="-8"/>
          <w:w w:val="100"/>
        </w:rPr>
        <w:t>PPP</w:t>
      </w:r>
      <w:r>
        <w:rPr>
          <w:spacing w:val="-8"/>
          <w:w w:val="100"/>
        </w:rPr>
        <w:t>项目</w:t>
      </w:r>
      <w:r>
        <w:rPr>
          <w:rFonts w:ascii="宋体" w:hAnsi="宋体" w:cs="宋体" w:eastAsia="宋体" w:hint="default"/>
          <w:spacing w:val="-8"/>
          <w:w w:val="100"/>
        </w:rPr>
        <w:t>EPC</w:t>
      </w:r>
      <w:r>
        <w:rPr>
          <w:spacing w:val="-8"/>
          <w:w w:val="100"/>
        </w:rPr>
        <w:t>合同的公告》（公告编号：</w:t>
      </w:r>
      <w:r>
        <w:rPr>
          <w:rFonts w:ascii="宋体" w:hAnsi="宋体" w:cs="宋体" w:eastAsia="宋体" w:hint="default"/>
          <w:spacing w:val="-8"/>
          <w:w w:val="100"/>
        </w:rPr>
        <w:t>2019-068</w:t>
      </w:r>
      <w:r>
        <w:rPr>
          <w:spacing w:val="-8"/>
          <w:w w:val="100"/>
        </w:rPr>
        <w:t>）。</w:t>
      </w:r>
      <w:r>
        <w:rPr>
          <w:w w:val="100"/>
        </w:rPr>
      </w:r>
    </w:p>
    <w:p>
      <w:pPr>
        <w:pStyle w:val="BodyText"/>
        <w:spacing w:line="350" w:lineRule="auto" w:before="27"/>
        <w:ind w:right="1125" w:firstLine="422"/>
        <w:jc w:val="both"/>
      </w:pPr>
      <w:r>
        <w:rPr>
          <w:rFonts w:ascii="宋体" w:hAnsi="宋体" w:cs="宋体" w:eastAsia="宋体" w:hint="default"/>
          <w:spacing w:val="-2"/>
        </w:rPr>
        <w:t>7</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月，北京中电兴发作为联合体牵头人在河南省原阳县城乡建设用地增减挂钩和占补平衡项</w:t>
      </w:r>
      <w:r>
        <w:rPr>
          <w:w w:val="100"/>
        </w:rPr>
        <w:t> </w:t>
      </w:r>
      <w:r>
        <w:rPr>
          <w:spacing w:val="-2"/>
        </w:rPr>
        <w:t>目（</w:t>
      </w:r>
      <w:r>
        <w:rPr>
          <w:rFonts w:ascii="宋体" w:hAnsi="宋体" w:cs="宋体" w:eastAsia="宋体" w:hint="default"/>
          <w:spacing w:val="-2"/>
        </w:rPr>
        <w:t>HNZDCG-FW-2019-0717</w:t>
      </w:r>
      <w:r>
        <w:rPr>
          <w:spacing w:val="-2"/>
        </w:rPr>
        <w:t>）中中标，中标总金额为人民币</w:t>
      </w:r>
      <w:r>
        <w:rPr>
          <w:rFonts w:ascii="宋体" w:hAnsi="宋体" w:cs="宋体" w:eastAsia="宋体" w:hint="default"/>
          <w:spacing w:val="-2"/>
        </w:rPr>
        <w:t>34,900.00</w:t>
      </w:r>
      <w:r>
        <w:rPr>
          <w:spacing w:val="-2"/>
        </w:rPr>
        <w:t>万元，且已收到中标通知书。具体详</w:t>
      </w:r>
      <w:r>
        <w:rPr>
          <w:spacing w:val="-14"/>
        </w:rPr>
        <w:t> </w:t>
      </w:r>
      <w:r>
        <w:rPr>
          <w:spacing w:val="-14"/>
        </w:rPr>
      </w:r>
      <w:r>
        <w:rPr>
          <w:spacing w:val="-9"/>
          <w:w w:val="100"/>
        </w:rPr>
        <w:t>见《中电兴发：关于全资子公司收到中标通知书的公告》（公告编号：</w:t>
      </w:r>
      <w:r>
        <w:rPr>
          <w:rFonts w:ascii="宋体" w:hAnsi="宋体" w:cs="宋体" w:eastAsia="宋体" w:hint="default"/>
          <w:spacing w:val="-9"/>
          <w:w w:val="100"/>
        </w:rPr>
        <w:t>2019-070</w:t>
      </w:r>
      <w:r>
        <w:rPr>
          <w:spacing w:val="-9"/>
          <w:w w:val="100"/>
        </w:rPr>
        <w:t>）。</w:t>
      </w:r>
      <w:r>
        <w:rPr>
          <w:w w:val="100"/>
        </w:rPr>
      </w:r>
    </w:p>
    <w:p>
      <w:pPr>
        <w:pStyle w:val="BodyText"/>
        <w:spacing w:line="240" w:lineRule="auto" w:before="27"/>
        <w:ind w:left="473" w:right="1002"/>
        <w:jc w:val="left"/>
      </w:pPr>
      <w:r>
        <w:rPr>
          <w:rFonts w:ascii="宋体" w:hAnsi="宋体" w:cs="宋体" w:eastAsia="宋体" w:hint="default"/>
        </w:rPr>
        <w:t>8</w:t>
      </w:r>
      <w:r>
        <w:rPr/>
        <w:t>、</w:t>
      </w:r>
      <w:r>
        <w:rPr>
          <w:rFonts w:ascii="宋体" w:hAnsi="宋体" w:cs="宋体" w:eastAsia="宋体" w:hint="default"/>
        </w:rPr>
        <w:t>2019</w:t>
      </w:r>
      <w:r>
        <w:rPr/>
        <w:t>年</w:t>
      </w:r>
      <w:r>
        <w:rPr>
          <w:rFonts w:ascii="宋体" w:hAnsi="宋体" w:cs="宋体" w:eastAsia="宋体" w:hint="default"/>
        </w:rPr>
        <w:t>11</w:t>
      </w:r>
      <w:r>
        <w:rPr/>
        <w:t>月，北京中电兴发作为联合体牵头人在夏邑县后备资源全流程投资开发项目（夏财采购</w:t>
      </w:r>
    </w:p>
    <w:p>
      <w:pPr>
        <w:pStyle w:val="BodyText"/>
        <w:spacing w:line="240" w:lineRule="auto" w:before="128"/>
        <w:ind w:right="1002"/>
        <w:jc w:val="left"/>
      </w:pPr>
      <w:r>
        <w:rPr/>
        <w:t>【</w:t>
      </w:r>
      <w:r>
        <w:rPr>
          <w:rFonts w:ascii="宋体" w:hAnsi="宋体" w:cs="宋体" w:eastAsia="宋体" w:hint="default"/>
        </w:rPr>
        <w:t>2019</w:t>
      </w:r>
      <w:r>
        <w:rPr/>
        <w:t>】</w:t>
      </w:r>
      <w:r>
        <w:rPr>
          <w:rFonts w:ascii="宋体" w:hAnsi="宋体" w:cs="宋体" w:eastAsia="宋体" w:hint="default"/>
        </w:rPr>
        <w:t>268 </w:t>
      </w:r>
      <w:r>
        <w:rPr/>
        <w:t>号）中中标，中标总金额预估为人民币 </w:t>
      </w:r>
      <w:r>
        <w:rPr>
          <w:rFonts w:ascii="宋体" w:hAnsi="宋体" w:cs="宋体" w:eastAsia="宋体" w:hint="default"/>
        </w:rPr>
        <w:t>88,770.00 </w:t>
      </w:r>
      <w:r>
        <w:rPr/>
        <w:t>万元，且已收到中标通知书。具体详见</w:t>
      </w:r>
    </w:p>
    <w:p>
      <w:pPr>
        <w:pStyle w:val="BodyText"/>
        <w:spacing w:line="350" w:lineRule="auto" w:before="123"/>
        <w:ind w:right="1127"/>
        <w:jc w:val="left"/>
      </w:pPr>
      <w:r>
        <w:rPr>
          <w:w w:val="100"/>
        </w:rPr>
        <w:t>《中电兴发</w:t>
      </w:r>
      <w:r>
        <w:rPr>
          <w:spacing w:val="-10"/>
          <w:w w:val="100"/>
        </w:rPr>
        <w:t>：</w:t>
      </w:r>
      <w:r>
        <w:rPr>
          <w:w w:val="100"/>
        </w:rPr>
        <w:t>关于全</w:t>
      </w:r>
      <w:r>
        <w:rPr>
          <w:spacing w:val="-5"/>
          <w:w w:val="100"/>
        </w:rPr>
        <w:t>资</w:t>
      </w:r>
      <w:r>
        <w:rPr>
          <w:w w:val="100"/>
        </w:rPr>
        <w:t>子公</w:t>
      </w:r>
      <w:r>
        <w:rPr>
          <w:spacing w:val="-5"/>
          <w:w w:val="100"/>
        </w:rPr>
        <w:t>司</w:t>
      </w:r>
      <w:r>
        <w:rPr>
          <w:w w:val="100"/>
        </w:rPr>
        <w:t>收到中</w:t>
      </w:r>
      <w:r>
        <w:rPr>
          <w:spacing w:val="-5"/>
          <w:w w:val="100"/>
        </w:rPr>
        <w:t>标</w:t>
      </w:r>
      <w:r>
        <w:rPr>
          <w:w w:val="100"/>
        </w:rPr>
        <w:t>通知书</w:t>
      </w:r>
      <w:r>
        <w:rPr>
          <w:spacing w:val="-5"/>
          <w:w w:val="100"/>
        </w:rPr>
        <w:t>的</w:t>
      </w:r>
      <w:r>
        <w:rPr>
          <w:w w:val="100"/>
        </w:rPr>
        <w:t>公</w:t>
      </w:r>
      <w:r>
        <w:rPr>
          <w:spacing w:val="-5"/>
          <w:w w:val="100"/>
        </w:rPr>
        <w:t>告</w:t>
      </w:r>
      <w:r>
        <w:rPr>
          <w:spacing w:val="-111"/>
          <w:w w:val="100"/>
        </w:rPr>
        <w:t>》</w:t>
      </w:r>
      <w:r>
        <w:rPr>
          <w:w w:val="100"/>
        </w:rPr>
        <w:t>（公告编</w:t>
      </w:r>
      <w:r>
        <w:rPr>
          <w:spacing w:val="-5"/>
          <w:w w:val="100"/>
        </w:rPr>
        <w:t>号</w:t>
      </w:r>
      <w:r>
        <w:rPr>
          <w:spacing w:val="-3"/>
          <w:w w:val="100"/>
        </w:rPr>
        <w:t>：</w:t>
      </w:r>
      <w:r>
        <w:rPr>
          <w:rFonts w:ascii="宋体" w:hAnsi="宋体" w:cs="宋体" w:eastAsia="宋体" w:hint="default"/>
          <w:w w:val="100"/>
        </w:rPr>
        <w:t>2019-0</w:t>
      </w:r>
      <w:r>
        <w:rPr>
          <w:rFonts w:ascii="宋体" w:hAnsi="宋体" w:cs="宋体" w:eastAsia="宋体" w:hint="default"/>
          <w:spacing w:val="-5"/>
          <w:w w:val="100"/>
        </w:rPr>
        <w:t>9</w:t>
      </w:r>
      <w:r>
        <w:rPr>
          <w:rFonts w:ascii="宋体" w:hAnsi="宋体" w:cs="宋体" w:eastAsia="宋体" w:hint="default"/>
          <w:w w:val="100"/>
        </w:rPr>
        <w:t>2</w:t>
      </w:r>
      <w:r>
        <w:rPr>
          <w:spacing w:val="-106"/>
          <w:w w:val="100"/>
        </w:rPr>
        <w:t>）</w:t>
      </w:r>
      <w:r>
        <w:rPr>
          <w:spacing w:val="-5"/>
          <w:w w:val="100"/>
        </w:rPr>
        <w:t>。</w:t>
      </w:r>
      <w:r>
        <w:rPr>
          <w:rFonts w:ascii="宋体" w:hAnsi="宋体" w:cs="宋体" w:eastAsia="宋体" w:hint="default"/>
          <w:w w:val="100"/>
        </w:rPr>
        <w:t>201</w:t>
      </w:r>
      <w:r>
        <w:rPr>
          <w:rFonts w:ascii="宋体" w:hAnsi="宋体" w:cs="宋体" w:eastAsia="宋体" w:hint="default"/>
          <w:spacing w:val="-5"/>
          <w:w w:val="100"/>
        </w:rPr>
        <w:t>9</w:t>
      </w:r>
      <w:r>
        <w:rPr>
          <w:w w:val="100"/>
        </w:rPr>
        <w:t>年</w:t>
      </w:r>
      <w:r>
        <w:rPr>
          <w:rFonts w:ascii="宋体" w:hAnsi="宋体" w:cs="宋体" w:eastAsia="宋体" w:hint="default"/>
          <w:w w:val="100"/>
        </w:rPr>
        <w:t>12</w:t>
      </w:r>
      <w:r>
        <w:rPr>
          <w:w w:val="100"/>
        </w:rPr>
        <w:t>月</w:t>
      </w:r>
      <w:r>
        <w:rPr>
          <w:spacing w:val="-10"/>
          <w:w w:val="100"/>
        </w:rPr>
        <w:t>，</w:t>
      </w:r>
      <w:r>
        <w:rPr>
          <w:w w:val="100"/>
        </w:rPr>
        <w:t>北京中</w:t>
      </w:r>
      <w:r>
        <w:rPr>
          <w:spacing w:val="-5"/>
          <w:w w:val="100"/>
        </w:rPr>
        <w:t>电</w:t>
      </w:r>
      <w:r>
        <w:rPr>
          <w:w w:val="100"/>
        </w:rPr>
        <w:t>兴</w:t>
      </w:r>
      <w:r>
        <w:rPr>
          <w:w w:val="100"/>
        </w:rPr>
        <w:t> 发就该项</w:t>
      </w:r>
      <w:r>
        <w:rPr>
          <w:spacing w:val="-5"/>
          <w:w w:val="100"/>
        </w:rPr>
        <w:t>目</w:t>
      </w:r>
      <w:r>
        <w:rPr>
          <w:w w:val="100"/>
        </w:rPr>
        <w:t>签订了</w:t>
      </w:r>
      <w:r>
        <w:rPr>
          <w:spacing w:val="-5"/>
          <w:w w:val="100"/>
        </w:rPr>
        <w:t>《</w:t>
      </w:r>
      <w:r>
        <w:rPr>
          <w:w w:val="100"/>
        </w:rPr>
        <w:t>中电兴</w:t>
      </w:r>
      <w:r>
        <w:rPr>
          <w:spacing w:val="-5"/>
          <w:w w:val="100"/>
        </w:rPr>
        <w:t>发</w:t>
      </w:r>
      <w:r>
        <w:rPr>
          <w:w w:val="100"/>
        </w:rPr>
        <w:t>：夏邑</w:t>
      </w:r>
      <w:r>
        <w:rPr>
          <w:spacing w:val="-5"/>
          <w:w w:val="100"/>
        </w:rPr>
        <w:t>县</w:t>
      </w:r>
      <w:r>
        <w:rPr>
          <w:w w:val="100"/>
        </w:rPr>
        <w:t>后备资</w:t>
      </w:r>
      <w:r>
        <w:rPr>
          <w:spacing w:val="-5"/>
          <w:w w:val="100"/>
        </w:rPr>
        <w:t>源</w:t>
      </w:r>
      <w:r>
        <w:rPr>
          <w:w w:val="100"/>
        </w:rPr>
        <w:t>全</w:t>
      </w:r>
      <w:r>
        <w:rPr>
          <w:spacing w:val="-5"/>
          <w:w w:val="100"/>
        </w:rPr>
        <w:t>流</w:t>
      </w:r>
      <w:r>
        <w:rPr>
          <w:w w:val="100"/>
        </w:rPr>
        <w:t>程投资开</w:t>
      </w:r>
      <w:r>
        <w:rPr>
          <w:spacing w:val="-5"/>
          <w:w w:val="100"/>
        </w:rPr>
        <w:t>发</w:t>
      </w:r>
      <w:r>
        <w:rPr>
          <w:w w:val="100"/>
        </w:rPr>
        <w:t>项目政</w:t>
      </w:r>
      <w:r>
        <w:rPr>
          <w:spacing w:val="-5"/>
          <w:w w:val="100"/>
        </w:rPr>
        <w:t>府</w:t>
      </w:r>
      <w:r>
        <w:rPr>
          <w:w w:val="100"/>
        </w:rPr>
        <w:t>采购合同</w:t>
      </w:r>
      <w:r>
        <w:rPr>
          <w:spacing w:val="-111"/>
          <w:w w:val="100"/>
        </w:rPr>
        <w:t>》</w:t>
      </w:r>
      <w:r>
        <w:rPr>
          <w:w w:val="100"/>
        </w:rPr>
        <w:t>。具体</w:t>
      </w:r>
      <w:r>
        <w:rPr>
          <w:spacing w:val="-5"/>
          <w:w w:val="100"/>
        </w:rPr>
        <w:t>详</w:t>
      </w:r>
      <w:r>
        <w:rPr>
          <w:w w:val="100"/>
        </w:rPr>
        <w:t>见《</w:t>
      </w:r>
      <w:r>
        <w:rPr>
          <w:spacing w:val="-5"/>
          <w:w w:val="100"/>
        </w:rPr>
        <w:t>中</w:t>
      </w:r>
      <w:r>
        <w:rPr>
          <w:w w:val="100"/>
        </w:rPr>
        <w:t>电兴</w:t>
      </w:r>
      <w:r>
        <w:rPr>
          <w:w w:val="100"/>
        </w:rPr>
        <w:t> 发：关于</w:t>
      </w:r>
      <w:r>
        <w:rPr>
          <w:spacing w:val="-5"/>
          <w:w w:val="100"/>
        </w:rPr>
        <w:t>全</w:t>
      </w:r>
      <w:r>
        <w:rPr>
          <w:w w:val="100"/>
        </w:rPr>
        <w:t>资子公</w:t>
      </w:r>
      <w:r>
        <w:rPr>
          <w:spacing w:val="-5"/>
          <w:w w:val="100"/>
        </w:rPr>
        <w:t>司</w:t>
      </w:r>
      <w:r>
        <w:rPr>
          <w:w w:val="100"/>
        </w:rPr>
        <w:t>签订智</w:t>
      </w:r>
      <w:r>
        <w:rPr>
          <w:spacing w:val="-5"/>
          <w:w w:val="100"/>
        </w:rPr>
        <w:t>慧</w:t>
      </w:r>
      <w:r>
        <w:rPr>
          <w:w w:val="100"/>
        </w:rPr>
        <w:t>国土项</w:t>
      </w:r>
      <w:r>
        <w:rPr>
          <w:spacing w:val="-5"/>
          <w:w w:val="100"/>
        </w:rPr>
        <w:t>目</w:t>
      </w:r>
      <w:r>
        <w:rPr>
          <w:w w:val="100"/>
        </w:rPr>
        <w:t>合同的</w:t>
      </w:r>
      <w:r>
        <w:rPr>
          <w:spacing w:val="-5"/>
          <w:w w:val="100"/>
        </w:rPr>
        <w:t>公</w:t>
      </w:r>
      <w:r>
        <w:rPr>
          <w:w w:val="100"/>
        </w:rPr>
        <w:t>告</w:t>
      </w:r>
      <w:r>
        <w:rPr>
          <w:spacing w:val="-111"/>
          <w:w w:val="100"/>
        </w:rPr>
        <w:t>》</w:t>
      </w:r>
      <w:r>
        <w:rPr>
          <w:w w:val="100"/>
        </w:rPr>
        <w:t>（公告编</w:t>
      </w:r>
      <w:r>
        <w:rPr>
          <w:spacing w:val="-5"/>
          <w:w w:val="100"/>
        </w:rPr>
        <w:t>号</w:t>
      </w:r>
      <w:r>
        <w:rPr>
          <w:spacing w:val="2"/>
          <w:w w:val="100"/>
        </w:rPr>
        <w:t>：</w:t>
      </w:r>
      <w:r>
        <w:rPr>
          <w:rFonts w:ascii="宋体" w:hAnsi="宋体" w:cs="宋体" w:eastAsia="宋体" w:hint="default"/>
          <w:w w:val="100"/>
        </w:rPr>
        <w:t>2019-0</w:t>
      </w:r>
      <w:r>
        <w:rPr>
          <w:rFonts w:ascii="宋体" w:hAnsi="宋体" w:cs="宋体" w:eastAsia="宋体" w:hint="default"/>
          <w:spacing w:val="-5"/>
          <w:w w:val="100"/>
        </w:rPr>
        <w:t>9</w:t>
      </w:r>
      <w:r>
        <w:rPr>
          <w:rFonts w:ascii="宋体" w:hAnsi="宋体" w:cs="宋体" w:eastAsia="宋体" w:hint="default"/>
          <w:w w:val="100"/>
        </w:rPr>
        <w:t>8</w:t>
      </w:r>
      <w:r>
        <w:rPr>
          <w:spacing w:val="-106"/>
          <w:w w:val="100"/>
        </w:rPr>
        <w:t>）。</w:t>
      </w:r>
      <w:r>
        <w:rPr>
          <w:w w:val="100"/>
        </w:rPr>
      </w:r>
    </w:p>
    <w:p>
      <w:pPr>
        <w:pStyle w:val="BodyText"/>
        <w:spacing w:line="240" w:lineRule="auto" w:before="27"/>
        <w:ind w:left="535" w:right="1002"/>
        <w:jc w:val="left"/>
      </w:pPr>
      <w:r>
        <w:rPr>
          <w:rFonts w:ascii="宋体" w:hAnsi="宋体" w:cs="宋体" w:eastAsia="宋体" w:hint="default"/>
        </w:rPr>
        <w:t>9</w:t>
      </w:r>
      <w:r>
        <w:rPr/>
        <w:t>、</w:t>
      </w:r>
      <w:r>
        <w:rPr>
          <w:rFonts w:ascii="宋体" w:hAnsi="宋体" w:cs="宋体" w:eastAsia="宋体" w:hint="default"/>
        </w:rPr>
        <w:t>2019</w:t>
      </w:r>
      <w:r>
        <w:rPr/>
        <w:t>年</w:t>
      </w:r>
      <w:r>
        <w:rPr>
          <w:rFonts w:ascii="宋体" w:hAnsi="宋体" w:cs="宋体" w:eastAsia="宋体" w:hint="default"/>
        </w:rPr>
        <w:t>12</w:t>
      </w:r>
      <w:r>
        <w:rPr/>
        <w:t>月，北京中电兴发作为联合体牵头单位中标贵州省毕节市大方县全域智慧旅游信息化平</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24"/>
        <w:jc w:val="left"/>
      </w:pPr>
      <w:r>
        <w:rPr>
          <w:w w:val="100"/>
        </w:rPr>
        <w:t>台建设</w:t>
      </w:r>
      <w:r>
        <w:rPr/>
        <w:t> </w:t>
      </w:r>
      <w:r>
        <w:rPr>
          <w:rFonts w:ascii="宋体" w:hAnsi="宋体" w:cs="宋体" w:eastAsia="宋体" w:hint="default"/>
          <w:w w:val="100"/>
        </w:rPr>
        <w:t>PPP</w:t>
      </w:r>
      <w:r>
        <w:rPr>
          <w:rFonts w:ascii="宋体" w:hAnsi="宋体" w:cs="宋体" w:eastAsia="宋体" w:hint="default"/>
          <w:spacing w:val="-4"/>
        </w:rPr>
        <w:t> </w:t>
      </w:r>
      <w:r>
        <w:rPr>
          <w:w w:val="100"/>
        </w:rPr>
        <w:t>项目（</w:t>
      </w:r>
      <w:r>
        <w:rPr>
          <w:rFonts w:ascii="宋体" w:hAnsi="宋体" w:cs="宋体" w:eastAsia="宋体" w:hint="default"/>
          <w:w w:val="100"/>
        </w:rPr>
        <w:t>9</w:t>
      </w:r>
      <w:r>
        <w:rPr>
          <w:rFonts w:ascii="宋体" w:hAnsi="宋体" w:cs="宋体" w:eastAsia="宋体" w:hint="default"/>
          <w:spacing w:val="-5"/>
          <w:w w:val="100"/>
        </w:rPr>
        <w:t>3</w:t>
      </w:r>
      <w:r>
        <w:rPr>
          <w:rFonts w:ascii="宋体" w:hAnsi="宋体" w:cs="宋体" w:eastAsia="宋体" w:hint="default"/>
          <w:w w:val="100"/>
        </w:rPr>
        <w:t>-ZC2018</w:t>
      </w:r>
      <w:r>
        <w:rPr>
          <w:rFonts w:ascii="宋体" w:hAnsi="宋体" w:cs="宋体" w:eastAsia="宋体" w:hint="default"/>
          <w:spacing w:val="-5"/>
          <w:w w:val="100"/>
        </w:rPr>
        <w:t>-</w:t>
      </w:r>
      <w:r>
        <w:rPr>
          <w:rFonts w:ascii="宋体" w:hAnsi="宋体" w:cs="宋体" w:eastAsia="宋体" w:hint="default"/>
          <w:w w:val="100"/>
        </w:rPr>
        <w:t>7-2</w:t>
      </w:r>
      <w:r>
        <w:rPr>
          <w:rFonts w:ascii="宋体" w:hAnsi="宋体" w:cs="宋体" w:eastAsia="宋体" w:hint="default"/>
          <w:spacing w:val="-24"/>
        </w:rPr>
        <w:t> </w:t>
      </w:r>
      <w:r>
        <w:rPr>
          <w:rFonts w:ascii="宋体" w:hAnsi="宋体" w:cs="宋体" w:eastAsia="宋体" w:hint="default"/>
          <w:w w:val="100"/>
        </w:rPr>
        <w:t>67</w:t>
      </w:r>
      <w:r>
        <w:rPr>
          <w:spacing w:val="-106"/>
          <w:w w:val="100"/>
        </w:rPr>
        <w:t>）</w:t>
      </w:r>
      <w:r>
        <w:rPr>
          <w:w w:val="100"/>
        </w:rPr>
        <w:t>，</w:t>
      </w:r>
      <w:r>
        <w:rPr>
          <w:spacing w:val="-5"/>
          <w:w w:val="100"/>
        </w:rPr>
        <w:t>并</w:t>
      </w:r>
      <w:r>
        <w:rPr>
          <w:w w:val="100"/>
        </w:rPr>
        <w:t>就该项</w:t>
      </w:r>
      <w:r>
        <w:rPr>
          <w:spacing w:val="-5"/>
          <w:w w:val="100"/>
        </w:rPr>
        <w:t>目</w:t>
      </w:r>
      <w:r>
        <w:rPr>
          <w:w w:val="100"/>
        </w:rPr>
        <w:t>与大方县</w:t>
      </w:r>
      <w:r>
        <w:rPr>
          <w:spacing w:val="-5"/>
          <w:w w:val="100"/>
        </w:rPr>
        <w:t>文</w:t>
      </w:r>
      <w:r>
        <w:rPr>
          <w:w w:val="100"/>
        </w:rPr>
        <w:t>体广电</w:t>
      </w:r>
      <w:r>
        <w:rPr>
          <w:spacing w:val="-5"/>
          <w:w w:val="100"/>
        </w:rPr>
        <w:t>旅</w:t>
      </w:r>
      <w:r>
        <w:rPr>
          <w:w w:val="100"/>
        </w:rPr>
        <w:t>游局签</w:t>
      </w:r>
      <w:r>
        <w:rPr>
          <w:spacing w:val="-5"/>
          <w:w w:val="100"/>
        </w:rPr>
        <w:t>订</w:t>
      </w:r>
      <w:r>
        <w:rPr>
          <w:w w:val="100"/>
        </w:rPr>
        <w:t>了《贵</w:t>
      </w:r>
      <w:r>
        <w:rPr>
          <w:spacing w:val="-5"/>
          <w:w w:val="100"/>
        </w:rPr>
        <w:t>州</w:t>
      </w:r>
      <w:r>
        <w:rPr>
          <w:w w:val="100"/>
        </w:rPr>
        <w:t>省毕节</w:t>
      </w:r>
      <w:r>
        <w:rPr>
          <w:spacing w:val="-5"/>
          <w:w w:val="100"/>
        </w:rPr>
        <w:t>市</w:t>
      </w:r>
      <w:r>
        <w:rPr>
          <w:w w:val="100"/>
        </w:rPr>
        <w:t>大方</w:t>
      </w:r>
      <w:r>
        <w:rPr>
          <w:w w:val="100"/>
        </w:rPr>
        <w:t> 县全域智</w:t>
      </w:r>
      <w:r>
        <w:rPr>
          <w:spacing w:val="-5"/>
          <w:w w:val="100"/>
        </w:rPr>
        <w:t>慧</w:t>
      </w:r>
      <w:r>
        <w:rPr>
          <w:w w:val="100"/>
        </w:rPr>
        <w:t>旅游信</w:t>
      </w:r>
      <w:r>
        <w:rPr>
          <w:spacing w:val="-5"/>
          <w:w w:val="100"/>
        </w:rPr>
        <w:t>息</w:t>
      </w:r>
      <w:r>
        <w:rPr>
          <w:w w:val="100"/>
        </w:rPr>
        <w:t>化平台</w:t>
      </w:r>
      <w:r>
        <w:rPr>
          <w:spacing w:val="-5"/>
          <w:w w:val="100"/>
        </w:rPr>
        <w:t>建</w:t>
      </w:r>
      <w:r>
        <w:rPr>
          <w:w w:val="100"/>
        </w:rPr>
        <w:t>设</w:t>
      </w:r>
      <w:r>
        <w:rPr>
          <w:spacing w:val="1"/>
        </w:rPr>
        <w:t> </w:t>
      </w:r>
      <w:r>
        <w:rPr>
          <w:rFonts w:ascii="宋体" w:hAnsi="宋体" w:cs="宋体" w:eastAsia="宋体" w:hint="default"/>
          <w:w w:val="100"/>
        </w:rPr>
        <w:t>PPP</w:t>
      </w:r>
      <w:r>
        <w:rPr>
          <w:rFonts w:ascii="宋体" w:hAnsi="宋体" w:cs="宋体" w:eastAsia="宋体" w:hint="default"/>
          <w:spacing w:val="1"/>
        </w:rPr>
        <w:t> </w:t>
      </w:r>
      <w:r>
        <w:rPr>
          <w:spacing w:val="-5"/>
          <w:w w:val="100"/>
        </w:rPr>
        <w:t>项</w:t>
      </w:r>
      <w:r>
        <w:rPr>
          <w:w w:val="100"/>
        </w:rPr>
        <w:t>目合同</w:t>
      </w:r>
      <w:r>
        <w:rPr>
          <w:spacing w:val="-111"/>
          <w:w w:val="100"/>
        </w:rPr>
        <w:t>》</w:t>
      </w:r>
      <w:r>
        <w:rPr>
          <w:w w:val="100"/>
        </w:rPr>
        <w:t>，</w:t>
      </w:r>
      <w:r>
        <w:rPr>
          <w:spacing w:val="-5"/>
          <w:w w:val="100"/>
        </w:rPr>
        <w:t>项</w:t>
      </w:r>
      <w:r>
        <w:rPr>
          <w:w w:val="100"/>
        </w:rPr>
        <w:t>目建设总</w:t>
      </w:r>
      <w:r>
        <w:rPr>
          <w:spacing w:val="-5"/>
          <w:w w:val="100"/>
        </w:rPr>
        <w:t>投</w:t>
      </w:r>
      <w:r>
        <w:rPr>
          <w:w w:val="100"/>
        </w:rPr>
        <w:t>资估算</w:t>
      </w:r>
      <w:r>
        <w:rPr>
          <w:spacing w:val="-5"/>
          <w:w w:val="100"/>
        </w:rPr>
        <w:t>为</w:t>
      </w:r>
      <w:r>
        <w:rPr>
          <w:w w:val="100"/>
        </w:rPr>
        <w:t>人民币</w:t>
      </w:r>
      <w:r>
        <w:rPr>
          <w:spacing w:val="2"/>
        </w:rPr>
        <w:t> </w:t>
      </w:r>
      <w:r>
        <w:rPr>
          <w:rFonts w:ascii="宋体" w:hAnsi="宋体" w:cs="宋体" w:eastAsia="宋体" w:hint="default"/>
          <w:w w:val="100"/>
        </w:rPr>
        <w:t>1</w:t>
      </w:r>
      <w:r>
        <w:rPr>
          <w:rFonts w:ascii="宋体" w:hAnsi="宋体" w:cs="宋体" w:eastAsia="宋体" w:hint="default"/>
          <w:spacing w:val="-5"/>
          <w:w w:val="100"/>
        </w:rPr>
        <w:t>0</w:t>
      </w:r>
      <w:r>
        <w:rPr>
          <w:rFonts w:ascii="宋体" w:hAnsi="宋体" w:cs="宋体" w:eastAsia="宋体" w:hint="default"/>
          <w:w w:val="100"/>
        </w:rPr>
        <w:t>,493.55</w:t>
      </w:r>
      <w:r>
        <w:rPr>
          <w:rFonts w:ascii="宋体" w:hAnsi="宋体" w:cs="宋体" w:eastAsia="宋体" w:hint="default"/>
          <w:spacing w:val="-4"/>
        </w:rPr>
        <w:t> </w:t>
      </w:r>
      <w:r>
        <w:rPr>
          <w:w w:val="100"/>
        </w:rPr>
        <w:t>万元</w:t>
      </w:r>
      <w:r>
        <w:rPr>
          <w:spacing w:val="-5"/>
          <w:w w:val="100"/>
        </w:rPr>
        <w:t>。</w:t>
      </w:r>
      <w:r>
        <w:rPr>
          <w:w w:val="100"/>
        </w:rPr>
        <w:t>具体</w:t>
      </w:r>
      <w:r>
        <w:rPr>
          <w:w w:val="100"/>
        </w:rPr>
        <w:t> 详见《中</w:t>
      </w:r>
      <w:r>
        <w:rPr>
          <w:spacing w:val="-5"/>
          <w:w w:val="100"/>
        </w:rPr>
        <w:t>电</w:t>
      </w:r>
      <w:r>
        <w:rPr>
          <w:w w:val="100"/>
        </w:rPr>
        <w:t>兴发：</w:t>
      </w:r>
      <w:r>
        <w:rPr>
          <w:spacing w:val="-5"/>
          <w:w w:val="100"/>
        </w:rPr>
        <w:t>关</w:t>
      </w:r>
      <w:r>
        <w:rPr>
          <w:w w:val="100"/>
        </w:rPr>
        <w:t>于全资</w:t>
      </w:r>
      <w:r>
        <w:rPr>
          <w:spacing w:val="-5"/>
          <w:w w:val="100"/>
        </w:rPr>
        <w:t>子</w:t>
      </w:r>
      <w:r>
        <w:rPr>
          <w:w w:val="100"/>
        </w:rPr>
        <w:t>公司收</w:t>
      </w:r>
      <w:r>
        <w:rPr>
          <w:spacing w:val="-5"/>
          <w:w w:val="100"/>
        </w:rPr>
        <w:t>到</w:t>
      </w:r>
      <w:r>
        <w:rPr>
          <w:w w:val="100"/>
        </w:rPr>
        <w:t>中标通</w:t>
      </w:r>
      <w:r>
        <w:rPr>
          <w:spacing w:val="-5"/>
          <w:w w:val="100"/>
        </w:rPr>
        <w:t>知</w:t>
      </w:r>
      <w:r>
        <w:rPr>
          <w:w w:val="100"/>
        </w:rPr>
        <w:t>书</w:t>
      </w:r>
      <w:r>
        <w:rPr>
          <w:spacing w:val="-5"/>
          <w:w w:val="100"/>
        </w:rPr>
        <w:t>并</w:t>
      </w:r>
      <w:r>
        <w:rPr>
          <w:w w:val="100"/>
        </w:rPr>
        <w:t>签订合同</w:t>
      </w:r>
      <w:r>
        <w:rPr>
          <w:spacing w:val="-5"/>
          <w:w w:val="100"/>
        </w:rPr>
        <w:t>的</w:t>
      </w:r>
      <w:r>
        <w:rPr>
          <w:w w:val="100"/>
        </w:rPr>
        <w:t>公告</w:t>
      </w:r>
      <w:r>
        <w:rPr>
          <w:spacing w:val="-106"/>
          <w:w w:val="100"/>
        </w:rPr>
        <w:t>》</w:t>
      </w:r>
      <w:r>
        <w:rPr>
          <w:w w:val="100"/>
        </w:rPr>
        <w:t>（</w:t>
      </w:r>
      <w:r>
        <w:rPr>
          <w:spacing w:val="-5"/>
          <w:w w:val="100"/>
        </w:rPr>
        <w:t>公</w:t>
      </w:r>
      <w:r>
        <w:rPr>
          <w:w w:val="100"/>
        </w:rPr>
        <w:t>告编号</w:t>
      </w:r>
      <w:r>
        <w:rPr>
          <w:spacing w:val="-2"/>
          <w:w w:val="100"/>
        </w:rPr>
        <w:t>：</w:t>
      </w:r>
      <w:r>
        <w:rPr>
          <w:rFonts w:ascii="宋体" w:hAnsi="宋体" w:cs="宋体" w:eastAsia="宋体" w:hint="default"/>
          <w:w w:val="100"/>
        </w:rPr>
        <w:t>2019-10</w:t>
      </w:r>
      <w:r>
        <w:rPr>
          <w:rFonts w:ascii="宋体" w:hAnsi="宋体" w:cs="宋体" w:eastAsia="宋体" w:hint="default"/>
          <w:spacing w:val="-5"/>
          <w:w w:val="100"/>
        </w:rPr>
        <w:t>2</w:t>
      </w:r>
      <w:r>
        <w:rPr>
          <w:spacing w:val="-106"/>
          <w:w w:val="100"/>
        </w:rPr>
        <w:t>）。</w:t>
      </w:r>
      <w:r>
        <w:rPr>
          <w:w w:val="100"/>
        </w:rPr>
      </w:r>
    </w:p>
    <w:p>
      <w:pPr>
        <w:spacing w:line="348" w:lineRule="auto" w:before="27"/>
        <w:ind w:left="535" w:right="1002" w:hanging="106"/>
        <w:jc w:val="left"/>
        <w:rPr>
          <w:rFonts w:ascii="宋体" w:hAnsi="宋体" w:cs="宋体" w:eastAsia="宋体" w:hint="default"/>
          <w:sz w:val="21"/>
          <w:szCs w:val="21"/>
        </w:rPr>
      </w:pPr>
      <w:r>
        <w:rPr>
          <w:rFonts w:ascii="宋体" w:hAnsi="宋体" w:cs="宋体" w:eastAsia="宋体" w:hint="default"/>
          <w:b/>
          <w:bCs/>
          <w:sz w:val="21"/>
          <w:szCs w:val="21"/>
        </w:rPr>
        <w:t>（二）截至本报告披露日，全资子公司北京中电兴发签订项目或协议如下：</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1</w:t>
      </w:r>
      <w:r>
        <w:rPr>
          <w:rFonts w:ascii="宋体" w:hAnsi="宋体" w:cs="宋体" w:eastAsia="宋体" w:hint="default"/>
          <w:spacing w:val="-2"/>
          <w:sz w:val="21"/>
          <w:szCs w:val="21"/>
        </w:rPr>
        <w:t>、</w:t>
      </w:r>
      <w:r>
        <w:rPr>
          <w:rFonts w:ascii="宋体" w:hAnsi="宋体" w:cs="宋体" w:eastAsia="宋体" w:hint="default"/>
          <w:spacing w:val="-2"/>
          <w:sz w:val="21"/>
          <w:szCs w:val="21"/>
        </w:rPr>
        <w:t>2020</w:t>
      </w:r>
      <w:r>
        <w:rPr>
          <w:rFonts w:ascii="宋体" w:hAnsi="宋体" w:cs="宋体" w:eastAsia="宋体" w:hint="default"/>
          <w:spacing w:val="-2"/>
          <w:sz w:val="21"/>
          <w:szCs w:val="21"/>
        </w:rPr>
        <w:t>年</w:t>
      </w:r>
      <w:r>
        <w:rPr>
          <w:rFonts w:ascii="宋体" w:hAnsi="宋体" w:cs="宋体" w:eastAsia="宋体" w:hint="default"/>
          <w:spacing w:val="-2"/>
          <w:sz w:val="21"/>
          <w:szCs w:val="21"/>
        </w:rPr>
        <w:t>1</w:t>
      </w:r>
      <w:r>
        <w:rPr>
          <w:rFonts w:ascii="宋体" w:hAnsi="宋体" w:cs="宋体" w:eastAsia="宋体" w:hint="default"/>
          <w:spacing w:val="-2"/>
          <w:sz w:val="21"/>
          <w:szCs w:val="21"/>
        </w:rPr>
        <w:t>月，公司作为联合体成员单位中标中方县城乡建设用地增减挂钩项目（中财采计</w:t>
      </w:r>
    </w:p>
    <w:p>
      <w:pPr>
        <w:pStyle w:val="BodyText"/>
        <w:spacing w:line="328" w:lineRule="auto" w:before="34"/>
        <w:ind w:right="1130"/>
        <w:jc w:val="both"/>
      </w:pPr>
      <w:r>
        <w:rPr>
          <w:rFonts w:ascii="Times New Roman" w:hAnsi="Times New Roman" w:cs="Times New Roman" w:eastAsia="Times New Roman" w:hint="default"/>
          <w:spacing w:val="-6"/>
          <w:w w:val="100"/>
        </w:rPr>
        <w:t>-2019-2060</w:t>
      </w:r>
      <w:r>
        <w:rPr>
          <w:spacing w:val="-6"/>
          <w:w w:val="100"/>
        </w:rPr>
        <w:t>），并与中方县自然资源局签订了《中方县城乡建设用地增减挂钩项目政府采购合同》，合同总</w:t>
      </w:r>
      <w:r>
        <w:rPr>
          <w:spacing w:val="-64"/>
          <w:w w:val="100"/>
        </w:rPr>
        <w:t> </w:t>
      </w:r>
      <w:r>
        <w:rPr>
          <w:spacing w:val="-64"/>
          <w:w w:val="100"/>
        </w:rPr>
      </w:r>
      <w:r>
        <w:rPr/>
        <w:t>价暂定为人民币</w:t>
      </w:r>
      <w:r>
        <w:rPr>
          <w:spacing w:val="26"/>
        </w:rPr>
        <w:t> </w:t>
      </w:r>
      <w:r>
        <w:rPr>
          <w:rFonts w:ascii="Times New Roman" w:hAnsi="Times New Roman" w:cs="Times New Roman" w:eastAsia="Times New Roman" w:hint="default"/>
        </w:rPr>
        <w:t>119,600,000.00</w:t>
      </w:r>
      <w:r>
        <w:rPr>
          <w:rFonts w:ascii="Times New Roman" w:hAnsi="Times New Roman" w:cs="Times New Roman" w:eastAsia="Times New Roman" w:hint="default"/>
          <w:spacing w:val="19"/>
        </w:rPr>
        <w:t> </w:t>
      </w:r>
      <w:r>
        <w:rPr>
          <w:spacing w:val="-4"/>
        </w:rPr>
        <w:t>元，具体详见《中电兴发：关于全资子公司收到中标通知书并签订合同的</w:t>
      </w:r>
      <w:r>
        <w:rPr>
          <w:spacing w:val="-102"/>
        </w:rPr>
        <w:t> </w:t>
      </w:r>
      <w:r>
        <w:rPr>
          <w:spacing w:val="-102"/>
        </w:rPr>
      </w:r>
      <w:r>
        <w:rPr>
          <w:spacing w:val="-18"/>
          <w:w w:val="100"/>
        </w:rPr>
        <w:t>公告》（公告编号：</w:t>
      </w:r>
      <w:r>
        <w:rPr>
          <w:rFonts w:ascii="Times New Roman" w:hAnsi="Times New Roman" w:cs="Times New Roman" w:eastAsia="Times New Roman" w:hint="default"/>
          <w:spacing w:val="-18"/>
          <w:w w:val="100"/>
        </w:rPr>
        <w:t>2020-001</w:t>
      </w:r>
      <w:r>
        <w:rPr>
          <w:spacing w:val="-18"/>
          <w:w w:val="100"/>
        </w:rPr>
        <w:t>）；</w:t>
      </w:r>
      <w:r>
        <w:rPr>
          <w:w w:val="100"/>
        </w:rPr>
      </w:r>
    </w:p>
    <w:p>
      <w:pPr>
        <w:pStyle w:val="BodyText"/>
        <w:spacing w:line="338" w:lineRule="auto" w:before="26"/>
        <w:ind w:right="1122" w:firstLine="422"/>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月，子公司开封云聚锦尚数据管理有限公司与开封市祥符区国有资产投资经营有限责任公</w:t>
      </w:r>
      <w:r>
        <w:rPr>
          <w:w w:val="100"/>
        </w:rPr>
        <w:t> </w:t>
      </w:r>
      <w:r>
        <w:rPr>
          <w:spacing w:val="-6"/>
          <w:w w:val="100"/>
        </w:rPr>
        <w:t>司和河南锦尚土地整治有限公司签订了祥符区土地后备资源投资开发项目协议（以下简称“协议”），协议</w:t>
      </w:r>
      <w:r>
        <w:rPr>
          <w:w w:val="100"/>
        </w:rPr>
        <w:t> </w:t>
      </w:r>
      <w:r>
        <w:rPr/>
        <w:t>总价暂定为人民币</w:t>
      </w:r>
      <w:r>
        <w:rPr>
          <w:rFonts w:ascii="Times New Roman" w:hAnsi="Times New Roman" w:cs="Times New Roman" w:eastAsia="Times New Roman" w:hint="default"/>
        </w:rPr>
        <w:t>55,000</w:t>
      </w:r>
      <w:r>
        <w:rPr/>
        <w:t>万元。</w:t>
      </w:r>
    </w:p>
    <w:p>
      <w:pPr>
        <w:spacing w:line="348" w:lineRule="auto" w:before="17"/>
        <w:ind w:left="535" w:right="1002" w:hanging="106"/>
        <w:jc w:val="left"/>
        <w:rPr>
          <w:rFonts w:ascii="宋体" w:hAnsi="宋体" w:cs="宋体" w:eastAsia="宋体" w:hint="default"/>
          <w:sz w:val="21"/>
          <w:szCs w:val="21"/>
        </w:rPr>
      </w:pPr>
      <w:r>
        <w:rPr>
          <w:rFonts w:ascii="宋体" w:hAnsi="宋体" w:cs="宋体" w:eastAsia="宋体" w:hint="default"/>
          <w:b/>
          <w:bCs/>
          <w:sz w:val="21"/>
          <w:szCs w:val="21"/>
        </w:rPr>
        <w:t>（三）全资子公司签署框架协议</w:t>
      </w:r>
      <w:r>
        <w:rPr>
          <w:rFonts w:ascii="宋体" w:hAnsi="宋体" w:cs="宋体" w:eastAsia="宋体" w:hint="default"/>
          <w:b/>
          <w:bCs/>
          <w:spacing w:val="-101"/>
          <w:sz w:val="21"/>
          <w:szCs w:val="21"/>
        </w:rPr>
        <w:t> </w:t>
      </w:r>
      <w:r>
        <w:rPr>
          <w:rFonts w:ascii="宋体" w:hAnsi="宋体" w:cs="宋体" w:eastAsia="宋体"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2"/>
          <w:sz w:val="21"/>
          <w:szCs w:val="21"/>
        </w:rPr>
        <w:t>2</w:t>
      </w:r>
      <w:r>
        <w:rPr>
          <w:rFonts w:ascii="宋体" w:hAnsi="宋体" w:cs="宋体" w:eastAsia="宋体" w:hint="default"/>
          <w:spacing w:val="-2"/>
          <w:sz w:val="21"/>
          <w:szCs w:val="21"/>
        </w:rPr>
        <w:t>月，北京中电兴发与中国航发贵州黎阳航空动力有限公司签署了战略合作框架协议。本次战</w:t>
      </w:r>
    </w:p>
    <w:p>
      <w:pPr>
        <w:pStyle w:val="BodyText"/>
        <w:spacing w:line="350" w:lineRule="auto" w:before="29"/>
        <w:ind w:right="1020"/>
        <w:jc w:val="left"/>
      </w:pPr>
      <w:r>
        <w:rPr/>
        <w:t>略合作协议的签署，将充分融合双方技术、资源、人才优势，构建极具竞争力的军民融合智慧生态，推动</w:t>
      </w:r>
      <w:r>
        <w:rPr>
          <w:w w:val="100"/>
        </w:rPr>
        <w:t> </w:t>
      </w:r>
      <w:r>
        <w:rPr>
          <w:spacing w:val="-4"/>
        </w:rPr>
        <w:t>双方重点业务和产业链融合创新发展，培育新的产业增长点。对北京中电兴发在智慧社会领域的技术精进、</w:t>
      </w:r>
      <w:r>
        <w:rPr>
          <w:spacing w:val="-42"/>
        </w:rPr>
        <w:t> </w:t>
      </w:r>
      <w:r>
        <w:rPr>
          <w:spacing w:val="-42"/>
        </w:rPr>
      </w:r>
      <w:r>
        <w:rPr/>
        <w:t>产品研发、业务发展以及市场拓展将产生积极的推动作用，有利于促进北京中电兴发在智慧中国基础设施</w:t>
      </w:r>
      <w:r>
        <w:rPr>
          <w:w w:val="100"/>
        </w:rPr>
        <w:t> </w:t>
      </w:r>
      <w:r>
        <w:rPr/>
        <w:t>层、通用支撑层、智慧应用层的核心技术、先进产品的研究和开发，并增强全面解决方案能力，从而提升</w:t>
      </w:r>
      <w:r>
        <w:rPr>
          <w:w w:val="100"/>
        </w:rPr>
        <w:t> </w:t>
      </w:r>
      <w:r>
        <w:rPr/>
        <w:t>公司整体竞争力和盈利能力，进一步提升公司未来的经营业绩，符合公司整体发展战略，有利于公司的长</w:t>
      </w:r>
      <w:r>
        <w:rPr>
          <w:w w:val="100"/>
        </w:rPr>
        <w:t> </w:t>
      </w:r>
      <w:r>
        <w:rPr>
          <w:spacing w:val="-8"/>
          <w:w w:val="100"/>
        </w:rPr>
        <w:t>远发展。具体详见《中电兴发：关于全资子公司签署战略合作框架协议的公告》（编号：</w:t>
      </w:r>
      <w:r>
        <w:rPr>
          <w:rFonts w:ascii="宋体" w:hAnsi="宋体" w:cs="宋体" w:eastAsia="宋体" w:hint="default"/>
          <w:spacing w:val="-8"/>
          <w:w w:val="100"/>
        </w:rPr>
        <w:t>2019-018</w:t>
      </w:r>
      <w:r>
        <w:rPr>
          <w:spacing w:val="-8"/>
          <w:w w:val="100"/>
        </w:rPr>
        <w:t>）。</w:t>
      </w:r>
      <w:r>
        <w:rPr>
          <w:w w:val="100"/>
        </w:rPr>
      </w:r>
    </w:p>
    <w:p>
      <w:pPr>
        <w:pStyle w:val="Heading5"/>
        <w:spacing w:line="352" w:lineRule="auto" w:before="27"/>
        <w:ind w:right="1002" w:firstLine="211"/>
        <w:jc w:val="left"/>
        <w:rPr>
          <w:b w:val="0"/>
          <w:bCs w:val="0"/>
        </w:rPr>
      </w:pPr>
      <w:r>
        <w:rPr>
          <w:spacing w:val="-2"/>
        </w:rPr>
        <w:t>（四）全资子公司北京中电兴发凭借自身的技术和资质优势、品牌影响力等强大综合实力，分别荣获以</w:t>
      </w:r>
      <w:r>
        <w:rPr>
          <w:w w:val="100"/>
        </w:rPr>
        <w:t> </w:t>
      </w:r>
      <w:r>
        <w:rPr/>
        <w:t>下奖项：</w:t>
      </w:r>
      <w:r>
        <w:rPr>
          <w:b w:val="0"/>
          <w:bCs w:val="0"/>
        </w:rPr>
      </w:r>
    </w:p>
    <w:p>
      <w:pPr>
        <w:spacing w:line="348" w:lineRule="auto" w:before="25"/>
        <w:ind w:left="535" w:right="100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、荣登“</w:t>
      </w:r>
      <w:r>
        <w:rPr>
          <w:rFonts w:ascii="宋体" w:hAnsi="宋体" w:cs="宋体" w:eastAsia="宋体" w:hint="default"/>
          <w:b/>
          <w:bCs/>
          <w:sz w:val="21"/>
          <w:szCs w:val="21"/>
        </w:rPr>
        <w:t>2019</w:t>
      </w:r>
      <w:r>
        <w:rPr>
          <w:rFonts w:ascii="宋体" w:hAnsi="宋体" w:cs="宋体" w:eastAsia="宋体" w:hint="default"/>
          <w:b/>
          <w:bCs/>
          <w:sz w:val="21"/>
          <w:szCs w:val="21"/>
        </w:rPr>
        <w:t>中国软件和信息技术服务综合竞争力百强企业”榜单。</w:t>
      </w:r>
      <w:r>
        <w:rPr>
          <w:rFonts w:ascii="宋体" w:hAnsi="宋体" w:cs="宋体" w:eastAsia="宋体" w:hint="default"/>
          <w:b/>
          <w:bCs/>
          <w:w w:val="100"/>
          <w:sz w:val="21"/>
          <w:szCs w:val="21"/>
        </w:rPr>
        <w:t> </w:t>
      </w:r>
      <w:r>
        <w:rPr>
          <w:rFonts w:ascii="宋体" w:hAnsi="宋体" w:cs="宋体" w:eastAsia="宋体" w:hint="default"/>
          <w:spacing w:val="-2"/>
          <w:sz w:val="21"/>
          <w:szCs w:val="21"/>
        </w:rPr>
        <w:t>由工业和信息化部指导、中国电子信息行业联合会主办的“</w:t>
      </w:r>
      <w:r>
        <w:rPr>
          <w:rFonts w:ascii="宋体" w:hAnsi="宋体" w:cs="宋体" w:eastAsia="宋体" w:hint="default"/>
          <w:spacing w:val="-2"/>
          <w:sz w:val="21"/>
          <w:szCs w:val="21"/>
        </w:rPr>
        <w:t>2019</w:t>
      </w:r>
      <w:r>
        <w:rPr>
          <w:rFonts w:ascii="宋体" w:hAnsi="宋体" w:cs="宋体" w:eastAsia="宋体" w:hint="default"/>
          <w:spacing w:val="-2"/>
          <w:sz w:val="21"/>
          <w:szCs w:val="21"/>
        </w:rPr>
        <w:t>中国软件和信息技术服务综合竞争力</w:t>
      </w:r>
    </w:p>
    <w:p>
      <w:pPr>
        <w:pStyle w:val="BodyText"/>
        <w:spacing w:line="348" w:lineRule="auto" w:before="34"/>
        <w:ind w:right="1122"/>
        <w:jc w:val="both"/>
      </w:pPr>
      <w:r>
        <w:rPr>
          <w:spacing w:val="-2"/>
        </w:rPr>
        <w:t>百强企业”榜单在北京发布，北京中电兴发作为目前中国具有国家多部委核准颁发九个“甲级”资质的国</w:t>
      </w:r>
      <w:r>
        <w:rPr>
          <w:spacing w:val="-30"/>
        </w:rPr>
        <w:t> </w:t>
      </w:r>
      <w:r>
        <w:rPr>
          <w:spacing w:val="-30"/>
        </w:rPr>
      </w:r>
      <w:r>
        <w:rPr>
          <w:spacing w:val="-2"/>
        </w:rPr>
        <w:t>内领先的数字中国、智慧行政区域全面解决方案提供商，以及投资、建设与运营服务商，凭借自身的技术</w:t>
      </w:r>
      <w:r>
        <w:rPr>
          <w:spacing w:val="-33"/>
        </w:rPr>
        <w:t> </w:t>
      </w:r>
      <w:r>
        <w:rPr>
          <w:spacing w:val="-33"/>
        </w:rPr>
      </w:r>
      <w:r>
        <w:rPr/>
        <w:t>和资质优势、品牌影响力等强大综合实力荣登百强企业榜单。</w:t>
      </w:r>
    </w:p>
    <w:p>
      <w:pPr>
        <w:spacing w:line="348" w:lineRule="auto" w:before="34"/>
        <w:ind w:left="535" w:right="10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、荣获全国政法智能化建设“雪亮工程十大创新产品”称号</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由中央政法委机关报《法制日报》、北京安全防范行业协会主办的</w:t>
      </w:r>
      <w:r>
        <w:rPr>
          <w:rFonts w:ascii="宋体" w:hAnsi="宋体" w:cs="宋体" w:eastAsia="宋体" w:hint="default"/>
          <w:spacing w:val="-4"/>
          <w:w w:val="100"/>
          <w:sz w:val="21"/>
          <w:szCs w:val="21"/>
        </w:rPr>
        <w:t>2019</w:t>
      </w:r>
      <w:r>
        <w:rPr>
          <w:rFonts w:ascii="宋体" w:hAnsi="宋体" w:cs="宋体" w:eastAsia="宋体" w:hint="default"/>
          <w:spacing w:val="-4"/>
          <w:w w:val="100"/>
          <w:sz w:val="21"/>
          <w:szCs w:val="21"/>
        </w:rPr>
        <w:t>全国政法智能化建设研讨会、</w:t>
      </w:r>
    </w:p>
    <w:p>
      <w:pPr>
        <w:pStyle w:val="BodyText"/>
        <w:spacing w:line="350" w:lineRule="auto" w:before="29"/>
        <w:ind w:right="1002"/>
        <w:jc w:val="left"/>
      </w:pPr>
      <w:r>
        <w:rPr>
          <w:spacing w:val="-2"/>
        </w:rPr>
        <w:t>全国政法智能化建设技术装备及成果展、首都公共安全防范建设应用成果展在北京盛大开幕。同时，法制</w:t>
      </w:r>
      <w:r>
        <w:rPr>
          <w:spacing w:val="-32"/>
        </w:rPr>
        <w:t> </w:t>
      </w:r>
      <w:r>
        <w:rPr>
          <w:spacing w:val="-32"/>
        </w:rPr>
      </w:r>
      <w:r>
        <w:rPr>
          <w:spacing w:val="-4"/>
          <w:w w:val="100"/>
        </w:rPr>
        <w:t>日报社举办了“</w:t>
      </w:r>
      <w:r>
        <w:rPr>
          <w:rFonts w:ascii="宋体" w:hAnsi="宋体" w:cs="宋体" w:eastAsia="宋体" w:hint="default"/>
          <w:spacing w:val="-4"/>
          <w:w w:val="100"/>
        </w:rPr>
        <w:t>2019</w:t>
      </w:r>
      <w:r>
        <w:rPr>
          <w:spacing w:val="-4"/>
          <w:w w:val="100"/>
        </w:rPr>
        <w:t>全国政法智能化建设创新案例征集活动”，公司自主研发的视频专用云存储节点设备</w:t>
      </w:r>
      <w:r>
        <w:rPr>
          <w:spacing w:val="-74"/>
          <w:w w:val="100"/>
        </w:rPr>
        <w:t> </w:t>
      </w:r>
      <w:r>
        <w:rPr>
          <w:spacing w:val="-74"/>
          <w:w w:val="100"/>
        </w:rPr>
      </w:r>
      <w:r>
        <w:rPr>
          <w:spacing w:val="-2"/>
        </w:rPr>
        <w:t>产品荣获“雪亮工程十大创新产品”称号。另外，公司承建的芜湖市公共安全视频监控建设联网应用项目</w:t>
      </w:r>
    </w:p>
    <w:p>
      <w:pPr>
        <w:pStyle w:val="BodyText"/>
        <w:spacing w:line="352" w:lineRule="auto" w:before="27"/>
        <w:ind w:right="1002"/>
        <w:jc w:val="left"/>
      </w:pPr>
      <w:r>
        <w:rPr>
          <w:spacing w:val="-2"/>
        </w:rPr>
        <w:t>（雪亮工程）也脱颖而出，助力中共芜湖市委政法委员会、芜湖市公安局取得“雪亮工程十大创新案例”</w:t>
      </w:r>
      <w:r>
        <w:rPr>
          <w:spacing w:val="-10"/>
        </w:rPr>
        <w:t> </w:t>
      </w:r>
      <w:r>
        <w:rPr>
          <w:spacing w:val="-10"/>
        </w:rPr>
      </w:r>
      <w:r>
        <w:rPr/>
        <w:t>排名第一的可喜成绩。</w:t>
      </w:r>
    </w:p>
    <w:p>
      <w:pPr>
        <w:pStyle w:val="Heading5"/>
        <w:spacing w:line="240" w:lineRule="auto" w:before="25"/>
        <w:ind w:left="535" w:right="1002"/>
        <w:jc w:val="left"/>
        <w:rPr>
          <w:b w:val="0"/>
          <w:bCs w:val="0"/>
        </w:rPr>
      </w:pPr>
      <w:r>
        <w:rPr>
          <w:rFonts w:ascii="宋体" w:hAnsi="宋体" w:cs="宋体" w:eastAsia="宋体" w:hint="default"/>
          <w:w w:val="99"/>
        </w:rPr>
        <w:t>3</w:t>
      </w:r>
      <w:r>
        <w:rPr>
          <w:w w:val="100"/>
        </w:rPr>
        <w:t>、公司董事长瞿洪桂先生在第九</w:t>
      </w:r>
      <w:r>
        <w:rPr>
          <w:spacing w:val="-5"/>
          <w:w w:val="100"/>
        </w:rPr>
        <w:t>届</w:t>
      </w:r>
      <w:r>
        <w:rPr>
          <w:w w:val="100"/>
        </w:rPr>
        <w:t>中国智慧</w:t>
      </w:r>
      <w:r>
        <w:rPr>
          <w:spacing w:val="-5"/>
          <w:w w:val="100"/>
        </w:rPr>
        <w:t>城</w:t>
      </w:r>
      <w:r>
        <w:rPr>
          <w:w w:val="100"/>
        </w:rPr>
        <w:t>市大会上荣</w:t>
      </w:r>
      <w:r>
        <w:rPr>
          <w:spacing w:val="2"/>
          <w:w w:val="100"/>
        </w:rPr>
        <w:t>获</w:t>
      </w:r>
      <w:r>
        <w:rPr>
          <w:w w:val="100"/>
        </w:rPr>
        <w:t>“中国智慧城市发展十</w:t>
      </w:r>
      <w:r>
        <w:rPr>
          <w:spacing w:val="-5"/>
          <w:w w:val="100"/>
        </w:rPr>
        <w:t>周</w:t>
      </w:r>
      <w:r>
        <w:rPr>
          <w:w w:val="100"/>
        </w:rPr>
        <w:t>年领袖人</w:t>
      </w:r>
      <w:r>
        <w:rPr>
          <w:spacing w:val="1"/>
          <w:w w:val="100"/>
        </w:rPr>
        <w:t>物</w:t>
      </w:r>
      <w:r>
        <w:rPr>
          <w:spacing w:val="-106"/>
          <w:w w:val="100"/>
        </w:rPr>
        <w:t>”</w:t>
      </w:r>
      <w:r>
        <w:rPr>
          <w:w w:val="100"/>
        </w:rPr>
        <w:t>。</w:t>
      </w:r>
      <w:r>
        <w:rPr>
          <w:b w:val="0"/>
          <w:bCs w:val="0"/>
          <w:w w:val="100"/>
        </w:rPr>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b/>
          <w:bCs/>
          <w:sz w:val="28"/>
          <w:szCs w:val="28"/>
        </w:rPr>
      </w:pPr>
    </w:p>
    <w:p>
      <w:pPr>
        <w:pStyle w:val="BodyText"/>
        <w:spacing w:line="350" w:lineRule="auto"/>
        <w:ind w:right="1122" w:firstLine="422"/>
        <w:jc w:val="left"/>
      </w:pPr>
      <w:r>
        <w:rPr>
          <w:spacing w:val="-2"/>
        </w:rPr>
        <w:t>由中国科学技术法学会指导、中国科学技术法学会智慧城市工作委员会、中国科学技术法学会人工智</w:t>
      </w:r>
      <w:r>
        <w:rPr>
          <w:w w:val="100"/>
        </w:rPr>
        <w:t> </w:t>
      </w:r>
      <w:r>
        <w:rPr/>
        <w:t>能工作委员会和中国智慧城市论坛联合主办的第九届中国智慧城市大会，对</w:t>
      </w:r>
      <w:r>
        <w:rPr>
          <w:rFonts w:ascii="宋体" w:hAnsi="宋体" w:cs="宋体" w:eastAsia="宋体" w:hint="default"/>
        </w:rPr>
        <w:t>2008-2018</w:t>
      </w:r>
      <w:r>
        <w:rPr/>
        <w:t>十年间对中国智慧</w:t>
      </w:r>
      <w:r>
        <w:rPr>
          <w:w w:val="100"/>
        </w:rPr>
        <w:t> </w:t>
      </w:r>
      <w:r>
        <w:rPr>
          <w:spacing w:val="-2"/>
        </w:rPr>
        <w:t>城市发展兢兢业业、不断贡献的单位和个人进行了表彰。公司董事长瞿洪桂荣获“中国智慧城市发展十周</w:t>
      </w:r>
      <w:r>
        <w:rPr>
          <w:spacing w:val="-30"/>
        </w:rPr>
        <w:t> </w:t>
      </w:r>
      <w:r>
        <w:rPr>
          <w:spacing w:val="-30"/>
        </w:rPr>
      </w:r>
      <w:r>
        <w:rPr>
          <w:spacing w:val="-7"/>
          <w:w w:val="100"/>
        </w:rPr>
        <w:t>年领袖人物”，公司智慧治理与雪亮工程解决方案荣获“中国智慧城市发展十周年优秀方案”。</w:t>
      </w:r>
    </w:p>
    <w:p>
      <w:pPr>
        <w:pStyle w:val="Heading5"/>
        <w:spacing w:line="240" w:lineRule="auto" w:before="27"/>
        <w:ind w:left="535" w:right="1002"/>
        <w:jc w:val="left"/>
        <w:rPr>
          <w:b w:val="0"/>
          <w:bCs w:val="0"/>
        </w:rPr>
      </w:pPr>
      <w:r>
        <w:rPr>
          <w:rFonts w:ascii="宋体" w:hAnsi="宋体" w:cs="宋体" w:eastAsia="宋体" w:hint="default"/>
        </w:rPr>
        <w:t>4</w:t>
      </w:r>
      <w:r>
        <w:rPr/>
        <w:t>、中电兴发荣获智慧城市最佳运营服务商等多项殊荣。</w:t>
      </w:r>
      <w:r>
        <w:rPr>
          <w:b w:val="0"/>
          <w:bCs w:val="0"/>
        </w:rPr>
      </w:r>
    </w:p>
    <w:p>
      <w:pPr>
        <w:pStyle w:val="BodyText"/>
        <w:spacing w:line="348" w:lineRule="auto" w:before="128"/>
        <w:ind w:right="1002" w:firstLine="422"/>
        <w:jc w:val="left"/>
      </w:pPr>
      <w:r>
        <w:rPr>
          <w:rFonts w:ascii="宋体" w:hAnsi="宋体" w:cs="宋体" w:eastAsia="宋体" w:hint="default"/>
        </w:rPr>
        <w:t>2019</w:t>
      </w:r>
      <w:r>
        <w:rPr/>
        <w:t>年行业信息化技术创新发展峰会在北京成功召开，峰会期间还举办了</w:t>
      </w:r>
      <w:r>
        <w:rPr>
          <w:rFonts w:ascii="宋体" w:hAnsi="宋体" w:cs="宋体" w:eastAsia="宋体" w:hint="default"/>
        </w:rPr>
        <w:t>2019</w:t>
      </w:r>
      <w:r>
        <w:rPr/>
        <w:t>行业信息化推优成果发</w:t>
      </w:r>
      <w:r>
        <w:rPr>
          <w:w w:val="100"/>
        </w:rPr>
        <w:t> </w:t>
      </w:r>
      <w:r>
        <w:rPr/>
        <w:t>布会，对信息化领域有突出贡献的人物、企业、技术、产品解决方案和应用案例等进行表彰。中电兴发凭</w:t>
      </w:r>
      <w:r>
        <w:rPr>
          <w:w w:val="100"/>
        </w:rPr>
        <w:t> </w:t>
      </w:r>
      <w:r>
        <w:rPr/>
        <w:t>借自身在行业内的领先技术优势、高端品牌影响力和卓越项目业绩，荣获</w:t>
      </w:r>
      <w:r>
        <w:rPr>
          <w:rFonts w:ascii="宋体" w:hAnsi="宋体" w:cs="宋体" w:eastAsia="宋体" w:hint="default"/>
        </w:rPr>
        <w:t>2019</w:t>
      </w:r>
      <w:r>
        <w:rPr/>
        <w:t>智慧城市最佳服务运营商、</w:t>
      </w:r>
      <w:r>
        <w:rPr>
          <w:spacing w:val="-103"/>
        </w:rPr>
        <w:t> </w:t>
      </w:r>
      <w:r>
        <w:rPr>
          <w:spacing w:val="-103"/>
        </w:rPr>
      </w:r>
      <w:r>
        <w:rPr>
          <w:rFonts w:ascii="宋体" w:hAnsi="宋体" w:cs="宋体" w:eastAsia="宋体" w:hint="default"/>
          <w:spacing w:val="-4"/>
        </w:rPr>
        <w:t>2019</w:t>
      </w:r>
      <w:r>
        <w:rPr>
          <w:spacing w:val="-4"/>
        </w:rPr>
        <w:t>智慧城市最佳解决方案等多项殊荣。同时，公司董事长兼总裁瞿洪桂先生获评</w:t>
      </w:r>
      <w:r>
        <w:rPr>
          <w:rFonts w:ascii="宋体" w:hAnsi="宋体" w:cs="宋体" w:eastAsia="宋体" w:hint="default"/>
          <w:spacing w:val="-4"/>
        </w:rPr>
        <w:t>2019</w:t>
      </w:r>
      <w:r>
        <w:rPr>
          <w:spacing w:val="-4"/>
        </w:rPr>
        <w:t>智慧城市领军人物，</w:t>
      </w:r>
      <w:r>
        <w:rPr>
          <w:spacing w:val="-28"/>
        </w:rPr>
        <w:t> </w:t>
      </w:r>
      <w:r>
        <w:rPr>
          <w:spacing w:val="-28"/>
        </w:rPr>
      </w:r>
      <w:r>
        <w:rPr/>
        <w:t>以表彰其在智慧城市行业管理创新、技术创新、商业模式创新、应用创新等方面的突出贡献。</w:t>
      </w:r>
    </w:p>
    <w:p>
      <w:pPr>
        <w:spacing w:after="0" w:line="348"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03" w:right="1002"/>
        <w:jc w:val="left"/>
        <w:rPr>
          <w:b w:val="0"/>
          <w:bCs w:val="0"/>
        </w:rPr>
      </w:pPr>
      <w:bookmarkStart w:name="第六节股份变动及股东情况" w:id="108"/>
      <w:bookmarkEnd w:id="108"/>
      <w:r>
        <w:rPr>
          <w:b w:val="0"/>
          <w:bCs w:val="0"/>
        </w:rPr>
      </w:r>
      <w:bookmarkStart w:name="_bookmark4" w:id="109"/>
      <w:bookmarkEnd w:id="109"/>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1002"/>
        <w:jc w:val="left"/>
        <w:rPr>
          <w:b w:val="0"/>
          <w:bCs w:val="0"/>
        </w:rPr>
      </w:pPr>
      <w:bookmarkStart w:name="一、股份变动情况" w:id="110"/>
      <w:bookmarkEnd w:id="110"/>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1002"/>
        <w:jc w:val="left"/>
        <w:rPr>
          <w:b w:val="0"/>
          <w:bCs w:val="0"/>
        </w:rPr>
      </w:pPr>
      <w:bookmarkStart w:name="1、股份变动情况" w:id="111"/>
      <w:bookmarkEnd w:id="11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036"/>
        <w:gridCol w:w="1013"/>
        <w:gridCol w:w="826"/>
        <w:gridCol w:w="821"/>
        <w:gridCol w:w="643"/>
        <w:gridCol w:w="869"/>
        <w:gridCol w:w="869"/>
        <w:gridCol w:w="907"/>
        <w:gridCol w:w="1013"/>
        <w:gridCol w:w="826"/>
      </w:tblGrid>
      <w:tr>
        <w:trPr>
          <w:trHeight w:val="403" w:hRule="exact"/>
        </w:trPr>
        <w:tc>
          <w:tcPr>
            <w:tcW w:w="2036" w:type="dxa"/>
            <w:vMerge w:val="restart"/>
            <w:tcBorders>
              <w:top w:val="single" w:sz="4" w:space="0" w:color="000000"/>
              <w:left w:val="single" w:sz="4" w:space="0" w:color="000000"/>
              <w:right w:val="single" w:sz="4" w:space="0" w:color="000000"/>
            </w:tcBorders>
            <w:shd w:val="clear" w:color="auto" w:fill="D2D2D2"/>
          </w:tcPr>
          <w:p>
            <w:pPr/>
          </w:p>
        </w:tc>
        <w:tc>
          <w:tcPr>
            <w:tcW w:w="18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8"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7"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8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710" w:hRule="exact"/>
        </w:trPr>
        <w:tc>
          <w:tcPr>
            <w:tcW w:w="2036" w:type="dxa"/>
            <w:vMerge/>
            <w:tcBorders>
              <w:left w:val="single" w:sz="4" w:space="0" w:color="000000"/>
              <w:bottom w:val="single" w:sz="4" w:space="0" w:color="000000"/>
              <w:right w:val="single" w:sz="4" w:space="0" w:color="000000"/>
            </w:tcBorders>
            <w:shd w:val="clear" w:color="auto" w:fill="D2D2D2"/>
          </w:tcPr>
          <w:p>
            <w:pP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96" w:right="19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新股</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20" w:right="108" w:hanging="106"/>
              <w:jc w:val="left"/>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pacing w:val="-102"/>
                <w:sz w:val="21"/>
                <w:szCs w:val="21"/>
              </w:rPr>
              <w:t> </w:t>
            </w:r>
            <w:r>
              <w:rPr>
                <w:rFonts w:ascii="宋体" w:hAnsi="宋体" w:cs="宋体" w:eastAsia="宋体" w:hint="default"/>
                <w:sz w:val="21"/>
                <w:szCs w:val="21"/>
              </w:rPr>
              <w:t>转股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716"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9"/>
                <w:sz w:val="21"/>
                <w:szCs w:val="21"/>
              </w:rPr>
              <w:t>一、有限售条件股份</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67" w:right="0"/>
              <w:jc w:val="left"/>
              <w:rPr>
                <w:rFonts w:ascii="Times New Roman" w:hAnsi="Times New Roman" w:cs="Times New Roman" w:eastAsia="Times New Roman" w:hint="default"/>
                <w:sz w:val="21"/>
                <w:szCs w:val="21"/>
              </w:rPr>
            </w:pPr>
            <w:r>
              <w:rPr>
                <w:rFonts w:ascii="Times New Roman"/>
                <w:sz w:val="21"/>
              </w:rPr>
              <w:t>172,973,</w:t>
            </w:r>
          </w:p>
          <w:p>
            <w:pPr>
              <w:pStyle w:val="TableParagraph"/>
              <w:spacing w:line="240" w:lineRule="auto" w:before="71"/>
              <w:ind w:left="585" w:right="0"/>
              <w:jc w:val="left"/>
              <w:rPr>
                <w:rFonts w:ascii="Times New Roman" w:hAnsi="Times New Roman" w:cs="Times New Roman" w:eastAsia="Times New Roman" w:hint="default"/>
                <w:sz w:val="21"/>
                <w:szCs w:val="21"/>
              </w:rPr>
            </w:pPr>
            <w:r>
              <w:rPr>
                <w:rFonts w:ascii="Times New Roman"/>
                <w:sz w:val="21"/>
              </w:rPr>
              <w:t>849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0" w:right="0"/>
              <w:jc w:val="left"/>
              <w:rPr>
                <w:rFonts w:ascii="Times New Roman" w:hAnsi="Times New Roman" w:cs="Times New Roman" w:eastAsia="Times New Roman" w:hint="default"/>
                <w:sz w:val="21"/>
                <w:szCs w:val="21"/>
              </w:rPr>
            </w:pPr>
            <w:r>
              <w:rPr>
                <w:rFonts w:ascii="Times New Roman"/>
                <w:sz w:val="21"/>
              </w:rPr>
              <w:t>25.01</w:t>
            </w:r>
          </w:p>
          <w:p>
            <w:pPr>
              <w:pStyle w:val="TableParagraph"/>
              <w:spacing w:line="240" w:lineRule="auto" w:before="71"/>
              <w:ind w:left="538" w:right="0"/>
              <w:jc w:val="left"/>
              <w:rPr>
                <w:rFonts w:ascii="Times New Roman" w:hAnsi="Times New Roman" w:cs="Times New Roman" w:eastAsia="Times New Roman" w:hint="default"/>
                <w:sz w:val="21"/>
                <w:szCs w:val="21"/>
              </w:rPr>
            </w:pPr>
            <w:r>
              <w:rPr>
                <w:rFonts w:ascii="Times New Roman"/>
                <w:w w:val="100"/>
                <w:sz w:val="21"/>
              </w:rPr>
              <w:t>%</w:t>
            </w:r>
          </w:p>
        </w:tc>
        <w:tc>
          <w:tcPr>
            <w:tcW w:w="82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63" w:right="0"/>
              <w:jc w:val="left"/>
              <w:rPr>
                <w:rFonts w:ascii="Times New Roman" w:hAnsi="Times New Roman" w:cs="Times New Roman" w:eastAsia="Times New Roman" w:hint="default"/>
                <w:sz w:val="21"/>
                <w:szCs w:val="21"/>
              </w:rPr>
            </w:pPr>
            <w:r>
              <w:rPr>
                <w:rFonts w:ascii="Times New Roman"/>
                <w:sz w:val="21"/>
              </w:rPr>
              <w:t>-9,261,</w:t>
            </w:r>
          </w:p>
          <w:p>
            <w:pPr>
              <w:pStyle w:val="TableParagraph"/>
              <w:spacing w:line="240" w:lineRule="auto" w:before="71"/>
              <w:ind w:left="441" w:right="0"/>
              <w:jc w:val="left"/>
              <w:rPr>
                <w:rFonts w:ascii="Times New Roman" w:hAnsi="Times New Roman" w:cs="Times New Roman" w:eastAsia="Times New Roman" w:hint="default"/>
                <w:sz w:val="21"/>
                <w:szCs w:val="21"/>
              </w:rPr>
            </w:pPr>
            <w:r>
              <w:rPr>
                <w:rFonts w:ascii="Times New Roman"/>
                <w:sz w:val="21"/>
              </w:rPr>
              <w:t>852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01" w:right="0"/>
              <w:jc w:val="left"/>
              <w:rPr>
                <w:rFonts w:ascii="Times New Roman" w:hAnsi="Times New Roman" w:cs="Times New Roman" w:eastAsia="Times New Roman" w:hint="default"/>
                <w:sz w:val="21"/>
                <w:szCs w:val="21"/>
              </w:rPr>
            </w:pPr>
            <w:r>
              <w:rPr>
                <w:rFonts w:ascii="Times New Roman"/>
                <w:sz w:val="21"/>
              </w:rPr>
              <w:t>-9,261,</w:t>
            </w:r>
          </w:p>
          <w:p>
            <w:pPr>
              <w:pStyle w:val="TableParagraph"/>
              <w:spacing w:line="240" w:lineRule="auto" w:before="71"/>
              <w:ind w:left="479" w:right="0"/>
              <w:jc w:val="left"/>
              <w:rPr>
                <w:rFonts w:ascii="Times New Roman" w:hAnsi="Times New Roman" w:cs="Times New Roman" w:eastAsia="Times New Roman" w:hint="default"/>
                <w:sz w:val="21"/>
                <w:szCs w:val="21"/>
              </w:rPr>
            </w:pPr>
            <w:r>
              <w:rPr>
                <w:rFonts w:ascii="Times New Roman"/>
                <w:sz w:val="21"/>
              </w:rPr>
              <w:t>852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77" w:right="0"/>
              <w:jc w:val="left"/>
              <w:rPr>
                <w:rFonts w:ascii="Times New Roman" w:hAnsi="Times New Roman" w:cs="Times New Roman" w:eastAsia="Times New Roman" w:hint="default"/>
                <w:sz w:val="21"/>
                <w:szCs w:val="21"/>
              </w:rPr>
            </w:pPr>
            <w:r>
              <w:rPr>
                <w:rFonts w:ascii="Times New Roman"/>
                <w:sz w:val="21"/>
              </w:rPr>
              <w:t>163,711,</w:t>
            </w:r>
          </w:p>
          <w:p>
            <w:pPr>
              <w:pStyle w:val="TableParagraph"/>
              <w:spacing w:line="240" w:lineRule="auto" w:before="71"/>
              <w:ind w:left="586" w:right="0"/>
              <w:jc w:val="left"/>
              <w:rPr>
                <w:rFonts w:ascii="Times New Roman" w:hAnsi="Times New Roman" w:cs="Times New Roman" w:eastAsia="Times New Roman" w:hint="default"/>
                <w:sz w:val="21"/>
                <w:szCs w:val="21"/>
              </w:rPr>
            </w:pPr>
            <w:r>
              <w:rPr>
                <w:rFonts w:ascii="Times New Roman"/>
                <w:sz w:val="21"/>
              </w:rPr>
              <w:t>997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4" w:right="0"/>
              <w:jc w:val="left"/>
              <w:rPr>
                <w:rFonts w:ascii="Times New Roman" w:hAnsi="Times New Roman" w:cs="Times New Roman" w:eastAsia="Times New Roman" w:hint="default"/>
                <w:sz w:val="21"/>
                <w:szCs w:val="21"/>
              </w:rPr>
            </w:pPr>
            <w:r>
              <w:rPr>
                <w:rFonts w:ascii="Times New Roman"/>
                <w:sz w:val="21"/>
              </w:rPr>
              <w:t>23.67</w:t>
            </w:r>
          </w:p>
          <w:p>
            <w:pPr>
              <w:pStyle w:val="TableParagraph"/>
              <w:spacing w:line="240" w:lineRule="auto" w:before="71"/>
              <w:ind w:left="542" w:right="0"/>
              <w:jc w:val="left"/>
              <w:rPr>
                <w:rFonts w:ascii="Times New Roman" w:hAnsi="Times New Roman" w:cs="Times New Roman" w:eastAsia="Times New Roman" w:hint="default"/>
                <w:sz w:val="21"/>
                <w:szCs w:val="21"/>
              </w:rPr>
            </w:pPr>
            <w:r>
              <w:rPr>
                <w:rFonts w:ascii="Times New Roman"/>
                <w:w w:val="100"/>
                <w:sz w:val="21"/>
              </w:rPr>
              <w:t>%</w:t>
            </w:r>
          </w:p>
        </w:tc>
      </w:tr>
      <w:tr>
        <w:trPr>
          <w:trHeight w:val="715"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7" w:right="0"/>
              <w:jc w:val="left"/>
              <w:rPr>
                <w:rFonts w:ascii="Times New Roman" w:hAnsi="Times New Roman" w:cs="Times New Roman" w:eastAsia="Times New Roman" w:hint="default"/>
                <w:sz w:val="21"/>
                <w:szCs w:val="21"/>
              </w:rPr>
            </w:pPr>
            <w:r>
              <w:rPr>
                <w:rFonts w:ascii="Times New Roman"/>
                <w:sz w:val="21"/>
              </w:rPr>
              <w:t>172,973,</w:t>
            </w:r>
          </w:p>
          <w:p>
            <w:pPr>
              <w:pStyle w:val="TableParagraph"/>
              <w:spacing w:line="240" w:lineRule="auto" w:before="75"/>
              <w:ind w:left="585" w:right="0"/>
              <w:jc w:val="left"/>
              <w:rPr>
                <w:rFonts w:ascii="Times New Roman" w:hAnsi="Times New Roman" w:cs="Times New Roman" w:eastAsia="Times New Roman" w:hint="default"/>
                <w:sz w:val="21"/>
                <w:szCs w:val="21"/>
              </w:rPr>
            </w:pPr>
            <w:r>
              <w:rPr>
                <w:rFonts w:ascii="Times New Roman"/>
                <w:sz w:val="21"/>
              </w:rPr>
              <w:t>849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0" w:right="0"/>
              <w:jc w:val="left"/>
              <w:rPr>
                <w:rFonts w:ascii="Times New Roman" w:hAnsi="Times New Roman" w:cs="Times New Roman" w:eastAsia="Times New Roman" w:hint="default"/>
                <w:sz w:val="21"/>
                <w:szCs w:val="21"/>
              </w:rPr>
            </w:pPr>
            <w:r>
              <w:rPr>
                <w:rFonts w:ascii="Times New Roman"/>
                <w:sz w:val="21"/>
              </w:rPr>
              <w:t>25.01</w:t>
            </w:r>
          </w:p>
          <w:p>
            <w:pPr>
              <w:pStyle w:val="TableParagraph"/>
              <w:spacing w:line="240" w:lineRule="auto" w:before="75"/>
              <w:ind w:left="538" w:right="0"/>
              <w:jc w:val="left"/>
              <w:rPr>
                <w:rFonts w:ascii="Times New Roman" w:hAnsi="Times New Roman" w:cs="Times New Roman" w:eastAsia="Times New Roman" w:hint="default"/>
                <w:sz w:val="21"/>
                <w:szCs w:val="21"/>
              </w:rPr>
            </w:pPr>
            <w:r>
              <w:rPr>
                <w:rFonts w:ascii="Times New Roman"/>
                <w:w w:val="100"/>
                <w:sz w:val="21"/>
              </w:rPr>
              <w:t>%</w:t>
            </w:r>
          </w:p>
        </w:tc>
        <w:tc>
          <w:tcPr>
            <w:tcW w:w="82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3" w:right="0"/>
              <w:jc w:val="left"/>
              <w:rPr>
                <w:rFonts w:ascii="Times New Roman" w:hAnsi="Times New Roman" w:cs="Times New Roman" w:eastAsia="Times New Roman" w:hint="default"/>
                <w:sz w:val="21"/>
                <w:szCs w:val="21"/>
              </w:rPr>
            </w:pPr>
            <w:r>
              <w:rPr>
                <w:rFonts w:ascii="Times New Roman"/>
                <w:sz w:val="21"/>
              </w:rPr>
              <w:t>-9,261,</w:t>
            </w:r>
          </w:p>
          <w:p>
            <w:pPr>
              <w:pStyle w:val="TableParagraph"/>
              <w:spacing w:line="240" w:lineRule="auto" w:before="75"/>
              <w:ind w:left="441" w:right="0"/>
              <w:jc w:val="left"/>
              <w:rPr>
                <w:rFonts w:ascii="Times New Roman" w:hAnsi="Times New Roman" w:cs="Times New Roman" w:eastAsia="Times New Roman" w:hint="default"/>
                <w:sz w:val="21"/>
                <w:szCs w:val="21"/>
              </w:rPr>
            </w:pPr>
            <w:r>
              <w:rPr>
                <w:rFonts w:ascii="Times New Roman"/>
                <w:sz w:val="21"/>
              </w:rPr>
              <w:t>852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1" w:right="0"/>
              <w:jc w:val="left"/>
              <w:rPr>
                <w:rFonts w:ascii="Times New Roman" w:hAnsi="Times New Roman" w:cs="Times New Roman" w:eastAsia="Times New Roman" w:hint="default"/>
                <w:sz w:val="21"/>
                <w:szCs w:val="21"/>
              </w:rPr>
            </w:pPr>
            <w:r>
              <w:rPr>
                <w:rFonts w:ascii="Times New Roman"/>
                <w:sz w:val="21"/>
              </w:rPr>
              <w:t>-9,261,</w:t>
            </w:r>
          </w:p>
          <w:p>
            <w:pPr>
              <w:pStyle w:val="TableParagraph"/>
              <w:spacing w:line="240" w:lineRule="auto" w:before="75"/>
              <w:ind w:left="479" w:right="0"/>
              <w:jc w:val="left"/>
              <w:rPr>
                <w:rFonts w:ascii="Times New Roman" w:hAnsi="Times New Roman" w:cs="Times New Roman" w:eastAsia="Times New Roman" w:hint="default"/>
                <w:sz w:val="21"/>
                <w:szCs w:val="21"/>
              </w:rPr>
            </w:pPr>
            <w:r>
              <w:rPr>
                <w:rFonts w:ascii="Times New Roman"/>
                <w:sz w:val="21"/>
              </w:rPr>
              <w:t>852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7" w:right="0"/>
              <w:jc w:val="left"/>
              <w:rPr>
                <w:rFonts w:ascii="Times New Roman" w:hAnsi="Times New Roman" w:cs="Times New Roman" w:eastAsia="Times New Roman" w:hint="default"/>
                <w:sz w:val="21"/>
                <w:szCs w:val="21"/>
              </w:rPr>
            </w:pPr>
            <w:r>
              <w:rPr>
                <w:rFonts w:ascii="Times New Roman"/>
                <w:sz w:val="21"/>
              </w:rPr>
              <w:t>163,711,</w:t>
            </w:r>
          </w:p>
          <w:p>
            <w:pPr>
              <w:pStyle w:val="TableParagraph"/>
              <w:spacing w:line="240" w:lineRule="auto" w:before="75"/>
              <w:ind w:left="586" w:right="0"/>
              <w:jc w:val="left"/>
              <w:rPr>
                <w:rFonts w:ascii="Times New Roman" w:hAnsi="Times New Roman" w:cs="Times New Roman" w:eastAsia="Times New Roman" w:hint="default"/>
                <w:sz w:val="21"/>
                <w:szCs w:val="21"/>
              </w:rPr>
            </w:pPr>
            <w:r>
              <w:rPr>
                <w:rFonts w:ascii="Times New Roman"/>
                <w:sz w:val="21"/>
              </w:rPr>
              <w:t>997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4" w:right="0"/>
              <w:jc w:val="left"/>
              <w:rPr>
                <w:rFonts w:ascii="Times New Roman" w:hAnsi="Times New Roman" w:cs="Times New Roman" w:eastAsia="Times New Roman" w:hint="default"/>
                <w:sz w:val="21"/>
                <w:szCs w:val="21"/>
              </w:rPr>
            </w:pPr>
            <w:r>
              <w:rPr>
                <w:rFonts w:ascii="Times New Roman"/>
                <w:sz w:val="21"/>
              </w:rPr>
              <w:t>23.67</w:t>
            </w:r>
          </w:p>
          <w:p>
            <w:pPr>
              <w:pStyle w:val="TableParagraph"/>
              <w:spacing w:line="240" w:lineRule="auto" w:before="75"/>
              <w:ind w:left="542" w:right="0"/>
              <w:jc w:val="left"/>
              <w:rPr>
                <w:rFonts w:ascii="Times New Roman" w:hAnsi="Times New Roman" w:cs="Times New Roman" w:eastAsia="Times New Roman" w:hint="default"/>
                <w:sz w:val="21"/>
                <w:szCs w:val="21"/>
              </w:rPr>
            </w:pPr>
            <w:r>
              <w:rPr>
                <w:rFonts w:ascii="Times New Roman"/>
                <w:w w:val="100"/>
                <w:sz w:val="21"/>
              </w:rPr>
              <w:t>%</w:t>
            </w:r>
          </w:p>
        </w:tc>
      </w:tr>
      <w:tr>
        <w:trPr>
          <w:trHeight w:val="716"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7" w:right="0"/>
              <w:jc w:val="left"/>
              <w:rPr>
                <w:rFonts w:ascii="Times New Roman" w:hAnsi="Times New Roman" w:cs="Times New Roman" w:eastAsia="Times New Roman" w:hint="default"/>
                <w:sz w:val="21"/>
                <w:szCs w:val="21"/>
              </w:rPr>
            </w:pPr>
            <w:r>
              <w:rPr>
                <w:rFonts w:ascii="Times New Roman"/>
                <w:sz w:val="21"/>
              </w:rPr>
              <w:t>172,973,</w:t>
            </w:r>
          </w:p>
          <w:p>
            <w:pPr>
              <w:pStyle w:val="TableParagraph"/>
              <w:spacing w:line="240" w:lineRule="auto" w:before="71"/>
              <w:ind w:left="585" w:right="0"/>
              <w:jc w:val="left"/>
              <w:rPr>
                <w:rFonts w:ascii="Times New Roman" w:hAnsi="Times New Roman" w:cs="Times New Roman" w:eastAsia="Times New Roman" w:hint="default"/>
                <w:sz w:val="21"/>
                <w:szCs w:val="21"/>
              </w:rPr>
            </w:pPr>
            <w:r>
              <w:rPr>
                <w:rFonts w:ascii="Times New Roman"/>
                <w:sz w:val="21"/>
              </w:rPr>
              <w:t>849</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0" w:right="0"/>
              <w:jc w:val="left"/>
              <w:rPr>
                <w:rFonts w:ascii="Times New Roman" w:hAnsi="Times New Roman" w:cs="Times New Roman" w:eastAsia="Times New Roman" w:hint="default"/>
                <w:sz w:val="21"/>
                <w:szCs w:val="21"/>
              </w:rPr>
            </w:pPr>
            <w:r>
              <w:rPr>
                <w:rFonts w:ascii="Times New Roman"/>
                <w:sz w:val="21"/>
              </w:rPr>
              <w:t>25.01</w:t>
            </w:r>
          </w:p>
          <w:p>
            <w:pPr>
              <w:pStyle w:val="TableParagraph"/>
              <w:spacing w:line="240" w:lineRule="auto" w:before="71"/>
              <w:ind w:left="538" w:right="0"/>
              <w:jc w:val="left"/>
              <w:rPr>
                <w:rFonts w:ascii="Times New Roman" w:hAnsi="Times New Roman" w:cs="Times New Roman" w:eastAsia="Times New Roman" w:hint="default"/>
                <w:sz w:val="21"/>
                <w:szCs w:val="21"/>
              </w:rPr>
            </w:pPr>
            <w:r>
              <w:rPr>
                <w:rFonts w:ascii="Times New Roman"/>
                <w:w w:val="100"/>
                <w:sz w:val="21"/>
              </w:rPr>
              <w:t>%</w:t>
            </w:r>
          </w:p>
        </w:tc>
        <w:tc>
          <w:tcPr>
            <w:tcW w:w="82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3" w:right="0"/>
              <w:jc w:val="left"/>
              <w:rPr>
                <w:rFonts w:ascii="Times New Roman" w:hAnsi="Times New Roman" w:cs="Times New Roman" w:eastAsia="Times New Roman" w:hint="default"/>
                <w:sz w:val="21"/>
                <w:szCs w:val="21"/>
              </w:rPr>
            </w:pPr>
            <w:r>
              <w:rPr>
                <w:rFonts w:ascii="Times New Roman"/>
                <w:sz w:val="21"/>
              </w:rPr>
              <w:t>-9,261,</w:t>
            </w:r>
          </w:p>
          <w:p>
            <w:pPr>
              <w:pStyle w:val="TableParagraph"/>
              <w:spacing w:line="240" w:lineRule="auto" w:before="71"/>
              <w:ind w:left="441" w:right="0"/>
              <w:jc w:val="left"/>
              <w:rPr>
                <w:rFonts w:ascii="Times New Roman" w:hAnsi="Times New Roman" w:cs="Times New Roman" w:eastAsia="Times New Roman" w:hint="default"/>
                <w:sz w:val="21"/>
                <w:szCs w:val="21"/>
              </w:rPr>
            </w:pPr>
            <w:r>
              <w:rPr>
                <w:rFonts w:ascii="Times New Roman"/>
                <w:sz w:val="21"/>
              </w:rPr>
              <w:t>852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1" w:right="0"/>
              <w:jc w:val="left"/>
              <w:rPr>
                <w:rFonts w:ascii="Times New Roman" w:hAnsi="Times New Roman" w:cs="Times New Roman" w:eastAsia="Times New Roman" w:hint="default"/>
                <w:sz w:val="21"/>
                <w:szCs w:val="21"/>
              </w:rPr>
            </w:pPr>
            <w:r>
              <w:rPr>
                <w:rFonts w:ascii="Times New Roman"/>
                <w:sz w:val="21"/>
              </w:rPr>
              <w:t>-9,261,</w:t>
            </w:r>
          </w:p>
          <w:p>
            <w:pPr>
              <w:pStyle w:val="TableParagraph"/>
              <w:spacing w:line="240" w:lineRule="auto" w:before="71"/>
              <w:ind w:left="479" w:right="0"/>
              <w:jc w:val="left"/>
              <w:rPr>
                <w:rFonts w:ascii="Times New Roman" w:hAnsi="Times New Roman" w:cs="Times New Roman" w:eastAsia="Times New Roman" w:hint="default"/>
                <w:sz w:val="21"/>
                <w:szCs w:val="21"/>
              </w:rPr>
            </w:pPr>
            <w:r>
              <w:rPr>
                <w:rFonts w:ascii="Times New Roman"/>
                <w:sz w:val="21"/>
              </w:rPr>
              <w:t>852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7" w:right="0"/>
              <w:jc w:val="left"/>
              <w:rPr>
                <w:rFonts w:ascii="Times New Roman" w:hAnsi="Times New Roman" w:cs="Times New Roman" w:eastAsia="Times New Roman" w:hint="default"/>
                <w:sz w:val="21"/>
                <w:szCs w:val="21"/>
              </w:rPr>
            </w:pPr>
            <w:r>
              <w:rPr>
                <w:rFonts w:ascii="Times New Roman"/>
                <w:sz w:val="21"/>
              </w:rPr>
              <w:t>163,711,</w:t>
            </w:r>
          </w:p>
          <w:p>
            <w:pPr>
              <w:pStyle w:val="TableParagraph"/>
              <w:spacing w:line="240" w:lineRule="auto" w:before="71"/>
              <w:ind w:left="586" w:right="0"/>
              <w:jc w:val="left"/>
              <w:rPr>
                <w:rFonts w:ascii="Times New Roman" w:hAnsi="Times New Roman" w:cs="Times New Roman" w:eastAsia="Times New Roman" w:hint="default"/>
                <w:sz w:val="21"/>
                <w:szCs w:val="21"/>
              </w:rPr>
            </w:pPr>
            <w:r>
              <w:rPr>
                <w:rFonts w:ascii="Times New Roman"/>
                <w:sz w:val="21"/>
              </w:rPr>
              <w:t>997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4" w:right="0"/>
              <w:jc w:val="left"/>
              <w:rPr>
                <w:rFonts w:ascii="Times New Roman" w:hAnsi="Times New Roman" w:cs="Times New Roman" w:eastAsia="Times New Roman" w:hint="default"/>
                <w:sz w:val="21"/>
                <w:szCs w:val="21"/>
              </w:rPr>
            </w:pPr>
            <w:r>
              <w:rPr>
                <w:rFonts w:ascii="Times New Roman"/>
                <w:sz w:val="21"/>
              </w:rPr>
              <w:t>23.67</w:t>
            </w:r>
          </w:p>
          <w:p>
            <w:pPr>
              <w:pStyle w:val="TableParagraph"/>
              <w:spacing w:line="240" w:lineRule="auto" w:before="71"/>
              <w:ind w:left="542" w:right="0"/>
              <w:jc w:val="left"/>
              <w:rPr>
                <w:rFonts w:ascii="Times New Roman" w:hAnsi="Times New Roman" w:cs="Times New Roman" w:eastAsia="Times New Roman" w:hint="default"/>
                <w:sz w:val="21"/>
                <w:szCs w:val="21"/>
              </w:rPr>
            </w:pPr>
            <w:r>
              <w:rPr>
                <w:rFonts w:ascii="Times New Roman"/>
                <w:w w:val="100"/>
                <w:sz w:val="21"/>
              </w:rPr>
              <w:t>%</w:t>
            </w:r>
          </w:p>
        </w:tc>
      </w:tr>
      <w:tr>
        <w:trPr>
          <w:trHeight w:val="710"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pacing w:val="-9"/>
                <w:sz w:val="21"/>
                <w:szCs w:val="21"/>
              </w:rPr>
              <w:t>二、无限售条件股份</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7" w:right="0"/>
              <w:jc w:val="left"/>
              <w:rPr>
                <w:rFonts w:ascii="Times New Roman" w:hAnsi="Times New Roman" w:cs="Times New Roman" w:eastAsia="Times New Roman" w:hint="default"/>
                <w:sz w:val="21"/>
                <w:szCs w:val="21"/>
              </w:rPr>
            </w:pPr>
            <w:r>
              <w:rPr>
                <w:rFonts w:ascii="Times New Roman"/>
                <w:sz w:val="21"/>
              </w:rPr>
              <w:t>518,532,</w:t>
            </w:r>
          </w:p>
          <w:p>
            <w:pPr>
              <w:pStyle w:val="TableParagraph"/>
              <w:spacing w:line="240" w:lineRule="auto" w:before="70"/>
              <w:ind w:left="585" w:right="0"/>
              <w:jc w:val="left"/>
              <w:rPr>
                <w:rFonts w:ascii="Times New Roman" w:hAnsi="Times New Roman" w:cs="Times New Roman" w:eastAsia="Times New Roman" w:hint="default"/>
                <w:sz w:val="21"/>
                <w:szCs w:val="21"/>
              </w:rPr>
            </w:pPr>
            <w:r>
              <w:rPr>
                <w:rFonts w:ascii="Times New Roman"/>
                <w:sz w:val="21"/>
              </w:rPr>
              <w:t>066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0" w:right="0"/>
              <w:jc w:val="left"/>
              <w:rPr>
                <w:rFonts w:ascii="Times New Roman" w:hAnsi="Times New Roman" w:cs="Times New Roman" w:eastAsia="Times New Roman" w:hint="default"/>
                <w:sz w:val="21"/>
                <w:szCs w:val="21"/>
              </w:rPr>
            </w:pPr>
            <w:r>
              <w:rPr>
                <w:rFonts w:ascii="Times New Roman"/>
                <w:sz w:val="21"/>
              </w:rPr>
              <w:t>74.99</w:t>
            </w:r>
          </w:p>
          <w:p>
            <w:pPr>
              <w:pStyle w:val="TableParagraph"/>
              <w:spacing w:line="240" w:lineRule="auto" w:before="70"/>
              <w:ind w:left="538" w:right="0"/>
              <w:jc w:val="left"/>
              <w:rPr>
                <w:rFonts w:ascii="Times New Roman" w:hAnsi="Times New Roman" w:cs="Times New Roman" w:eastAsia="Times New Roman" w:hint="default"/>
                <w:sz w:val="21"/>
                <w:szCs w:val="21"/>
              </w:rPr>
            </w:pPr>
            <w:r>
              <w:rPr>
                <w:rFonts w:ascii="Times New Roman"/>
                <w:w w:val="100"/>
                <w:sz w:val="21"/>
              </w:rPr>
              <w:t>%</w:t>
            </w:r>
          </w:p>
        </w:tc>
        <w:tc>
          <w:tcPr>
            <w:tcW w:w="82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9" w:right="0"/>
              <w:jc w:val="left"/>
              <w:rPr>
                <w:rFonts w:ascii="Times New Roman" w:hAnsi="Times New Roman" w:cs="Times New Roman" w:eastAsia="Times New Roman" w:hint="default"/>
                <w:sz w:val="21"/>
                <w:szCs w:val="21"/>
              </w:rPr>
            </w:pPr>
            <w:r>
              <w:rPr>
                <w:rFonts w:ascii="Times New Roman"/>
                <w:sz w:val="21"/>
              </w:rPr>
              <w:t>9,261,8</w:t>
            </w:r>
          </w:p>
          <w:p>
            <w:pPr>
              <w:pStyle w:val="TableParagraph"/>
              <w:spacing w:line="240" w:lineRule="auto" w:before="70"/>
              <w:ind w:left="547" w:right="0"/>
              <w:jc w:val="left"/>
              <w:rPr>
                <w:rFonts w:ascii="Times New Roman" w:hAnsi="Times New Roman" w:cs="Times New Roman" w:eastAsia="Times New Roman" w:hint="default"/>
                <w:sz w:val="21"/>
                <w:szCs w:val="21"/>
              </w:rPr>
            </w:pPr>
            <w:r>
              <w:rPr>
                <w:rFonts w:ascii="Times New Roman"/>
                <w:sz w:val="21"/>
              </w:rPr>
              <w:t>52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7" w:right="0"/>
              <w:jc w:val="left"/>
              <w:rPr>
                <w:rFonts w:ascii="Times New Roman" w:hAnsi="Times New Roman" w:cs="Times New Roman" w:eastAsia="Times New Roman" w:hint="default"/>
                <w:sz w:val="21"/>
                <w:szCs w:val="21"/>
              </w:rPr>
            </w:pPr>
            <w:r>
              <w:rPr>
                <w:rFonts w:ascii="Times New Roman"/>
                <w:sz w:val="21"/>
              </w:rPr>
              <w:t>9,261,8</w:t>
            </w:r>
          </w:p>
          <w:p>
            <w:pPr>
              <w:pStyle w:val="TableParagraph"/>
              <w:spacing w:line="240" w:lineRule="auto" w:before="70"/>
              <w:ind w:left="585" w:right="0"/>
              <w:jc w:val="left"/>
              <w:rPr>
                <w:rFonts w:ascii="Times New Roman" w:hAnsi="Times New Roman" w:cs="Times New Roman" w:eastAsia="Times New Roman" w:hint="default"/>
                <w:sz w:val="21"/>
                <w:szCs w:val="21"/>
              </w:rPr>
            </w:pPr>
            <w:r>
              <w:rPr>
                <w:rFonts w:ascii="Times New Roman"/>
                <w:sz w:val="21"/>
              </w:rPr>
              <w:t>52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8" w:right="0"/>
              <w:jc w:val="left"/>
              <w:rPr>
                <w:rFonts w:ascii="Times New Roman" w:hAnsi="Times New Roman" w:cs="Times New Roman" w:eastAsia="Times New Roman" w:hint="default"/>
                <w:sz w:val="21"/>
                <w:szCs w:val="21"/>
              </w:rPr>
            </w:pPr>
            <w:r>
              <w:rPr>
                <w:rFonts w:ascii="Times New Roman"/>
                <w:sz w:val="21"/>
              </w:rPr>
              <w:t>527,793,</w:t>
            </w:r>
          </w:p>
          <w:p>
            <w:pPr>
              <w:pStyle w:val="TableParagraph"/>
              <w:spacing w:line="240" w:lineRule="auto" w:before="70"/>
              <w:ind w:left="586" w:right="0"/>
              <w:jc w:val="left"/>
              <w:rPr>
                <w:rFonts w:ascii="Times New Roman" w:hAnsi="Times New Roman" w:cs="Times New Roman" w:eastAsia="Times New Roman" w:hint="default"/>
                <w:sz w:val="21"/>
                <w:szCs w:val="21"/>
              </w:rPr>
            </w:pPr>
            <w:r>
              <w:rPr>
                <w:rFonts w:ascii="Times New Roman"/>
                <w:sz w:val="21"/>
              </w:rPr>
              <w:t>918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4" w:right="0"/>
              <w:jc w:val="left"/>
              <w:rPr>
                <w:rFonts w:ascii="Times New Roman" w:hAnsi="Times New Roman" w:cs="Times New Roman" w:eastAsia="Times New Roman" w:hint="default"/>
                <w:sz w:val="21"/>
                <w:szCs w:val="21"/>
              </w:rPr>
            </w:pPr>
            <w:r>
              <w:rPr>
                <w:rFonts w:ascii="Times New Roman"/>
                <w:sz w:val="21"/>
              </w:rPr>
              <w:t>76.33</w:t>
            </w:r>
          </w:p>
          <w:p>
            <w:pPr>
              <w:pStyle w:val="TableParagraph"/>
              <w:spacing w:line="240" w:lineRule="auto" w:before="70"/>
              <w:ind w:left="542" w:right="0"/>
              <w:jc w:val="left"/>
              <w:rPr>
                <w:rFonts w:ascii="Times New Roman" w:hAnsi="Times New Roman" w:cs="Times New Roman" w:eastAsia="Times New Roman" w:hint="default"/>
                <w:sz w:val="21"/>
                <w:szCs w:val="21"/>
              </w:rPr>
            </w:pPr>
            <w:r>
              <w:rPr>
                <w:rFonts w:ascii="Times New Roman"/>
                <w:w w:val="100"/>
                <w:sz w:val="21"/>
              </w:rPr>
              <w:t>%</w:t>
            </w:r>
          </w:p>
        </w:tc>
      </w:tr>
      <w:tr>
        <w:trPr>
          <w:trHeight w:val="715"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67" w:right="0"/>
              <w:jc w:val="left"/>
              <w:rPr>
                <w:rFonts w:ascii="Times New Roman" w:hAnsi="Times New Roman" w:cs="Times New Roman" w:eastAsia="Times New Roman" w:hint="default"/>
                <w:sz w:val="21"/>
                <w:szCs w:val="21"/>
              </w:rPr>
            </w:pPr>
            <w:r>
              <w:rPr>
                <w:rFonts w:ascii="Times New Roman"/>
                <w:sz w:val="21"/>
              </w:rPr>
              <w:t>518,532,</w:t>
            </w:r>
          </w:p>
          <w:p>
            <w:pPr>
              <w:pStyle w:val="TableParagraph"/>
              <w:spacing w:line="240" w:lineRule="auto" w:before="70"/>
              <w:ind w:left="585" w:right="0"/>
              <w:jc w:val="left"/>
              <w:rPr>
                <w:rFonts w:ascii="Times New Roman" w:hAnsi="Times New Roman" w:cs="Times New Roman" w:eastAsia="Times New Roman" w:hint="default"/>
                <w:sz w:val="21"/>
                <w:szCs w:val="21"/>
              </w:rPr>
            </w:pPr>
            <w:r>
              <w:rPr>
                <w:rFonts w:ascii="Times New Roman"/>
                <w:sz w:val="21"/>
              </w:rPr>
              <w:t>066</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0" w:right="0"/>
              <w:jc w:val="left"/>
              <w:rPr>
                <w:rFonts w:ascii="Times New Roman" w:hAnsi="Times New Roman" w:cs="Times New Roman" w:eastAsia="Times New Roman" w:hint="default"/>
                <w:sz w:val="21"/>
                <w:szCs w:val="21"/>
              </w:rPr>
            </w:pPr>
            <w:r>
              <w:rPr>
                <w:rFonts w:ascii="Times New Roman"/>
                <w:sz w:val="21"/>
              </w:rPr>
              <w:t>74.99</w:t>
            </w:r>
          </w:p>
          <w:p>
            <w:pPr>
              <w:pStyle w:val="TableParagraph"/>
              <w:spacing w:line="240" w:lineRule="auto" w:before="70"/>
              <w:ind w:left="538" w:right="0"/>
              <w:jc w:val="left"/>
              <w:rPr>
                <w:rFonts w:ascii="Times New Roman" w:hAnsi="Times New Roman" w:cs="Times New Roman" w:eastAsia="Times New Roman" w:hint="default"/>
                <w:sz w:val="21"/>
                <w:szCs w:val="21"/>
              </w:rPr>
            </w:pPr>
            <w:r>
              <w:rPr>
                <w:rFonts w:ascii="Times New Roman"/>
                <w:w w:val="100"/>
                <w:sz w:val="21"/>
              </w:rPr>
              <w:t>%</w:t>
            </w:r>
          </w:p>
        </w:tc>
        <w:tc>
          <w:tcPr>
            <w:tcW w:w="82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29" w:right="0"/>
              <w:jc w:val="left"/>
              <w:rPr>
                <w:rFonts w:ascii="Times New Roman" w:hAnsi="Times New Roman" w:cs="Times New Roman" w:eastAsia="Times New Roman" w:hint="default"/>
                <w:sz w:val="21"/>
                <w:szCs w:val="21"/>
              </w:rPr>
            </w:pPr>
            <w:r>
              <w:rPr>
                <w:rFonts w:ascii="Times New Roman"/>
                <w:sz w:val="21"/>
              </w:rPr>
              <w:t>9,261,8</w:t>
            </w:r>
          </w:p>
          <w:p>
            <w:pPr>
              <w:pStyle w:val="TableParagraph"/>
              <w:spacing w:line="240" w:lineRule="auto" w:before="70"/>
              <w:ind w:left="547" w:right="0"/>
              <w:jc w:val="left"/>
              <w:rPr>
                <w:rFonts w:ascii="Times New Roman" w:hAnsi="Times New Roman" w:cs="Times New Roman" w:eastAsia="Times New Roman" w:hint="default"/>
                <w:sz w:val="21"/>
                <w:szCs w:val="21"/>
              </w:rPr>
            </w:pPr>
            <w:r>
              <w:rPr>
                <w:rFonts w:ascii="Times New Roman"/>
                <w:sz w:val="21"/>
              </w:rPr>
              <w:t>52</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67" w:right="0"/>
              <w:jc w:val="left"/>
              <w:rPr>
                <w:rFonts w:ascii="Times New Roman" w:hAnsi="Times New Roman" w:cs="Times New Roman" w:eastAsia="Times New Roman" w:hint="default"/>
                <w:sz w:val="21"/>
                <w:szCs w:val="21"/>
              </w:rPr>
            </w:pPr>
            <w:r>
              <w:rPr>
                <w:rFonts w:ascii="Times New Roman"/>
                <w:sz w:val="21"/>
              </w:rPr>
              <w:t>9,261,8</w:t>
            </w:r>
          </w:p>
          <w:p>
            <w:pPr>
              <w:pStyle w:val="TableParagraph"/>
              <w:spacing w:line="240" w:lineRule="auto" w:before="70"/>
              <w:ind w:left="585" w:right="0"/>
              <w:jc w:val="left"/>
              <w:rPr>
                <w:rFonts w:ascii="Times New Roman" w:hAnsi="Times New Roman" w:cs="Times New Roman" w:eastAsia="Times New Roman" w:hint="default"/>
                <w:sz w:val="21"/>
                <w:szCs w:val="21"/>
              </w:rPr>
            </w:pPr>
            <w:r>
              <w:rPr>
                <w:rFonts w:ascii="Times New Roman"/>
                <w:sz w:val="21"/>
              </w:rPr>
              <w:t>52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68" w:right="0"/>
              <w:jc w:val="left"/>
              <w:rPr>
                <w:rFonts w:ascii="Times New Roman" w:hAnsi="Times New Roman" w:cs="Times New Roman" w:eastAsia="Times New Roman" w:hint="default"/>
                <w:sz w:val="21"/>
                <w:szCs w:val="21"/>
              </w:rPr>
            </w:pPr>
            <w:r>
              <w:rPr>
                <w:rFonts w:ascii="Times New Roman"/>
                <w:sz w:val="21"/>
              </w:rPr>
              <w:t>527,793,</w:t>
            </w:r>
          </w:p>
          <w:p>
            <w:pPr>
              <w:pStyle w:val="TableParagraph"/>
              <w:spacing w:line="240" w:lineRule="auto" w:before="70"/>
              <w:ind w:left="586" w:right="0"/>
              <w:jc w:val="left"/>
              <w:rPr>
                <w:rFonts w:ascii="Times New Roman" w:hAnsi="Times New Roman" w:cs="Times New Roman" w:eastAsia="Times New Roman" w:hint="default"/>
                <w:sz w:val="21"/>
                <w:szCs w:val="21"/>
              </w:rPr>
            </w:pPr>
            <w:r>
              <w:rPr>
                <w:rFonts w:ascii="Times New Roman"/>
                <w:sz w:val="21"/>
              </w:rPr>
              <w:t>918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4" w:right="0"/>
              <w:jc w:val="left"/>
              <w:rPr>
                <w:rFonts w:ascii="Times New Roman" w:hAnsi="Times New Roman" w:cs="Times New Roman" w:eastAsia="Times New Roman" w:hint="default"/>
                <w:sz w:val="21"/>
                <w:szCs w:val="21"/>
              </w:rPr>
            </w:pPr>
            <w:r>
              <w:rPr>
                <w:rFonts w:ascii="Times New Roman"/>
                <w:sz w:val="21"/>
              </w:rPr>
              <w:t>76.33</w:t>
            </w:r>
          </w:p>
          <w:p>
            <w:pPr>
              <w:pStyle w:val="TableParagraph"/>
              <w:spacing w:line="240" w:lineRule="auto" w:before="70"/>
              <w:ind w:left="542" w:right="0"/>
              <w:jc w:val="left"/>
              <w:rPr>
                <w:rFonts w:ascii="Times New Roman" w:hAnsi="Times New Roman" w:cs="Times New Roman" w:eastAsia="Times New Roman" w:hint="default"/>
                <w:sz w:val="21"/>
                <w:szCs w:val="21"/>
              </w:rPr>
            </w:pPr>
            <w:r>
              <w:rPr>
                <w:rFonts w:ascii="Times New Roman"/>
                <w:w w:val="100"/>
                <w:sz w:val="21"/>
              </w:rPr>
              <w:t>%</w:t>
            </w:r>
          </w:p>
        </w:tc>
      </w:tr>
      <w:tr>
        <w:trPr>
          <w:trHeight w:val="716" w:hRule="exact"/>
        </w:trPr>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67" w:right="0"/>
              <w:jc w:val="left"/>
              <w:rPr>
                <w:rFonts w:ascii="Times New Roman" w:hAnsi="Times New Roman" w:cs="Times New Roman" w:eastAsia="Times New Roman" w:hint="default"/>
                <w:sz w:val="21"/>
                <w:szCs w:val="21"/>
              </w:rPr>
            </w:pPr>
            <w:r>
              <w:rPr>
                <w:rFonts w:ascii="Times New Roman"/>
                <w:sz w:val="21"/>
              </w:rPr>
              <w:t>691,505,</w:t>
            </w:r>
          </w:p>
          <w:p>
            <w:pPr>
              <w:pStyle w:val="TableParagraph"/>
              <w:spacing w:line="240" w:lineRule="auto" w:before="75"/>
              <w:ind w:left="585" w:right="0"/>
              <w:jc w:val="left"/>
              <w:rPr>
                <w:rFonts w:ascii="Times New Roman" w:hAnsi="Times New Roman" w:cs="Times New Roman" w:eastAsia="Times New Roman" w:hint="default"/>
                <w:sz w:val="21"/>
                <w:szCs w:val="21"/>
              </w:rPr>
            </w:pPr>
            <w:r>
              <w:rPr>
                <w:rFonts w:ascii="Times New Roman"/>
                <w:sz w:val="21"/>
              </w:rPr>
              <w:t>915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34" w:right="0"/>
              <w:jc w:val="lef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5"/>
              <w:ind w:left="538" w:right="0"/>
              <w:jc w:val="left"/>
              <w:rPr>
                <w:rFonts w:ascii="Times New Roman" w:hAnsi="Times New Roman" w:cs="Times New Roman" w:eastAsia="Times New Roman" w:hint="default"/>
                <w:sz w:val="21"/>
                <w:szCs w:val="21"/>
              </w:rPr>
            </w:pPr>
            <w:r>
              <w:rPr>
                <w:rFonts w:ascii="Times New Roman"/>
                <w:w w:val="100"/>
                <w:sz w:val="21"/>
              </w:rPr>
              <w:t>%</w:t>
            </w:r>
          </w:p>
        </w:tc>
        <w:tc>
          <w:tcPr>
            <w:tcW w:w="821"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100"/>
                <w:sz w:val="21"/>
              </w:rPr>
              <w:t>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68" w:right="0"/>
              <w:jc w:val="left"/>
              <w:rPr>
                <w:rFonts w:ascii="Times New Roman" w:hAnsi="Times New Roman" w:cs="Times New Roman" w:eastAsia="Times New Roman" w:hint="default"/>
                <w:sz w:val="21"/>
                <w:szCs w:val="21"/>
              </w:rPr>
            </w:pPr>
            <w:r>
              <w:rPr>
                <w:rFonts w:ascii="Times New Roman"/>
                <w:sz w:val="21"/>
              </w:rPr>
              <w:t>691,505,</w:t>
            </w:r>
          </w:p>
          <w:p>
            <w:pPr>
              <w:pStyle w:val="TableParagraph"/>
              <w:spacing w:line="240" w:lineRule="auto" w:before="75"/>
              <w:ind w:left="586" w:right="0"/>
              <w:jc w:val="left"/>
              <w:rPr>
                <w:rFonts w:ascii="Times New Roman" w:hAnsi="Times New Roman" w:cs="Times New Roman" w:eastAsia="Times New Roman" w:hint="default"/>
                <w:sz w:val="21"/>
                <w:szCs w:val="21"/>
              </w:rPr>
            </w:pPr>
            <w:r>
              <w:rPr>
                <w:rFonts w:ascii="Times New Roman"/>
                <w:sz w:val="21"/>
              </w:rPr>
              <w:t>915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39" w:right="0"/>
              <w:jc w:val="lef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5"/>
              <w:ind w:left="542" w:right="0"/>
              <w:jc w:val="left"/>
              <w:rPr>
                <w:rFonts w:ascii="Times New Roman" w:hAnsi="Times New Roman" w:cs="Times New Roman" w:eastAsia="Times New Roman" w:hint="default"/>
                <w:sz w:val="21"/>
                <w:szCs w:val="21"/>
              </w:rPr>
            </w:pPr>
            <w:r>
              <w:rPr>
                <w:rFonts w:ascii="Times New Roman"/>
                <w:w w:val="100"/>
                <w:sz w:val="21"/>
              </w:rPr>
              <w:t>%</w:t>
            </w:r>
          </w:p>
        </w:tc>
      </w:tr>
    </w:tbl>
    <w:p>
      <w:pPr>
        <w:spacing w:before="53"/>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股份变动的原因</w:t>
      </w:r>
    </w:p>
    <w:p>
      <w:pPr>
        <w:spacing w:line="357" w:lineRule="auto" w:before="119"/>
        <w:ind w:left="113" w:right="766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pacing w:val="-3"/>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股份变动的批准情况</w:t>
      </w:r>
    </w:p>
    <w:p>
      <w:pPr>
        <w:spacing w:line="362" w:lineRule="auto" w:before="27"/>
        <w:ind w:left="113" w:right="766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pacing w:val="-3"/>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股份变动的过户情况</w:t>
      </w:r>
    </w:p>
    <w:p>
      <w:pPr>
        <w:spacing w:line="357" w:lineRule="auto" w:before="23"/>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股份回购的实施进展情况</w:t>
      </w:r>
    </w:p>
    <w:p>
      <w:pPr>
        <w:spacing w:before="31"/>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6"/>
        <w:rPr>
          <w:rFonts w:ascii="宋体" w:hAnsi="宋体" w:cs="宋体" w:eastAsia="宋体" w:hint="default"/>
          <w:sz w:val="13"/>
          <w:szCs w:val="13"/>
        </w:rPr>
      </w:pPr>
    </w:p>
    <w:p>
      <w:pPr>
        <w:pStyle w:val="BodyText"/>
        <w:spacing w:line="350" w:lineRule="auto" w:before="0"/>
        <w:ind w:right="1113" w:firstLine="364"/>
        <w:jc w:val="left"/>
      </w:pPr>
      <w:r>
        <w:rPr>
          <w:rFonts w:ascii="宋体" w:hAnsi="宋体" w:cs="宋体" w:eastAsia="宋体" w:hint="default"/>
          <w:spacing w:val="-2"/>
        </w:rPr>
        <w:t>1</w:t>
      </w:r>
      <w:r>
        <w:rPr>
          <w:spacing w:val="-2"/>
        </w:rPr>
        <w:t>、公司于</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6</w:t>
      </w:r>
      <w:r>
        <w:rPr>
          <w:spacing w:val="-2"/>
        </w:rPr>
        <w:t>日召开</w:t>
      </w:r>
      <w:r>
        <w:rPr>
          <w:rFonts w:ascii="宋体" w:hAnsi="宋体" w:cs="宋体" w:eastAsia="宋体" w:hint="default"/>
          <w:spacing w:val="-2"/>
        </w:rPr>
        <w:t>2018</w:t>
      </w:r>
      <w:r>
        <w:rPr>
          <w:spacing w:val="-2"/>
        </w:rPr>
        <w:t>年第四次临时股东大会，审议通过了《关于以集中竞价交易方式回</w:t>
      </w:r>
      <w:r>
        <w:rPr>
          <w:w w:val="100"/>
        </w:rPr>
        <w:t> </w:t>
      </w:r>
      <w:r>
        <w:rPr>
          <w:spacing w:val="-2"/>
        </w:rPr>
        <w:t>购股份的议案》等相关议案，同意公司以集中竞价交易的方式使用自有资金回购公司股份，回购价格为不</w:t>
      </w:r>
      <w:r>
        <w:rPr>
          <w:spacing w:val="-33"/>
        </w:rPr>
        <w:t> </w:t>
      </w:r>
      <w:r>
        <w:rPr>
          <w:spacing w:val="-33"/>
        </w:rPr>
      </w:r>
      <w:r>
        <w:rPr/>
        <w:t>超过</w:t>
      </w:r>
      <w:r>
        <w:rPr>
          <w:rFonts w:ascii="宋体" w:hAnsi="宋体" w:cs="宋体" w:eastAsia="宋体" w:hint="default"/>
        </w:rPr>
        <w:t>9.00</w:t>
      </w:r>
      <w:r>
        <w:rPr/>
        <w:t>元</w:t>
      </w:r>
      <w:r>
        <w:rPr>
          <w:rFonts w:ascii="宋体" w:hAnsi="宋体" w:cs="宋体" w:eastAsia="宋体" w:hint="default"/>
        </w:rPr>
        <w:t>/</w:t>
      </w:r>
      <w:r>
        <w:rPr/>
        <w:t>股。回购的资金总额预计为不低于人民币</w:t>
      </w:r>
      <w:r>
        <w:rPr>
          <w:rFonts w:ascii="宋体" w:hAnsi="宋体" w:cs="宋体" w:eastAsia="宋体" w:hint="default"/>
        </w:rPr>
        <w:t>1.5</w:t>
      </w:r>
      <w:r>
        <w:rPr/>
        <w:t>亿元，不超过人民币</w:t>
      </w:r>
      <w:r>
        <w:rPr>
          <w:rFonts w:ascii="宋体" w:hAnsi="宋体" w:cs="宋体" w:eastAsia="宋体" w:hint="default"/>
        </w:rPr>
        <w:t>3</w:t>
      </w:r>
      <w:r>
        <w:rPr/>
        <w:t>亿元。回购股份期限为自</w:t>
      </w:r>
      <w:r>
        <w:rPr>
          <w:w w:val="100"/>
        </w:rPr>
        <w:t> </w:t>
      </w:r>
      <w:r>
        <w:rPr>
          <w:spacing w:val="-2"/>
        </w:rPr>
        <w:t>股东大会审议通过回购股份方案之日起不超过</w:t>
      </w:r>
      <w:r>
        <w:rPr>
          <w:rFonts w:ascii="宋体" w:hAnsi="宋体" w:cs="宋体" w:eastAsia="宋体" w:hint="default"/>
          <w:spacing w:val="-2"/>
        </w:rPr>
        <w:t>6</w:t>
      </w:r>
      <w:r>
        <w:rPr>
          <w:spacing w:val="-2"/>
        </w:rPr>
        <w:t>个月（即本次回购股份的实施期限为</w:t>
      </w: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7</w:t>
      </w:r>
      <w:r>
        <w:rPr>
          <w:spacing w:val="-2"/>
        </w:rPr>
        <w:t>日至</w:t>
      </w:r>
      <w:r>
        <w:rPr>
          <w:rFonts w:ascii="宋体" w:hAnsi="宋体" w:cs="宋体" w:eastAsia="宋体" w:hint="default"/>
          <w:spacing w:val="-2"/>
        </w:rPr>
        <w:t>2019</w:t>
      </w:r>
      <w:r>
        <w:rPr>
          <w:rFonts w:ascii="宋体" w:hAnsi="宋体" w:cs="宋体" w:eastAsia="宋体" w:hint="default"/>
          <w:spacing w:val="-24"/>
        </w:rPr>
        <w:t> </w:t>
      </w:r>
      <w:r>
        <w:rPr>
          <w:rFonts w:ascii="宋体" w:hAnsi="宋体" w:cs="宋体" w:eastAsia="宋体" w:hint="default"/>
          <w:spacing w:val="-24"/>
        </w:rPr>
      </w:r>
      <w:r>
        <w:rPr>
          <w:spacing w:val="-10"/>
          <w:w w:val="100"/>
        </w:rPr>
        <w:t>年</w:t>
      </w:r>
      <w:r>
        <w:rPr>
          <w:rFonts w:ascii="宋体" w:hAnsi="宋体" w:cs="宋体" w:eastAsia="宋体" w:hint="default"/>
          <w:spacing w:val="-10"/>
          <w:w w:val="100"/>
        </w:rPr>
        <w:t>5</w:t>
      </w:r>
      <w:r>
        <w:rPr>
          <w:spacing w:val="-10"/>
          <w:w w:val="100"/>
        </w:rPr>
        <w:t>月</w:t>
      </w:r>
      <w:r>
        <w:rPr>
          <w:rFonts w:ascii="宋体" w:hAnsi="宋体" w:cs="宋体" w:eastAsia="宋体" w:hint="default"/>
          <w:spacing w:val="-10"/>
          <w:w w:val="100"/>
        </w:rPr>
        <w:t>6</w:t>
      </w:r>
      <w:r>
        <w:rPr>
          <w:spacing w:val="-10"/>
          <w:w w:val="100"/>
        </w:rPr>
        <w:t>日）。截止</w:t>
      </w:r>
      <w:r>
        <w:rPr>
          <w:rFonts w:ascii="宋体" w:hAnsi="宋体" w:cs="宋体" w:eastAsia="宋体" w:hint="default"/>
          <w:spacing w:val="-10"/>
          <w:w w:val="100"/>
        </w:rPr>
        <w:t>2018</w:t>
      </w:r>
      <w:r>
        <w:rPr>
          <w:rFonts w:ascii="宋体" w:hAnsi="宋体" w:cs="宋体" w:eastAsia="宋体" w:hint="default"/>
          <w:w w:val="100"/>
        </w:rPr>
        <w:t> </w:t>
      </w:r>
      <w:r>
        <w:rPr>
          <w:spacing w:val="-1"/>
          <w:w w:val="100"/>
        </w:rPr>
        <w:t>年</w:t>
      </w:r>
      <w:r>
        <w:rPr>
          <w:rFonts w:ascii="宋体" w:hAnsi="宋体" w:cs="宋体" w:eastAsia="宋体" w:hint="default"/>
          <w:spacing w:val="-1"/>
          <w:w w:val="100"/>
        </w:rPr>
        <w:t>12</w:t>
      </w:r>
      <w:r>
        <w:rPr>
          <w:spacing w:val="-1"/>
          <w:w w:val="100"/>
        </w:rPr>
        <w:t>月</w:t>
      </w:r>
      <w:r>
        <w:rPr>
          <w:rFonts w:ascii="宋体" w:hAnsi="宋体" w:cs="宋体" w:eastAsia="宋体" w:hint="default"/>
          <w:spacing w:val="-1"/>
          <w:w w:val="100"/>
        </w:rPr>
        <w:t>5</w:t>
      </w:r>
      <w:r>
        <w:rPr>
          <w:rFonts w:ascii="宋体" w:hAnsi="宋体" w:cs="宋体" w:eastAsia="宋体" w:hint="default"/>
          <w:spacing w:val="16"/>
          <w:w w:val="100"/>
        </w:rPr>
        <w:t> </w:t>
      </w:r>
      <w:r>
        <w:rPr>
          <w:spacing w:val="-2"/>
          <w:w w:val="100"/>
        </w:rPr>
        <w:t>日，公司累计通过股票回购专用证券账户以集中竞价交易方式回购股份数</w:t>
      </w:r>
      <w:r>
        <w:rPr>
          <w:w w:val="100"/>
        </w:rPr>
        <w:t> </w:t>
      </w:r>
      <w:r>
        <w:rPr/>
        <w:t>量 </w:t>
      </w:r>
      <w:r>
        <w:rPr>
          <w:rFonts w:ascii="宋体" w:hAnsi="宋体" w:cs="宋体" w:eastAsia="宋体" w:hint="default"/>
        </w:rPr>
        <w:t>22,782,295 </w:t>
      </w:r>
      <w:r>
        <w:rPr/>
        <w:t>股，占公司总股本的</w:t>
      </w:r>
      <w:r>
        <w:rPr>
          <w:rFonts w:ascii="宋体" w:hAnsi="宋体" w:cs="宋体" w:eastAsia="宋体" w:hint="default"/>
        </w:rPr>
        <w:t>3.29%</w:t>
      </w:r>
      <w:r>
        <w:rPr/>
        <w:t>，最高成交价为</w:t>
      </w:r>
      <w:r>
        <w:rPr>
          <w:spacing w:val="-26"/>
        </w:rPr>
        <w:t> </w:t>
      </w:r>
      <w:r>
        <w:rPr>
          <w:rFonts w:ascii="宋体" w:hAnsi="宋体" w:cs="宋体" w:eastAsia="宋体" w:hint="default"/>
        </w:rPr>
        <w:t>7.00</w:t>
      </w:r>
      <w:r>
        <w:rPr/>
        <w:t>元</w:t>
      </w:r>
      <w:r>
        <w:rPr>
          <w:rFonts w:ascii="宋体" w:hAnsi="宋体" w:cs="宋体" w:eastAsia="宋体" w:hint="default"/>
        </w:rPr>
        <w:t>/</w:t>
      </w:r>
      <w:r>
        <w:rPr/>
        <w:t>股，最低成交价为</w:t>
      </w:r>
      <w:r>
        <w:rPr>
          <w:rFonts w:ascii="宋体" w:hAnsi="宋体" w:cs="宋体" w:eastAsia="宋体" w:hint="default"/>
        </w:rPr>
        <w:t>6.19</w:t>
      </w:r>
      <w:r>
        <w:rPr/>
        <w:t>元</w:t>
      </w:r>
      <w:r>
        <w:rPr>
          <w:rFonts w:ascii="宋体" w:hAnsi="宋体" w:cs="宋体" w:eastAsia="宋体" w:hint="default"/>
        </w:rPr>
        <w:t>/</w:t>
      </w:r>
      <w:r>
        <w:rPr/>
        <w:t>股，回购总</w:t>
      </w:r>
    </w:p>
    <w:p>
      <w:pPr>
        <w:spacing w:after="0" w:line="35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left="535" w:right="1002" w:hanging="423"/>
        <w:jc w:val="left"/>
      </w:pPr>
      <w:r>
        <w:rPr>
          <w:spacing w:val="-4"/>
          <w:w w:val="100"/>
        </w:rPr>
        <w:t>金额为</w:t>
      </w:r>
      <w:r>
        <w:rPr>
          <w:rFonts w:ascii="宋体" w:hAnsi="宋体" w:cs="宋体" w:eastAsia="宋体" w:hint="default"/>
          <w:spacing w:val="-4"/>
          <w:w w:val="100"/>
        </w:rPr>
        <w:t>150,033,637.57</w:t>
      </w:r>
      <w:r>
        <w:rPr>
          <w:spacing w:val="-4"/>
          <w:w w:val="100"/>
        </w:rPr>
        <w:t>元（不含交易费用），本次回购股份事项已实施完毕。</w:t>
      </w:r>
      <w:r>
        <w:rPr>
          <w:spacing w:val="-87"/>
          <w:w w:val="100"/>
        </w:rPr>
        <w:t> </w:t>
      </w:r>
      <w:r>
        <w:rPr>
          <w:spacing w:val="-87"/>
          <w:w w:val="100"/>
        </w:rPr>
      </w:r>
      <w:r>
        <w:rPr>
          <w:rFonts w:ascii="宋体" w:hAnsi="宋体" w:cs="宋体" w:eastAsia="宋体" w:hint="default"/>
          <w:spacing w:val="-2"/>
        </w:rPr>
        <w:t>2</w:t>
      </w:r>
      <w:r>
        <w:rPr>
          <w:spacing w:val="-2"/>
        </w:rPr>
        <w:t>、根据公司发展战略，为了进一步实现公司做稳、做强、做大，充分发挥公司回购股份用途的积极</w:t>
      </w:r>
    </w:p>
    <w:p>
      <w:pPr>
        <w:pStyle w:val="BodyText"/>
        <w:spacing w:line="350" w:lineRule="auto" w:before="34"/>
        <w:ind w:right="1002"/>
        <w:jc w:val="left"/>
      </w:pPr>
      <w:r>
        <w:rPr>
          <w:spacing w:val="-2"/>
        </w:rPr>
        <w:t>促进作用，建立和完善员工、股东的利益共享机制。将使用已回购的股份用于实施员工持股计划，提高职</w:t>
      </w:r>
      <w:r>
        <w:rPr>
          <w:spacing w:val="-33"/>
        </w:rPr>
        <w:t> </w:t>
      </w:r>
      <w:r>
        <w:rPr>
          <w:spacing w:val="-33"/>
        </w:rPr>
      </w:r>
      <w:r>
        <w:rPr/>
        <w:t>工的凝聚力和公司竞争力， 调动员工的积极性和创造性，激励个人与公司共同分享企业发展的成果，促</w:t>
      </w:r>
      <w:r>
        <w:rPr>
          <w:w w:val="100"/>
        </w:rPr>
        <w:t> </w:t>
      </w:r>
      <w:r>
        <w:rPr>
          <w:spacing w:val="-2"/>
        </w:rPr>
        <w:t>进公司长期、稳定、健康的发展。</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8</w:t>
      </w:r>
      <w:r>
        <w:rPr>
          <w:spacing w:val="-2"/>
        </w:rPr>
        <w:t>日召开了第八届董事会第二次会议，审议通过了《关于确定</w:t>
      </w:r>
      <w:r>
        <w:rPr>
          <w:spacing w:val="-31"/>
        </w:rPr>
        <w:t> </w:t>
      </w:r>
      <w:r>
        <w:rPr>
          <w:spacing w:val="-31"/>
        </w:rPr>
      </w:r>
      <w:r>
        <w:rPr>
          <w:spacing w:val="-4"/>
          <w:w w:val="100"/>
        </w:rPr>
        <w:t>回购股份用途的议案》，同意公司在回购完成的</w:t>
      </w:r>
      <w:r>
        <w:rPr>
          <w:rFonts w:ascii="宋体" w:hAnsi="宋体" w:cs="宋体" w:eastAsia="宋体" w:hint="default"/>
          <w:spacing w:val="-4"/>
          <w:w w:val="100"/>
        </w:rPr>
        <w:t>36</w:t>
      </w:r>
      <w:r>
        <w:rPr>
          <w:spacing w:val="-4"/>
          <w:w w:val="100"/>
        </w:rPr>
        <w:t>个月内将本次回购的股份全部用于员工持股计划。</w:t>
      </w:r>
    </w:p>
    <w:p>
      <w:pPr>
        <w:pStyle w:val="BodyText"/>
        <w:spacing w:line="240" w:lineRule="auto" w:before="27"/>
        <w:ind w:left="535" w:right="1002"/>
        <w:jc w:val="left"/>
      </w:pP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27</w:t>
      </w:r>
      <w:r>
        <w:rPr/>
        <w:t>日，公司召开第八届董事会第六次会议、第八届监事会第四次会议审议通过了《关于</w:t>
      </w:r>
    </w:p>
    <w:p>
      <w:pPr>
        <w:pStyle w:val="BodyText"/>
        <w:spacing w:line="350" w:lineRule="auto" w:before="124"/>
        <w:ind w:right="1208"/>
        <w:jc w:val="both"/>
      </w:pPr>
      <w:r>
        <w:rPr>
          <w:rFonts w:ascii="宋体" w:hAnsi="宋体" w:cs="宋体" w:eastAsia="宋体" w:hint="default"/>
          <w:spacing w:val="-6"/>
          <w:w w:val="100"/>
        </w:rPr>
        <w:t>&lt;</w:t>
      </w:r>
      <w:r>
        <w:rPr>
          <w:spacing w:val="-6"/>
          <w:w w:val="100"/>
        </w:rPr>
        <w:t>安徽中电兴发与鑫龙科技股份有限公司第一期员工持股计划（草案）</w:t>
      </w:r>
      <w:r>
        <w:rPr>
          <w:rFonts w:ascii="宋体" w:hAnsi="宋体" w:cs="宋体" w:eastAsia="宋体" w:hint="default"/>
          <w:spacing w:val="-6"/>
          <w:w w:val="100"/>
        </w:rPr>
        <w:t>&gt;</w:t>
      </w:r>
      <w:r>
        <w:rPr>
          <w:spacing w:val="-6"/>
          <w:w w:val="100"/>
        </w:rPr>
        <w:t>及其摘要的议案》、《关于</w:t>
      </w:r>
      <w:r>
        <w:rPr>
          <w:rFonts w:ascii="宋体" w:hAnsi="宋体" w:cs="宋体" w:eastAsia="宋体" w:hint="default"/>
          <w:spacing w:val="-6"/>
          <w:w w:val="100"/>
        </w:rPr>
        <w:t>&lt;</w:t>
      </w:r>
      <w:r>
        <w:rPr>
          <w:spacing w:val="-6"/>
          <w:w w:val="100"/>
        </w:rPr>
        <w:t>安徽中</w:t>
      </w:r>
      <w:r>
        <w:rPr>
          <w:spacing w:val="-82"/>
          <w:w w:val="100"/>
        </w:rPr>
        <w:t> </w:t>
      </w:r>
      <w:r>
        <w:rPr>
          <w:spacing w:val="-82"/>
          <w:w w:val="100"/>
        </w:rPr>
      </w:r>
      <w:r>
        <w:rPr>
          <w:spacing w:val="-2"/>
        </w:rPr>
        <w:t>电兴发与鑫龙科技股份有限公司第一期员工持股计划管理办法</w:t>
      </w:r>
      <w:r>
        <w:rPr>
          <w:rFonts w:ascii="宋体" w:hAnsi="宋体" w:cs="宋体" w:eastAsia="宋体" w:hint="default"/>
          <w:spacing w:val="-2"/>
        </w:rPr>
        <w:t>&gt;</w:t>
      </w:r>
      <w:r>
        <w:rPr>
          <w:spacing w:val="-2"/>
        </w:rPr>
        <w:t>的议案》等相关议案，公司独立董事、监</w:t>
      </w:r>
      <w:r>
        <w:rPr>
          <w:spacing w:val="-12"/>
        </w:rPr>
        <w:t> </w:t>
      </w:r>
      <w:r>
        <w:rPr>
          <w:spacing w:val="-12"/>
        </w:rPr>
      </w:r>
      <w:r>
        <w:rPr>
          <w:spacing w:val="-4"/>
          <w:w w:val="100"/>
        </w:rPr>
        <w:t>事会均已对本次员工持股计划方案内容进行审核，并发表了同意意见。《安徽中电兴发与鑫龙科技股份有</w:t>
      </w:r>
      <w:r>
        <w:rPr>
          <w:spacing w:val="-81"/>
          <w:w w:val="100"/>
        </w:rPr>
        <w:t> </w:t>
      </w:r>
      <w:r>
        <w:rPr>
          <w:spacing w:val="-81"/>
          <w:w w:val="100"/>
        </w:rPr>
      </w:r>
      <w:r>
        <w:rPr>
          <w:spacing w:val="-5"/>
          <w:w w:val="100"/>
        </w:rPr>
        <w:t>限公司第一期员工持股计划（草案）》及其摘要的具体内容详见</w:t>
      </w:r>
      <w:r>
        <w:rPr>
          <w:spacing w:val="2"/>
          <w:w w:val="100"/>
        </w:rPr>
        <w:t> </w:t>
      </w:r>
      <w:r>
        <w:rPr>
          <w:rFonts w:ascii="宋体" w:hAnsi="宋体" w:cs="宋体" w:eastAsia="宋体" w:hint="default"/>
          <w:spacing w:val="-1"/>
          <w:w w:val="100"/>
        </w:rPr>
        <w:t>2019</w:t>
      </w:r>
      <w:r>
        <w:rPr>
          <w:spacing w:val="-1"/>
          <w:w w:val="100"/>
        </w:rPr>
        <w:t>年</w:t>
      </w:r>
      <w:r>
        <w:rPr>
          <w:rFonts w:ascii="宋体" w:hAnsi="宋体" w:cs="宋体" w:eastAsia="宋体" w:hint="default"/>
          <w:spacing w:val="-1"/>
          <w:w w:val="100"/>
        </w:rPr>
        <w:t>5</w:t>
      </w:r>
      <w:r>
        <w:rPr>
          <w:spacing w:val="-1"/>
          <w:w w:val="100"/>
        </w:rPr>
        <w:t>月</w:t>
      </w:r>
      <w:r>
        <w:rPr>
          <w:rFonts w:ascii="宋体" w:hAnsi="宋体" w:cs="宋体" w:eastAsia="宋体" w:hint="default"/>
          <w:spacing w:val="-1"/>
          <w:w w:val="100"/>
        </w:rPr>
        <w:t>28</w:t>
      </w:r>
      <w:r>
        <w:rPr>
          <w:spacing w:val="-1"/>
          <w:w w:val="100"/>
        </w:rPr>
        <w:t>日公司指定的信息披露媒体</w:t>
      </w:r>
    </w:p>
    <w:p>
      <w:pPr>
        <w:pStyle w:val="BodyText"/>
        <w:spacing w:line="348" w:lineRule="auto" w:before="32"/>
        <w:ind w:left="535" w:right="1013" w:hanging="423"/>
        <w:jc w:val="left"/>
      </w:pPr>
      <w:r>
        <w:rPr>
          <w:spacing w:val="-10"/>
          <w:w w:val="100"/>
        </w:rPr>
        <w:t>《证券时报》、《中国证券报》、《上海证券报》和巨潮资讯网（</w:t>
      </w:r>
      <w:hyperlink r:id="rId8">
        <w:r>
          <w:rPr>
            <w:rFonts w:ascii="宋体" w:hAnsi="宋体" w:cs="宋体" w:eastAsia="宋体" w:hint="default"/>
            <w:spacing w:val="-10"/>
            <w:w w:val="100"/>
          </w:rPr>
          <w:t>http://www.cninfo.com.cn</w:t>
        </w:r>
      </w:hyperlink>
      <w:r>
        <w:rPr>
          <w:spacing w:val="-10"/>
          <w:w w:val="100"/>
        </w:rPr>
        <w:t>）上的相关公告。</w:t>
      </w:r>
      <w:r>
        <w:rPr>
          <w:w w:val="100"/>
        </w:rPr>
        <w:t> </w:t>
      </w: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12</w:t>
      </w:r>
      <w:r>
        <w:rPr/>
        <w:t>日，公司召开</w:t>
      </w:r>
      <w:r>
        <w:rPr>
          <w:rFonts w:ascii="宋体" w:hAnsi="宋体" w:cs="宋体" w:eastAsia="宋体" w:hint="default"/>
        </w:rPr>
        <w:t>2019</w:t>
      </w:r>
      <w:r>
        <w:rPr/>
        <w:t>年第二次临时股东大会审议通过了《关于</w:t>
      </w:r>
      <w:r>
        <w:rPr>
          <w:rFonts w:ascii="宋体" w:hAnsi="宋体" w:cs="宋体" w:eastAsia="宋体" w:hint="default"/>
        </w:rPr>
        <w:t>&lt;</w:t>
      </w:r>
      <w:r>
        <w:rPr/>
        <w:t>安徽中电兴发与鑫龙科</w:t>
      </w:r>
    </w:p>
    <w:p>
      <w:pPr>
        <w:pStyle w:val="BodyText"/>
        <w:spacing w:line="350" w:lineRule="auto" w:before="29"/>
        <w:ind w:right="1089"/>
        <w:jc w:val="left"/>
      </w:pPr>
      <w:r>
        <w:rPr>
          <w:w w:val="100"/>
        </w:rPr>
        <w:t>技股份有</w:t>
      </w:r>
      <w:r>
        <w:rPr>
          <w:spacing w:val="-5"/>
          <w:w w:val="100"/>
        </w:rPr>
        <w:t>限</w:t>
      </w:r>
      <w:r>
        <w:rPr>
          <w:w w:val="100"/>
        </w:rPr>
        <w:t>公司第</w:t>
      </w:r>
      <w:r>
        <w:rPr>
          <w:spacing w:val="-5"/>
          <w:w w:val="100"/>
        </w:rPr>
        <w:t>一</w:t>
      </w:r>
      <w:r>
        <w:rPr>
          <w:w w:val="100"/>
        </w:rPr>
        <w:t>期员工</w:t>
      </w:r>
      <w:r>
        <w:rPr>
          <w:spacing w:val="-5"/>
          <w:w w:val="100"/>
        </w:rPr>
        <w:t>持</w:t>
      </w:r>
      <w:r>
        <w:rPr>
          <w:w w:val="100"/>
        </w:rPr>
        <w:t>股计</w:t>
      </w:r>
      <w:r>
        <w:rPr>
          <w:spacing w:val="-10"/>
          <w:w w:val="100"/>
        </w:rPr>
        <w:t>划</w:t>
      </w:r>
      <w:r>
        <w:rPr>
          <w:w w:val="100"/>
        </w:rPr>
        <w:t>（草案</w:t>
      </w:r>
      <w:r>
        <w:rPr>
          <w:spacing w:val="-8"/>
          <w:w w:val="100"/>
        </w:rPr>
        <w:t>）</w:t>
      </w:r>
      <w:r>
        <w:rPr>
          <w:rFonts w:ascii="宋体" w:hAnsi="宋体" w:cs="宋体" w:eastAsia="宋体" w:hint="default"/>
          <w:spacing w:val="-5"/>
          <w:w w:val="100"/>
        </w:rPr>
        <w:t>&gt;</w:t>
      </w:r>
      <w:r>
        <w:rPr>
          <w:w w:val="100"/>
        </w:rPr>
        <w:t>及</w:t>
      </w:r>
      <w:r>
        <w:rPr>
          <w:spacing w:val="-5"/>
          <w:w w:val="100"/>
        </w:rPr>
        <w:t>其</w:t>
      </w:r>
      <w:r>
        <w:rPr>
          <w:w w:val="100"/>
        </w:rPr>
        <w:t>摘要的议案</w:t>
      </w:r>
      <w:r>
        <w:rPr>
          <w:spacing w:val="-111"/>
          <w:w w:val="100"/>
        </w:rPr>
        <w:t>》</w:t>
      </w:r>
      <w:r>
        <w:rPr>
          <w:spacing w:val="-116"/>
          <w:w w:val="100"/>
        </w:rPr>
        <w:t>、</w:t>
      </w:r>
      <w:r>
        <w:rPr>
          <w:w w:val="100"/>
        </w:rPr>
        <w:t>《关于</w:t>
      </w:r>
      <w:r>
        <w:rPr>
          <w:rFonts w:ascii="宋体" w:hAnsi="宋体" w:cs="宋体" w:eastAsia="宋体" w:hint="default"/>
          <w:w w:val="100"/>
        </w:rPr>
        <w:t>&lt;</w:t>
      </w:r>
      <w:r>
        <w:rPr>
          <w:w w:val="100"/>
        </w:rPr>
        <w:t>安</w:t>
      </w:r>
      <w:r>
        <w:rPr>
          <w:spacing w:val="-5"/>
          <w:w w:val="100"/>
        </w:rPr>
        <w:t>徽</w:t>
      </w:r>
      <w:r>
        <w:rPr>
          <w:w w:val="100"/>
        </w:rPr>
        <w:t>中电</w:t>
      </w:r>
      <w:r>
        <w:rPr>
          <w:spacing w:val="-5"/>
          <w:w w:val="100"/>
        </w:rPr>
        <w:t>兴</w:t>
      </w:r>
      <w:r>
        <w:rPr>
          <w:w w:val="100"/>
        </w:rPr>
        <w:t>发与鑫</w:t>
      </w:r>
      <w:r>
        <w:rPr>
          <w:spacing w:val="-5"/>
          <w:w w:val="100"/>
        </w:rPr>
        <w:t>龙</w:t>
      </w:r>
      <w:r>
        <w:rPr>
          <w:w w:val="100"/>
        </w:rPr>
        <w:t>科技股</w:t>
      </w:r>
      <w:r>
        <w:rPr>
          <w:spacing w:val="-5"/>
          <w:w w:val="100"/>
        </w:rPr>
        <w:t>份</w:t>
      </w:r>
      <w:r>
        <w:rPr>
          <w:w w:val="100"/>
        </w:rPr>
        <w:t>有</w:t>
      </w:r>
      <w:r>
        <w:rPr>
          <w:w w:val="100"/>
        </w:rPr>
        <w:t> 限公司第</w:t>
      </w:r>
      <w:r>
        <w:rPr>
          <w:spacing w:val="-5"/>
          <w:w w:val="100"/>
        </w:rPr>
        <w:t>一</w:t>
      </w:r>
      <w:r>
        <w:rPr>
          <w:w w:val="100"/>
        </w:rPr>
        <w:t>期员工</w:t>
      </w:r>
      <w:r>
        <w:rPr>
          <w:spacing w:val="-5"/>
          <w:w w:val="100"/>
        </w:rPr>
        <w:t>持</w:t>
      </w:r>
      <w:r>
        <w:rPr>
          <w:w w:val="100"/>
        </w:rPr>
        <w:t>股计划</w:t>
      </w:r>
      <w:r>
        <w:rPr>
          <w:spacing w:val="-5"/>
          <w:w w:val="100"/>
        </w:rPr>
        <w:t>管</w:t>
      </w:r>
      <w:r>
        <w:rPr>
          <w:w w:val="100"/>
        </w:rPr>
        <w:t>理办</w:t>
      </w:r>
      <w:r>
        <w:rPr>
          <w:spacing w:val="1"/>
          <w:w w:val="100"/>
        </w:rPr>
        <w:t>法</w:t>
      </w:r>
      <w:r>
        <w:rPr>
          <w:rFonts w:ascii="宋体" w:hAnsi="宋体" w:cs="宋体" w:eastAsia="宋体" w:hint="default"/>
          <w:w w:val="100"/>
        </w:rPr>
        <w:t>&gt;</w:t>
      </w:r>
      <w:r>
        <w:rPr>
          <w:spacing w:val="-5"/>
          <w:w w:val="100"/>
        </w:rPr>
        <w:t>的</w:t>
      </w:r>
      <w:r>
        <w:rPr>
          <w:w w:val="100"/>
        </w:rPr>
        <w:t>议案</w:t>
      </w:r>
      <w:r>
        <w:rPr>
          <w:spacing w:val="-106"/>
          <w:w w:val="100"/>
        </w:rPr>
        <w:t>》</w:t>
      </w:r>
      <w:r>
        <w:rPr>
          <w:spacing w:val="-111"/>
          <w:w w:val="100"/>
        </w:rPr>
        <w:t>、</w:t>
      </w:r>
      <w:r>
        <w:rPr>
          <w:w w:val="100"/>
        </w:rPr>
        <w:t>《</w:t>
      </w:r>
      <w:r>
        <w:rPr>
          <w:spacing w:val="-5"/>
          <w:w w:val="100"/>
        </w:rPr>
        <w:t>关</w:t>
      </w:r>
      <w:r>
        <w:rPr>
          <w:w w:val="100"/>
        </w:rPr>
        <w:t>于提请股</w:t>
      </w:r>
      <w:r>
        <w:rPr>
          <w:spacing w:val="-5"/>
          <w:w w:val="100"/>
        </w:rPr>
        <w:t>东</w:t>
      </w:r>
      <w:r>
        <w:rPr>
          <w:w w:val="100"/>
        </w:rPr>
        <w:t>大会授</w:t>
      </w:r>
      <w:r>
        <w:rPr>
          <w:spacing w:val="-5"/>
          <w:w w:val="100"/>
        </w:rPr>
        <w:t>权</w:t>
      </w:r>
      <w:r>
        <w:rPr>
          <w:w w:val="100"/>
        </w:rPr>
        <w:t>董事会</w:t>
      </w:r>
      <w:r>
        <w:rPr>
          <w:spacing w:val="-5"/>
          <w:w w:val="100"/>
        </w:rPr>
        <w:t>办</w:t>
      </w:r>
      <w:r>
        <w:rPr>
          <w:w w:val="100"/>
        </w:rPr>
        <w:t>理公司</w:t>
      </w:r>
      <w:r>
        <w:rPr>
          <w:spacing w:val="-5"/>
          <w:w w:val="100"/>
        </w:rPr>
        <w:t>第</w:t>
      </w:r>
      <w:r>
        <w:rPr>
          <w:w w:val="100"/>
        </w:rPr>
        <w:t>一期员</w:t>
      </w:r>
      <w:r>
        <w:rPr>
          <w:spacing w:val="-5"/>
          <w:w w:val="100"/>
        </w:rPr>
        <w:t>工</w:t>
      </w:r>
      <w:r>
        <w:rPr>
          <w:w w:val="100"/>
        </w:rPr>
        <w:t>持股</w:t>
      </w:r>
      <w:r>
        <w:rPr>
          <w:w w:val="100"/>
        </w:rPr>
        <w:t> 计划有关</w:t>
      </w:r>
      <w:r>
        <w:rPr>
          <w:spacing w:val="-5"/>
          <w:w w:val="100"/>
        </w:rPr>
        <w:t>事</w:t>
      </w:r>
      <w:r>
        <w:rPr>
          <w:w w:val="100"/>
        </w:rPr>
        <w:t>项的议</w:t>
      </w:r>
      <w:r>
        <w:rPr>
          <w:spacing w:val="-5"/>
          <w:w w:val="100"/>
        </w:rPr>
        <w:t>案</w:t>
      </w:r>
      <w:r>
        <w:rPr>
          <w:w w:val="100"/>
        </w:rPr>
        <w:t>》等相</w:t>
      </w:r>
      <w:r>
        <w:rPr>
          <w:spacing w:val="-5"/>
          <w:w w:val="100"/>
        </w:rPr>
        <w:t>关</w:t>
      </w:r>
      <w:r>
        <w:rPr>
          <w:w w:val="100"/>
        </w:rPr>
        <w:t>议案。</w:t>
      </w:r>
      <w:r>
        <w:rPr>
          <w:spacing w:val="-5"/>
          <w:w w:val="100"/>
        </w:rPr>
        <w:t>具</w:t>
      </w:r>
      <w:r>
        <w:rPr>
          <w:w w:val="100"/>
        </w:rPr>
        <w:t>体内容</w:t>
      </w:r>
      <w:r>
        <w:rPr>
          <w:spacing w:val="-5"/>
          <w:w w:val="100"/>
        </w:rPr>
        <w:t>详</w:t>
      </w:r>
      <w:r>
        <w:rPr>
          <w:spacing w:val="2"/>
          <w:w w:val="100"/>
        </w:rPr>
        <w:t>见</w:t>
      </w:r>
      <w:r>
        <w:rPr>
          <w:rFonts w:ascii="宋体" w:hAnsi="宋体" w:cs="宋体" w:eastAsia="宋体" w:hint="default"/>
          <w:w w:val="100"/>
        </w:rPr>
        <w:t>2</w:t>
      </w:r>
      <w:r>
        <w:rPr>
          <w:rFonts w:ascii="宋体" w:hAnsi="宋体" w:cs="宋体" w:eastAsia="宋体" w:hint="default"/>
          <w:spacing w:val="-5"/>
          <w:w w:val="100"/>
        </w:rPr>
        <w:t>0</w:t>
      </w:r>
      <w:r>
        <w:rPr>
          <w:rFonts w:ascii="宋体" w:hAnsi="宋体" w:cs="宋体" w:eastAsia="宋体" w:hint="default"/>
          <w:w w:val="100"/>
        </w:rPr>
        <w:t>19</w:t>
      </w:r>
      <w:r>
        <w:rPr>
          <w:w w:val="100"/>
        </w:rPr>
        <w:t>年</w:t>
      </w:r>
      <w:r>
        <w:rPr>
          <w:rFonts w:ascii="宋体" w:hAnsi="宋体" w:cs="宋体" w:eastAsia="宋体" w:hint="default"/>
          <w:w w:val="100"/>
        </w:rPr>
        <w:t>6</w:t>
      </w:r>
      <w:r>
        <w:rPr>
          <w:w w:val="100"/>
        </w:rPr>
        <w:t>月</w:t>
      </w:r>
      <w:r>
        <w:rPr>
          <w:rFonts w:ascii="宋体" w:hAnsi="宋体" w:cs="宋体" w:eastAsia="宋体" w:hint="default"/>
          <w:w w:val="100"/>
        </w:rPr>
        <w:t>13</w:t>
      </w:r>
      <w:r>
        <w:rPr>
          <w:spacing w:val="-5"/>
          <w:w w:val="100"/>
        </w:rPr>
        <w:t>日</w:t>
      </w:r>
      <w:r>
        <w:rPr>
          <w:w w:val="100"/>
        </w:rPr>
        <w:t>公司指</w:t>
      </w:r>
      <w:r>
        <w:rPr>
          <w:spacing w:val="-5"/>
          <w:w w:val="100"/>
        </w:rPr>
        <w:t>定</w:t>
      </w:r>
      <w:r>
        <w:rPr>
          <w:w w:val="100"/>
        </w:rPr>
        <w:t>的信息</w:t>
      </w:r>
      <w:r>
        <w:rPr>
          <w:spacing w:val="-5"/>
          <w:w w:val="100"/>
        </w:rPr>
        <w:t>披</w:t>
      </w:r>
      <w:r>
        <w:rPr>
          <w:w w:val="100"/>
        </w:rPr>
        <w:t>露媒体</w:t>
      </w:r>
      <w:r>
        <w:rPr>
          <w:spacing w:val="-5"/>
          <w:w w:val="100"/>
        </w:rPr>
        <w:t>《</w:t>
      </w:r>
      <w:r>
        <w:rPr>
          <w:w w:val="100"/>
        </w:rPr>
        <w:t>证券</w:t>
      </w:r>
      <w:r>
        <w:rPr>
          <w:spacing w:val="-5"/>
          <w:w w:val="100"/>
        </w:rPr>
        <w:t>时</w:t>
      </w:r>
      <w:r>
        <w:rPr>
          <w:w w:val="100"/>
        </w:rPr>
        <w:t>报</w:t>
      </w:r>
      <w:r>
        <w:rPr>
          <w:spacing w:val="-106"/>
          <w:w w:val="100"/>
        </w:rPr>
        <w:t>》</w:t>
      </w:r>
      <w:r>
        <w:rPr>
          <w:w w:val="100"/>
        </w:rPr>
        <w:t>、</w:t>
      </w:r>
    </w:p>
    <w:p>
      <w:pPr>
        <w:pStyle w:val="BodyText"/>
        <w:spacing w:line="352" w:lineRule="auto" w:before="27"/>
        <w:ind w:left="535" w:right="1002" w:hanging="423"/>
        <w:jc w:val="left"/>
      </w:pPr>
      <w:r>
        <w:rPr>
          <w:spacing w:val="-5"/>
          <w:w w:val="100"/>
        </w:rPr>
        <w:t>《中国证券报》、《上海证券报》和巨潮资讯网（</w:t>
      </w:r>
      <w:hyperlink r:id="rId8">
        <w:r>
          <w:rPr>
            <w:rFonts w:ascii="宋体" w:hAnsi="宋体" w:cs="宋体" w:eastAsia="宋体" w:hint="default"/>
            <w:spacing w:val="-5"/>
            <w:w w:val="100"/>
          </w:rPr>
          <w:t>http://www.cninfo.com.cn</w:t>
        </w:r>
      </w:hyperlink>
      <w:r>
        <w:rPr>
          <w:spacing w:val="-5"/>
          <w:w w:val="100"/>
        </w:rPr>
        <w:t>）上的相关公告。</w:t>
      </w:r>
      <w:r>
        <w:rPr>
          <w:spacing w:val="-97"/>
          <w:w w:val="100"/>
        </w:rPr>
        <w:t> </w:t>
      </w:r>
      <w:r>
        <w:rPr>
          <w:spacing w:val="-97"/>
          <w:w w:val="100"/>
        </w:rPr>
      </w:r>
      <w:r>
        <w:rPr>
          <w:rFonts w:ascii="宋体" w:hAnsi="宋体" w:cs="宋体" w:eastAsia="宋体" w:hint="default"/>
          <w:spacing w:val="-2"/>
        </w:rPr>
        <w:t>5</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10</w:t>
      </w:r>
      <w:r>
        <w:rPr>
          <w:spacing w:val="-2"/>
        </w:rPr>
        <w:t>日，公司第八届董事会第七次会议、第八届监事会第五次会议审议通过了《关于对公</w:t>
      </w:r>
    </w:p>
    <w:p>
      <w:pPr>
        <w:pStyle w:val="BodyText"/>
        <w:spacing w:line="350" w:lineRule="auto" w:before="25"/>
        <w:ind w:right="1002"/>
        <w:jc w:val="left"/>
      </w:pPr>
      <w:r>
        <w:rPr>
          <w:spacing w:val="-4"/>
          <w:w w:val="100"/>
        </w:rPr>
        <w:t>司第一期员工持股计划交易价格进行调整的议案》，鉴于公司</w:t>
      </w:r>
      <w:r>
        <w:rPr>
          <w:rFonts w:ascii="宋体" w:hAnsi="宋体" w:cs="宋体" w:eastAsia="宋体" w:hint="default"/>
          <w:spacing w:val="-4"/>
          <w:w w:val="100"/>
        </w:rPr>
        <w:t>2018</w:t>
      </w:r>
      <w:r>
        <w:rPr>
          <w:spacing w:val="-4"/>
          <w:w w:val="100"/>
        </w:rPr>
        <w:t>年度利润分配方案的实施，公司员工持</w:t>
      </w:r>
      <w:r>
        <w:rPr>
          <w:spacing w:val="-73"/>
          <w:w w:val="100"/>
        </w:rPr>
        <w:t> </w:t>
      </w:r>
      <w:r>
        <w:rPr>
          <w:spacing w:val="-73"/>
          <w:w w:val="100"/>
        </w:rPr>
      </w:r>
      <w:r>
        <w:rPr>
          <w:spacing w:val="-2"/>
        </w:rPr>
        <w:t>股计划交易价格由</w:t>
      </w:r>
      <w:r>
        <w:rPr>
          <w:rFonts w:ascii="宋体" w:hAnsi="宋体" w:cs="宋体" w:eastAsia="宋体" w:hint="default"/>
          <w:spacing w:val="-2"/>
        </w:rPr>
        <w:t>3.66</w:t>
      </w:r>
      <w:r>
        <w:rPr>
          <w:spacing w:val="-2"/>
        </w:rPr>
        <w:t>元</w:t>
      </w:r>
      <w:r>
        <w:rPr>
          <w:rFonts w:ascii="宋体" w:hAnsi="宋体" w:cs="宋体" w:eastAsia="宋体" w:hint="default"/>
          <w:spacing w:val="-2"/>
        </w:rPr>
        <w:t>/</w:t>
      </w:r>
      <w:r>
        <w:rPr>
          <w:spacing w:val="-2"/>
        </w:rPr>
        <w:t>股调整到</w:t>
      </w:r>
      <w:r>
        <w:rPr>
          <w:rFonts w:ascii="宋体" w:hAnsi="宋体" w:cs="宋体" w:eastAsia="宋体" w:hint="default"/>
          <w:spacing w:val="-2"/>
        </w:rPr>
        <w:t>3.61</w:t>
      </w:r>
      <w:r>
        <w:rPr>
          <w:spacing w:val="-2"/>
        </w:rPr>
        <w:t>元</w:t>
      </w:r>
      <w:r>
        <w:rPr>
          <w:rFonts w:ascii="宋体" w:hAnsi="宋体" w:cs="宋体" w:eastAsia="宋体" w:hint="default"/>
          <w:spacing w:val="-2"/>
        </w:rPr>
        <w:t>/</w:t>
      </w:r>
      <w:r>
        <w:rPr>
          <w:spacing w:val="-2"/>
        </w:rPr>
        <w:t>股，独立董事、监事会均已对本议案内容进行审核，并发表了</w:t>
      </w:r>
      <w:r>
        <w:rPr>
          <w:spacing w:val="-23"/>
        </w:rPr>
        <w:t> </w:t>
      </w:r>
      <w:r>
        <w:rPr>
          <w:spacing w:val="-23"/>
        </w:rPr>
      </w:r>
      <w:r>
        <w:rPr/>
        <w:t>同意意见。</w:t>
      </w:r>
    </w:p>
    <w:p>
      <w:pPr>
        <w:pStyle w:val="BodyText"/>
        <w:spacing w:line="340" w:lineRule="auto" w:before="27"/>
        <w:ind w:right="1002" w:firstLine="556"/>
        <w:jc w:val="left"/>
      </w:pPr>
      <w:r>
        <w:rPr>
          <w:rFonts w:ascii="Times New Roman" w:hAnsi="Times New Roman" w:cs="Times New Roman" w:eastAsia="Times New Roman" w:hint="default"/>
          <w:spacing w:val="-7"/>
        </w:rPr>
        <w:t>6</w:t>
      </w:r>
      <w:r>
        <w:rPr>
          <w:spacing w:val="-7"/>
        </w:rPr>
        <w:t>、</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23</w:t>
      </w:r>
      <w:r>
        <w:rPr>
          <w:spacing w:val="-7"/>
        </w:rPr>
        <w:t>日，公司召开第八届董事会第十一会议、第八届监事会第九次会议审议并通过了《关</w:t>
      </w:r>
      <w:r>
        <w:rPr>
          <w:w w:val="100"/>
        </w:rPr>
        <w:t> </w:t>
      </w:r>
      <w:r>
        <w:rPr>
          <w:spacing w:val="-4"/>
          <w:w w:val="100"/>
        </w:rPr>
        <w:t>于终止公司第一期员工持股计划的议案》：自本次员工持股计划完成相关审议程序后，公司一直积极推进</w:t>
      </w:r>
      <w:r>
        <w:rPr>
          <w:spacing w:val="-83"/>
          <w:w w:val="100"/>
        </w:rPr>
        <w:t> </w:t>
      </w:r>
      <w:r>
        <w:rPr>
          <w:spacing w:val="-83"/>
          <w:w w:val="100"/>
        </w:rPr>
      </w:r>
      <w:r>
        <w:rPr>
          <w:spacing w:val="-2"/>
        </w:rPr>
        <w:t>员工持股计划的实施工作，原计划要求参与对象最迟在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日之前完成标的股票的购买，在这期</w:t>
      </w:r>
      <w:r>
        <w:rPr>
          <w:spacing w:val="-23"/>
        </w:rPr>
        <w:t> </w:t>
      </w:r>
      <w:r>
        <w:rPr>
          <w:spacing w:val="-23"/>
        </w:rPr>
      </w:r>
      <w:r>
        <w:rPr>
          <w:spacing w:val="-2"/>
        </w:rPr>
        <w:t>间公司持续提醒督促员工及时缴款，但截止上述最迟缴款日，参与对象因个人资金筹集困难等原因主动向</w:t>
      </w:r>
      <w:r>
        <w:rPr>
          <w:spacing w:val="-33"/>
        </w:rPr>
        <w:t> </w:t>
      </w:r>
      <w:r>
        <w:rPr>
          <w:spacing w:val="-33"/>
        </w:rPr>
      </w:r>
      <w:r>
        <w:rPr>
          <w:spacing w:val="-2"/>
        </w:rPr>
        <w:t>公司申请放弃认购公司本次员工持股计划授予其本人的股份。公司依据有关规定，决定终止本次员工持股</w:t>
      </w:r>
      <w:r>
        <w:rPr>
          <w:spacing w:val="-30"/>
        </w:rPr>
        <w:t> </w:t>
      </w:r>
      <w:r>
        <w:rPr>
          <w:spacing w:val="-30"/>
        </w:rPr>
      </w:r>
      <w:r>
        <w:rPr>
          <w:spacing w:val="-10"/>
          <w:w w:val="100"/>
        </w:rPr>
        <w:t>计划。具体内容详见公司于</w:t>
      </w:r>
      <w:r>
        <w:rPr>
          <w:rFonts w:ascii="Times New Roman" w:hAnsi="Times New Roman" w:cs="Times New Roman" w:eastAsia="Times New Roman" w:hint="default"/>
          <w:spacing w:val="-10"/>
          <w:w w:val="100"/>
        </w:rPr>
        <w:t>2019</w:t>
      </w:r>
      <w:r>
        <w:rPr>
          <w:spacing w:val="-10"/>
          <w:w w:val="100"/>
        </w:rPr>
        <w:t>年</w:t>
      </w:r>
      <w:r>
        <w:rPr>
          <w:rFonts w:ascii="Times New Roman" w:hAnsi="Times New Roman" w:cs="Times New Roman" w:eastAsia="Times New Roman" w:hint="default"/>
          <w:spacing w:val="-10"/>
          <w:w w:val="100"/>
        </w:rPr>
        <w:t>12</w:t>
      </w:r>
      <w:r>
        <w:rPr>
          <w:spacing w:val="-10"/>
          <w:w w:val="100"/>
        </w:rPr>
        <w:t>月</w:t>
      </w:r>
      <w:r>
        <w:rPr>
          <w:rFonts w:ascii="Times New Roman" w:hAnsi="Times New Roman" w:cs="Times New Roman" w:eastAsia="Times New Roman" w:hint="default"/>
          <w:spacing w:val="-10"/>
          <w:w w:val="100"/>
        </w:rPr>
        <w:t>24</w:t>
      </w:r>
      <w:r>
        <w:rPr>
          <w:spacing w:val="-10"/>
          <w:w w:val="100"/>
        </w:rPr>
        <w:t>日公司指定的信息披露媒体《证券时报》、《中国证券报》、《上海</w:t>
      </w:r>
      <w:r>
        <w:rPr>
          <w:spacing w:val="-84"/>
          <w:w w:val="100"/>
        </w:rPr>
        <w:t> </w:t>
      </w:r>
      <w:r>
        <w:rPr>
          <w:spacing w:val="-84"/>
          <w:w w:val="100"/>
        </w:rPr>
      </w:r>
      <w:r>
        <w:rPr>
          <w:spacing w:val="-4"/>
          <w:w w:val="100"/>
        </w:rPr>
        <w:t>证券报》和巨潮资讯网（（</w:t>
      </w:r>
      <w:hyperlink r:id="rId8">
        <w:r>
          <w:rPr>
            <w:rFonts w:ascii="Times New Roman" w:hAnsi="Times New Roman" w:cs="Times New Roman" w:eastAsia="Times New Roman" w:hint="default"/>
            <w:spacing w:val="-4"/>
            <w:w w:val="100"/>
          </w:rPr>
          <w:t>http://www.cninfo.com.cn</w:t>
        </w:r>
      </w:hyperlink>
      <w:r>
        <w:rPr>
          <w:spacing w:val="-4"/>
          <w:w w:val="100"/>
        </w:rPr>
        <w:t>）上的相关公告。</w:t>
      </w:r>
    </w:p>
    <w:p>
      <w:pPr>
        <w:spacing w:line="240" w:lineRule="auto" w:before="12"/>
        <w:rPr>
          <w:rFonts w:ascii="宋体" w:hAnsi="宋体" w:cs="宋体" w:eastAsia="宋体" w:hint="default"/>
          <w:sz w:val="22"/>
          <w:szCs w:val="22"/>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采用集中竞价方式减持回购股份的实施进展情况</w:t>
      </w:r>
    </w:p>
    <w:p>
      <w:pPr>
        <w:spacing w:line="357" w:lineRule="auto" w:before="119"/>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股份变动对最近一年和最近一期基本每股收益和稀释每股收益、归属于公司普通股股东的每股净资产等财务指标的影响</w:t>
      </w:r>
    </w:p>
    <w:p>
      <w:pPr>
        <w:spacing w:line="357" w:lineRule="auto" w:before="31"/>
        <w:ind w:left="113" w:right="573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公司认为必要或证券监管机构要求披露的其他内容</w:t>
      </w:r>
    </w:p>
    <w:p>
      <w:pPr>
        <w:spacing w:before="26"/>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2、限售股份变动情况" w:id="112"/>
      <w:bookmarkEnd w:id="112"/>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spacing w:before="46"/>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76"/>
        <w:gridCol w:w="1340"/>
        <w:gridCol w:w="1321"/>
        <w:gridCol w:w="1407"/>
        <w:gridCol w:w="1320"/>
        <w:gridCol w:w="1335"/>
        <w:gridCol w:w="2147"/>
      </w:tblGrid>
      <w:tr>
        <w:trPr>
          <w:trHeight w:val="713"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556" w:right="132" w:hanging="418"/>
              <w:jc w:val="left"/>
              <w:rPr>
                <w:rFonts w:ascii="宋体" w:hAnsi="宋体" w:cs="宋体" w:eastAsia="宋体" w:hint="default"/>
                <w:sz w:val="21"/>
                <w:szCs w:val="21"/>
              </w:rPr>
            </w:pPr>
            <w:r>
              <w:rPr>
                <w:rFonts w:ascii="宋体" w:hAnsi="宋体" w:cs="宋体" w:eastAsia="宋体" w:hint="default"/>
                <w:sz w:val="21"/>
                <w:szCs w:val="21"/>
              </w:rPr>
              <w:t>期初限售股</w:t>
            </w:r>
            <w:r>
              <w:rPr>
                <w:rFonts w:ascii="宋体" w:hAnsi="宋体" w:cs="宋体" w:eastAsia="宋体" w:hint="default"/>
                <w:spacing w:val="-99"/>
                <w:sz w:val="21"/>
                <w:szCs w:val="21"/>
              </w:rPr>
              <w:t> </w:t>
            </w:r>
            <w:r>
              <w:rPr>
                <w:rFonts w:ascii="宋体" w:hAnsi="宋体" w:cs="宋体" w:eastAsia="宋体" w:hint="default"/>
                <w:sz w:val="21"/>
                <w:szCs w:val="21"/>
              </w:rPr>
              <w:t>数</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335" w:right="128" w:hanging="212"/>
              <w:jc w:val="left"/>
              <w:rPr>
                <w:rFonts w:ascii="宋体" w:hAnsi="宋体" w:cs="宋体" w:eastAsia="宋体" w:hint="default"/>
                <w:sz w:val="21"/>
                <w:szCs w:val="21"/>
              </w:rPr>
            </w:pPr>
            <w:r>
              <w:rPr>
                <w:rFonts w:ascii="宋体" w:hAnsi="宋体" w:cs="宋体" w:eastAsia="宋体" w:hint="default"/>
                <w:sz w:val="21"/>
                <w:szCs w:val="21"/>
              </w:rPr>
              <w:t>本期增加限</w:t>
            </w:r>
            <w:r>
              <w:rPr>
                <w:rFonts w:ascii="宋体" w:hAnsi="宋体" w:cs="宋体" w:eastAsia="宋体" w:hint="default"/>
                <w:spacing w:val="-99"/>
                <w:sz w:val="21"/>
                <w:szCs w:val="21"/>
              </w:rPr>
              <w:t> </w:t>
            </w:r>
            <w:r>
              <w:rPr>
                <w:rFonts w:ascii="宋体" w:hAnsi="宋体" w:cs="宋体" w:eastAsia="宋体" w:hint="default"/>
                <w:sz w:val="21"/>
                <w:szCs w:val="21"/>
              </w:rPr>
              <w:t>售股数</w:t>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383" w:right="166" w:hanging="212"/>
              <w:jc w:val="left"/>
              <w:rPr>
                <w:rFonts w:ascii="宋体" w:hAnsi="宋体" w:cs="宋体" w:eastAsia="宋体" w:hint="default"/>
                <w:sz w:val="21"/>
                <w:szCs w:val="21"/>
              </w:rPr>
            </w:pPr>
            <w:r>
              <w:rPr>
                <w:rFonts w:ascii="宋体" w:hAnsi="宋体" w:cs="宋体" w:eastAsia="宋体" w:hint="default"/>
                <w:sz w:val="21"/>
                <w:szCs w:val="21"/>
              </w:rPr>
              <w:t>本期解除限</w:t>
            </w:r>
            <w:r>
              <w:rPr>
                <w:rFonts w:ascii="宋体" w:hAnsi="宋体" w:cs="宋体" w:eastAsia="宋体" w:hint="default"/>
                <w:spacing w:val="-99"/>
                <w:sz w:val="21"/>
                <w:szCs w:val="21"/>
              </w:rPr>
              <w:t> </w:t>
            </w:r>
            <w:r>
              <w:rPr>
                <w:rFonts w:ascii="宋体" w:hAnsi="宋体" w:cs="宋体" w:eastAsia="宋体" w:hint="default"/>
                <w:sz w:val="21"/>
                <w:szCs w:val="21"/>
              </w:rPr>
              <w:t>售股数</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551" w:right="123" w:hanging="423"/>
              <w:jc w:val="left"/>
              <w:rPr>
                <w:rFonts w:ascii="宋体" w:hAnsi="宋体" w:cs="宋体" w:eastAsia="宋体" w:hint="default"/>
                <w:sz w:val="21"/>
                <w:szCs w:val="21"/>
              </w:rPr>
            </w:pPr>
            <w:r>
              <w:rPr>
                <w:rFonts w:ascii="宋体" w:hAnsi="宋体" w:cs="宋体" w:eastAsia="宋体" w:hint="default"/>
                <w:sz w:val="21"/>
                <w:szCs w:val="21"/>
              </w:rPr>
              <w:t>期末限售股</w:t>
            </w:r>
            <w:r>
              <w:rPr>
                <w:rFonts w:ascii="宋体" w:hAnsi="宋体" w:cs="宋体" w:eastAsia="宋体" w:hint="default"/>
                <w:spacing w:val="-99"/>
                <w:sz w:val="21"/>
                <w:szCs w:val="21"/>
              </w:rPr>
              <w:t> </w:t>
            </w:r>
            <w:r>
              <w:rPr>
                <w:rFonts w:ascii="宋体" w:hAnsi="宋体" w:cs="宋体" w:eastAsia="宋体" w:hint="default"/>
                <w:sz w:val="21"/>
                <w:szCs w:val="21"/>
              </w:rPr>
              <w:t>数</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限售原因</w:t>
            </w:r>
          </w:p>
        </w:tc>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71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95,545,743</w:t>
            </w:r>
          </w:p>
        </w:tc>
        <w:tc>
          <w:tcPr>
            <w:tcW w:w="132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95,545,743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6"/>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33"/>
              <w:jc w:val="left"/>
              <w:rPr>
                <w:rFonts w:ascii="Times New Roman" w:hAnsi="Times New Roman" w:cs="Times New Roman" w:eastAsia="Times New Roman" w:hint="default"/>
                <w:sz w:val="21"/>
                <w:szCs w:val="21"/>
              </w:rPr>
            </w:pPr>
            <w:r>
              <w:rPr>
                <w:rFonts w:ascii="宋体" w:hAnsi="宋体" w:cs="宋体" w:eastAsia="宋体" w:hint="default"/>
                <w:sz w:val="21"/>
                <w:szCs w:val="21"/>
              </w:rPr>
              <w:t>董、监、高任职期间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每年年初解禁</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25%</w:t>
            </w:r>
          </w:p>
        </w:tc>
      </w:tr>
      <w:tr>
        <w:trPr>
          <w:trHeight w:val="716"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77,031,544</w:t>
            </w:r>
          </w:p>
        </w:tc>
        <w:tc>
          <w:tcPr>
            <w:tcW w:w="132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67,221,544</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6"/>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33"/>
              <w:jc w:val="left"/>
              <w:rPr>
                <w:rFonts w:ascii="Times New Roman" w:hAnsi="Times New Roman" w:cs="Times New Roman" w:eastAsia="Times New Roman" w:hint="default"/>
                <w:sz w:val="21"/>
                <w:szCs w:val="21"/>
              </w:rPr>
            </w:pPr>
            <w:r>
              <w:rPr>
                <w:rFonts w:ascii="宋体" w:hAnsi="宋体" w:cs="宋体" w:eastAsia="宋体" w:hint="default"/>
                <w:sz w:val="21"/>
                <w:szCs w:val="21"/>
              </w:rPr>
              <w:t>董、监、高任职期间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每年年初解禁</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25%</w:t>
            </w:r>
          </w:p>
        </w:tc>
      </w:tr>
      <w:tr>
        <w:trPr>
          <w:trHeight w:val="710"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汪宇</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202,500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202,500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6"/>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33"/>
              <w:jc w:val="left"/>
              <w:rPr>
                <w:rFonts w:ascii="Times New Roman" w:hAnsi="Times New Roman" w:cs="Times New Roman" w:eastAsia="Times New Roman" w:hint="default"/>
                <w:sz w:val="21"/>
                <w:szCs w:val="21"/>
              </w:rPr>
            </w:pPr>
            <w:r>
              <w:rPr>
                <w:rFonts w:ascii="宋体" w:hAnsi="宋体" w:cs="宋体" w:eastAsia="宋体" w:hint="default"/>
                <w:sz w:val="21"/>
                <w:szCs w:val="21"/>
              </w:rPr>
              <w:t>董、监、高任职期间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每年年初解禁</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25%</w:t>
            </w:r>
          </w:p>
        </w:tc>
      </w:tr>
      <w:tr>
        <w:trPr>
          <w:trHeight w:val="716"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郭晨</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187,500</w:t>
            </w:r>
          </w:p>
        </w:tc>
        <w:tc>
          <w:tcPr>
            <w:tcW w:w="1407"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187,500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6"/>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3"/>
              <w:ind w:left="105" w:right="132"/>
              <w:jc w:val="left"/>
              <w:rPr>
                <w:rFonts w:ascii="Times New Roman" w:hAnsi="Times New Roman" w:cs="Times New Roman" w:eastAsia="Times New Roman" w:hint="default"/>
                <w:sz w:val="21"/>
                <w:szCs w:val="21"/>
              </w:rPr>
            </w:pPr>
            <w:r>
              <w:rPr>
                <w:rFonts w:ascii="宋体" w:hAnsi="宋体" w:cs="宋体" w:eastAsia="宋体" w:hint="default"/>
                <w:sz w:val="21"/>
                <w:szCs w:val="21"/>
              </w:rPr>
              <w:t>董、监、高任职期间</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每年年初解禁</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25%</w:t>
            </w:r>
          </w:p>
        </w:tc>
      </w:tr>
      <w:tr>
        <w:trPr>
          <w:trHeight w:val="71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周超</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106,235</w:t>
            </w:r>
          </w:p>
        </w:tc>
        <w:tc>
          <w:tcPr>
            <w:tcW w:w="1407"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106,235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6"/>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33"/>
              <w:jc w:val="left"/>
              <w:rPr>
                <w:rFonts w:ascii="Times New Roman" w:hAnsi="Times New Roman" w:cs="Times New Roman" w:eastAsia="Times New Roman" w:hint="default"/>
                <w:sz w:val="21"/>
                <w:szCs w:val="21"/>
              </w:rPr>
            </w:pPr>
            <w:r>
              <w:rPr>
                <w:rFonts w:ascii="宋体" w:hAnsi="宋体" w:cs="宋体" w:eastAsia="宋体" w:hint="default"/>
                <w:sz w:val="21"/>
                <w:szCs w:val="21"/>
              </w:rPr>
              <w:t>董、监、高任职期间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每年年初解禁</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25%</w:t>
            </w:r>
          </w:p>
        </w:tc>
      </w:tr>
      <w:tr>
        <w:trPr>
          <w:trHeight w:val="716"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何利</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254,413</w:t>
            </w:r>
          </w:p>
        </w:tc>
        <w:tc>
          <w:tcPr>
            <w:tcW w:w="1407"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254,413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6"/>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33"/>
              <w:jc w:val="left"/>
              <w:rPr>
                <w:rFonts w:ascii="Times New Roman" w:hAnsi="Times New Roman" w:cs="Times New Roman" w:eastAsia="Times New Roman" w:hint="default"/>
                <w:sz w:val="21"/>
                <w:szCs w:val="21"/>
              </w:rPr>
            </w:pPr>
            <w:r>
              <w:rPr>
                <w:rFonts w:ascii="宋体" w:hAnsi="宋体" w:cs="宋体" w:eastAsia="宋体" w:hint="default"/>
                <w:sz w:val="21"/>
                <w:szCs w:val="21"/>
              </w:rPr>
              <w:t>董、监、高任职期间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每年年初解禁</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25%</w:t>
            </w:r>
          </w:p>
        </w:tc>
      </w:tr>
      <w:tr>
        <w:trPr>
          <w:trHeight w:val="710"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闫涛</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76,875</w:t>
            </w:r>
          </w:p>
        </w:tc>
        <w:tc>
          <w:tcPr>
            <w:tcW w:w="132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76,875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6"/>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33"/>
              <w:jc w:val="left"/>
              <w:rPr>
                <w:rFonts w:ascii="Times New Roman" w:hAnsi="Times New Roman" w:cs="Times New Roman" w:eastAsia="Times New Roman" w:hint="default"/>
                <w:sz w:val="21"/>
                <w:szCs w:val="21"/>
              </w:rPr>
            </w:pPr>
            <w:r>
              <w:rPr>
                <w:rFonts w:ascii="宋体" w:hAnsi="宋体" w:cs="宋体" w:eastAsia="宋体" w:hint="default"/>
                <w:sz w:val="21"/>
                <w:szCs w:val="21"/>
              </w:rPr>
              <w:t>董、监、高任职期间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每年年初解禁</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25%</w:t>
            </w:r>
          </w:p>
        </w:tc>
      </w:tr>
      <w:tr>
        <w:trPr>
          <w:trHeight w:val="715"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李小庆</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42,187</w:t>
            </w:r>
          </w:p>
        </w:tc>
        <w:tc>
          <w:tcPr>
            <w:tcW w:w="132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42,187</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6"/>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3"/>
              <w:ind w:left="105" w:right="133"/>
              <w:jc w:val="left"/>
              <w:rPr>
                <w:rFonts w:ascii="Times New Roman" w:hAnsi="Times New Roman" w:cs="Times New Roman" w:eastAsia="Times New Roman" w:hint="default"/>
                <w:sz w:val="21"/>
                <w:szCs w:val="21"/>
              </w:rPr>
            </w:pPr>
            <w:r>
              <w:rPr>
                <w:rFonts w:ascii="宋体" w:hAnsi="宋体" w:cs="宋体" w:eastAsia="宋体" w:hint="default"/>
                <w:sz w:val="21"/>
                <w:szCs w:val="21"/>
              </w:rPr>
              <w:t>董、监、高任职期间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每年年初解禁</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25%</w:t>
            </w:r>
          </w:p>
        </w:tc>
      </w:tr>
      <w:tr>
        <w:trPr>
          <w:trHeight w:val="716"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陶黎明</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75,000</w:t>
            </w:r>
          </w:p>
        </w:tc>
        <w:tc>
          <w:tcPr>
            <w:tcW w:w="1321" w:type="dxa"/>
            <w:tcBorders>
              <w:top w:val="single" w:sz="4" w:space="0" w:color="000000"/>
              <w:left w:val="single" w:sz="4" w:space="0" w:color="000000"/>
              <w:bottom w:val="single" w:sz="4" w:space="0" w:color="000000"/>
              <w:right w:val="single" w:sz="4" w:space="0" w:color="000000"/>
            </w:tcBorders>
          </w:tcPr>
          <w:p>
            <w:pPr/>
          </w:p>
        </w:tc>
        <w:tc>
          <w:tcPr>
            <w:tcW w:w="1407"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75,000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56"/>
              <w:jc w:val="center"/>
              <w:rPr>
                <w:rFonts w:ascii="宋体" w:hAnsi="宋体" w:cs="宋体" w:eastAsia="宋体" w:hint="default"/>
                <w:sz w:val="21"/>
                <w:szCs w:val="21"/>
              </w:rPr>
            </w:pPr>
            <w:r>
              <w:rPr>
                <w:rFonts w:ascii="宋体" w:hAnsi="宋体" w:cs="宋体" w:eastAsia="宋体" w:hint="default"/>
                <w:sz w:val="21"/>
                <w:szCs w:val="21"/>
              </w:rPr>
              <w:t>高管锁定股</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33"/>
              <w:jc w:val="left"/>
              <w:rPr>
                <w:rFonts w:ascii="Times New Roman" w:hAnsi="Times New Roman" w:cs="Times New Roman" w:eastAsia="Times New Roman" w:hint="default"/>
                <w:sz w:val="21"/>
                <w:szCs w:val="21"/>
              </w:rPr>
            </w:pPr>
            <w:r>
              <w:rPr>
                <w:rFonts w:ascii="宋体" w:hAnsi="宋体" w:cs="宋体" w:eastAsia="宋体" w:hint="default"/>
                <w:sz w:val="21"/>
                <w:szCs w:val="21"/>
              </w:rPr>
              <w:t>董、监、高任职期间</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每年年初解禁</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25%</w:t>
            </w:r>
          </w:p>
        </w:tc>
      </w:tr>
      <w:tr>
        <w:trPr>
          <w:trHeight w:val="403"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172,973,849</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548,148</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w w:val="100"/>
                <w:sz w:val="21"/>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163,711,997</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 w:right="0"/>
              <w:jc w:val="center"/>
              <w:rPr>
                <w:rFonts w:ascii="Times New Roman" w:hAnsi="Times New Roman" w:cs="Times New Roman" w:eastAsia="Times New Roman" w:hint="default"/>
                <w:sz w:val="21"/>
                <w:szCs w:val="21"/>
              </w:rPr>
            </w:pPr>
            <w:r>
              <w:rPr>
                <w:rFonts w:ascii="Times New Roman"/>
                <w:sz w:val="21"/>
              </w:rPr>
              <w:t>--</w:t>
            </w:r>
          </w:p>
        </w:tc>
        <w:tc>
          <w:tcPr>
            <w:tcW w:w="2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9"/>
        <w:rPr>
          <w:rFonts w:ascii="宋体" w:hAnsi="宋体" w:cs="宋体" w:eastAsia="宋体" w:hint="default"/>
          <w:sz w:val="17"/>
          <w:szCs w:val="17"/>
        </w:rPr>
      </w:pPr>
    </w:p>
    <w:p>
      <w:pPr>
        <w:pStyle w:val="Heading2"/>
        <w:spacing w:line="240" w:lineRule="auto" w:before="26"/>
        <w:ind w:right="1002"/>
        <w:jc w:val="left"/>
        <w:rPr>
          <w:b w:val="0"/>
          <w:bCs w:val="0"/>
        </w:rPr>
      </w:pPr>
      <w:bookmarkStart w:name="二、证券发行与上市情况" w:id="113"/>
      <w:bookmarkEnd w:id="113"/>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1002"/>
        <w:jc w:val="left"/>
        <w:rPr>
          <w:b w:val="0"/>
          <w:bCs w:val="0"/>
        </w:rPr>
      </w:pPr>
      <w:bookmarkStart w:name="1、报告期内证券发行（不含优先股）情况" w:id="114"/>
      <w:bookmarkEnd w:id="114"/>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1002"/>
        <w:jc w:val="left"/>
        <w:rPr>
          <w:b w:val="0"/>
          <w:bCs w:val="0"/>
        </w:rPr>
      </w:pPr>
      <w:bookmarkStart w:name="2、公司股份总数及股东结构的变动、公司资产和负债结构的变动情况说明" w:id="115"/>
      <w:bookmarkEnd w:id="11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1002"/>
        <w:jc w:val="left"/>
        <w:rPr>
          <w:b w:val="0"/>
          <w:bCs w:val="0"/>
        </w:rPr>
      </w:pPr>
      <w:bookmarkStart w:name="3、现存的内部职工股情况" w:id="116"/>
      <w:bookmarkEnd w:id="116"/>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headerReference w:type="default" r:id="rId15"/>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left="673" w:right="0"/>
        <w:jc w:val="left"/>
        <w:rPr>
          <w:b w:val="0"/>
          <w:bCs w:val="0"/>
        </w:rPr>
      </w:pPr>
      <w:bookmarkStart w:name="三、股东和实际控制人情况" w:id="117"/>
      <w:bookmarkEnd w:id="117"/>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673" w:right="0"/>
        <w:jc w:val="left"/>
        <w:rPr>
          <w:b w:val="0"/>
          <w:bCs w:val="0"/>
        </w:rPr>
      </w:pPr>
      <w:bookmarkStart w:name="1、公司股东数量及持股情况" w:id="118"/>
      <w:bookmarkEnd w:id="118"/>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8"/>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772"/>
        <w:gridCol w:w="581"/>
        <w:gridCol w:w="596"/>
        <w:gridCol w:w="490"/>
        <w:gridCol w:w="749"/>
        <w:gridCol w:w="1154"/>
        <w:gridCol w:w="916"/>
        <w:gridCol w:w="284"/>
        <w:gridCol w:w="720"/>
        <w:gridCol w:w="331"/>
        <w:gridCol w:w="706"/>
        <w:gridCol w:w="898"/>
        <w:gridCol w:w="619"/>
        <w:gridCol w:w="989"/>
      </w:tblGrid>
      <w:tr>
        <w:trPr>
          <w:trHeight w:val="228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76" w:lineRule="auto"/>
              <w:ind w:left="101" w:right="185"/>
              <w:jc w:val="left"/>
              <w:rPr>
                <w:rFonts w:ascii="宋体" w:hAnsi="宋体" w:cs="宋体" w:eastAsia="宋体" w:hint="default"/>
                <w:sz w:val="21"/>
                <w:szCs w:val="21"/>
              </w:rPr>
            </w:pPr>
            <w:r>
              <w:rPr>
                <w:rFonts w:ascii="宋体" w:hAnsi="宋体" w:cs="宋体" w:eastAsia="宋体" w:hint="default"/>
                <w:sz w:val="21"/>
                <w:szCs w:val="21"/>
              </w:rPr>
              <w:t>报告期末普通股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股东总数</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89" w:right="0"/>
              <w:jc w:val="left"/>
              <w:rPr>
                <w:rFonts w:ascii="Times New Roman" w:hAnsi="Times New Roman" w:cs="Times New Roman" w:eastAsia="Times New Roman" w:hint="default"/>
                <w:sz w:val="21"/>
                <w:szCs w:val="21"/>
              </w:rPr>
            </w:pPr>
            <w:r>
              <w:rPr>
                <w:rFonts w:ascii="Times New Roman"/>
                <w:sz w:val="21"/>
              </w:rPr>
              <w:t>48,685</w:t>
            </w:r>
          </w:p>
        </w:tc>
        <w:tc>
          <w:tcPr>
            <w:tcW w:w="1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5" w:right="278"/>
              <w:jc w:val="both"/>
              <w:rPr>
                <w:rFonts w:ascii="宋体" w:hAnsi="宋体" w:cs="宋体" w:eastAsia="宋体" w:hint="default"/>
                <w:sz w:val="21"/>
                <w:szCs w:val="21"/>
              </w:rPr>
            </w:pPr>
            <w:r>
              <w:rPr>
                <w:rFonts w:ascii="宋体" w:hAnsi="宋体" w:cs="宋体" w:eastAsia="宋体" w:hint="default"/>
                <w:sz w:val="21"/>
                <w:szCs w:val="21"/>
              </w:rPr>
              <w:t>年度报告</w:t>
            </w:r>
            <w:r>
              <w:rPr>
                <w:rFonts w:ascii="宋体" w:hAnsi="宋体" w:cs="宋体" w:eastAsia="宋体" w:hint="default"/>
                <w:spacing w:val="-101"/>
                <w:sz w:val="21"/>
                <w:szCs w:val="21"/>
              </w:rPr>
              <w:t> </w:t>
            </w:r>
            <w:r>
              <w:rPr>
                <w:rFonts w:ascii="宋体" w:hAnsi="宋体" w:cs="宋体" w:eastAsia="宋体" w:hint="default"/>
                <w:sz w:val="21"/>
                <w:szCs w:val="21"/>
              </w:rPr>
              <w:t>披露日前</w:t>
            </w:r>
            <w:r>
              <w:rPr>
                <w:rFonts w:ascii="宋体" w:hAnsi="宋体" w:cs="宋体" w:eastAsia="宋体" w:hint="default"/>
                <w:spacing w:val="-101"/>
                <w:sz w:val="21"/>
                <w:szCs w:val="21"/>
              </w:rPr>
              <w:t> </w:t>
            </w:r>
            <w:r>
              <w:rPr>
                <w:rFonts w:ascii="宋体" w:hAnsi="宋体" w:cs="宋体" w:eastAsia="宋体" w:hint="default"/>
                <w:sz w:val="21"/>
                <w:szCs w:val="21"/>
              </w:rPr>
              <w:t>上一月末</w:t>
            </w:r>
            <w:r>
              <w:rPr>
                <w:rFonts w:ascii="宋体" w:hAnsi="宋体" w:cs="宋体" w:eastAsia="宋体" w:hint="default"/>
                <w:spacing w:val="-101"/>
                <w:sz w:val="21"/>
                <w:szCs w:val="21"/>
              </w:rPr>
              <w:t> </w:t>
            </w:r>
            <w:r>
              <w:rPr>
                <w:rFonts w:ascii="宋体" w:hAnsi="宋体" w:cs="宋体" w:eastAsia="宋体" w:hint="default"/>
                <w:sz w:val="21"/>
                <w:szCs w:val="21"/>
              </w:rPr>
              <w:t>普通股股</w:t>
            </w:r>
            <w:r>
              <w:rPr>
                <w:rFonts w:ascii="宋体" w:hAnsi="宋体" w:cs="宋体" w:eastAsia="宋体" w:hint="default"/>
                <w:spacing w:val="-101"/>
                <w:sz w:val="21"/>
                <w:szCs w:val="21"/>
              </w:rPr>
              <w:t> </w:t>
            </w:r>
            <w:r>
              <w:rPr>
                <w:rFonts w:ascii="宋体" w:hAnsi="宋体" w:cs="宋体" w:eastAsia="宋体" w:hint="default"/>
                <w:sz w:val="21"/>
                <w:szCs w:val="21"/>
              </w:rPr>
              <w:t>东总数</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49,984</w:t>
            </w:r>
          </w:p>
        </w:tc>
        <w:tc>
          <w:tcPr>
            <w:tcW w:w="11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04" w:right="27"/>
              <w:jc w:val="left"/>
              <w:rPr>
                <w:rFonts w:ascii="宋体" w:hAnsi="宋体" w:cs="宋体" w:eastAsia="宋体" w:hint="default"/>
                <w:sz w:val="21"/>
                <w:szCs w:val="21"/>
              </w:rPr>
            </w:pPr>
            <w:r>
              <w:rPr>
                <w:rFonts w:ascii="宋体" w:hAnsi="宋体" w:cs="宋体" w:eastAsia="宋体" w:hint="default"/>
                <w:sz w:val="21"/>
                <w:szCs w:val="21"/>
              </w:rPr>
              <w:t>报告期末</w:t>
            </w:r>
            <w:r>
              <w:rPr>
                <w:rFonts w:ascii="宋体" w:hAnsi="宋体" w:cs="宋体" w:eastAsia="宋体" w:hint="default"/>
                <w:spacing w:val="-101"/>
                <w:sz w:val="21"/>
                <w:szCs w:val="21"/>
              </w:rPr>
              <w:t> </w:t>
            </w:r>
            <w:r>
              <w:rPr>
                <w:rFonts w:ascii="宋体" w:hAnsi="宋体" w:cs="宋体" w:eastAsia="宋体" w:hint="default"/>
                <w:sz w:val="21"/>
                <w:szCs w:val="21"/>
              </w:rPr>
              <w:t>表决权恢</w:t>
            </w:r>
            <w:r>
              <w:rPr>
                <w:rFonts w:ascii="宋体" w:hAnsi="宋体" w:cs="宋体" w:eastAsia="宋体" w:hint="default"/>
                <w:spacing w:val="-101"/>
                <w:sz w:val="21"/>
                <w:szCs w:val="21"/>
              </w:rPr>
              <w:t> </w:t>
            </w:r>
            <w:r>
              <w:rPr>
                <w:rFonts w:ascii="宋体" w:hAnsi="宋体" w:cs="宋体" w:eastAsia="宋体" w:hint="default"/>
                <w:sz w:val="21"/>
                <w:szCs w:val="21"/>
              </w:rPr>
              <w:t>复的优先</w:t>
            </w:r>
            <w:r>
              <w:rPr>
                <w:rFonts w:ascii="宋体" w:hAnsi="宋体" w:cs="宋体" w:eastAsia="宋体" w:hint="default"/>
                <w:spacing w:val="-101"/>
                <w:sz w:val="21"/>
                <w:szCs w:val="21"/>
              </w:rPr>
              <w:t> </w:t>
            </w:r>
            <w:r>
              <w:rPr>
                <w:rFonts w:ascii="宋体" w:hAnsi="宋体" w:cs="宋体" w:eastAsia="宋体" w:hint="default"/>
                <w:sz w:val="21"/>
                <w:szCs w:val="21"/>
              </w:rPr>
              <w:t>股股东总</w:t>
            </w:r>
            <w:r>
              <w:rPr>
                <w:rFonts w:ascii="宋体" w:hAnsi="宋体" w:cs="宋体" w:eastAsia="宋体" w:hint="default"/>
                <w:spacing w:val="-101"/>
                <w:sz w:val="21"/>
                <w:szCs w:val="21"/>
              </w:rPr>
              <w:t> </w:t>
            </w:r>
            <w:r>
              <w:rPr>
                <w:rFonts w:ascii="宋体" w:hAnsi="宋体" w:cs="宋体" w:eastAsia="宋体" w:hint="default"/>
                <w:sz w:val="21"/>
                <w:szCs w:val="21"/>
              </w:rPr>
              <w:t>数（如有）</w:t>
            </w:r>
          </w:p>
          <w:p>
            <w:pPr>
              <w:pStyle w:val="TableParagraph"/>
              <w:spacing w:line="240" w:lineRule="auto" w:before="10"/>
              <w:ind w:left="104" w:right="0"/>
              <w:jc w:val="left"/>
              <w:rPr>
                <w:rFonts w:ascii="宋体" w:hAnsi="宋体" w:cs="宋体" w:eastAsia="宋体" w:hint="default"/>
                <w:sz w:val="21"/>
                <w:szCs w:val="21"/>
              </w:rPr>
            </w:pPr>
            <w:r>
              <w:rPr>
                <w:rFonts w:ascii="宋体" w:hAnsi="宋体" w:cs="宋体" w:eastAsia="宋体" w:hint="default"/>
                <w:sz w:val="21"/>
                <w:szCs w:val="21"/>
              </w:rPr>
              <w:t>（参见注</w:t>
            </w:r>
          </w:p>
          <w:p>
            <w:pPr>
              <w:pStyle w:val="TableParagraph"/>
              <w:spacing w:line="240" w:lineRule="auto" w:before="42"/>
              <w:ind w:left="10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c>
          <w:tcPr>
            <w:tcW w:w="16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82"/>
              <w:ind w:left="106" w:right="118"/>
              <w:jc w:val="left"/>
              <w:rPr>
                <w:rFonts w:ascii="宋体" w:hAnsi="宋体" w:cs="宋体" w:eastAsia="宋体" w:hint="default"/>
                <w:sz w:val="21"/>
                <w:szCs w:val="21"/>
              </w:rPr>
            </w:pPr>
            <w:r>
              <w:rPr>
                <w:rFonts w:ascii="宋体" w:hAnsi="宋体" w:cs="宋体" w:eastAsia="宋体" w:hint="default"/>
                <w:sz w:val="21"/>
                <w:szCs w:val="21"/>
              </w:rPr>
              <w:t>年度报告披露</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日前上一月末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表决权恢复的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优先股股东总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6"/>
                <w:w w:val="100"/>
                <w:sz w:val="21"/>
                <w:szCs w:val="21"/>
              </w:rPr>
              <w:t>数（如有）（参</w:t>
            </w:r>
            <w:r>
              <w:rPr>
                <w:rFonts w:ascii="宋体" w:hAnsi="宋体" w:cs="宋体" w:eastAsia="宋体" w:hint="default"/>
                <w:w w:val="100"/>
                <w:sz w:val="21"/>
                <w:szCs w:val="21"/>
              </w:rPr>
              <w:t> </w:t>
            </w:r>
            <w:r>
              <w:rPr>
                <w:rFonts w:ascii="宋体" w:hAnsi="宋体" w:cs="宋体" w:eastAsia="宋体" w:hint="default"/>
                <w:sz w:val="21"/>
                <w:szCs w:val="21"/>
              </w:rPr>
              <w:t>见注</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8</w:t>
            </w:r>
            <w:r>
              <w:rPr>
                <w:rFonts w:ascii="宋体" w:hAnsi="宋体" w:cs="宋体" w:eastAsia="宋体" w:hint="default"/>
                <w:sz w:val="21"/>
                <w:szCs w:val="21"/>
              </w:rPr>
              <w:t>）</w:t>
            </w:r>
          </w:p>
        </w:tc>
        <w:tc>
          <w:tcPr>
            <w:tcW w:w="16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389" w:hRule="exact"/>
        </w:trPr>
        <w:tc>
          <w:tcPr>
            <w:tcW w:w="10804"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390"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名股东持股情况</w:t>
            </w:r>
          </w:p>
        </w:tc>
      </w:tr>
      <w:tr>
        <w:trPr>
          <w:trHeight w:val="409" w:hRule="exact"/>
        </w:trPr>
        <w:tc>
          <w:tcPr>
            <w:tcW w:w="23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4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0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76" w:lineRule="auto"/>
              <w:ind w:left="182" w:right="134"/>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76" w:lineRule="auto"/>
              <w:ind w:left="172" w:right="124"/>
              <w:jc w:val="left"/>
              <w:rPr>
                <w:rFonts w:ascii="宋体" w:hAnsi="宋体" w:cs="宋体" w:eastAsia="宋体" w:hint="default"/>
                <w:sz w:val="21"/>
                <w:szCs w:val="21"/>
              </w:rPr>
            </w:pPr>
            <w:r>
              <w:rPr>
                <w:rFonts w:ascii="宋体" w:hAnsi="宋体" w:cs="宋体" w:eastAsia="宋体" w:hint="default"/>
                <w:sz w:val="21"/>
                <w:szCs w:val="21"/>
              </w:rPr>
              <w:t>报告期末</w:t>
            </w:r>
            <w:r>
              <w:rPr>
                <w:rFonts w:ascii="宋体" w:hAnsi="宋体" w:cs="宋体" w:eastAsia="宋体" w:hint="default"/>
                <w:spacing w:val="-101"/>
                <w:sz w:val="21"/>
                <w:szCs w:val="21"/>
              </w:rPr>
              <w:t> </w:t>
            </w:r>
            <w:r>
              <w:rPr>
                <w:rFonts w:ascii="宋体" w:hAnsi="宋体" w:cs="宋体" w:eastAsia="宋体" w:hint="default"/>
                <w:sz w:val="21"/>
                <w:szCs w:val="21"/>
              </w:rPr>
              <w:t>持股数量</w:t>
            </w: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137" w:right="132"/>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内增减</w:t>
            </w:r>
            <w:r>
              <w:rPr>
                <w:rFonts w:ascii="宋体" w:hAnsi="宋体" w:cs="宋体" w:eastAsia="宋体" w:hint="default"/>
                <w:w w:val="100"/>
                <w:sz w:val="21"/>
                <w:szCs w:val="21"/>
              </w:rPr>
              <w:t> </w:t>
            </w:r>
            <w:r>
              <w:rPr>
                <w:rFonts w:ascii="宋体" w:hAnsi="宋体" w:cs="宋体" w:eastAsia="宋体" w:hint="default"/>
                <w:sz w:val="21"/>
                <w:szCs w:val="21"/>
              </w:rPr>
              <w:t>变动情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00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182" w:right="175"/>
              <w:jc w:val="both"/>
              <w:rPr>
                <w:rFonts w:ascii="宋体" w:hAnsi="宋体" w:cs="宋体" w:eastAsia="宋体" w:hint="default"/>
                <w:sz w:val="21"/>
                <w:szCs w:val="21"/>
              </w:rPr>
            </w:pPr>
            <w:r>
              <w:rPr>
                <w:rFonts w:ascii="宋体" w:hAnsi="宋体" w:cs="宋体" w:eastAsia="宋体" w:hint="default"/>
                <w:sz w:val="21"/>
                <w:szCs w:val="21"/>
              </w:rPr>
              <w:t>持有有</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件的股</w:t>
            </w:r>
            <w:r>
              <w:rPr>
                <w:rFonts w:ascii="宋体" w:hAnsi="宋体" w:cs="宋体" w:eastAsia="宋体" w:hint="default"/>
                <w:spacing w:val="-102"/>
                <w:sz w:val="21"/>
                <w:szCs w:val="21"/>
              </w:rPr>
              <w:t> </w:t>
            </w:r>
            <w:r>
              <w:rPr>
                <w:rFonts w:ascii="宋体" w:hAnsi="宋体" w:cs="宋体" w:eastAsia="宋体" w:hint="default"/>
                <w:sz w:val="21"/>
                <w:szCs w:val="21"/>
              </w:rPr>
              <w:t>份数量</w:t>
            </w:r>
          </w:p>
        </w:tc>
        <w:tc>
          <w:tcPr>
            <w:tcW w:w="10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201" w:right="190"/>
              <w:jc w:val="both"/>
              <w:rPr>
                <w:rFonts w:ascii="宋体" w:hAnsi="宋体" w:cs="宋体" w:eastAsia="宋体" w:hint="default"/>
                <w:sz w:val="21"/>
                <w:szCs w:val="21"/>
              </w:rPr>
            </w:pPr>
            <w:r>
              <w:rPr>
                <w:rFonts w:ascii="宋体" w:hAnsi="宋体" w:cs="宋体" w:eastAsia="宋体" w:hint="default"/>
                <w:sz w:val="21"/>
                <w:szCs w:val="21"/>
              </w:rPr>
              <w:t>持有无</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件的股</w:t>
            </w:r>
            <w:r>
              <w:rPr>
                <w:rFonts w:ascii="宋体" w:hAnsi="宋体" w:cs="宋体" w:eastAsia="宋体" w:hint="default"/>
                <w:spacing w:val="-102"/>
                <w:sz w:val="21"/>
                <w:szCs w:val="21"/>
              </w:rPr>
              <w:t> </w:t>
            </w:r>
            <w:r>
              <w:rPr>
                <w:rFonts w:ascii="宋体" w:hAnsi="宋体" w:cs="宋体" w:eastAsia="宋体" w:hint="default"/>
                <w:sz w:val="21"/>
                <w:szCs w:val="21"/>
              </w:rPr>
              <w:t>份数量</w:t>
            </w:r>
          </w:p>
        </w:tc>
        <w:tc>
          <w:tcPr>
            <w:tcW w:w="250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13"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936" w:hRule="exact"/>
        </w:trPr>
        <w:tc>
          <w:tcPr>
            <w:tcW w:w="2353" w:type="dxa"/>
            <w:gridSpan w:val="2"/>
            <w:vMerge/>
            <w:tcBorders>
              <w:left w:val="single" w:sz="4" w:space="0" w:color="000000"/>
              <w:bottom w:val="single" w:sz="4" w:space="0" w:color="000000"/>
              <w:right w:val="single" w:sz="4" w:space="0" w:color="000000"/>
            </w:tcBorders>
            <w:shd w:val="clear" w:color="auto" w:fill="D2D2D2"/>
          </w:tcPr>
          <w:p>
            <w:pPr/>
          </w:p>
        </w:tc>
        <w:tc>
          <w:tcPr>
            <w:tcW w:w="1085"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1004" w:type="dxa"/>
            <w:gridSpan w:val="2"/>
            <w:vMerge/>
            <w:tcBorders>
              <w:left w:val="single" w:sz="4" w:space="0" w:color="000000"/>
              <w:bottom w:val="single" w:sz="4" w:space="0" w:color="000000"/>
              <w:right w:val="single" w:sz="4" w:space="0" w:color="000000"/>
            </w:tcBorders>
            <w:shd w:val="clear" w:color="auto" w:fill="D2D2D2"/>
          </w:tcPr>
          <w:p>
            <w:pPr/>
          </w:p>
        </w:tc>
        <w:tc>
          <w:tcPr>
            <w:tcW w:w="1037" w:type="dxa"/>
            <w:gridSpan w:val="2"/>
            <w:vMerge/>
            <w:tcBorders>
              <w:left w:val="single" w:sz="4" w:space="0" w:color="000000"/>
              <w:bottom w:val="single" w:sz="4" w:space="0" w:color="000000"/>
              <w:right w:val="single" w:sz="4" w:space="0" w:color="000000"/>
            </w:tcBorders>
            <w:shd w:val="clear" w:color="auto" w:fill="D2D2D2"/>
          </w:tcPr>
          <w:p>
            <w:pPr/>
          </w:p>
        </w:tc>
        <w:tc>
          <w:tcPr>
            <w:tcW w:w="15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78"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716"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3"/>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spacing w:val="-101"/>
                <w:sz w:val="21"/>
                <w:szCs w:val="21"/>
              </w:rPr>
              <w:t> </w:t>
            </w:r>
            <w:r>
              <w:rPr>
                <w:rFonts w:ascii="宋体" w:hAnsi="宋体" w:cs="宋体" w:eastAsia="宋体" w:hint="default"/>
                <w:sz w:val="21"/>
                <w:szCs w:val="21"/>
              </w:rPr>
              <w:t>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6"/>
              <w:jc w:val="right"/>
              <w:rPr>
                <w:rFonts w:ascii="Times New Roman" w:hAnsi="Times New Roman" w:cs="Times New Roman" w:eastAsia="Times New Roman" w:hint="default"/>
                <w:sz w:val="21"/>
                <w:szCs w:val="21"/>
              </w:rPr>
            </w:pPr>
            <w:r>
              <w:rPr>
                <w:rFonts w:ascii="Times New Roman"/>
                <w:sz w:val="21"/>
              </w:rPr>
              <w:t>16.54</w:t>
            </w:r>
          </w:p>
          <w:p>
            <w:pPr>
              <w:pStyle w:val="TableParagraph"/>
              <w:spacing w:line="240" w:lineRule="auto" w:before="75"/>
              <w:ind w:right="57"/>
              <w:jc w:val="right"/>
              <w:rPr>
                <w:rFonts w:ascii="Times New Roman" w:hAnsi="Times New Roman" w:cs="Times New Roman" w:eastAsia="Times New Roman" w:hint="default"/>
                <w:sz w:val="21"/>
                <w:szCs w:val="21"/>
              </w:rPr>
            </w:pPr>
            <w:r>
              <w:rPr>
                <w:rFonts w:ascii="Times New Roman"/>
                <w:w w:val="100"/>
                <w:sz w:val="21"/>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2"/>
                <w:sz w:val="21"/>
              </w:rPr>
              <w:t>114,394,3</w:t>
            </w:r>
          </w:p>
          <w:p>
            <w:pPr>
              <w:pStyle w:val="TableParagraph"/>
              <w:spacing w:line="240" w:lineRule="auto" w:before="75"/>
              <w:ind w:right="100"/>
              <w:jc w:val="right"/>
              <w:rPr>
                <w:rFonts w:ascii="Times New Roman" w:hAnsi="Times New Roman" w:cs="Times New Roman" w:eastAsia="Times New Roman" w:hint="default"/>
                <w:sz w:val="21"/>
                <w:szCs w:val="21"/>
              </w:rPr>
            </w:pPr>
            <w:r>
              <w:rPr>
                <w:rFonts w:ascii="Times New Roman"/>
                <w:sz w:val="21"/>
              </w:rPr>
              <w:t>24</w:t>
            </w:r>
          </w:p>
        </w:tc>
        <w:tc>
          <w:tcPr>
            <w:tcW w:w="916" w:type="dxa"/>
            <w:tcBorders>
              <w:top w:val="single" w:sz="4" w:space="0" w:color="000000"/>
              <w:left w:val="single" w:sz="4" w:space="0" w:color="000000"/>
              <w:bottom w:val="single" w:sz="4" w:space="0" w:color="000000"/>
              <w:right w:val="single" w:sz="4" w:space="0" w:color="000000"/>
            </w:tcBorders>
          </w:tcPr>
          <w:p>
            <w:pP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95,545,7</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43</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18,848,5</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81</w:t>
            </w: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79,571,3</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z w:val="21"/>
              </w:rPr>
              <w:t>67</w:t>
            </w:r>
          </w:p>
        </w:tc>
      </w:tr>
      <w:tr>
        <w:trPr>
          <w:trHeight w:val="715"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3"/>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spacing w:val="-101"/>
                <w:sz w:val="21"/>
                <w:szCs w:val="21"/>
              </w:rPr>
              <w:t> </w:t>
            </w:r>
            <w:r>
              <w:rPr>
                <w:rFonts w:ascii="宋体" w:hAnsi="宋体" w:cs="宋体" w:eastAsia="宋体" w:hint="default"/>
                <w:sz w:val="21"/>
                <w:szCs w:val="21"/>
              </w:rPr>
              <w:t>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56"/>
              <w:jc w:val="right"/>
              <w:rPr>
                <w:rFonts w:ascii="Times New Roman" w:hAnsi="Times New Roman" w:cs="Times New Roman" w:eastAsia="Times New Roman" w:hint="default"/>
                <w:sz w:val="21"/>
                <w:szCs w:val="21"/>
              </w:rPr>
            </w:pPr>
            <w:r>
              <w:rPr>
                <w:rFonts w:ascii="Times New Roman"/>
                <w:sz w:val="21"/>
              </w:rPr>
              <w:t>10.61</w:t>
            </w:r>
          </w:p>
          <w:p>
            <w:pPr>
              <w:pStyle w:val="TableParagraph"/>
              <w:spacing w:line="240" w:lineRule="auto" w:before="70"/>
              <w:ind w:right="57"/>
              <w:jc w:val="right"/>
              <w:rPr>
                <w:rFonts w:ascii="Times New Roman" w:hAnsi="Times New Roman" w:cs="Times New Roman" w:eastAsia="Times New Roman" w:hint="default"/>
                <w:sz w:val="21"/>
                <w:szCs w:val="21"/>
              </w:rPr>
            </w:pPr>
            <w:r>
              <w:rPr>
                <w:rFonts w:ascii="Times New Roman"/>
                <w:w w:val="100"/>
                <w:sz w:val="21"/>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73,397,72</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6</w:t>
            </w:r>
          </w:p>
        </w:tc>
        <w:tc>
          <w:tcPr>
            <w:tcW w:w="916" w:type="dxa"/>
            <w:tcBorders>
              <w:top w:val="single" w:sz="4" w:space="0" w:color="000000"/>
              <w:left w:val="single" w:sz="4" w:space="0" w:color="000000"/>
              <w:bottom w:val="single" w:sz="4" w:space="0" w:color="000000"/>
              <w:right w:val="single" w:sz="4" w:space="0" w:color="000000"/>
            </w:tcBorders>
          </w:tcPr>
          <w:p>
            <w:pP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67,221,5</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44</w:t>
            </w: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6,176,18</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2</w:t>
            </w: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52,170,0</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z w:val="21"/>
              </w:rPr>
              <w:t>00</w:t>
            </w:r>
          </w:p>
        </w:tc>
      </w:tr>
      <w:tr>
        <w:trPr>
          <w:trHeight w:val="710"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1" w:right="137"/>
              <w:jc w:val="left"/>
              <w:rPr>
                <w:rFonts w:ascii="宋体" w:hAnsi="宋体" w:cs="宋体" w:eastAsia="宋体" w:hint="default"/>
                <w:sz w:val="21"/>
                <w:szCs w:val="21"/>
              </w:rPr>
            </w:pPr>
            <w:r>
              <w:rPr>
                <w:rFonts w:ascii="宋体" w:hAnsi="宋体" w:cs="宋体" w:eastAsia="宋体" w:hint="default"/>
                <w:spacing w:val="-1"/>
                <w:sz w:val="21"/>
                <w:szCs w:val="21"/>
              </w:rPr>
              <w:t>芜湖市鑫诚科技投资有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3"/>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spacing w:val="-101"/>
                <w:sz w:val="21"/>
                <w:szCs w:val="21"/>
              </w:rPr>
              <w:t> </w:t>
            </w:r>
            <w:r>
              <w:rPr>
                <w:rFonts w:ascii="宋体" w:hAnsi="宋体" w:cs="宋体" w:eastAsia="宋体" w:hint="default"/>
                <w:sz w:val="21"/>
                <w:szCs w:val="21"/>
              </w:rPr>
              <w:t>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7"/>
              <w:jc w:val="right"/>
              <w:rPr>
                <w:rFonts w:ascii="Times New Roman" w:hAnsi="Times New Roman" w:cs="Times New Roman" w:eastAsia="Times New Roman" w:hint="default"/>
                <w:sz w:val="21"/>
                <w:szCs w:val="21"/>
              </w:rPr>
            </w:pPr>
            <w:r>
              <w:rPr>
                <w:rFonts w:ascii="Times New Roman"/>
                <w:sz w:val="21"/>
              </w:rPr>
              <w:t>5.31%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36,720,93</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6</w:t>
            </w:r>
          </w:p>
        </w:tc>
        <w:tc>
          <w:tcPr>
            <w:tcW w:w="916" w:type="dxa"/>
            <w:tcBorders>
              <w:top w:val="single" w:sz="4" w:space="0" w:color="000000"/>
              <w:left w:val="single" w:sz="4" w:space="0" w:color="000000"/>
              <w:bottom w:val="single" w:sz="4" w:space="0" w:color="000000"/>
              <w:right w:val="single" w:sz="4" w:space="0" w:color="000000"/>
            </w:tcBorders>
          </w:tcPr>
          <w:p>
            <w:pPr/>
          </w:p>
        </w:tc>
        <w:tc>
          <w:tcPr>
            <w:tcW w:w="1004" w:type="dxa"/>
            <w:gridSpan w:val="2"/>
            <w:tcBorders>
              <w:top w:val="single" w:sz="4" w:space="0" w:color="000000"/>
              <w:left w:val="single" w:sz="4" w:space="0" w:color="000000"/>
              <w:bottom w:val="single" w:sz="4" w:space="0" w:color="000000"/>
              <w:right w:val="single" w:sz="4" w:space="0" w:color="000000"/>
            </w:tcBorders>
          </w:tcPr>
          <w:p>
            <w:pP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36,720,9</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36</w:t>
            </w:r>
          </w:p>
        </w:tc>
        <w:tc>
          <w:tcPr>
            <w:tcW w:w="15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36,719,9</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z w:val="21"/>
              </w:rPr>
              <w:t>96</w:t>
            </w:r>
          </w:p>
        </w:tc>
      </w:tr>
      <w:tr>
        <w:trPr>
          <w:trHeight w:val="1028"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auto" w:before="28"/>
              <w:ind w:left="101" w:right="27"/>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云泽投资管理（天津）</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有限公司－云泽投资</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号私募证券投资基金</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57"/>
              <w:jc w:val="right"/>
              <w:rPr>
                <w:rFonts w:ascii="Times New Roman" w:hAnsi="Times New Roman" w:cs="Times New Roman" w:eastAsia="Times New Roman" w:hint="default"/>
                <w:sz w:val="21"/>
                <w:szCs w:val="21"/>
              </w:rPr>
            </w:pPr>
            <w:r>
              <w:rPr>
                <w:rFonts w:ascii="Times New Roman"/>
                <w:sz w:val="21"/>
              </w:rPr>
              <w:t>4.23%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29,240,00</w:t>
            </w:r>
          </w:p>
          <w:p>
            <w:pPr>
              <w:pStyle w:val="TableParagraph"/>
              <w:spacing w:line="240" w:lineRule="auto" w:before="70"/>
              <w:ind w:right="101"/>
              <w:jc w:val="right"/>
              <w:rPr>
                <w:rFonts w:ascii="Times New Roman" w:hAnsi="Times New Roman" w:cs="Times New Roman" w:eastAsia="Times New Roman" w:hint="default"/>
                <w:sz w:val="21"/>
                <w:szCs w:val="21"/>
              </w:rPr>
            </w:pPr>
            <w:r>
              <w:rPr>
                <w:rFonts w:ascii="Times New Roman"/>
                <w:w w:val="100"/>
                <w:sz w:val="21"/>
              </w:rPr>
              <w:t>0</w:t>
            </w:r>
          </w:p>
        </w:tc>
        <w:tc>
          <w:tcPr>
            <w:tcW w:w="916" w:type="dxa"/>
            <w:tcBorders>
              <w:top w:val="single" w:sz="4" w:space="0" w:color="000000"/>
              <w:left w:val="single" w:sz="4" w:space="0" w:color="000000"/>
              <w:bottom w:val="single" w:sz="4" w:space="0" w:color="000000"/>
              <w:right w:val="single" w:sz="4" w:space="0" w:color="000000"/>
            </w:tcBorders>
          </w:tcPr>
          <w:p>
            <w:pPr/>
          </w:p>
        </w:tc>
        <w:tc>
          <w:tcPr>
            <w:tcW w:w="1004" w:type="dxa"/>
            <w:gridSpan w:val="2"/>
            <w:tcBorders>
              <w:top w:val="single" w:sz="4" w:space="0" w:color="000000"/>
              <w:left w:val="single" w:sz="4" w:space="0" w:color="000000"/>
              <w:bottom w:val="single" w:sz="4" w:space="0" w:color="000000"/>
              <w:right w:val="single" w:sz="4" w:space="0" w:color="000000"/>
            </w:tcBorders>
          </w:tcPr>
          <w:p>
            <w:pP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29,240,0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00</w:t>
            </w:r>
          </w:p>
        </w:tc>
        <w:tc>
          <w:tcPr>
            <w:tcW w:w="1517"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上海理鼎投资管理中心</w:t>
            </w:r>
          </w:p>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3"/>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spacing w:val="-101"/>
                <w:sz w:val="21"/>
                <w:szCs w:val="21"/>
              </w:rPr>
              <w:t> </w:t>
            </w:r>
            <w:r>
              <w:rPr>
                <w:rFonts w:ascii="宋体" w:hAnsi="宋体" w:cs="宋体" w:eastAsia="宋体" w:hint="default"/>
                <w:sz w:val="21"/>
                <w:szCs w:val="21"/>
              </w:rPr>
              <w:t>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21"/>
                <w:szCs w:val="21"/>
              </w:rPr>
            </w:pPr>
            <w:r>
              <w:rPr>
                <w:rFonts w:ascii="Times New Roman"/>
                <w:sz w:val="21"/>
              </w:rPr>
              <w:t>1.88%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12,980,00</w:t>
            </w:r>
          </w:p>
          <w:p>
            <w:pPr>
              <w:pStyle w:val="TableParagraph"/>
              <w:spacing w:line="240" w:lineRule="auto" w:before="75"/>
              <w:ind w:right="101"/>
              <w:jc w:val="right"/>
              <w:rPr>
                <w:rFonts w:ascii="Times New Roman" w:hAnsi="Times New Roman" w:cs="Times New Roman" w:eastAsia="Times New Roman" w:hint="default"/>
                <w:sz w:val="21"/>
                <w:szCs w:val="21"/>
              </w:rPr>
            </w:pPr>
            <w:r>
              <w:rPr>
                <w:rFonts w:ascii="Times New Roman"/>
                <w:w w:val="100"/>
                <w:sz w:val="21"/>
              </w:rPr>
              <w:t>0</w:t>
            </w:r>
          </w:p>
        </w:tc>
        <w:tc>
          <w:tcPr>
            <w:tcW w:w="916" w:type="dxa"/>
            <w:tcBorders>
              <w:top w:val="single" w:sz="4" w:space="0" w:color="000000"/>
              <w:left w:val="single" w:sz="4" w:space="0" w:color="000000"/>
              <w:bottom w:val="single" w:sz="4" w:space="0" w:color="000000"/>
              <w:right w:val="single" w:sz="4" w:space="0" w:color="000000"/>
            </w:tcBorders>
          </w:tcPr>
          <w:p>
            <w:pPr/>
          </w:p>
        </w:tc>
        <w:tc>
          <w:tcPr>
            <w:tcW w:w="1004" w:type="dxa"/>
            <w:gridSpan w:val="2"/>
            <w:tcBorders>
              <w:top w:val="single" w:sz="4" w:space="0" w:color="000000"/>
              <w:left w:val="single" w:sz="4" w:space="0" w:color="000000"/>
              <w:bottom w:val="single" w:sz="4" w:space="0" w:color="000000"/>
              <w:right w:val="single" w:sz="4" w:space="0" w:color="000000"/>
            </w:tcBorders>
          </w:tcPr>
          <w:p>
            <w:pP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12,980,0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w:t>
            </w:r>
          </w:p>
        </w:tc>
        <w:tc>
          <w:tcPr>
            <w:tcW w:w="1517"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张革会</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105" w:right="123"/>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spacing w:val="-101"/>
                <w:sz w:val="21"/>
                <w:szCs w:val="21"/>
              </w:rPr>
              <w:t> </w:t>
            </w:r>
            <w:r>
              <w:rPr>
                <w:rFonts w:ascii="宋体" w:hAnsi="宋体" w:cs="宋体" w:eastAsia="宋体" w:hint="default"/>
                <w:sz w:val="21"/>
                <w:szCs w:val="21"/>
              </w:rPr>
              <w:t>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7"/>
              <w:jc w:val="right"/>
              <w:rPr>
                <w:rFonts w:ascii="Times New Roman" w:hAnsi="Times New Roman" w:cs="Times New Roman" w:eastAsia="Times New Roman" w:hint="default"/>
                <w:sz w:val="21"/>
                <w:szCs w:val="21"/>
              </w:rPr>
            </w:pPr>
            <w:r>
              <w:rPr>
                <w:rFonts w:ascii="Times New Roman"/>
                <w:sz w:val="21"/>
              </w:rPr>
              <w:t>1.10%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7,630,000</w:t>
            </w:r>
          </w:p>
        </w:tc>
        <w:tc>
          <w:tcPr>
            <w:tcW w:w="916" w:type="dxa"/>
            <w:tcBorders>
              <w:top w:val="single" w:sz="4" w:space="0" w:color="000000"/>
              <w:left w:val="single" w:sz="4" w:space="0" w:color="000000"/>
              <w:bottom w:val="single" w:sz="4" w:space="0" w:color="000000"/>
              <w:right w:val="single" w:sz="4" w:space="0" w:color="000000"/>
            </w:tcBorders>
          </w:tcPr>
          <w:p>
            <w:pPr/>
          </w:p>
        </w:tc>
        <w:tc>
          <w:tcPr>
            <w:tcW w:w="1004" w:type="dxa"/>
            <w:gridSpan w:val="2"/>
            <w:tcBorders>
              <w:top w:val="single" w:sz="4" w:space="0" w:color="000000"/>
              <w:left w:val="single" w:sz="4" w:space="0" w:color="000000"/>
              <w:bottom w:val="single" w:sz="4" w:space="0" w:color="000000"/>
              <w:right w:val="single" w:sz="4" w:space="0" w:color="000000"/>
            </w:tcBorders>
          </w:tcPr>
          <w:p>
            <w:pP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7,630,00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1517"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1" w:right="137"/>
              <w:jc w:val="left"/>
              <w:rPr>
                <w:rFonts w:ascii="宋体" w:hAnsi="宋体" w:cs="宋体" w:eastAsia="宋体" w:hint="default"/>
                <w:sz w:val="21"/>
                <w:szCs w:val="21"/>
              </w:rPr>
            </w:pPr>
            <w:r>
              <w:rPr>
                <w:rFonts w:ascii="宋体" w:hAnsi="宋体" w:cs="宋体" w:eastAsia="宋体" w:hint="default"/>
                <w:spacing w:val="-1"/>
                <w:sz w:val="21"/>
                <w:szCs w:val="21"/>
              </w:rPr>
              <w:t>安徽省国有资本运营控</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股集团有限公司</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7"/>
              <w:jc w:val="right"/>
              <w:rPr>
                <w:rFonts w:ascii="Times New Roman" w:hAnsi="Times New Roman" w:cs="Times New Roman" w:eastAsia="Times New Roman" w:hint="default"/>
                <w:sz w:val="21"/>
                <w:szCs w:val="21"/>
              </w:rPr>
            </w:pPr>
            <w:r>
              <w:rPr>
                <w:rFonts w:ascii="Times New Roman"/>
                <w:sz w:val="21"/>
              </w:rPr>
              <w:t>1.08%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7,497,338</w:t>
            </w:r>
          </w:p>
        </w:tc>
        <w:tc>
          <w:tcPr>
            <w:tcW w:w="916" w:type="dxa"/>
            <w:tcBorders>
              <w:top w:val="single" w:sz="4" w:space="0" w:color="000000"/>
              <w:left w:val="single" w:sz="4" w:space="0" w:color="000000"/>
              <w:bottom w:val="single" w:sz="4" w:space="0" w:color="000000"/>
              <w:right w:val="single" w:sz="4" w:space="0" w:color="000000"/>
            </w:tcBorders>
          </w:tcPr>
          <w:p>
            <w:pPr/>
          </w:p>
        </w:tc>
        <w:tc>
          <w:tcPr>
            <w:tcW w:w="1004" w:type="dxa"/>
            <w:gridSpan w:val="2"/>
            <w:tcBorders>
              <w:top w:val="single" w:sz="4" w:space="0" w:color="000000"/>
              <w:left w:val="single" w:sz="4" w:space="0" w:color="000000"/>
              <w:bottom w:val="single" w:sz="4" w:space="0" w:color="000000"/>
              <w:right w:val="single" w:sz="4" w:space="0" w:color="000000"/>
            </w:tcBorders>
          </w:tcPr>
          <w:p>
            <w:pP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7,497,33</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8</w:t>
            </w:r>
          </w:p>
        </w:tc>
        <w:tc>
          <w:tcPr>
            <w:tcW w:w="1517"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广西铁路发展投资基金</w:t>
            </w:r>
          </w:p>
          <w:p>
            <w:pPr>
              <w:pStyle w:val="TableParagraph"/>
              <w:spacing w:line="240" w:lineRule="auto" w:before="42"/>
              <w:ind w:left="101" w:right="0"/>
              <w:jc w:val="left"/>
              <w:rPr>
                <w:rFonts w:ascii="宋体" w:hAnsi="宋体" w:cs="宋体" w:eastAsia="宋体" w:hint="default"/>
                <w:sz w:val="21"/>
                <w:szCs w:val="21"/>
              </w:rPr>
            </w:pPr>
            <w:r>
              <w:rPr>
                <w:rFonts w:ascii="宋体" w:hAnsi="宋体" w:cs="宋体" w:eastAsia="宋体" w:hint="default"/>
                <w:sz w:val="21"/>
                <w:szCs w:val="21"/>
              </w:rPr>
              <w:t>（有限合伙）</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3"/>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spacing w:val="-101"/>
                <w:sz w:val="21"/>
                <w:szCs w:val="21"/>
              </w:rPr>
              <w:t> </w:t>
            </w:r>
            <w:r>
              <w:rPr>
                <w:rFonts w:ascii="宋体" w:hAnsi="宋体" w:cs="宋体" w:eastAsia="宋体" w:hint="default"/>
                <w:sz w:val="21"/>
                <w:szCs w:val="21"/>
              </w:rPr>
              <w:t>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21"/>
                <w:szCs w:val="21"/>
              </w:rPr>
            </w:pPr>
            <w:r>
              <w:rPr>
                <w:rFonts w:ascii="Times New Roman"/>
                <w:sz w:val="21"/>
              </w:rPr>
              <w:t>1.08%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7,442,400</w:t>
            </w:r>
          </w:p>
        </w:tc>
        <w:tc>
          <w:tcPr>
            <w:tcW w:w="916" w:type="dxa"/>
            <w:tcBorders>
              <w:top w:val="single" w:sz="4" w:space="0" w:color="000000"/>
              <w:left w:val="single" w:sz="4" w:space="0" w:color="000000"/>
              <w:bottom w:val="single" w:sz="4" w:space="0" w:color="000000"/>
              <w:right w:val="single" w:sz="4" w:space="0" w:color="000000"/>
            </w:tcBorders>
          </w:tcPr>
          <w:p>
            <w:pPr/>
          </w:p>
        </w:tc>
        <w:tc>
          <w:tcPr>
            <w:tcW w:w="1004" w:type="dxa"/>
            <w:gridSpan w:val="2"/>
            <w:tcBorders>
              <w:top w:val="single" w:sz="4" w:space="0" w:color="000000"/>
              <w:left w:val="single" w:sz="4" w:space="0" w:color="000000"/>
              <w:bottom w:val="single" w:sz="4" w:space="0" w:color="000000"/>
              <w:right w:val="single" w:sz="4" w:space="0" w:color="000000"/>
            </w:tcBorders>
          </w:tcPr>
          <w:p>
            <w:pP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7,442,40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0</w:t>
            </w:r>
          </w:p>
        </w:tc>
        <w:tc>
          <w:tcPr>
            <w:tcW w:w="1517"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1" w:right="137"/>
              <w:jc w:val="left"/>
              <w:rPr>
                <w:rFonts w:ascii="宋体" w:hAnsi="宋体" w:cs="宋体" w:eastAsia="宋体" w:hint="default"/>
                <w:sz w:val="21"/>
                <w:szCs w:val="21"/>
              </w:rPr>
            </w:pPr>
            <w:r>
              <w:rPr>
                <w:rFonts w:ascii="宋体" w:hAnsi="宋体" w:cs="宋体" w:eastAsia="宋体" w:hint="default"/>
                <w:spacing w:val="-1"/>
                <w:sz w:val="21"/>
                <w:szCs w:val="21"/>
              </w:rPr>
              <w:t>中新建招商股权投资有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57"/>
              <w:jc w:val="right"/>
              <w:rPr>
                <w:rFonts w:ascii="Times New Roman" w:hAnsi="Times New Roman" w:cs="Times New Roman" w:eastAsia="Times New Roman" w:hint="default"/>
                <w:sz w:val="21"/>
                <w:szCs w:val="21"/>
              </w:rPr>
            </w:pPr>
            <w:r>
              <w:rPr>
                <w:rFonts w:ascii="Times New Roman"/>
                <w:sz w:val="21"/>
              </w:rPr>
              <w:t>0.87%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6,048,800</w:t>
            </w:r>
          </w:p>
        </w:tc>
        <w:tc>
          <w:tcPr>
            <w:tcW w:w="916" w:type="dxa"/>
            <w:tcBorders>
              <w:top w:val="single" w:sz="4" w:space="0" w:color="000000"/>
              <w:left w:val="single" w:sz="4" w:space="0" w:color="000000"/>
              <w:bottom w:val="single" w:sz="4" w:space="0" w:color="000000"/>
              <w:right w:val="single" w:sz="4" w:space="0" w:color="000000"/>
            </w:tcBorders>
          </w:tcPr>
          <w:p>
            <w:pPr/>
          </w:p>
        </w:tc>
        <w:tc>
          <w:tcPr>
            <w:tcW w:w="1004" w:type="dxa"/>
            <w:gridSpan w:val="2"/>
            <w:tcBorders>
              <w:top w:val="single" w:sz="4" w:space="0" w:color="000000"/>
              <w:left w:val="single" w:sz="4" w:space="0" w:color="000000"/>
              <w:bottom w:val="single" w:sz="4" w:space="0" w:color="000000"/>
              <w:right w:val="single" w:sz="4" w:space="0" w:color="000000"/>
            </w:tcBorders>
          </w:tcPr>
          <w:p>
            <w:pP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6,048,80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0</w:t>
            </w:r>
          </w:p>
        </w:tc>
        <w:tc>
          <w:tcPr>
            <w:tcW w:w="1517"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张敬兵</w:t>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3"/>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spacing w:val="-101"/>
                <w:sz w:val="21"/>
                <w:szCs w:val="21"/>
              </w:rPr>
              <w:t> </w:t>
            </w:r>
            <w:r>
              <w:rPr>
                <w:rFonts w:ascii="宋体" w:hAnsi="宋体" w:cs="宋体" w:eastAsia="宋体" w:hint="default"/>
                <w:sz w:val="21"/>
                <w:szCs w:val="21"/>
              </w:rPr>
              <w:t>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7"/>
              <w:jc w:val="right"/>
              <w:rPr>
                <w:rFonts w:ascii="Times New Roman" w:hAnsi="Times New Roman" w:cs="Times New Roman" w:eastAsia="Times New Roman" w:hint="default"/>
                <w:sz w:val="21"/>
                <w:szCs w:val="21"/>
              </w:rPr>
            </w:pPr>
            <w:r>
              <w:rPr>
                <w:rFonts w:ascii="Times New Roman"/>
                <w:sz w:val="21"/>
              </w:rPr>
              <w:t>0.61%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4,200,800</w:t>
            </w:r>
          </w:p>
        </w:tc>
        <w:tc>
          <w:tcPr>
            <w:tcW w:w="916" w:type="dxa"/>
            <w:tcBorders>
              <w:top w:val="single" w:sz="4" w:space="0" w:color="000000"/>
              <w:left w:val="single" w:sz="4" w:space="0" w:color="000000"/>
              <w:bottom w:val="single" w:sz="4" w:space="0" w:color="000000"/>
              <w:right w:val="single" w:sz="4" w:space="0" w:color="000000"/>
            </w:tcBorders>
          </w:tcPr>
          <w:p>
            <w:pPr/>
          </w:p>
        </w:tc>
        <w:tc>
          <w:tcPr>
            <w:tcW w:w="1004" w:type="dxa"/>
            <w:gridSpan w:val="2"/>
            <w:tcBorders>
              <w:top w:val="single" w:sz="4" w:space="0" w:color="000000"/>
              <w:left w:val="single" w:sz="4" w:space="0" w:color="000000"/>
              <w:bottom w:val="single" w:sz="4" w:space="0" w:color="000000"/>
              <w:right w:val="single" w:sz="4" w:space="0" w:color="000000"/>
            </w:tcBorders>
          </w:tcPr>
          <w:p>
            <w:pPr/>
          </w:p>
        </w:tc>
        <w:tc>
          <w:tcPr>
            <w:tcW w:w="10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4,200,80</w:t>
            </w:r>
          </w:p>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w w:val="100"/>
                <w:sz w:val="21"/>
              </w:rPr>
              <w:t>0</w:t>
            </w:r>
          </w:p>
        </w:tc>
        <w:tc>
          <w:tcPr>
            <w:tcW w:w="1517" w:type="dxa"/>
            <w:gridSpan w:val="2"/>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43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47"/>
              <w:ind w:left="101" w:right="99"/>
              <w:jc w:val="left"/>
              <w:rPr>
                <w:rFonts w:ascii="宋体" w:hAnsi="宋体" w:cs="宋体" w:eastAsia="宋体" w:hint="default"/>
                <w:sz w:val="21"/>
                <w:szCs w:val="21"/>
              </w:rPr>
            </w:pPr>
            <w:r>
              <w:rPr>
                <w:rFonts w:ascii="宋体" w:hAnsi="宋体" w:cs="宋体" w:eastAsia="宋体" w:hint="default"/>
                <w:sz w:val="21"/>
                <w:szCs w:val="21"/>
              </w:rPr>
              <w:t>战略投资者或一般法人因配售新股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w w:val="100"/>
                <w:sz w:val="21"/>
                <w:szCs w:val="21"/>
              </w:rPr>
              <w:t>成为前</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22"/>
                <w:w w:val="100"/>
                <w:sz w:val="21"/>
                <w:szCs w:val="21"/>
              </w:rPr>
              <w:t>名股东的情况（如有）（参</w:t>
            </w:r>
          </w:p>
        </w:tc>
        <w:tc>
          <w:tcPr>
            <w:tcW w:w="736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105" w:right="102"/>
              <w:jc w:val="left"/>
              <w:rPr>
                <w:rFonts w:ascii="宋体" w:hAnsi="宋体" w:cs="宋体" w:eastAsia="宋体" w:hint="default"/>
                <w:sz w:val="21"/>
                <w:szCs w:val="21"/>
              </w:rPr>
            </w:pPr>
            <w:r>
              <w:rPr>
                <w:rFonts w:ascii="Times New Roman" w:hAnsi="Times New Roman" w:cs="Times New Roman" w:eastAsia="Times New Roman" w:hint="default"/>
                <w:spacing w:val="-4"/>
                <w:w w:val="100"/>
                <w:sz w:val="21"/>
                <w:szCs w:val="21"/>
              </w:rPr>
              <w:t>1</w:t>
            </w:r>
            <w:r>
              <w:rPr>
                <w:rFonts w:ascii="宋体" w:hAnsi="宋体" w:cs="宋体" w:eastAsia="宋体" w:hint="default"/>
                <w:spacing w:val="-4"/>
                <w:w w:val="100"/>
                <w:sz w:val="21"/>
                <w:szCs w:val="21"/>
              </w:rPr>
              <w:t>、安徽省国有资本运营控股集团有限公司为公司首次公开发行股票前国有法人</w:t>
            </w:r>
            <w:r>
              <w:rPr>
                <w:rFonts w:ascii="宋体" w:hAnsi="宋体" w:cs="宋体" w:eastAsia="宋体" w:hint="default"/>
                <w:w w:val="100"/>
                <w:sz w:val="21"/>
                <w:szCs w:val="21"/>
              </w:rPr>
              <w:t> </w:t>
            </w:r>
            <w:r>
              <w:rPr>
                <w:rFonts w:ascii="宋体" w:hAnsi="宋体" w:cs="宋体" w:eastAsia="宋体" w:hint="default"/>
                <w:sz w:val="21"/>
                <w:szCs w:val="21"/>
              </w:rPr>
              <w:t>股东；</w:t>
            </w:r>
          </w:p>
        </w:tc>
      </w:tr>
    </w:tbl>
    <w:p>
      <w:pPr>
        <w:spacing w:after="0" w:line="256" w:lineRule="auto"/>
        <w:jc w:val="left"/>
        <w:rPr>
          <w:rFonts w:ascii="宋体" w:hAnsi="宋体" w:cs="宋体" w:eastAsia="宋体" w:hint="default"/>
          <w:sz w:val="21"/>
          <w:szCs w:val="21"/>
        </w:rPr>
        <w:sectPr>
          <w:headerReference w:type="default" r:id="rId16"/>
          <w:pgSz w:w="11910" w:h="16840"/>
          <w:pgMar w:header="906" w:footer="1022" w:top="1100" w:bottom="1220" w:left="46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3438"/>
        <w:gridCol w:w="4860"/>
        <w:gridCol w:w="1517"/>
        <w:gridCol w:w="989"/>
      </w:tblGrid>
      <w:tr>
        <w:trPr>
          <w:trHeight w:val="2588"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01" w:right="0"/>
              <w:jc w:val="left"/>
              <w:rPr>
                <w:rFonts w:ascii="宋体" w:hAnsi="宋体" w:cs="宋体" w:eastAsia="宋体" w:hint="default"/>
                <w:sz w:val="21"/>
                <w:szCs w:val="21"/>
              </w:rPr>
            </w:pPr>
            <w:r>
              <w:rPr>
                <w:rFonts w:ascii="宋体" w:hAnsi="宋体" w:cs="宋体" w:eastAsia="宋体" w:hint="default"/>
                <w:sz w:val="21"/>
                <w:szCs w:val="21"/>
              </w:rPr>
              <w:t>见注</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73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、上海理鼎投资管理中心（有限合伙）因公司重大重组发行新股成为公司前</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10</w:t>
            </w:r>
          </w:p>
          <w:p>
            <w:pPr>
              <w:pStyle w:val="TableParagraph"/>
              <w:spacing w:line="273" w:lineRule="auto" w:before="21"/>
              <w:ind w:left="105" w:right="98"/>
              <w:jc w:val="left"/>
              <w:rPr>
                <w:rFonts w:ascii="宋体" w:hAnsi="宋体" w:cs="宋体" w:eastAsia="宋体" w:hint="default"/>
                <w:sz w:val="21"/>
                <w:szCs w:val="21"/>
              </w:rPr>
            </w:pPr>
            <w:r>
              <w:rPr>
                <w:rFonts w:ascii="宋体" w:hAnsi="宋体" w:cs="宋体" w:eastAsia="宋体" w:hint="default"/>
                <w:spacing w:val="-2"/>
                <w:sz w:val="21"/>
                <w:szCs w:val="21"/>
              </w:rPr>
              <w:t>名股东，约定本次发行取得的公司新增股份的锁定期为自本次交易新增股份上</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w w:val="100"/>
                <w:sz w:val="21"/>
                <w:szCs w:val="21"/>
              </w:rPr>
              <w:t>市之日起 </w:t>
            </w:r>
            <w:r>
              <w:rPr>
                <w:rFonts w:ascii="Times New Roman" w:hAnsi="Times New Roman" w:cs="Times New Roman" w:eastAsia="Times New Roman" w:hint="default"/>
                <w:w w:val="100"/>
                <w:sz w:val="21"/>
                <w:szCs w:val="21"/>
              </w:rPr>
              <w:t>36  </w:t>
            </w:r>
            <w:r>
              <w:rPr>
                <w:rFonts w:ascii="宋体" w:hAnsi="宋体" w:cs="宋体" w:eastAsia="宋体" w:hint="default"/>
                <w:spacing w:val="-7"/>
                <w:w w:val="100"/>
                <w:sz w:val="21"/>
                <w:szCs w:val="21"/>
              </w:rPr>
              <w:t>个月内不得转让。此次非公开新增股份于</w:t>
            </w:r>
            <w:r>
              <w:rPr>
                <w:rFonts w:ascii="宋体" w:hAnsi="宋体" w:cs="宋体" w:eastAsia="宋体" w:hint="default"/>
                <w:w w:val="100"/>
                <w:sz w:val="21"/>
                <w:szCs w:val="21"/>
              </w:rPr>
              <w:t> </w:t>
            </w:r>
            <w:r>
              <w:rPr>
                <w:rFonts w:ascii="Times New Roman" w:hAnsi="Times New Roman" w:cs="Times New Roman" w:eastAsia="Times New Roman" w:hint="default"/>
                <w:w w:val="100"/>
                <w:sz w:val="21"/>
                <w:szCs w:val="21"/>
              </w:rPr>
              <w:t>2015  </w:t>
            </w:r>
            <w:r>
              <w:rPr>
                <w:rFonts w:ascii="宋体" w:hAnsi="宋体" w:cs="宋体" w:eastAsia="宋体" w:hint="default"/>
                <w:w w:val="100"/>
                <w:sz w:val="21"/>
                <w:szCs w:val="21"/>
              </w:rPr>
              <w:t>年 </w:t>
            </w:r>
            <w:r>
              <w:rPr>
                <w:rFonts w:ascii="Times New Roman" w:hAnsi="Times New Roman" w:cs="Times New Roman" w:eastAsia="Times New Roman" w:hint="default"/>
                <w:w w:val="100"/>
                <w:sz w:val="21"/>
                <w:szCs w:val="21"/>
              </w:rPr>
              <w:t>8  </w:t>
            </w:r>
            <w:r>
              <w:rPr>
                <w:rFonts w:ascii="宋体" w:hAnsi="宋体" w:cs="宋体" w:eastAsia="宋体" w:hint="default"/>
                <w:w w:val="100"/>
                <w:sz w:val="21"/>
                <w:szCs w:val="21"/>
              </w:rPr>
              <w:t>月 </w:t>
            </w:r>
            <w:r>
              <w:rPr>
                <w:rFonts w:ascii="Times New Roman" w:hAnsi="Times New Roman" w:cs="Times New Roman" w:eastAsia="Times New Roman" w:hint="default"/>
                <w:w w:val="100"/>
                <w:sz w:val="21"/>
                <w:szCs w:val="21"/>
              </w:rPr>
              <w:t>28</w:t>
            </w:r>
            <w:r>
              <w:rPr>
                <w:rFonts w:ascii="Times New Roman" w:hAnsi="Times New Roman" w:cs="Times New Roman" w:eastAsia="Times New Roman" w:hint="default"/>
                <w:spacing w:val="38"/>
                <w:w w:val="100"/>
                <w:sz w:val="21"/>
                <w:szCs w:val="21"/>
              </w:rPr>
              <w:t> </w:t>
            </w:r>
            <w:r>
              <w:rPr>
                <w:rFonts w:ascii="宋体" w:hAnsi="宋体" w:cs="宋体" w:eastAsia="宋体" w:hint="default"/>
                <w:w w:val="100"/>
                <w:sz w:val="21"/>
                <w:szCs w:val="21"/>
              </w:rPr>
              <w:t>日正</w:t>
            </w:r>
          </w:p>
          <w:p>
            <w:pPr>
              <w:pStyle w:val="TableParagraph"/>
              <w:spacing w:line="271" w:lineRule="auto"/>
              <w:ind w:left="105" w:right="105"/>
              <w:jc w:val="left"/>
              <w:rPr>
                <w:rFonts w:ascii="宋体" w:hAnsi="宋体" w:cs="宋体" w:eastAsia="宋体" w:hint="default"/>
                <w:sz w:val="21"/>
                <w:szCs w:val="21"/>
              </w:rPr>
            </w:pPr>
            <w:r>
              <w:rPr>
                <w:rFonts w:ascii="宋体" w:hAnsi="宋体" w:cs="宋体" w:eastAsia="宋体" w:hint="default"/>
                <w:sz w:val="21"/>
                <w:szCs w:val="21"/>
              </w:rPr>
              <w:t>式上市，</w:t>
            </w:r>
            <w:r>
              <w:rPr>
                <w:rFonts w:ascii="Times New Roman" w:hAnsi="Times New Roman" w:cs="Times New Roman" w:eastAsia="Times New Roman" w:hint="default"/>
                <w:sz w:val="21"/>
                <w:szCs w:val="21"/>
              </w:rPr>
              <w:t>2018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29 </w:t>
            </w:r>
            <w:r>
              <w:rPr>
                <w:rFonts w:ascii="宋体" w:hAnsi="宋体" w:cs="宋体" w:eastAsia="宋体" w:hint="default"/>
                <w:sz w:val="21"/>
                <w:szCs w:val="21"/>
              </w:rPr>
              <w:t>日已经全部解禁。</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Times New Roman" w:hAnsi="Times New Roman" w:cs="Times New Roman" w:eastAsia="Times New Roman" w:hint="default"/>
                <w:spacing w:val="-5"/>
                <w:w w:val="100"/>
                <w:sz w:val="21"/>
                <w:szCs w:val="21"/>
              </w:rPr>
              <w:t>3</w:t>
            </w:r>
            <w:r>
              <w:rPr>
                <w:rFonts w:ascii="宋体" w:hAnsi="宋体" w:cs="宋体" w:eastAsia="宋体" w:hint="default"/>
                <w:spacing w:val="-5"/>
                <w:w w:val="100"/>
                <w:sz w:val="21"/>
                <w:szCs w:val="21"/>
              </w:rPr>
              <w:t>、广西铁路发展投资基金（有限合伙）、中新建招商股权投资有限公司因非公</w:t>
            </w:r>
            <w:r>
              <w:rPr>
                <w:rFonts w:ascii="宋体" w:hAnsi="宋体" w:cs="宋体" w:eastAsia="宋体" w:hint="default"/>
                <w:spacing w:val="-77"/>
                <w:w w:val="100"/>
                <w:sz w:val="21"/>
                <w:szCs w:val="21"/>
              </w:rPr>
              <w:t> </w:t>
            </w:r>
            <w:r>
              <w:rPr>
                <w:rFonts w:ascii="宋体" w:hAnsi="宋体" w:cs="宋体" w:eastAsia="宋体" w:hint="default"/>
                <w:spacing w:val="-77"/>
                <w:w w:val="100"/>
                <w:sz w:val="21"/>
                <w:szCs w:val="21"/>
              </w:rPr>
            </w:r>
            <w:r>
              <w:rPr>
                <w:rFonts w:ascii="宋体" w:hAnsi="宋体" w:cs="宋体" w:eastAsia="宋体" w:hint="default"/>
                <w:sz w:val="21"/>
                <w:szCs w:val="21"/>
              </w:rPr>
              <w:t>开发行股票成为公司前 </w:t>
            </w:r>
            <w:r>
              <w:rPr>
                <w:rFonts w:ascii="Times New Roman" w:hAnsi="Times New Roman" w:cs="Times New Roman" w:eastAsia="Times New Roman" w:hint="default"/>
                <w:sz w:val="21"/>
                <w:szCs w:val="21"/>
              </w:rPr>
              <w:t>10  </w:t>
            </w:r>
            <w:r>
              <w:rPr>
                <w:rFonts w:ascii="宋体" w:hAnsi="宋体" w:cs="宋体" w:eastAsia="宋体" w:hint="default"/>
                <w:sz w:val="21"/>
                <w:szCs w:val="21"/>
              </w:rPr>
              <w:t>名股东，约定本次发行取得的公司新增股份的锁定</w:t>
            </w:r>
          </w:p>
          <w:p>
            <w:pPr>
              <w:pStyle w:val="TableParagraph"/>
              <w:spacing w:line="282" w:lineRule="exact"/>
              <w:ind w:left="105" w:right="0"/>
              <w:jc w:val="left"/>
              <w:rPr>
                <w:rFonts w:ascii="宋体" w:hAnsi="宋体" w:cs="宋体" w:eastAsia="宋体" w:hint="default"/>
                <w:sz w:val="21"/>
                <w:szCs w:val="21"/>
              </w:rPr>
            </w:pPr>
            <w:r>
              <w:rPr>
                <w:rFonts w:ascii="宋体" w:hAnsi="宋体" w:cs="宋体" w:eastAsia="宋体" w:hint="default"/>
                <w:sz w:val="21"/>
                <w:szCs w:val="21"/>
              </w:rPr>
              <w:t>期为自本次交易新增股份上市之日起 </w:t>
            </w:r>
            <w:r>
              <w:rPr>
                <w:rFonts w:ascii="Times New Roman" w:hAnsi="Times New Roman" w:cs="Times New Roman" w:eastAsia="Times New Roman" w:hint="default"/>
                <w:sz w:val="21"/>
                <w:szCs w:val="21"/>
              </w:rPr>
              <w:t>12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个月内不得转让。此次非公开新增股</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份于 </w:t>
            </w:r>
            <w:r>
              <w:rPr>
                <w:rFonts w:ascii="Times New Roman" w:hAnsi="Times New Roman" w:cs="Times New Roman" w:eastAsia="Times New Roman" w:hint="default"/>
                <w:sz w:val="21"/>
                <w:szCs w:val="21"/>
              </w:rPr>
              <w:t>2016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z w:val="21"/>
                <w:szCs w:val="21"/>
              </w:rPr>
              <w:t>13  </w:t>
            </w:r>
            <w:r>
              <w:rPr>
                <w:rFonts w:ascii="宋体" w:hAnsi="宋体" w:cs="宋体" w:eastAsia="宋体" w:hint="default"/>
                <w:sz w:val="21"/>
                <w:szCs w:val="21"/>
              </w:rPr>
              <w:t>日正式上市，</w:t>
            </w:r>
            <w:r>
              <w:rPr>
                <w:rFonts w:ascii="Times New Roman" w:hAnsi="Times New Roman" w:cs="Times New Roman" w:eastAsia="Times New Roman" w:hint="default"/>
                <w:sz w:val="21"/>
                <w:szCs w:val="21"/>
              </w:rPr>
              <w:t>2017  </w:t>
            </w:r>
            <w:r>
              <w:rPr>
                <w:rFonts w:ascii="宋体" w:hAnsi="宋体" w:cs="宋体" w:eastAsia="宋体" w:hint="default"/>
                <w:sz w:val="21"/>
                <w:szCs w:val="21"/>
              </w:rPr>
              <w:t>年 </w:t>
            </w:r>
            <w:r>
              <w:rPr>
                <w:rFonts w:ascii="Times New Roman" w:hAnsi="Times New Roman" w:cs="Times New Roman" w:eastAsia="Times New Roman" w:hint="default"/>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日已全部解禁。</w:t>
            </w:r>
          </w:p>
        </w:tc>
      </w:tr>
      <w:tr>
        <w:trPr>
          <w:trHeight w:val="356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8" w:lineRule="auto"/>
              <w:ind w:left="101" w:right="171"/>
              <w:jc w:val="left"/>
              <w:rPr>
                <w:rFonts w:ascii="宋体" w:hAnsi="宋体" w:cs="宋体" w:eastAsia="宋体" w:hint="default"/>
                <w:sz w:val="21"/>
                <w:szCs w:val="21"/>
              </w:rPr>
            </w:pPr>
            <w:r>
              <w:rPr>
                <w:rFonts w:ascii="宋体" w:hAnsi="宋体" w:cs="宋体" w:eastAsia="宋体" w:hint="default"/>
                <w:spacing w:val="-1"/>
                <w:sz w:val="21"/>
                <w:szCs w:val="21"/>
              </w:rPr>
              <w:t>上述股东关联关系或一致行动的说</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明</w:t>
            </w:r>
          </w:p>
        </w:tc>
        <w:tc>
          <w:tcPr>
            <w:tcW w:w="73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105" w:right="-1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、瞿洪桂先生为云泽投资管理（天津）有限公司一致行动人，截止报告期末，</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瞿洪桂先生直接持有公司 </w:t>
            </w:r>
            <w:r>
              <w:rPr>
                <w:rFonts w:ascii="Times New Roman" w:hAnsi="Times New Roman" w:cs="Times New Roman" w:eastAsia="Times New Roman" w:hint="default"/>
                <w:sz w:val="21"/>
                <w:szCs w:val="21"/>
              </w:rPr>
              <w:t>114,394,324 </w:t>
            </w:r>
            <w:r>
              <w:rPr>
                <w:rFonts w:ascii="宋体" w:hAnsi="宋体" w:cs="宋体" w:eastAsia="宋体" w:hint="default"/>
                <w:sz w:val="21"/>
                <w:szCs w:val="21"/>
              </w:rPr>
              <w:t>股，占公司总股本的</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16.54%</w:t>
            </w:r>
            <w:r>
              <w:rPr>
                <w:rFonts w:ascii="宋体" w:hAnsi="宋体" w:cs="宋体" w:eastAsia="宋体" w:hint="default"/>
                <w:sz w:val="21"/>
                <w:szCs w:val="21"/>
              </w:rPr>
              <w:t>，通过其</w:t>
            </w:r>
            <w:r>
              <w:rPr>
                <w:rFonts w:ascii="宋体" w:hAnsi="宋体" w:cs="宋体" w:eastAsia="宋体" w:hint="default"/>
                <w:w w:val="100"/>
                <w:sz w:val="21"/>
                <w:szCs w:val="21"/>
              </w:rPr>
              <w:t> </w:t>
            </w:r>
            <w:r>
              <w:rPr>
                <w:rFonts w:ascii="宋体" w:hAnsi="宋体" w:cs="宋体" w:eastAsia="宋体" w:hint="default"/>
                <w:sz w:val="21"/>
                <w:szCs w:val="21"/>
              </w:rPr>
              <w:t>实际控制的云泽投资发行的云泽投资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号私募证券投资基金间接持有公司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29,240,000 </w:t>
            </w:r>
            <w:r>
              <w:rPr>
                <w:rFonts w:ascii="宋体" w:hAnsi="宋体" w:cs="宋体" w:eastAsia="宋体" w:hint="default"/>
                <w:spacing w:val="-3"/>
                <w:sz w:val="21"/>
                <w:szCs w:val="21"/>
              </w:rPr>
              <w:t>股，占公司总股本的 </w:t>
            </w:r>
            <w:r>
              <w:rPr>
                <w:rFonts w:ascii="Times New Roman" w:hAnsi="Times New Roman" w:cs="Times New Roman" w:eastAsia="Times New Roman" w:hint="default"/>
                <w:sz w:val="21"/>
                <w:szCs w:val="21"/>
              </w:rPr>
              <w:t>4.23%</w:t>
            </w:r>
            <w:r>
              <w:rPr>
                <w:rFonts w:ascii="宋体" w:hAnsi="宋体" w:cs="宋体" w:eastAsia="宋体" w:hint="default"/>
                <w:sz w:val="21"/>
                <w:szCs w:val="21"/>
              </w:rPr>
              <w:t>，合计持有公司股份占总股本</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20.77%</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为公司第一大股东、实际控制人。</w:t>
            </w:r>
          </w:p>
          <w:p>
            <w:pPr>
              <w:pStyle w:val="TableParagraph"/>
              <w:spacing w:line="261" w:lineRule="auto" w:before="56"/>
              <w:ind w:left="105" w:right="99"/>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、束龙胜先生为芜湖市鑫诚科技投资有限公司一致行动人，截止报告期末，束</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龙胜先生持有本公司 </w:t>
            </w:r>
            <w:r>
              <w:rPr>
                <w:rFonts w:ascii="Times New Roman" w:hAnsi="Times New Roman" w:cs="Times New Roman" w:eastAsia="Times New Roman" w:hint="default"/>
                <w:sz w:val="21"/>
                <w:szCs w:val="21"/>
              </w:rPr>
              <w:t>73,397,726 </w:t>
            </w:r>
            <w:r>
              <w:rPr>
                <w:rFonts w:ascii="宋体" w:hAnsi="宋体" w:cs="宋体" w:eastAsia="宋体" w:hint="default"/>
                <w:spacing w:val="-3"/>
                <w:sz w:val="21"/>
                <w:szCs w:val="21"/>
              </w:rPr>
              <w:t>股，占公司总股本的</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10.61%</w:t>
            </w:r>
            <w:r>
              <w:rPr>
                <w:rFonts w:ascii="宋体" w:hAnsi="宋体" w:cs="宋体" w:eastAsia="宋体" w:hint="default"/>
                <w:sz w:val="21"/>
                <w:szCs w:val="21"/>
              </w:rPr>
              <w:t>，通过持有芜湖</w:t>
            </w:r>
            <w:r>
              <w:rPr>
                <w:rFonts w:ascii="宋体" w:hAnsi="宋体" w:cs="宋体" w:eastAsia="宋体" w:hint="default"/>
                <w:w w:val="100"/>
                <w:sz w:val="21"/>
                <w:szCs w:val="21"/>
              </w:rPr>
              <w:t> </w:t>
            </w:r>
            <w:r>
              <w:rPr>
                <w:rFonts w:ascii="宋体" w:hAnsi="宋体" w:cs="宋体" w:eastAsia="宋体" w:hint="default"/>
                <w:sz w:val="21"/>
                <w:szCs w:val="21"/>
              </w:rPr>
              <w:t>市鑫诚科技投资有限公司 </w:t>
            </w:r>
            <w:r>
              <w:rPr>
                <w:rFonts w:ascii="Times New Roman" w:hAnsi="Times New Roman" w:cs="Times New Roman" w:eastAsia="Times New Roman" w:hint="default"/>
                <w:sz w:val="21"/>
                <w:szCs w:val="21"/>
              </w:rPr>
              <w:t>99.88</w:t>
            </w:r>
            <w:r>
              <w:rPr>
                <w:rFonts w:ascii="宋体" w:hAnsi="宋体" w:cs="宋体" w:eastAsia="宋体" w:hint="default"/>
                <w:sz w:val="21"/>
                <w:szCs w:val="21"/>
              </w:rPr>
              <w:t>％的股份间接持有本公司</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5.31%</w:t>
            </w:r>
            <w:r>
              <w:rPr>
                <w:rFonts w:ascii="宋体" w:hAnsi="宋体" w:cs="宋体" w:eastAsia="宋体" w:hint="default"/>
                <w:sz w:val="21"/>
                <w:szCs w:val="21"/>
              </w:rPr>
              <w:t>的股份，合并</w:t>
            </w:r>
            <w:r>
              <w:rPr>
                <w:rFonts w:ascii="宋体" w:hAnsi="宋体" w:cs="宋体" w:eastAsia="宋体" w:hint="default"/>
                <w:w w:val="100"/>
                <w:sz w:val="21"/>
                <w:szCs w:val="21"/>
              </w:rPr>
              <w:t> </w:t>
            </w:r>
            <w:r>
              <w:rPr>
                <w:rFonts w:ascii="宋体" w:hAnsi="宋体" w:cs="宋体" w:eastAsia="宋体" w:hint="default"/>
                <w:sz w:val="21"/>
                <w:szCs w:val="21"/>
              </w:rPr>
              <w:t>持有本公司占总股本</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15.92%</w:t>
            </w:r>
            <w:r>
              <w:rPr>
                <w:rFonts w:ascii="宋体" w:hAnsi="宋体" w:cs="宋体" w:eastAsia="宋体" w:hint="default"/>
                <w:sz w:val="21"/>
                <w:szCs w:val="21"/>
              </w:rPr>
              <w:t>的股份。</w:t>
            </w:r>
            <w:r>
              <w:rPr>
                <w:rFonts w:ascii="Times New Roman" w:hAnsi="Times New Roman" w:cs="Times New Roman" w:eastAsia="Times New Roman" w:hint="default"/>
                <w:sz w:val="21"/>
                <w:szCs w:val="21"/>
              </w:rPr>
              <w:t>3</w:t>
            </w:r>
            <w:r>
              <w:rPr>
                <w:rFonts w:ascii="宋体" w:hAnsi="宋体" w:cs="宋体" w:eastAsia="宋体" w:hint="default"/>
                <w:sz w:val="21"/>
                <w:szCs w:val="21"/>
              </w:rPr>
              <w:t>、未知公司上述其他股东之间是否存在</w:t>
            </w:r>
            <w:r>
              <w:rPr>
                <w:rFonts w:ascii="宋体" w:hAnsi="宋体" w:cs="宋体" w:eastAsia="宋体" w:hint="default"/>
                <w:w w:val="100"/>
                <w:sz w:val="21"/>
                <w:szCs w:val="21"/>
              </w:rPr>
              <w:t> </w:t>
            </w:r>
            <w:r>
              <w:rPr>
                <w:rFonts w:ascii="宋体" w:hAnsi="宋体" w:cs="宋体" w:eastAsia="宋体" w:hint="default"/>
                <w:spacing w:val="-2"/>
                <w:sz w:val="21"/>
                <w:szCs w:val="21"/>
              </w:rPr>
              <w:t>关联关系及是否属于《上市公司股东持股变动信息披露管理办法》中规定的一</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致行动人。</w:t>
            </w:r>
          </w:p>
        </w:tc>
      </w:tr>
      <w:tr>
        <w:trPr>
          <w:trHeight w:val="398" w:hRule="exact"/>
        </w:trPr>
        <w:tc>
          <w:tcPr>
            <w:tcW w:w="1080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3"/>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名无限售条件股东持股情况</w:t>
            </w:r>
          </w:p>
        </w:tc>
      </w:tr>
      <w:tr>
        <w:trPr>
          <w:trHeight w:val="403" w:hRule="exact"/>
        </w:trPr>
        <w:tc>
          <w:tcPr>
            <w:tcW w:w="3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8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850"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25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830"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403" w:hRule="exact"/>
        </w:trPr>
        <w:tc>
          <w:tcPr>
            <w:tcW w:w="3438" w:type="dxa"/>
            <w:vMerge/>
            <w:tcBorders>
              <w:left w:val="single" w:sz="4" w:space="0" w:color="000000"/>
              <w:bottom w:val="single" w:sz="4" w:space="0" w:color="000000"/>
              <w:right w:val="single" w:sz="4" w:space="0" w:color="000000"/>
            </w:tcBorders>
            <w:shd w:val="clear" w:color="auto" w:fill="D2D2D2"/>
          </w:tcPr>
          <w:p>
            <w:pPr/>
          </w:p>
        </w:tc>
        <w:tc>
          <w:tcPr>
            <w:tcW w:w="4860" w:type="dxa"/>
            <w:vMerge/>
            <w:tcBorders>
              <w:left w:val="single" w:sz="4" w:space="0" w:color="000000"/>
              <w:bottom w:val="single" w:sz="4" w:space="0" w:color="000000"/>
              <w:right w:val="single" w:sz="4" w:space="0" w:color="000000"/>
            </w:tcBorders>
            <w:shd w:val="clear" w:color="auto" w:fill="D2D2D2"/>
          </w:tcPr>
          <w:p>
            <w:pP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股份种类</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8"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芜湖市鑫诚科技投资有限公司</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36,720,936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101" w:right="99"/>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云泽投资管理（天津）有限公司－</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云泽投资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号私募证券投资基金</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29,240,000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2"/>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18,848,581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4"/>
              <w:jc w:val="left"/>
              <w:rPr>
                <w:rFonts w:ascii="宋体" w:hAnsi="宋体" w:cs="宋体" w:eastAsia="宋体" w:hint="default"/>
                <w:sz w:val="21"/>
                <w:szCs w:val="21"/>
              </w:rPr>
            </w:pPr>
            <w:r>
              <w:rPr>
                <w:rFonts w:ascii="宋体" w:hAnsi="宋体" w:cs="宋体" w:eastAsia="宋体" w:hint="default"/>
                <w:spacing w:val="-4"/>
                <w:sz w:val="21"/>
                <w:szCs w:val="21"/>
              </w:rPr>
              <w:t>上海理鼎投资管理中心（有限合伙）</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12,980,000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张革会</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7,630,000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2"/>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1" w:right="171"/>
              <w:jc w:val="left"/>
              <w:rPr>
                <w:rFonts w:ascii="宋体" w:hAnsi="宋体" w:cs="宋体" w:eastAsia="宋体" w:hint="default"/>
                <w:sz w:val="21"/>
                <w:szCs w:val="21"/>
              </w:rPr>
            </w:pPr>
            <w:r>
              <w:rPr>
                <w:rFonts w:ascii="宋体" w:hAnsi="宋体" w:cs="宋体" w:eastAsia="宋体" w:hint="default"/>
                <w:spacing w:val="-1"/>
                <w:sz w:val="21"/>
                <w:szCs w:val="21"/>
              </w:rPr>
              <w:t>安徽省国有资本运营控股集团有限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公司</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7,497,338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2"/>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4"/>
              <w:jc w:val="left"/>
              <w:rPr>
                <w:rFonts w:ascii="宋体" w:hAnsi="宋体" w:cs="宋体" w:eastAsia="宋体" w:hint="default"/>
                <w:sz w:val="21"/>
                <w:szCs w:val="21"/>
              </w:rPr>
            </w:pPr>
            <w:r>
              <w:rPr>
                <w:rFonts w:ascii="宋体" w:hAnsi="宋体" w:cs="宋体" w:eastAsia="宋体" w:hint="default"/>
                <w:spacing w:val="-4"/>
                <w:sz w:val="21"/>
                <w:szCs w:val="21"/>
              </w:rPr>
              <w:t>广西铁路发展投资基金（有限合伙）</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7,442,400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6,176,182</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中新建招商股权投资有限公司</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6,048,800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张敬兵</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4,200,800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2"/>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989" w:type="dxa"/>
            <w:tcBorders>
              <w:top w:val="single" w:sz="4" w:space="0" w:color="000000"/>
              <w:left w:val="single" w:sz="4" w:space="0" w:color="000000"/>
              <w:bottom w:val="single" w:sz="4" w:space="0" w:color="000000"/>
              <w:right w:val="single" w:sz="4" w:space="0" w:color="000000"/>
            </w:tcBorders>
          </w:tcPr>
          <w:p>
            <w:pPr/>
          </w:p>
        </w:tc>
      </w:tr>
      <w:tr>
        <w:trPr>
          <w:trHeight w:val="1609"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2"/>
              <w:ind w:left="101"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pacing w:val="-4"/>
                <w:sz w:val="21"/>
                <w:szCs w:val="21"/>
              </w:rPr>
              <w:t>名无限售流通股股东之间，以</w:t>
            </w:r>
          </w:p>
          <w:p>
            <w:pPr>
              <w:pStyle w:val="TableParagraph"/>
              <w:spacing w:line="240" w:lineRule="auto" w:before="16"/>
              <w:ind w:left="101" w:right="0"/>
              <w:jc w:val="left"/>
              <w:rPr>
                <w:rFonts w:ascii="宋体" w:hAnsi="宋体" w:cs="宋体" w:eastAsia="宋体" w:hint="default"/>
                <w:sz w:val="21"/>
                <w:szCs w:val="21"/>
              </w:rPr>
            </w:pPr>
            <w:r>
              <w:rPr>
                <w:rFonts w:ascii="宋体" w:hAnsi="宋体" w:cs="宋体" w:eastAsia="宋体" w:hint="default"/>
                <w:sz w:val="21"/>
                <w:szCs w:val="21"/>
              </w:rPr>
              <w:t>及前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名无限售流通股股东和前</w:t>
            </w:r>
          </w:p>
          <w:p>
            <w:pPr>
              <w:pStyle w:val="TableParagraph"/>
              <w:spacing w:line="261" w:lineRule="auto" w:before="22"/>
              <w:ind w:left="101" w:right="119"/>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名股东之间关联关系或一致行动</w:t>
            </w:r>
            <w:r>
              <w:rPr>
                <w:rFonts w:ascii="宋体" w:hAnsi="宋体" w:cs="宋体" w:eastAsia="宋体" w:hint="default"/>
                <w:w w:val="100"/>
                <w:sz w:val="21"/>
                <w:szCs w:val="21"/>
              </w:rPr>
              <w:t> </w:t>
            </w:r>
            <w:r>
              <w:rPr>
                <w:rFonts w:ascii="宋体" w:hAnsi="宋体" w:cs="宋体" w:eastAsia="宋体" w:hint="default"/>
                <w:sz w:val="21"/>
                <w:szCs w:val="21"/>
              </w:rPr>
              <w:t>的说明</w:t>
            </w:r>
          </w:p>
        </w:tc>
        <w:tc>
          <w:tcPr>
            <w:tcW w:w="7366" w:type="dxa"/>
            <w:gridSpan w:val="3"/>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105" w:right="99"/>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、束龙胜先生为芜湖市鑫诚科技投资有限公司一致行动人，截止报告期末，束</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龙胜先生持有本公司 </w:t>
            </w:r>
            <w:r>
              <w:rPr>
                <w:rFonts w:ascii="Times New Roman" w:hAnsi="Times New Roman" w:cs="Times New Roman" w:eastAsia="Times New Roman" w:hint="default"/>
                <w:sz w:val="21"/>
                <w:szCs w:val="21"/>
              </w:rPr>
              <w:t>73,397,726 </w:t>
            </w:r>
            <w:r>
              <w:rPr>
                <w:rFonts w:ascii="宋体" w:hAnsi="宋体" w:cs="宋体" w:eastAsia="宋体" w:hint="default"/>
                <w:spacing w:val="-3"/>
                <w:sz w:val="21"/>
                <w:szCs w:val="21"/>
              </w:rPr>
              <w:t>股，占公司总股本的</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10.61%</w:t>
            </w:r>
            <w:r>
              <w:rPr>
                <w:rFonts w:ascii="宋体" w:hAnsi="宋体" w:cs="宋体" w:eastAsia="宋体" w:hint="default"/>
                <w:sz w:val="21"/>
                <w:szCs w:val="21"/>
              </w:rPr>
              <w:t>，通过持有芜湖</w:t>
            </w:r>
            <w:r>
              <w:rPr>
                <w:rFonts w:ascii="宋体" w:hAnsi="宋体" w:cs="宋体" w:eastAsia="宋体" w:hint="default"/>
                <w:w w:val="100"/>
                <w:sz w:val="21"/>
                <w:szCs w:val="21"/>
              </w:rPr>
              <w:t> </w:t>
            </w:r>
            <w:r>
              <w:rPr>
                <w:rFonts w:ascii="宋体" w:hAnsi="宋体" w:cs="宋体" w:eastAsia="宋体" w:hint="default"/>
                <w:sz w:val="21"/>
                <w:szCs w:val="21"/>
              </w:rPr>
              <w:t>市鑫诚科技投资有限公司 </w:t>
            </w:r>
            <w:r>
              <w:rPr>
                <w:rFonts w:ascii="Times New Roman" w:hAnsi="Times New Roman" w:cs="Times New Roman" w:eastAsia="Times New Roman" w:hint="default"/>
                <w:sz w:val="21"/>
                <w:szCs w:val="21"/>
              </w:rPr>
              <w:t>99.88</w:t>
            </w:r>
            <w:r>
              <w:rPr>
                <w:rFonts w:ascii="宋体" w:hAnsi="宋体" w:cs="宋体" w:eastAsia="宋体" w:hint="default"/>
                <w:sz w:val="21"/>
                <w:szCs w:val="21"/>
              </w:rPr>
              <w:t>％的股份间接持有本公司</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5.31%</w:t>
            </w:r>
            <w:r>
              <w:rPr>
                <w:rFonts w:ascii="宋体" w:hAnsi="宋体" w:cs="宋体" w:eastAsia="宋体" w:hint="default"/>
                <w:sz w:val="21"/>
                <w:szCs w:val="21"/>
              </w:rPr>
              <w:t>的股份，合并</w:t>
            </w:r>
            <w:r>
              <w:rPr>
                <w:rFonts w:ascii="宋体" w:hAnsi="宋体" w:cs="宋体" w:eastAsia="宋体" w:hint="default"/>
                <w:w w:val="100"/>
                <w:sz w:val="21"/>
                <w:szCs w:val="21"/>
              </w:rPr>
              <w:t> </w:t>
            </w:r>
            <w:r>
              <w:rPr>
                <w:rFonts w:ascii="宋体" w:hAnsi="宋体" w:cs="宋体" w:eastAsia="宋体" w:hint="default"/>
                <w:sz w:val="21"/>
                <w:szCs w:val="21"/>
              </w:rPr>
              <w:t>持有本公司占总股本</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15.92%</w:t>
            </w:r>
            <w:r>
              <w:rPr>
                <w:rFonts w:ascii="宋体" w:hAnsi="宋体" w:cs="宋体" w:eastAsia="宋体" w:hint="default"/>
                <w:sz w:val="21"/>
                <w:szCs w:val="21"/>
              </w:rPr>
              <w:t>的股份。</w:t>
            </w:r>
            <w:r>
              <w:rPr>
                <w:rFonts w:ascii="Times New Roman" w:hAnsi="Times New Roman" w:cs="Times New Roman" w:eastAsia="Times New Roman" w:hint="default"/>
                <w:sz w:val="21"/>
                <w:szCs w:val="21"/>
              </w:rPr>
              <w:t>2</w:t>
            </w:r>
            <w:r>
              <w:rPr>
                <w:rFonts w:ascii="宋体" w:hAnsi="宋体" w:cs="宋体" w:eastAsia="宋体" w:hint="default"/>
                <w:sz w:val="21"/>
                <w:szCs w:val="21"/>
              </w:rPr>
              <w:t>、未知公司上述其他股东之间是否存在</w:t>
            </w:r>
            <w:r>
              <w:rPr>
                <w:rFonts w:ascii="宋体" w:hAnsi="宋体" w:cs="宋体" w:eastAsia="宋体" w:hint="default"/>
                <w:w w:val="100"/>
                <w:sz w:val="21"/>
                <w:szCs w:val="21"/>
              </w:rPr>
              <w:t> </w:t>
            </w:r>
            <w:r>
              <w:rPr>
                <w:rFonts w:ascii="宋体" w:hAnsi="宋体" w:cs="宋体" w:eastAsia="宋体" w:hint="default"/>
                <w:spacing w:val="-2"/>
                <w:sz w:val="21"/>
                <w:szCs w:val="21"/>
              </w:rPr>
              <w:t>关联关系及是否属于《上市公司股东持股变动信息披露管理办法》中规定的一</w:t>
            </w:r>
          </w:p>
        </w:tc>
      </w:tr>
    </w:tbl>
    <w:p>
      <w:pPr>
        <w:spacing w:after="0" w:line="256" w:lineRule="auto"/>
        <w:jc w:val="both"/>
        <w:rPr>
          <w:rFonts w:ascii="宋体" w:hAnsi="宋体" w:cs="宋体" w:eastAsia="宋体" w:hint="default"/>
          <w:sz w:val="21"/>
          <w:szCs w:val="21"/>
        </w:rPr>
        <w:sectPr>
          <w:pgSz w:w="11910" w:h="16840"/>
          <w:pgMar w:header="906" w:footer="1022" w:top="1100" w:bottom="1220" w:left="46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3438"/>
        <w:gridCol w:w="7366"/>
      </w:tblGrid>
      <w:tr>
        <w:trPr>
          <w:trHeight w:val="360"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致行动人。</w:t>
            </w:r>
          </w:p>
        </w:tc>
      </w:tr>
      <w:tr>
        <w:trPr>
          <w:trHeight w:val="2276"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56" w:lineRule="auto"/>
              <w:ind w:left="101" w:right="99"/>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名普通股股东参与融资融券业</w:t>
            </w:r>
            <w:r>
              <w:rPr>
                <w:rFonts w:ascii="宋体" w:hAnsi="宋体" w:cs="宋体" w:eastAsia="宋体" w:hint="default"/>
                <w:w w:val="100"/>
                <w:sz w:val="21"/>
                <w:szCs w:val="21"/>
              </w:rPr>
              <w:t> </w:t>
            </w:r>
            <w:r>
              <w:rPr>
                <w:rFonts w:ascii="宋体" w:hAnsi="宋体" w:cs="宋体" w:eastAsia="宋体" w:hint="default"/>
                <w:spacing w:val="-9"/>
                <w:w w:val="100"/>
                <w:sz w:val="21"/>
                <w:szCs w:val="21"/>
              </w:rPr>
              <w:t>务情况说明（如有）（参见注</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3"/>
                <w:w w:val="100"/>
                <w:sz w:val="21"/>
                <w:szCs w:val="21"/>
              </w:rPr>
              <w:t>4</w:t>
            </w:r>
            <w:r>
              <w:rPr>
                <w:rFonts w:ascii="宋体" w:hAnsi="宋体" w:cs="宋体" w:eastAsia="宋体" w:hint="default"/>
                <w:spacing w:val="-3"/>
                <w:w w:val="100"/>
                <w:sz w:val="21"/>
                <w:szCs w:val="21"/>
              </w:rPr>
              <w:t>）</w:t>
            </w:r>
          </w:p>
        </w:tc>
        <w:tc>
          <w:tcPr>
            <w:tcW w:w="7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公司控股股东瞿洪桂先生为股东云泽投资管理（天津）有限公司－云泽投资</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1</w:t>
            </w:r>
          </w:p>
          <w:p>
            <w:pPr>
              <w:pStyle w:val="TableParagraph"/>
              <w:spacing w:line="261" w:lineRule="auto" w:before="21"/>
              <w:ind w:left="105" w:right="98"/>
              <w:jc w:val="left"/>
              <w:rPr>
                <w:rFonts w:ascii="宋体" w:hAnsi="宋体" w:cs="宋体" w:eastAsia="宋体" w:hint="default"/>
                <w:sz w:val="21"/>
                <w:szCs w:val="21"/>
              </w:rPr>
            </w:pPr>
            <w:r>
              <w:rPr>
                <w:rFonts w:ascii="宋体" w:hAnsi="宋体" w:cs="宋体" w:eastAsia="宋体" w:hint="default"/>
                <w:spacing w:val="-8"/>
                <w:sz w:val="21"/>
                <w:szCs w:val="21"/>
              </w:rPr>
              <w:t>号私募证券投资基金一致行动人，云泽投资管理（天津）有限公司－云泽投资</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4"/>
                <w:sz w:val="21"/>
                <w:szCs w:val="21"/>
              </w:rPr>
              <w:t> </w:t>
            </w:r>
            <w:r>
              <w:rPr>
                <w:rFonts w:ascii="宋体" w:hAnsi="宋体" w:cs="宋体" w:eastAsia="宋体" w:hint="default"/>
                <w:spacing w:val="-2"/>
                <w:sz w:val="21"/>
                <w:szCs w:val="21"/>
              </w:rPr>
              <w:t>号私募证券投资基金为投资者信用证券账户。截止报告期末，瞿洪桂先生直接</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持有公司 </w:t>
            </w:r>
            <w:r>
              <w:rPr>
                <w:rFonts w:ascii="Times New Roman" w:hAnsi="Times New Roman" w:cs="Times New Roman" w:eastAsia="Times New Roman" w:hint="default"/>
                <w:sz w:val="21"/>
                <w:szCs w:val="21"/>
              </w:rPr>
              <w:t>114,394,324 </w:t>
            </w:r>
            <w:r>
              <w:rPr>
                <w:rFonts w:ascii="宋体" w:hAnsi="宋体" w:cs="宋体" w:eastAsia="宋体" w:hint="default"/>
                <w:sz w:val="21"/>
                <w:szCs w:val="21"/>
              </w:rPr>
              <w:t>股，占公司总股本的</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16.54%</w:t>
            </w:r>
            <w:r>
              <w:rPr>
                <w:rFonts w:ascii="宋体" w:hAnsi="宋体" w:cs="宋体" w:eastAsia="宋体" w:hint="default"/>
                <w:sz w:val="21"/>
                <w:szCs w:val="21"/>
              </w:rPr>
              <w:t>，通过其实际控制的云泽</w:t>
            </w:r>
            <w:r>
              <w:rPr>
                <w:rFonts w:ascii="宋体" w:hAnsi="宋体" w:cs="宋体" w:eastAsia="宋体" w:hint="default"/>
                <w:w w:val="100"/>
                <w:sz w:val="21"/>
                <w:szCs w:val="21"/>
              </w:rPr>
              <w:t> </w:t>
            </w:r>
            <w:r>
              <w:rPr>
                <w:rFonts w:ascii="宋体" w:hAnsi="宋体" w:cs="宋体" w:eastAsia="宋体" w:hint="default"/>
                <w:sz w:val="21"/>
                <w:szCs w:val="21"/>
              </w:rPr>
              <w:t>投资发行的云泽投资 </w:t>
            </w:r>
            <w:r>
              <w:rPr>
                <w:rFonts w:ascii="Times New Roman" w:hAnsi="Times New Roman" w:cs="Times New Roman" w:eastAsia="Times New Roman" w:hint="default"/>
                <w:sz w:val="21"/>
                <w:szCs w:val="21"/>
              </w:rPr>
              <w:t>1 </w:t>
            </w:r>
            <w:r>
              <w:rPr>
                <w:rFonts w:ascii="宋体" w:hAnsi="宋体" w:cs="宋体" w:eastAsia="宋体" w:hint="default"/>
                <w:sz w:val="21"/>
                <w:szCs w:val="21"/>
              </w:rPr>
              <w:t>号私募证券投资基金间接持有公司 </w:t>
            </w:r>
            <w:r>
              <w:rPr>
                <w:rFonts w:ascii="Times New Roman" w:hAnsi="Times New Roman" w:cs="Times New Roman" w:eastAsia="Times New Roman" w:hint="default"/>
                <w:sz w:val="21"/>
                <w:szCs w:val="21"/>
              </w:rPr>
              <w:t>29,240,000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股，占</w:t>
            </w:r>
            <w:r>
              <w:rPr>
                <w:rFonts w:ascii="宋体" w:hAnsi="宋体" w:cs="宋体" w:eastAsia="宋体" w:hint="default"/>
                <w:w w:val="100"/>
                <w:sz w:val="21"/>
                <w:szCs w:val="21"/>
              </w:rPr>
              <w:t> </w:t>
            </w:r>
            <w:r>
              <w:rPr>
                <w:rFonts w:ascii="宋体" w:hAnsi="宋体" w:cs="宋体" w:eastAsia="宋体" w:hint="default"/>
                <w:sz w:val="21"/>
                <w:szCs w:val="21"/>
              </w:rPr>
              <w:t>公司总股本的 </w:t>
            </w:r>
            <w:r>
              <w:rPr>
                <w:rFonts w:ascii="Times New Roman" w:hAnsi="Times New Roman" w:cs="Times New Roman" w:eastAsia="Times New Roman" w:hint="default"/>
                <w:sz w:val="21"/>
                <w:szCs w:val="21"/>
              </w:rPr>
              <w:t>4.23%</w:t>
            </w:r>
            <w:r>
              <w:rPr>
                <w:rFonts w:ascii="宋体" w:hAnsi="宋体" w:cs="宋体" w:eastAsia="宋体" w:hint="default"/>
                <w:sz w:val="21"/>
                <w:szCs w:val="21"/>
              </w:rPr>
              <w:t>，合计持有公司股份占总股本</w:t>
            </w:r>
            <w:r>
              <w:rPr>
                <w:rFonts w:ascii="宋体" w:hAnsi="宋体" w:cs="宋体" w:eastAsia="宋体" w:hint="default"/>
                <w:spacing w:val="4"/>
                <w:sz w:val="21"/>
                <w:szCs w:val="21"/>
              </w:rPr>
              <w:t> </w:t>
            </w:r>
            <w:r>
              <w:rPr>
                <w:rFonts w:ascii="Times New Roman" w:hAnsi="Times New Roman" w:cs="Times New Roman" w:eastAsia="Times New Roman" w:hint="default"/>
                <w:sz w:val="21"/>
                <w:szCs w:val="21"/>
              </w:rPr>
              <w:t>20.77%</w:t>
            </w:r>
            <w:r>
              <w:rPr>
                <w:rFonts w:ascii="宋体" w:hAnsi="宋体" w:cs="宋体" w:eastAsia="宋体" w:hint="default"/>
                <w:sz w:val="21"/>
                <w:szCs w:val="21"/>
              </w:rPr>
              <w:t>，为公司第一大股</w:t>
            </w:r>
            <w:r>
              <w:rPr>
                <w:rFonts w:ascii="宋体" w:hAnsi="宋体" w:cs="宋体" w:eastAsia="宋体" w:hint="default"/>
                <w:w w:val="100"/>
                <w:sz w:val="21"/>
                <w:szCs w:val="21"/>
              </w:rPr>
              <w:t> </w:t>
            </w:r>
            <w:r>
              <w:rPr>
                <w:rFonts w:ascii="宋体" w:hAnsi="宋体" w:cs="宋体" w:eastAsia="宋体" w:hint="default"/>
                <w:sz w:val="21"/>
                <w:szCs w:val="21"/>
              </w:rPr>
              <w:t>东、实际控制人。</w:t>
            </w:r>
          </w:p>
        </w:tc>
      </w:tr>
    </w:tbl>
    <w:p>
      <w:pPr>
        <w:spacing w:before="54"/>
        <w:ind w:left="67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名无限售条件普通股股东在报告期内是否进行约定购回交易</w:t>
      </w:r>
    </w:p>
    <w:p>
      <w:pPr>
        <w:spacing w:before="106"/>
        <w:ind w:left="67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before="115"/>
        <w:ind w:left="673" w:right="0" w:firstLine="0"/>
        <w:jc w:val="left"/>
        <w:rPr>
          <w:rFonts w:ascii="宋体" w:hAnsi="宋体" w:cs="宋体" w:eastAsia="宋体" w:hint="default"/>
          <w:sz w:val="18"/>
          <w:szCs w:val="18"/>
        </w:rPr>
      </w:pPr>
      <w:r>
        <w:rPr>
          <w:rFonts w:ascii="宋体" w:hAnsi="宋体" w:cs="宋体" w:eastAsia="宋体" w:hint="default"/>
          <w:sz w:val="18"/>
          <w:szCs w:val="18"/>
        </w:rPr>
        <w:t>公司前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名无限售条件普通股股东在报告期内未进行约定购回交易。</w:t>
      </w:r>
    </w:p>
    <w:p>
      <w:pPr>
        <w:spacing w:line="240" w:lineRule="auto" w:before="8"/>
        <w:rPr>
          <w:rFonts w:ascii="宋体" w:hAnsi="宋体" w:cs="宋体" w:eastAsia="宋体" w:hint="default"/>
          <w:sz w:val="25"/>
          <w:szCs w:val="25"/>
        </w:rPr>
      </w:pPr>
    </w:p>
    <w:p>
      <w:pPr>
        <w:pStyle w:val="Heading5"/>
        <w:spacing w:line="240" w:lineRule="auto"/>
        <w:ind w:left="673" w:right="0"/>
        <w:jc w:val="left"/>
        <w:rPr>
          <w:b w:val="0"/>
          <w:bCs w:val="0"/>
        </w:rPr>
      </w:pPr>
      <w:bookmarkStart w:name="2、公司控股股东情况" w:id="119"/>
      <w:bookmarkEnd w:id="119"/>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spacing w:line="357" w:lineRule="auto" w:before="0"/>
        <w:ind w:left="673" w:right="6867" w:firstLine="0"/>
        <w:jc w:val="left"/>
        <w:rPr>
          <w:rFonts w:ascii="宋体" w:hAnsi="宋体" w:cs="宋体" w:eastAsia="宋体" w:hint="default"/>
          <w:sz w:val="18"/>
          <w:szCs w:val="18"/>
        </w:rPr>
      </w:pPr>
      <w:r>
        <w:rPr>
          <w:rFonts w:ascii="宋体" w:hAnsi="宋体" w:cs="宋体" w:eastAsia="宋体" w:hint="default"/>
          <w:spacing w:val="-3"/>
          <w:sz w:val="18"/>
          <w:szCs w:val="18"/>
        </w:rPr>
        <w:t>控股股东性质：自然人控股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控股股东类型：自然人</w:t>
      </w:r>
    </w:p>
    <w:tbl>
      <w:tblPr>
        <w:tblW w:w="0" w:type="auto"/>
        <w:jc w:val="left"/>
        <w:tblInd w:w="668" w:type="dxa"/>
        <w:tblLayout w:type="fixed"/>
        <w:tblCellMar>
          <w:top w:w="0" w:type="dxa"/>
          <w:left w:w="0" w:type="dxa"/>
          <w:bottom w:w="0" w:type="dxa"/>
          <w:right w:w="0" w:type="dxa"/>
        </w:tblCellMar>
        <w:tblLook w:val="01E0"/>
      </w:tblPr>
      <w:tblGrid>
        <w:gridCol w:w="4005"/>
        <w:gridCol w:w="1719"/>
        <w:gridCol w:w="3846"/>
      </w:tblGrid>
      <w:tr>
        <w:trPr>
          <w:trHeight w:val="403" w:hRule="exact"/>
        </w:trPr>
        <w:tc>
          <w:tcPr>
            <w:tcW w:w="4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控股股东姓名</w:t>
            </w: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3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6"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03" w:hRule="exact"/>
        </w:trPr>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3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1" w:hRule="exact"/>
        </w:trPr>
        <w:tc>
          <w:tcPr>
            <w:tcW w:w="4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安徽中电兴发与鑫龙科技股份有限公司董事长、总经理</w:t>
            </w:r>
          </w:p>
        </w:tc>
      </w:tr>
      <w:tr>
        <w:trPr>
          <w:trHeight w:val="713" w:hRule="exact"/>
        </w:trPr>
        <w:tc>
          <w:tcPr>
            <w:tcW w:w="4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105" w:right="105"/>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报告期内控股和参股的其他境内外上市公</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司的股权情况</w:t>
            </w:r>
          </w:p>
        </w:tc>
        <w:tc>
          <w:tcPr>
            <w:tcW w:w="5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before="65"/>
        <w:ind w:left="673"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57" w:lineRule="auto" w:before="120"/>
        <w:ind w:left="673" w:right="68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公司报告期控股股东未发生变更。</w:t>
      </w:r>
    </w:p>
    <w:p>
      <w:pPr>
        <w:spacing w:line="240" w:lineRule="auto" w:before="12"/>
        <w:rPr>
          <w:rFonts w:ascii="宋体" w:hAnsi="宋体" w:cs="宋体" w:eastAsia="宋体" w:hint="default"/>
          <w:sz w:val="19"/>
          <w:szCs w:val="19"/>
        </w:rPr>
      </w:pPr>
    </w:p>
    <w:p>
      <w:pPr>
        <w:pStyle w:val="Heading5"/>
        <w:spacing w:line="240" w:lineRule="auto"/>
        <w:ind w:left="673" w:right="0"/>
        <w:jc w:val="left"/>
        <w:rPr>
          <w:b w:val="0"/>
          <w:bCs w:val="0"/>
        </w:rPr>
      </w:pPr>
      <w:bookmarkStart w:name="3、公司实际控制人及其一致行动人" w:id="120"/>
      <w:bookmarkEnd w:id="120"/>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spacing w:line="357" w:lineRule="auto" w:before="0"/>
        <w:ind w:left="673" w:right="6867"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实际控制人性质：境内自然人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实际控制人类型：自然人</w:t>
      </w:r>
    </w:p>
    <w:tbl>
      <w:tblPr>
        <w:tblW w:w="0" w:type="auto"/>
        <w:jc w:val="left"/>
        <w:tblInd w:w="668" w:type="dxa"/>
        <w:tblLayout w:type="fixed"/>
        <w:tblCellMar>
          <w:top w:w="0" w:type="dxa"/>
          <w:left w:w="0" w:type="dxa"/>
          <w:bottom w:w="0" w:type="dxa"/>
          <w:right w:w="0" w:type="dxa"/>
        </w:tblCellMar>
        <w:tblLook w:val="01E0"/>
      </w:tblPr>
      <w:tblGrid>
        <w:gridCol w:w="3477"/>
        <w:gridCol w:w="2117"/>
        <w:gridCol w:w="1215"/>
        <w:gridCol w:w="2761"/>
      </w:tblGrid>
      <w:tr>
        <w:trPr>
          <w:trHeight w:val="715" w:hRule="exact"/>
        </w:trPr>
        <w:tc>
          <w:tcPr>
            <w:tcW w:w="3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98"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与实际控制人关系</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2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167" w:right="109" w:hanging="1052"/>
              <w:jc w:val="left"/>
              <w:rPr>
                <w:rFonts w:ascii="宋体" w:hAnsi="宋体" w:cs="宋体" w:eastAsia="宋体" w:hint="default"/>
                <w:sz w:val="21"/>
                <w:szCs w:val="21"/>
              </w:rPr>
            </w:pPr>
            <w:r>
              <w:rPr>
                <w:rFonts w:ascii="宋体" w:hAnsi="宋体" w:cs="宋体" w:eastAsia="宋体" w:hint="default"/>
                <w:spacing w:val="-1"/>
                <w:sz w:val="21"/>
                <w:szCs w:val="21"/>
              </w:rPr>
              <w:t>是否取得其他国家或地区居</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留权</w:t>
            </w:r>
          </w:p>
        </w:tc>
      </w:tr>
      <w:tr>
        <w:trPr>
          <w:trHeight w:val="403"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瞿洪桂</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本人</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1" w:hRule="exact"/>
        </w:trPr>
        <w:tc>
          <w:tcPr>
            <w:tcW w:w="34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8"/>
              <w:ind w:left="264" w:right="100" w:hanging="159"/>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云泽投资管理（天津）有限公司－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云泽投资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号私募证券投资基金</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215" w:right="99" w:hanging="106"/>
              <w:jc w:val="left"/>
              <w:rPr>
                <w:rFonts w:ascii="宋体" w:hAnsi="宋体" w:cs="宋体" w:eastAsia="宋体" w:hint="default"/>
                <w:sz w:val="21"/>
                <w:szCs w:val="21"/>
              </w:rPr>
            </w:pPr>
            <w:r>
              <w:rPr>
                <w:rFonts w:ascii="宋体" w:hAnsi="宋体" w:cs="宋体" w:eastAsia="宋体" w:hint="default"/>
                <w:sz w:val="21"/>
                <w:szCs w:val="21"/>
              </w:rPr>
              <w:t>一致行动（含协议、</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亲属、同一控制）</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3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60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安徽中电兴发与鑫龙科技股份有限公司董事长、总经理</w:t>
            </w:r>
          </w:p>
        </w:tc>
      </w:tr>
      <w:tr>
        <w:trPr>
          <w:trHeight w:val="716" w:hRule="exact"/>
        </w:trPr>
        <w:tc>
          <w:tcPr>
            <w:tcW w:w="3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10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年曾控股的境内外上市公司</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60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before="65"/>
        <w:ind w:left="673" w:right="0" w:firstLine="0"/>
        <w:jc w:val="left"/>
        <w:rPr>
          <w:rFonts w:ascii="宋体" w:hAnsi="宋体" w:cs="宋体" w:eastAsia="宋体" w:hint="default"/>
          <w:sz w:val="18"/>
          <w:szCs w:val="18"/>
        </w:rPr>
      </w:pPr>
      <w:r>
        <w:rPr>
          <w:rFonts w:ascii="宋体" w:hAnsi="宋体" w:cs="宋体" w:eastAsia="宋体" w:hint="default"/>
          <w:spacing w:val="-3"/>
          <w:sz w:val="18"/>
          <w:szCs w:val="18"/>
        </w:rPr>
        <w:t>实际控制人报告期内变更</w:t>
      </w:r>
    </w:p>
    <w:p>
      <w:pPr>
        <w:spacing w:before="119"/>
        <w:ind w:left="67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46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新实际控制人名称</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瞿洪桂</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变更日期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05" w:right="0"/>
              <w:jc w:val="left"/>
              <w:rPr>
                <w:rFonts w:ascii="宋体" w:hAnsi="宋体" w:cs="宋体" w:eastAsia="宋体" w:hint="default"/>
                <w:sz w:val="21"/>
                <w:szCs w:val="21"/>
              </w:rPr>
            </w:pPr>
            <w:r>
              <w:rPr>
                <w:rFonts w:ascii="宋体" w:hAnsi="宋体" w:cs="宋体" w:eastAsia="宋体" w:hint="default"/>
                <w:sz w:val="21"/>
                <w:szCs w:val="21"/>
              </w:rPr>
              <w:t>指定网站查询索引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巨潮资讯网</w:t>
            </w:r>
            <w:r>
              <w:rPr>
                <w:rFonts w:ascii="宋体" w:hAnsi="宋体" w:cs="宋体" w:eastAsia="宋体" w:hint="default"/>
                <w:spacing w:val="-25"/>
                <w:sz w:val="21"/>
                <w:szCs w:val="21"/>
              </w:rPr>
              <w:t> </w:t>
            </w:r>
            <w:hyperlink r:id="rId8">
              <w:r>
                <w:rPr>
                  <w:rFonts w:ascii="Times New Roman" w:hAnsi="Times New Roman" w:cs="Times New Roman" w:eastAsia="Times New Roman" w:hint="default"/>
                  <w:sz w:val="21"/>
                  <w:szCs w:val="21"/>
                </w:rPr>
                <w:t>http://www.cninfo.com.cn</w:t>
              </w:r>
            </w:hyperlink>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指定网站披露日期</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before="53"/>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公司与实际控制人之间的产权及控制关系的方框图</w:t>
      </w:r>
    </w:p>
    <w:p>
      <w:pPr>
        <w:spacing w:line="240" w:lineRule="auto" w:before="6"/>
        <w:rPr>
          <w:rFonts w:ascii="宋体" w:hAnsi="宋体" w:cs="宋体" w:eastAsia="宋体" w:hint="default"/>
          <w:sz w:val="28"/>
          <w:szCs w:val="28"/>
        </w:rPr>
      </w:pPr>
    </w:p>
    <w:p>
      <w:pPr>
        <w:spacing w:line="5698" w:lineRule="exact"/>
        <w:ind w:left="1097" w:right="0" w:firstLine="0"/>
        <w:rPr>
          <w:rFonts w:ascii="宋体" w:hAnsi="宋体" w:cs="宋体" w:eastAsia="宋体" w:hint="default"/>
          <w:sz w:val="20"/>
          <w:szCs w:val="20"/>
        </w:rPr>
      </w:pPr>
      <w:r>
        <w:rPr>
          <w:rFonts w:ascii="宋体" w:hAnsi="宋体" w:cs="宋体" w:eastAsia="宋体" w:hint="default"/>
          <w:position w:val="-113"/>
          <w:sz w:val="20"/>
          <w:szCs w:val="20"/>
        </w:rPr>
        <w:drawing>
          <wp:inline distT="0" distB="0" distL="0" distR="0">
            <wp:extent cx="4864159" cy="3618452"/>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7" cstate="print"/>
                    <a:stretch>
                      <a:fillRect/>
                    </a:stretch>
                  </pic:blipFill>
                  <pic:spPr>
                    <a:xfrm>
                      <a:off x="0" y="0"/>
                      <a:ext cx="4864159" cy="3618452"/>
                    </a:xfrm>
                    <a:prstGeom prst="rect">
                      <a:avLst/>
                    </a:prstGeom>
                  </pic:spPr>
                </pic:pic>
              </a:graphicData>
            </a:graphic>
          </wp:inline>
        </w:drawing>
      </w:r>
      <w:r>
        <w:rPr>
          <w:rFonts w:ascii="宋体" w:hAnsi="宋体" w:cs="宋体" w:eastAsia="宋体" w:hint="default"/>
          <w:position w:val="-113"/>
          <w:sz w:val="20"/>
          <w:szCs w:val="20"/>
        </w:rPr>
      </w:r>
    </w:p>
    <w:p>
      <w:pPr>
        <w:spacing w:line="240" w:lineRule="auto" w:before="9"/>
        <w:rPr>
          <w:rFonts w:ascii="宋体" w:hAnsi="宋体" w:cs="宋体" w:eastAsia="宋体" w:hint="default"/>
          <w:sz w:val="21"/>
          <w:szCs w:val="21"/>
        </w:rPr>
      </w:pPr>
    </w:p>
    <w:p>
      <w:pPr>
        <w:pStyle w:val="Heading3"/>
        <w:spacing w:line="240" w:lineRule="auto"/>
        <w:ind w:right="1002"/>
        <w:jc w:val="left"/>
      </w:pPr>
      <w:r>
        <w:rPr/>
        <w:t>实际控制人通过信托或其他资产管理方式控制公司</w:t>
      </w:r>
    </w:p>
    <w:p>
      <w:pPr>
        <w:spacing w:line="240" w:lineRule="auto" w:before="2"/>
        <w:rPr>
          <w:rFonts w:ascii="宋体" w:hAnsi="宋体" w:cs="宋体" w:eastAsia="宋体" w:hint="default"/>
          <w:sz w:val="19"/>
          <w:szCs w:val="19"/>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6"/>
          <w:szCs w:val="26"/>
        </w:rPr>
      </w:pPr>
    </w:p>
    <w:p>
      <w:pPr>
        <w:pStyle w:val="Heading5"/>
        <w:spacing w:line="240" w:lineRule="auto"/>
        <w:ind w:right="1002"/>
        <w:jc w:val="left"/>
        <w:rPr>
          <w:b w:val="0"/>
          <w:bCs w:val="0"/>
        </w:rPr>
      </w:pPr>
      <w:bookmarkStart w:name="4、其他持股在10%以上的法人股东" w:id="121"/>
      <w:bookmarkEnd w:id="121"/>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1002"/>
        <w:jc w:val="left"/>
        <w:rPr>
          <w:b w:val="0"/>
          <w:bCs w:val="0"/>
        </w:rPr>
      </w:pPr>
      <w:bookmarkStart w:name="5、控股股东、实际控制人、重组方及其他承诺主体股份限制减持情况" w:id="122"/>
      <w:bookmarkEnd w:id="122"/>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25" w:right="1002"/>
        <w:jc w:val="left"/>
        <w:rPr>
          <w:b w:val="0"/>
          <w:bCs w:val="0"/>
        </w:rPr>
      </w:pPr>
      <w:bookmarkStart w:name="第七节优先股相关情况" w:id="123"/>
      <w:bookmarkEnd w:id="123"/>
      <w:r>
        <w:rPr>
          <w:b w:val="0"/>
          <w:bCs w:val="0"/>
        </w:rPr>
      </w:r>
      <w:bookmarkStart w:name="_bookmark5" w:id="124"/>
      <w:bookmarkEnd w:id="124"/>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57" w:lineRule="auto" w:before="46"/>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报告期公司不存在优先股。</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682" w:right="1002"/>
        <w:jc w:val="left"/>
        <w:rPr>
          <w:b w:val="0"/>
          <w:bCs w:val="0"/>
        </w:rPr>
      </w:pPr>
      <w:bookmarkStart w:name="第八节可转换公司债券相关情况" w:id="125"/>
      <w:bookmarkEnd w:id="125"/>
      <w:r>
        <w:rPr>
          <w:b w:val="0"/>
          <w:bCs w:val="0"/>
        </w:rPr>
      </w:r>
      <w:bookmarkStart w:name="_bookmark6" w:id="126"/>
      <w:bookmarkEnd w:id="126"/>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spacing w:line="357" w:lineRule="auto" w:before="0"/>
        <w:ind w:left="113" w:right="7667"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 不适用</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报告期公司不存在可转换公司债券。</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077" w:right="1305"/>
        <w:jc w:val="left"/>
        <w:rPr>
          <w:b w:val="0"/>
          <w:bCs w:val="0"/>
        </w:rPr>
      </w:pPr>
      <w:bookmarkStart w:name="第九节董事、监事、高级管理人员和员工情况" w:id="127"/>
      <w:bookmarkEnd w:id="127"/>
      <w:r>
        <w:rPr>
          <w:b w:val="0"/>
          <w:bCs w:val="0"/>
        </w:rPr>
      </w:r>
      <w:bookmarkStart w:name="_bookmark7" w:id="128"/>
      <w:bookmarkEnd w:id="128"/>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left="473" w:right="1305"/>
        <w:jc w:val="left"/>
        <w:rPr>
          <w:b w:val="0"/>
          <w:bCs w:val="0"/>
        </w:rPr>
      </w:pPr>
      <w:bookmarkStart w:name="一、董事、监事和高级管理人员持股变动" w:id="129"/>
      <w:bookmarkEnd w:id="129"/>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03" w:type="dxa"/>
        <w:tblLayout w:type="fixed"/>
        <w:tblCellMar>
          <w:top w:w="0" w:type="dxa"/>
          <w:left w:w="0" w:type="dxa"/>
          <w:bottom w:w="0" w:type="dxa"/>
          <w:right w:w="0" w:type="dxa"/>
        </w:tblCellMar>
        <w:tblLook w:val="01E0"/>
      </w:tblPr>
      <w:tblGrid>
        <w:gridCol w:w="931"/>
        <w:gridCol w:w="1383"/>
        <w:gridCol w:w="672"/>
        <w:gridCol w:w="721"/>
        <w:gridCol w:w="648"/>
        <w:gridCol w:w="927"/>
        <w:gridCol w:w="946"/>
        <w:gridCol w:w="917"/>
        <w:gridCol w:w="855"/>
        <w:gridCol w:w="797"/>
        <w:gridCol w:w="749"/>
        <w:gridCol w:w="812"/>
      </w:tblGrid>
      <w:tr>
        <w:trPr>
          <w:trHeight w:val="1647" w:hRule="exact"/>
        </w:trPr>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73" w:lineRule="auto"/>
              <w:ind w:left="120" w:right="119"/>
              <w:jc w:val="left"/>
              <w:rPr>
                <w:rFonts w:ascii="宋体" w:hAnsi="宋体" w:cs="宋体" w:eastAsia="宋体" w:hint="default"/>
                <w:sz w:val="21"/>
                <w:szCs w:val="21"/>
              </w:rPr>
            </w:pPr>
            <w:r>
              <w:rPr>
                <w:rFonts w:ascii="宋体" w:hAnsi="宋体" w:cs="宋体" w:eastAsia="宋体" w:hint="default"/>
                <w:sz w:val="21"/>
                <w:szCs w:val="21"/>
              </w:rPr>
              <w:t>任职</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9"/>
                <w:szCs w:val="29"/>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z w:val="21"/>
                <w:szCs w:val="21"/>
              </w:rPr>
              <w:t>年龄</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73" w:lineRule="auto"/>
              <w:ind w:left="143" w:right="137"/>
              <w:jc w:val="left"/>
              <w:rPr>
                <w:rFonts w:ascii="宋体" w:hAnsi="宋体" w:cs="宋体" w:eastAsia="宋体" w:hint="default"/>
                <w:sz w:val="21"/>
                <w:szCs w:val="21"/>
              </w:rPr>
            </w:pPr>
            <w:r>
              <w:rPr>
                <w:rFonts w:ascii="宋体" w:hAnsi="宋体" w:cs="宋体" w:eastAsia="宋体" w:hint="default"/>
                <w:sz w:val="21"/>
                <w:szCs w:val="21"/>
              </w:rPr>
              <w:t>任期起</w:t>
            </w:r>
            <w:r>
              <w:rPr>
                <w:rFonts w:ascii="宋体" w:hAnsi="宋体" w:cs="宋体" w:eastAsia="宋体" w:hint="default"/>
                <w:spacing w:val="-102"/>
                <w:sz w:val="21"/>
                <w:szCs w:val="21"/>
              </w:rPr>
              <w:t> </w:t>
            </w:r>
            <w:r>
              <w:rPr>
                <w:rFonts w:ascii="宋体" w:hAnsi="宋体" w:cs="宋体" w:eastAsia="宋体" w:hint="default"/>
                <w:sz w:val="21"/>
                <w:szCs w:val="21"/>
              </w:rPr>
              <w:t>始日期</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73" w:lineRule="auto"/>
              <w:ind w:left="153" w:right="147"/>
              <w:jc w:val="left"/>
              <w:rPr>
                <w:rFonts w:ascii="宋体" w:hAnsi="宋体" w:cs="宋体" w:eastAsia="宋体" w:hint="default"/>
                <w:sz w:val="21"/>
                <w:szCs w:val="21"/>
              </w:rPr>
            </w:pPr>
            <w:r>
              <w:rPr>
                <w:rFonts w:ascii="宋体" w:hAnsi="宋体" w:cs="宋体" w:eastAsia="宋体" w:hint="default"/>
                <w:sz w:val="21"/>
                <w:szCs w:val="21"/>
              </w:rPr>
              <w:t>任期终</w:t>
            </w:r>
            <w:r>
              <w:rPr>
                <w:rFonts w:ascii="宋体" w:hAnsi="宋体" w:cs="宋体" w:eastAsia="宋体" w:hint="default"/>
                <w:spacing w:val="-102"/>
                <w:sz w:val="21"/>
                <w:szCs w:val="21"/>
              </w:rPr>
              <w:t> </w:t>
            </w:r>
            <w:r>
              <w:rPr>
                <w:rFonts w:ascii="宋体" w:hAnsi="宋体" w:cs="宋体" w:eastAsia="宋体" w:hint="default"/>
                <w:sz w:val="21"/>
                <w:szCs w:val="21"/>
              </w:rPr>
              <w:t>止日期</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68" w:lineRule="auto"/>
              <w:ind w:left="244" w:right="132" w:hanging="106"/>
              <w:jc w:val="left"/>
              <w:rPr>
                <w:rFonts w:ascii="宋体" w:hAnsi="宋体" w:cs="宋体" w:eastAsia="宋体" w:hint="default"/>
                <w:sz w:val="21"/>
                <w:szCs w:val="21"/>
              </w:rPr>
            </w:pPr>
            <w:r>
              <w:rPr>
                <w:rFonts w:ascii="宋体" w:hAnsi="宋体" w:cs="宋体" w:eastAsia="宋体" w:hint="default"/>
                <w:sz w:val="21"/>
                <w:szCs w:val="21"/>
              </w:rPr>
              <w:t>期初持</w:t>
            </w:r>
            <w:r>
              <w:rPr>
                <w:rFonts w:ascii="宋体" w:hAnsi="宋体" w:cs="宋体" w:eastAsia="宋体" w:hint="default"/>
                <w:spacing w:val="-102"/>
                <w:sz w:val="21"/>
                <w:szCs w:val="21"/>
              </w:rPr>
              <w:t> </w:t>
            </w:r>
            <w:r>
              <w:rPr>
                <w:rFonts w:ascii="宋体" w:hAnsi="宋体" w:cs="宋体" w:eastAsia="宋体" w:hint="default"/>
                <w:sz w:val="21"/>
                <w:szCs w:val="21"/>
              </w:rPr>
              <w:t>股数</w:t>
            </w:r>
          </w:p>
          <w:p>
            <w:pPr>
              <w:pStyle w:val="TableParagraph"/>
              <w:spacing w:line="240" w:lineRule="auto" w:before="16"/>
              <w:ind w:left="139"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1" w:lineRule="auto"/>
              <w:ind w:left="110" w:right="99"/>
              <w:jc w:val="both"/>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持股份</w:t>
            </w:r>
            <w:r>
              <w:rPr>
                <w:rFonts w:ascii="宋体" w:hAnsi="宋体" w:cs="宋体" w:eastAsia="宋体" w:hint="default"/>
                <w:spacing w:val="-102"/>
                <w:sz w:val="21"/>
                <w:szCs w:val="21"/>
              </w:rPr>
              <w:t> </w:t>
            </w:r>
            <w:r>
              <w:rPr>
                <w:rFonts w:ascii="宋体" w:hAnsi="宋体" w:cs="宋体" w:eastAsia="宋体" w:hint="default"/>
                <w:sz w:val="21"/>
                <w:szCs w:val="21"/>
              </w:rPr>
              <w:t>数量</w:t>
            </w:r>
          </w:p>
          <w:p>
            <w:pPr>
              <w:pStyle w:val="TableParagraph"/>
              <w:spacing w:line="240" w:lineRule="auto" w:before="14"/>
              <w:ind w:left="110" w:right="0"/>
              <w:jc w:val="both"/>
              <w:rPr>
                <w:rFonts w:ascii="宋体" w:hAnsi="宋体" w:cs="宋体" w:eastAsia="宋体" w:hint="default"/>
                <w:sz w:val="21"/>
                <w:szCs w:val="21"/>
              </w:rPr>
            </w:pPr>
            <w:r>
              <w:rPr>
                <w:rFonts w:ascii="宋体" w:hAnsi="宋体" w:cs="宋体" w:eastAsia="宋体" w:hint="default"/>
                <w:sz w:val="21"/>
                <w:szCs w:val="21"/>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187" w:right="177"/>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减持</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数量</w:t>
            </w:r>
          </w:p>
          <w:p>
            <w:pPr>
              <w:pStyle w:val="TableParagraph"/>
              <w:spacing w:line="240" w:lineRule="auto" w:before="14"/>
              <w:ind w:left="105" w:right="0"/>
              <w:jc w:val="both"/>
              <w:rPr>
                <w:rFonts w:ascii="宋体" w:hAnsi="宋体" w:cs="宋体" w:eastAsia="宋体" w:hint="default"/>
                <w:sz w:val="21"/>
                <w:szCs w:val="21"/>
              </w:rPr>
            </w:pPr>
            <w:r>
              <w:rPr>
                <w:rFonts w:ascii="宋体" w:hAnsi="宋体" w:cs="宋体" w:eastAsia="宋体" w:hint="default"/>
                <w:sz w:val="21"/>
                <w:szCs w:val="21"/>
              </w:rPr>
              <w:t>（股）</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1" w:lineRule="auto"/>
              <w:ind w:left="158" w:right="156"/>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增减</w:t>
            </w:r>
            <w:r>
              <w:rPr>
                <w:rFonts w:ascii="宋体" w:hAnsi="宋体" w:cs="宋体" w:eastAsia="宋体" w:hint="default"/>
                <w:spacing w:val="-103"/>
                <w:sz w:val="21"/>
                <w:szCs w:val="21"/>
              </w:rPr>
              <w:t> </w:t>
            </w:r>
            <w:r>
              <w:rPr>
                <w:rFonts w:ascii="宋体" w:hAnsi="宋体" w:cs="宋体" w:eastAsia="宋体" w:hint="default"/>
                <w:sz w:val="21"/>
                <w:szCs w:val="21"/>
              </w:rPr>
              <w:t>变动</w:t>
            </w:r>
          </w:p>
          <w:p>
            <w:pPr>
              <w:pStyle w:val="TableParagraph"/>
              <w:spacing w:line="240" w:lineRule="auto" w:before="14"/>
              <w:ind w:left="100" w:right="0"/>
              <w:jc w:val="both"/>
              <w:rPr>
                <w:rFonts w:ascii="宋体" w:hAnsi="宋体" w:cs="宋体" w:eastAsia="宋体" w:hint="default"/>
                <w:sz w:val="21"/>
                <w:szCs w:val="21"/>
              </w:rPr>
            </w:pPr>
            <w:r>
              <w:rPr>
                <w:rFonts w:ascii="宋体" w:hAnsi="宋体" w:cs="宋体" w:eastAsia="宋体" w:hint="default"/>
                <w:sz w:val="21"/>
                <w:szCs w:val="21"/>
              </w:rPr>
              <w:t>（股）</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1" w:lineRule="auto"/>
              <w:ind w:left="191" w:right="185"/>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数</w:t>
            </w:r>
          </w:p>
          <w:p>
            <w:pPr>
              <w:pStyle w:val="TableParagraph"/>
              <w:spacing w:line="240" w:lineRule="auto" w:before="14"/>
              <w:ind w:left="105" w:right="0"/>
              <w:jc w:val="both"/>
              <w:rPr>
                <w:rFonts w:ascii="宋体" w:hAnsi="宋体" w:cs="宋体" w:eastAsia="宋体" w:hint="default"/>
                <w:sz w:val="21"/>
                <w:szCs w:val="21"/>
              </w:rPr>
            </w:pPr>
            <w:r>
              <w:rPr>
                <w:rFonts w:ascii="宋体" w:hAnsi="宋体" w:cs="宋体" w:eastAsia="宋体" w:hint="default"/>
                <w:sz w:val="21"/>
                <w:szCs w:val="21"/>
              </w:rPr>
              <w:t>（股）</w:t>
            </w:r>
          </w:p>
        </w:tc>
      </w:tr>
      <w:tr>
        <w:trPr>
          <w:trHeight w:val="102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73" w:lineRule="auto"/>
              <w:ind w:left="105" w:right="99"/>
              <w:jc w:val="left"/>
              <w:rPr>
                <w:rFonts w:ascii="宋体" w:hAnsi="宋体" w:cs="宋体" w:eastAsia="宋体" w:hint="default"/>
                <w:sz w:val="21"/>
                <w:szCs w:val="21"/>
              </w:rPr>
            </w:pPr>
            <w:r>
              <w:rPr>
                <w:rFonts w:ascii="宋体" w:hAnsi="宋体" w:cs="宋体" w:eastAsia="宋体" w:hint="default"/>
                <w:spacing w:val="-17"/>
                <w:w w:val="100"/>
                <w:sz w:val="21"/>
                <w:szCs w:val="21"/>
              </w:rPr>
              <w:t>董事长、总经</w:t>
            </w:r>
            <w:r>
              <w:rPr>
                <w:rFonts w:ascii="宋体" w:hAnsi="宋体" w:cs="宋体" w:eastAsia="宋体" w:hint="default"/>
                <w:w w:val="100"/>
                <w:sz w:val="21"/>
                <w:szCs w:val="21"/>
              </w:rPr>
              <w:t> </w:t>
            </w:r>
            <w:r>
              <w:rPr>
                <w:rFonts w:ascii="宋体" w:hAnsi="宋体" w:cs="宋体" w:eastAsia="宋体" w:hint="default"/>
                <w:sz w:val="21"/>
                <w:szCs w:val="21"/>
              </w:rPr>
              <w:t>理</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55</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127,394</w:t>
            </w:r>
          </w:p>
          <w:p>
            <w:pPr>
              <w:pStyle w:val="TableParagraph"/>
              <w:spacing w:line="240" w:lineRule="auto" w:before="70"/>
              <w:ind w:left="436" w:right="0"/>
              <w:jc w:val="left"/>
              <w:rPr>
                <w:rFonts w:ascii="Times New Roman" w:hAnsi="Times New Roman" w:cs="Times New Roman" w:eastAsia="Times New Roman" w:hint="default"/>
                <w:sz w:val="21"/>
                <w:szCs w:val="21"/>
              </w:rPr>
            </w:pPr>
            <w:r>
              <w:rPr>
                <w:rFonts w:ascii="Times New Roman"/>
                <w:sz w:val="21"/>
              </w:rPr>
              <w:t>,324</w:t>
            </w: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163" w:right="0"/>
              <w:jc w:val="left"/>
              <w:rPr>
                <w:rFonts w:ascii="Times New Roman" w:hAnsi="Times New Roman" w:cs="Times New Roman" w:eastAsia="Times New Roman" w:hint="default"/>
                <w:sz w:val="21"/>
                <w:szCs w:val="21"/>
              </w:rPr>
            </w:pPr>
            <w:r>
              <w:rPr>
                <w:rFonts w:ascii="Times New Roman"/>
                <w:sz w:val="21"/>
              </w:rPr>
              <w:t>13,00</w:t>
            </w:r>
          </w:p>
          <w:p>
            <w:pPr>
              <w:pStyle w:val="TableParagraph"/>
              <w:spacing w:line="240" w:lineRule="auto" w:before="70"/>
              <w:ind w:left="163" w:right="0"/>
              <w:jc w:val="left"/>
              <w:rPr>
                <w:rFonts w:ascii="Times New Roman" w:hAnsi="Times New Roman" w:cs="Times New Roman" w:eastAsia="Times New Roman" w:hint="default"/>
                <w:sz w:val="21"/>
                <w:szCs w:val="21"/>
              </w:rPr>
            </w:pPr>
            <w:r>
              <w:rPr>
                <w:rFonts w:ascii="Times New Roman"/>
                <w:sz w:val="21"/>
              </w:rPr>
              <w:t>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8" w:right="0"/>
              <w:jc w:val="center"/>
              <w:rPr>
                <w:rFonts w:ascii="Times New Roman" w:hAnsi="Times New Roman" w:cs="Times New Roman" w:eastAsia="Times New Roman" w:hint="default"/>
                <w:sz w:val="21"/>
                <w:szCs w:val="21"/>
              </w:rPr>
            </w:pPr>
            <w:r>
              <w:rPr>
                <w:rFonts w:ascii="Times New Roman"/>
                <w:sz w:val="21"/>
              </w:rPr>
              <w:t>114,39</w:t>
            </w:r>
          </w:p>
          <w:p>
            <w:pPr>
              <w:pStyle w:val="TableParagraph"/>
              <w:spacing w:line="240" w:lineRule="auto" w:before="70"/>
              <w:ind w:left="133" w:right="0"/>
              <w:jc w:val="center"/>
              <w:rPr>
                <w:rFonts w:ascii="Times New Roman" w:hAnsi="Times New Roman" w:cs="Times New Roman" w:eastAsia="Times New Roman" w:hint="default"/>
                <w:sz w:val="21"/>
                <w:szCs w:val="21"/>
              </w:rPr>
            </w:pPr>
            <w:r>
              <w:rPr>
                <w:rFonts w:ascii="Times New Roman"/>
                <w:sz w:val="21"/>
              </w:rPr>
              <w:t>4,324</w:t>
            </w:r>
          </w:p>
        </w:tc>
      </w:tr>
      <w:tr>
        <w:trPr>
          <w:trHeight w:val="1027"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89,628,</w:t>
            </w:r>
          </w:p>
          <w:p>
            <w:pPr>
              <w:pStyle w:val="TableParagraph"/>
              <w:spacing w:line="240" w:lineRule="auto" w:before="70"/>
              <w:ind w:left="489" w:right="0"/>
              <w:jc w:val="left"/>
              <w:rPr>
                <w:rFonts w:ascii="Times New Roman" w:hAnsi="Times New Roman" w:cs="Times New Roman" w:eastAsia="Times New Roman" w:hint="default"/>
                <w:sz w:val="21"/>
                <w:szCs w:val="21"/>
              </w:rPr>
            </w:pPr>
            <w:r>
              <w:rPr>
                <w:rFonts w:ascii="Times New Roman"/>
                <w:sz w:val="21"/>
              </w:rPr>
              <w:t>726</w:t>
            </w: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16,231</w:t>
            </w:r>
          </w:p>
          <w:p>
            <w:pPr>
              <w:pStyle w:val="TableParagraph"/>
              <w:spacing w:line="240" w:lineRule="auto" w:before="70"/>
              <w:ind w:left="316" w:right="0"/>
              <w:jc w:val="left"/>
              <w:rPr>
                <w:rFonts w:ascii="Times New Roman" w:hAnsi="Times New Roman" w:cs="Times New Roman" w:eastAsia="Times New Roman" w:hint="default"/>
                <w:sz w:val="21"/>
                <w:szCs w:val="21"/>
              </w:rPr>
            </w:pPr>
            <w:r>
              <w:rPr>
                <w:rFonts w:ascii="Times New Roman"/>
                <w:sz w:val="21"/>
              </w:rPr>
              <w:t>,000</w:t>
            </w: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73,397</w:t>
            </w:r>
          </w:p>
          <w:p>
            <w:pPr>
              <w:pStyle w:val="TableParagraph"/>
              <w:spacing w:line="240" w:lineRule="auto" w:before="70"/>
              <w:ind w:left="331" w:right="0"/>
              <w:jc w:val="left"/>
              <w:rPr>
                <w:rFonts w:ascii="Times New Roman" w:hAnsi="Times New Roman" w:cs="Times New Roman" w:eastAsia="Times New Roman" w:hint="default"/>
                <w:sz w:val="21"/>
                <w:szCs w:val="21"/>
              </w:rPr>
            </w:pPr>
            <w:r>
              <w:rPr>
                <w:rFonts w:ascii="Times New Roman"/>
                <w:sz w:val="21"/>
              </w:rPr>
              <w:t>,726</w:t>
            </w:r>
          </w:p>
        </w:tc>
      </w:tr>
      <w:tr>
        <w:trPr>
          <w:trHeight w:val="102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汪宇</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99"/>
              <w:jc w:val="left"/>
              <w:rPr>
                <w:rFonts w:ascii="宋体" w:hAnsi="宋体" w:cs="宋体" w:eastAsia="宋体" w:hint="default"/>
                <w:sz w:val="21"/>
                <w:szCs w:val="21"/>
              </w:rPr>
            </w:pPr>
            <w:r>
              <w:rPr>
                <w:rFonts w:ascii="宋体" w:hAnsi="宋体" w:cs="宋体" w:eastAsia="宋体" w:hint="default"/>
                <w:sz w:val="21"/>
                <w:szCs w:val="21"/>
              </w:rPr>
              <w:t>常务副总经</w:t>
            </w:r>
            <w:r>
              <w:rPr>
                <w:rFonts w:ascii="宋体" w:hAnsi="宋体" w:cs="宋体" w:eastAsia="宋体" w:hint="default"/>
                <w:spacing w:val="-99"/>
                <w:sz w:val="21"/>
                <w:szCs w:val="21"/>
              </w:rPr>
              <w:t> </w:t>
            </w:r>
            <w:r>
              <w:rPr>
                <w:rFonts w:ascii="宋体" w:hAnsi="宋体" w:cs="宋体" w:eastAsia="宋体" w:hint="default"/>
                <w:spacing w:val="-17"/>
                <w:w w:val="100"/>
                <w:sz w:val="21"/>
                <w:szCs w:val="21"/>
              </w:rPr>
              <w:t>理、董事会秘</w:t>
            </w:r>
            <w:r>
              <w:rPr>
                <w:rFonts w:ascii="宋体" w:hAnsi="宋体" w:cs="宋体" w:eastAsia="宋体" w:hint="default"/>
                <w:w w:val="100"/>
                <w:sz w:val="21"/>
                <w:szCs w:val="21"/>
              </w:rPr>
              <w:t> </w:t>
            </w:r>
            <w:r>
              <w:rPr>
                <w:rFonts w:ascii="宋体" w:hAnsi="宋体" w:cs="宋体" w:eastAsia="宋体" w:hint="default"/>
                <w:sz w:val="21"/>
                <w:szCs w:val="21"/>
              </w:rPr>
              <w:t>书、董事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50</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7"/>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7"/>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270,000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270,00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1022"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郭晨</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250,000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250,00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102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周超</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73" w:lineRule="auto"/>
              <w:ind w:left="105" w:right="99"/>
              <w:jc w:val="left"/>
              <w:rPr>
                <w:rFonts w:ascii="宋体" w:hAnsi="宋体" w:cs="宋体" w:eastAsia="宋体" w:hint="default"/>
                <w:sz w:val="21"/>
                <w:szCs w:val="21"/>
              </w:rPr>
            </w:pPr>
            <w:r>
              <w:rPr>
                <w:rFonts w:ascii="宋体" w:hAnsi="宋体" w:cs="宋体" w:eastAsia="宋体" w:hint="default"/>
                <w:spacing w:val="-17"/>
                <w:w w:val="100"/>
                <w:sz w:val="21"/>
                <w:szCs w:val="21"/>
              </w:rPr>
              <w:t>副总经理、董</w:t>
            </w:r>
            <w:r>
              <w:rPr>
                <w:rFonts w:ascii="宋体" w:hAnsi="宋体" w:cs="宋体" w:eastAsia="宋体" w:hint="default"/>
                <w:w w:val="100"/>
                <w:sz w:val="21"/>
                <w:szCs w:val="21"/>
              </w:rPr>
              <w:t> </w:t>
            </w:r>
            <w:r>
              <w:rPr>
                <w:rFonts w:ascii="宋体" w:hAnsi="宋体" w:cs="宋体" w:eastAsia="宋体" w:hint="default"/>
                <w:sz w:val="21"/>
                <w:szCs w:val="21"/>
              </w:rPr>
              <w:t>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141,647</w:t>
            </w: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141,64</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7</w:t>
            </w:r>
          </w:p>
        </w:tc>
      </w:tr>
      <w:tr>
        <w:trPr>
          <w:trHeight w:val="102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何利</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339,217</w:t>
            </w: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339,21</w:t>
            </w:r>
          </w:p>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w w:val="100"/>
                <w:sz w:val="21"/>
              </w:rPr>
              <w:t>7</w:t>
            </w:r>
          </w:p>
        </w:tc>
      </w:tr>
      <w:tr>
        <w:trPr>
          <w:trHeight w:val="1027"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韦俊</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56" w:lineRule="auto"/>
              <w:ind w:left="105" w:right="29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汪和</w:t>
            </w:r>
            <w:r>
              <w:rPr>
                <w:rFonts w:ascii="宋体" w:hAnsi="宋体" w:cs="宋体" w:eastAsia="宋体" w:hint="default"/>
                <w:w w:val="100"/>
                <w:sz w:val="21"/>
                <w:szCs w:val="21"/>
              </w:rPr>
              <w:t> </w:t>
            </w:r>
            <w:r>
              <w:rPr>
                <w:rFonts w:ascii="宋体" w:hAnsi="宋体" w:cs="宋体" w:eastAsia="宋体" w:hint="default"/>
                <w:sz w:val="21"/>
                <w:szCs w:val="21"/>
              </w:rPr>
              <w:t>俊</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7"/>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7"/>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韩旭</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44</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李小庆</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56,250</w:t>
            </w: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z w:val="21"/>
              </w:rPr>
              <w:t>56,250</w:t>
            </w:r>
          </w:p>
        </w:tc>
      </w:tr>
    </w:tbl>
    <w:p>
      <w:pPr>
        <w:spacing w:after="0" w:line="240" w:lineRule="auto"/>
        <w:jc w:val="left"/>
        <w:rPr>
          <w:rFonts w:ascii="Times New Roman" w:hAnsi="Times New Roman" w:cs="Times New Roman" w:eastAsia="Times New Roman" w:hint="default"/>
          <w:sz w:val="21"/>
          <w:szCs w:val="21"/>
        </w:rPr>
        <w:sectPr>
          <w:pgSz w:w="11910" w:h="16840"/>
          <w:pgMar w:header="906" w:footer="1022" w:top="1100" w:bottom="1220" w:left="660" w:right="0"/>
        </w:sectPr>
      </w:pPr>
    </w:p>
    <w:p>
      <w:pPr>
        <w:spacing w:line="240" w:lineRule="auto" w:before="7"/>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931"/>
        <w:gridCol w:w="1383"/>
        <w:gridCol w:w="672"/>
        <w:gridCol w:w="721"/>
        <w:gridCol w:w="648"/>
        <w:gridCol w:w="927"/>
        <w:gridCol w:w="946"/>
        <w:gridCol w:w="917"/>
        <w:gridCol w:w="855"/>
        <w:gridCol w:w="797"/>
        <w:gridCol w:w="749"/>
        <w:gridCol w:w="812"/>
      </w:tblGrid>
      <w:tr>
        <w:trPr>
          <w:trHeight w:val="1027"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闫涛</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37"/>
              <w:jc w:val="center"/>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44</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102,500</w:t>
            </w: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102,50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102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陶黎明</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6" w:lineRule="auto"/>
              <w:ind w:left="105" w:right="3"/>
              <w:jc w:val="left"/>
              <w:rPr>
                <w:rFonts w:ascii="宋体" w:hAnsi="宋体" w:cs="宋体" w:eastAsia="宋体" w:hint="default"/>
                <w:sz w:val="21"/>
                <w:szCs w:val="21"/>
              </w:rPr>
            </w:pPr>
            <w:r>
              <w:rPr>
                <w:rFonts w:ascii="宋体" w:hAnsi="宋体" w:cs="宋体" w:eastAsia="宋体" w:hint="default"/>
                <w:sz w:val="21"/>
                <w:szCs w:val="21"/>
              </w:rPr>
              <w:t>总经理助理、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财务负责人</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37"/>
              <w:jc w:val="center"/>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45</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102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张廷勇</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7"/>
              <w:jc w:val="center"/>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103"/>
              <w:jc w:val="right"/>
              <w:rPr>
                <w:rFonts w:ascii="Times New Roman" w:hAnsi="Times New Roman" w:cs="Times New Roman" w:eastAsia="Times New Roman" w:hint="default"/>
                <w:sz w:val="21"/>
                <w:szCs w:val="21"/>
              </w:rPr>
            </w:pPr>
            <w:r>
              <w:rPr>
                <w:rFonts w:ascii="Times New Roman"/>
                <w:sz w:val="21"/>
              </w:rPr>
              <w:t>33</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曾滟</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37"/>
              <w:jc w:val="center"/>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41</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陈邦莲</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37"/>
              <w:jc w:val="center"/>
              <w:rPr>
                <w:rFonts w:ascii="宋体" w:hAnsi="宋体" w:cs="宋体" w:eastAsia="宋体" w:hint="default"/>
                <w:sz w:val="21"/>
                <w:szCs w:val="21"/>
              </w:rPr>
            </w:pPr>
            <w:r>
              <w:rPr>
                <w:rFonts w:ascii="宋体" w:hAnsi="宋体" w:cs="宋体" w:eastAsia="宋体" w:hint="default"/>
                <w:sz w:val="21"/>
                <w:szCs w:val="21"/>
              </w:rPr>
              <w:t>现任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48</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7"/>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7"/>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武文杰</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37"/>
              <w:jc w:val="center"/>
              <w:rPr>
                <w:rFonts w:ascii="宋体" w:hAnsi="宋体" w:cs="宋体" w:eastAsia="宋体" w:hint="default"/>
                <w:sz w:val="21"/>
                <w:szCs w:val="21"/>
              </w:rPr>
            </w:pPr>
            <w:r>
              <w:rPr>
                <w:rFonts w:ascii="宋体" w:hAnsi="宋体" w:cs="宋体" w:eastAsia="宋体" w:hint="default"/>
                <w:sz w:val="21"/>
                <w:szCs w:val="21"/>
              </w:rPr>
              <w:t>离任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51</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13</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宋丽君</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7"/>
              <w:jc w:val="center"/>
              <w:rPr>
                <w:rFonts w:ascii="宋体" w:hAnsi="宋体" w:cs="宋体" w:eastAsia="宋体" w:hint="default"/>
                <w:sz w:val="21"/>
                <w:szCs w:val="21"/>
              </w:rPr>
            </w:pPr>
            <w:r>
              <w:rPr>
                <w:rFonts w:ascii="宋体" w:hAnsi="宋体" w:cs="宋体" w:eastAsia="宋体" w:hint="default"/>
                <w:sz w:val="21"/>
                <w:szCs w:val="21"/>
              </w:rPr>
              <w:t>离任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103"/>
              <w:jc w:val="right"/>
              <w:rPr>
                <w:rFonts w:ascii="Times New Roman" w:hAnsi="Times New Roman" w:cs="Times New Roman" w:eastAsia="Times New Roman" w:hint="default"/>
                <w:sz w:val="21"/>
                <w:szCs w:val="21"/>
              </w:rPr>
            </w:pPr>
            <w:r>
              <w:rPr>
                <w:rFonts w:ascii="Times New Roman"/>
                <w:sz w:val="21"/>
              </w:rPr>
              <w:t>56</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05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18</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陈任峰</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37"/>
              <w:jc w:val="center"/>
              <w:rPr>
                <w:rFonts w:ascii="宋体" w:hAnsi="宋体" w:cs="宋体" w:eastAsia="宋体" w:hint="default"/>
                <w:sz w:val="21"/>
                <w:szCs w:val="21"/>
              </w:rPr>
            </w:pPr>
            <w:r>
              <w:rPr>
                <w:rFonts w:ascii="宋体" w:hAnsi="宋体" w:cs="宋体" w:eastAsia="宋体" w:hint="default"/>
                <w:sz w:val="21"/>
                <w:szCs w:val="21"/>
              </w:rPr>
              <w:t>离任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13</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葛愿</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right="37"/>
              <w:jc w:val="center"/>
              <w:rPr>
                <w:rFonts w:ascii="宋体" w:hAnsi="宋体" w:cs="宋体" w:eastAsia="宋体" w:hint="default"/>
                <w:sz w:val="21"/>
                <w:szCs w:val="21"/>
              </w:rPr>
            </w:pPr>
            <w:r>
              <w:rPr>
                <w:rFonts w:ascii="宋体" w:hAnsi="宋体" w:cs="宋体" w:eastAsia="宋体" w:hint="default"/>
                <w:sz w:val="21"/>
                <w:szCs w:val="21"/>
              </w:rPr>
              <w:t>离任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41</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13</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张文虎</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37"/>
              <w:jc w:val="center"/>
              <w:rPr>
                <w:rFonts w:ascii="宋体" w:hAnsi="宋体" w:cs="宋体" w:eastAsia="宋体" w:hint="default"/>
                <w:sz w:val="21"/>
                <w:szCs w:val="21"/>
              </w:rPr>
            </w:pPr>
            <w:r>
              <w:rPr>
                <w:rFonts w:ascii="宋体" w:hAnsi="宋体" w:cs="宋体" w:eastAsia="宋体" w:hint="default"/>
                <w:sz w:val="21"/>
                <w:szCs w:val="21"/>
              </w:rPr>
              <w:t>离任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55</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10</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甘洪亮</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7"/>
              <w:jc w:val="center"/>
              <w:rPr>
                <w:rFonts w:ascii="宋体" w:hAnsi="宋体" w:cs="宋体" w:eastAsia="宋体" w:hint="default"/>
                <w:sz w:val="21"/>
                <w:szCs w:val="21"/>
              </w:rPr>
            </w:pPr>
            <w:r>
              <w:rPr>
                <w:rFonts w:ascii="宋体" w:hAnsi="宋体" w:cs="宋体" w:eastAsia="宋体" w:hint="default"/>
                <w:sz w:val="21"/>
                <w:szCs w:val="21"/>
              </w:rPr>
              <w:t>离任</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2"/>
              <w:ind w:right="103"/>
              <w:jc w:val="right"/>
              <w:rPr>
                <w:rFonts w:ascii="Times New Roman" w:hAnsi="Times New Roman" w:cs="Times New Roman" w:eastAsia="Times New Roman" w:hint="default"/>
                <w:sz w:val="21"/>
                <w:szCs w:val="21"/>
              </w:rPr>
            </w:pPr>
            <w:r>
              <w:rPr>
                <w:rFonts w:ascii="Times New Roman"/>
                <w:sz w:val="21"/>
              </w:rPr>
              <w:t>37</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z w:val="21"/>
                <w:szCs w:val="21"/>
              </w:rPr>
              <w:t>13</w:t>
            </w:r>
          </w:p>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01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25</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917"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8" w:right="0"/>
              <w:jc w:val="center"/>
              <w:rPr>
                <w:rFonts w:ascii="Times New Roman" w:hAnsi="Times New Roman" w:cs="Times New Roman" w:eastAsia="Times New Roman" w:hint="default"/>
                <w:sz w:val="21"/>
                <w:szCs w:val="21"/>
              </w:rPr>
            </w:pPr>
            <w:r>
              <w:rPr>
                <w:rFonts w:ascii="Times New Roman"/>
                <w:sz w:val="21"/>
              </w:rPr>
              <w:t>--</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4" w:right="0"/>
              <w:jc w:val="left"/>
              <w:rPr>
                <w:rFonts w:ascii="Times New Roman" w:hAnsi="Times New Roman" w:cs="Times New Roman" w:eastAsia="Times New Roman" w:hint="default"/>
                <w:sz w:val="21"/>
                <w:szCs w:val="21"/>
              </w:rPr>
            </w:pPr>
            <w:r>
              <w:rPr>
                <w:rFonts w:ascii="Times New Roman"/>
                <w:sz w:val="21"/>
              </w:rPr>
              <w:t>218,282</w:t>
            </w:r>
          </w:p>
          <w:p>
            <w:pPr>
              <w:pStyle w:val="TableParagraph"/>
              <w:spacing w:line="240" w:lineRule="auto" w:before="75"/>
              <w:ind w:left="436" w:right="0"/>
              <w:jc w:val="left"/>
              <w:rPr>
                <w:rFonts w:ascii="Times New Roman" w:hAnsi="Times New Roman" w:cs="Times New Roman" w:eastAsia="Times New Roman" w:hint="default"/>
                <w:sz w:val="21"/>
                <w:szCs w:val="21"/>
              </w:rPr>
            </w:pPr>
            <w:r>
              <w:rPr>
                <w:rFonts w:ascii="Times New Roman"/>
                <w:sz w:val="21"/>
              </w:rPr>
              <w:t>,664</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16,231</w:t>
            </w:r>
          </w:p>
          <w:p>
            <w:pPr>
              <w:pStyle w:val="TableParagraph"/>
              <w:spacing w:line="240" w:lineRule="auto" w:before="75"/>
              <w:ind w:left="316" w:right="0"/>
              <w:jc w:val="left"/>
              <w:rPr>
                <w:rFonts w:ascii="Times New Roman" w:hAnsi="Times New Roman" w:cs="Times New Roman" w:eastAsia="Times New Roman" w:hint="default"/>
                <w:sz w:val="21"/>
                <w:szCs w:val="21"/>
              </w:rPr>
            </w:pPr>
            <w:r>
              <w:rPr>
                <w:rFonts w:ascii="Times New Roman"/>
                <w:sz w:val="21"/>
              </w:rPr>
              <w:t>,000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3" w:right="0"/>
              <w:jc w:val="left"/>
              <w:rPr>
                <w:rFonts w:ascii="Times New Roman" w:hAnsi="Times New Roman" w:cs="Times New Roman" w:eastAsia="Times New Roman" w:hint="default"/>
                <w:sz w:val="21"/>
                <w:szCs w:val="21"/>
              </w:rPr>
            </w:pPr>
            <w:r>
              <w:rPr>
                <w:rFonts w:ascii="Times New Roman"/>
                <w:sz w:val="21"/>
              </w:rPr>
              <w:t>13,00</w:t>
            </w:r>
          </w:p>
          <w:p>
            <w:pPr>
              <w:pStyle w:val="TableParagraph"/>
              <w:spacing w:line="240" w:lineRule="auto" w:before="75"/>
              <w:ind w:left="163" w:right="0"/>
              <w:jc w:val="left"/>
              <w:rPr>
                <w:rFonts w:ascii="Times New Roman" w:hAnsi="Times New Roman" w:cs="Times New Roman" w:eastAsia="Times New Roman" w:hint="default"/>
                <w:sz w:val="21"/>
                <w:szCs w:val="21"/>
              </w:rPr>
            </w:pPr>
            <w:r>
              <w:rPr>
                <w:rFonts w:ascii="Times New Roman"/>
                <w:sz w:val="21"/>
              </w:rPr>
              <w:t>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 w:right="0"/>
              <w:jc w:val="center"/>
              <w:rPr>
                <w:rFonts w:ascii="Times New Roman" w:hAnsi="Times New Roman" w:cs="Times New Roman" w:eastAsia="Times New Roman" w:hint="default"/>
                <w:sz w:val="21"/>
                <w:szCs w:val="21"/>
              </w:rPr>
            </w:pPr>
            <w:r>
              <w:rPr>
                <w:rFonts w:ascii="Times New Roman"/>
                <w:sz w:val="21"/>
              </w:rPr>
              <w:t>189,05</w:t>
            </w:r>
          </w:p>
          <w:p>
            <w:pPr>
              <w:pStyle w:val="TableParagraph"/>
              <w:spacing w:line="240" w:lineRule="auto" w:before="75"/>
              <w:ind w:left="133" w:right="0"/>
              <w:jc w:val="center"/>
              <w:rPr>
                <w:rFonts w:ascii="Times New Roman" w:hAnsi="Times New Roman" w:cs="Times New Roman" w:eastAsia="Times New Roman" w:hint="default"/>
                <w:sz w:val="21"/>
                <w:szCs w:val="21"/>
              </w:rPr>
            </w:pPr>
            <w:r>
              <w:rPr>
                <w:rFonts w:ascii="Times New Roman"/>
                <w:sz w:val="21"/>
              </w:rPr>
              <w:t>1,664</w:t>
            </w:r>
          </w:p>
        </w:tc>
      </w:tr>
    </w:tbl>
    <w:p>
      <w:pPr>
        <w:spacing w:line="240" w:lineRule="auto" w:before="9"/>
        <w:rPr>
          <w:rFonts w:ascii="宋体" w:hAnsi="宋体" w:cs="宋体" w:eastAsia="宋体" w:hint="default"/>
          <w:b/>
          <w:bCs/>
          <w:sz w:val="17"/>
          <w:szCs w:val="17"/>
        </w:rPr>
      </w:pPr>
    </w:p>
    <w:p>
      <w:pPr>
        <w:pStyle w:val="Heading2"/>
        <w:spacing w:line="240" w:lineRule="auto" w:before="26"/>
        <w:ind w:left="473" w:right="1305"/>
        <w:jc w:val="left"/>
        <w:rPr>
          <w:b w:val="0"/>
          <w:bCs w:val="0"/>
        </w:rPr>
      </w:pPr>
      <w:bookmarkStart w:name="二、公司董事、监事、高级管理人员变动情况" w:id="130"/>
      <w:bookmarkEnd w:id="130"/>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spacing w:before="0"/>
        <w:ind w:left="473" w:right="1305"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7"/>
          <w:szCs w:val="7"/>
        </w:rPr>
      </w:pPr>
    </w:p>
    <w:tbl>
      <w:tblPr>
        <w:tblW w:w="0" w:type="auto"/>
        <w:jc w:val="left"/>
        <w:tblInd w:w="468" w:type="dxa"/>
        <w:tblLayout w:type="fixed"/>
        <w:tblCellMar>
          <w:top w:w="0" w:type="dxa"/>
          <w:left w:w="0" w:type="dxa"/>
          <w:bottom w:w="0" w:type="dxa"/>
          <w:right w:w="0" w:type="dxa"/>
        </w:tblCellMar>
        <w:tblLook w:val="01E0"/>
      </w:tblPr>
      <w:tblGrid>
        <w:gridCol w:w="1330"/>
        <w:gridCol w:w="1925"/>
        <w:gridCol w:w="1455"/>
        <w:gridCol w:w="2247"/>
        <w:gridCol w:w="2612"/>
      </w:tblGrid>
      <w:tr>
        <w:trPr>
          <w:trHeight w:val="398"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1"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类型</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日期</w:t>
            </w:r>
          </w:p>
        </w:tc>
        <w:tc>
          <w:tcPr>
            <w:tcW w:w="2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原因</w:t>
            </w:r>
          </w:p>
        </w:tc>
      </w:tr>
    </w:tbl>
    <w:p>
      <w:pPr>
        <w:spacing w:after="0" w:line="240" w:lineRule="auto"/>
        <w:jc w:val="center"/>
        <w:rPr>
          <w:rFonts w:ascii="宋体" w:hAnsi="宋体" w:cs="宋体" w:eastAsia="宋体" w:hint="default"/>
          <w:sz w:val="21"/>
          <w:szCs w:val="21"/>
        </w:rPr>
        <w:sectPr>
          <w:pgSz w:w="11910" w:h="16840"/>
          <w:pgMar w:header="906" w:footer="1022" w:top="1100" w:bottom="1220" w:left="66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30"/>
        <w:gridCol w:w="1925"/>
        <w:gridCol w:w="1455"/>
        <w:gridCol w:w="2247"/>
        <w:gridCol w:w="2612"/>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郭晨</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55"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董事会换届选举</w:t>
            </w:r>
          </w:p>
        </w:tc>
      </w:tr>
      <w:tr>
        <w:trPr>
          <w:trHeight w:val="39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周超</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副总经理、董事</w:t>
            </w:r>
          </w:p>
        </w:tc>
        <w:tc>
          <w:tcPr>
            <w:tcW w:w="1455"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董事会换届选举</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何利</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55"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6" w:right="0"/>
              <w:jc w:val="left"/>
              <w:rPr>
                <w:rFonts w:ascii="宋体" w:hAnsi="宋体" w:cs="宋体" w:eastAsia="宋体" w:hint="default"/>
                <w:sz w:val="21"/>
                <w:szCs w:val="21"/>
              </w:rPr>
            </w:pPr>
            <w:r>
              <w:rPr>
                <w:rFonts w:ascii="宋体" w:hAnsi="宋体" w:cs="宋体" w:eastAsia="宋体" w:hint="default"/>
                <w:sz w:val="21"/>
                <w:szCs w:val="21"/>
              </w:rPr>
              <w:t>董事会换届选举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韩旭</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55"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董事会换届选举</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张廷勇</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455"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监事会换届选举</w:t>
            </w:r>
          </w:p>
        </w:tc>
      </w:tr>
      <w:tr>
        <w:trPr>
          <w:trHeight w:val="39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曾滟</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55" w:type="dxa"/>
            <w:tcBorders>
              <w:top w:val="single" w:sz="4" w:space="0" w:color="000000"/>
              <w:left w:val="single" w:sz="4" w:space="0" w:color="000000"/>
              <w:bottom w:val="single" w:sz="4" w:space="0" w:color="000000"/>
              <w:right w:val="single" w:sz="4" w:space="0" w:color="000000"/>
            </w:tcBorders>
          </w:tcPr>
          <w:p>
            <w:pP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监事会换届选举</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葛愿</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6" w:right="0"/>
              <w:jc w:val="left"/>
              <w:rPr>
                <w:rFonts w:ascii="宋体" w:hAnsi="宋体" w:cs="宋体" w:eastAsia="宋体" w:hint="default"/>
                <w:sz w:val="21"/>
                <w:szCs w:val="21"/>
              </w:rPr>
            </w:pPr>
            <w:r>
              <w:rPr>
                <w:rFonts w:ascii="宋体" w:hAnsi="宋体" w:cs="宋体" w:eastAsia="宋体" w:hint="default"/>
                <w:sz w:val="21"/>
                <w:szCs w:val="21"/>
              </w:rPr>
              <w:t>董事会换届离任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武文杰</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董事会换届离任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宋丽君</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董事会换届离任</w:t>
            </w:r>
          </w:p>
        </w:tc>
      </w:tr>
      <w:tr>
        <w:trPr>
          <w:trHeight w:val="39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陈任峰</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董事会换届离任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张文虎</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6" w:right="0"/>
              <w:jc w:val="left"/>
              <w:rPr>
                <w:rFonts w:ascii="宋体" w:hAnsi="宋体" w:cs="宋体" w:eastAsia="宋体" w:hint="default"/>
                <w:sz w:val="21"/>
                <w:szCs w:val="21"/>
              </w:rPr>
            </w:pPr>
            <w:r>
              <w:rPr>
                <w:rFonts w:ascii="宋体" w:hAnsi="宋体" w:cs="宋体" w:eastAsia="宋体" w:hint="default"/>
                <w:sz w:val="21"/>
                <w:szCs w:val="21"/>
              </w:rPr>
              <w:t>监事会换届离任</w:t>
            </w:r>
          </w:p>
        </w:tc>
      </w:tr>
      <w:tr>
        <w:trPr>
          <w:trHeight w:val="40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甘洪亮</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1"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6" w:right="0"/>
              <w:jc w:val="left"/>
              <w:rPr>
                <w:rFonts w:ascii="宋体" w:hAnsi="宋体" w:cs="宋体" w:eastAsia="宋体" w:hint="default"/>
                <w:sz w:val="21"/>
                <w:szCs w:val="21"/>
              </w:rPr>
            </w:pPr>
            <w:r>
              <w:rPr>
                <w:rFonts w:ascii="宋体" w:hAnsi="宋体" w:cs="宋体" w:eastAsia="宋体" w:hint="default"/>
                <w:sz w:val="21"/>
                <w:szCs w:val="21"/>
              </w:rPr>
              <w:t>监事会换届离任</w:t>
            </w:r>
          </w:p>
        </w:tc>
      </w:tr>
    </w:tbl>
    <w:p>
      <w:pPr>
        <w:spacing w:line="240" w:lineRule="auto" w:before="9"/>
        <w:rPr>
          <w:rFonts w:ascii="宋体" w:hAnsi="宋体" w:cs="宋体" w:eastAsia="宋体" w:hint="default"/>
          <w:sz w:val="17"/>
          <w:szCs w:val="17"/>
        </w:rPr>
      </w:pPr>
    </w:p>
    <w:p>
      <w:pPr>
        <w:pStyle w:val="Heading2"/>
        <w:spacing w:line="240" w:lineRule="auto" w:before="26"/>
        <w:ind w:right="1002"/>
        <w:jc w:val="left"/>
        <w:rPr>
          <w:b w:val="0"/>
          <w:bCs w:val="0"/>
        </w:rPr>
      </w:pPr>
      <w:bookmarkStart w:name="三、任职情况" w:id="131"/>
      <w:bookmarkEnd w:id="131"/>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公司现任董事、监事、高级管理人员专业背景、主要工作经历以及目前在公司的主要职责</w:t>
      </w:r>
    </w:p>
    <w:p>
      <w:pPr>
        <w:spacing w:line="240" w:lineRule="auto" w:before="11"/>
        <w:rPr>
          <w:rFonts w:ascii="宋体" w:hAnsi="宋体" w:cs="宋体" w:eastAsia="宋体" w:hint="default"/>
          <w:sz w:val="13"/>
          <w:szCs w:val="13"/>
        </w:rPr>
      </w:pPr>
    </w:p>
    <w:p>
      <w:pPr>
        <w:pStyle w:val="BodyText"/>
        <w:spacing w:line="348" w:lineRule="auto" w:before="0"/>
        <w:ind w:right="1002" w:firstLine="451"/>
        <w:jc w:val="left"/>
      </w:pPr>
      <w:r>
        <w:rPr>
          <w:spacing w:val="-3"/>
        </w:rPr>
        <w:t>瞿洪桂，男，中国国籍，未拥有永久境外居留权，</w:t>
      </w:r>
      <w:r>
        <w:rPr>
          <w:rFonts w:ascii="宋体" w:hAnsi="宋体" w:cs="宋体" w:eastAsia="宋体" w:hint="default"/>
          <w:spacing w:val="-3"/>
        </w:rPr>
        <w:t>1965</w:t>
      </w:r>
      <w:r>
        <w:rPr>
          <w:spacing w:val="-3"/>
        </w:rPr>
        <w:t>年</w:t>
      </w:r>
      <w:r>
        <w:rPr>
          <w:rFonts w:ascii="宋体" w:hAnsi="宋体" w:cs="宋体" w:eastAsia="宋体" w:hint="default"/>
          <w:spacing w:val="-3"/>
        </w:rPr>
        <w:t>1</w:t>
      </w:r>
      <w:r>
        <w:rPr>
          <w:spacing w:val="-3"/>
        </w:rPr>
        <w:t>月出生，中共党员，毕业于电子科技大学，</w:t>
      </w:r>
      <w:r>
        <w:rPr>
          <w:w w:val="100"/>
        </w:rPr>
        <w:t> </w:t>
      </w:r>
      <w:r>
        <w:rPr/>
        <w:t>研究生学历、硕士学位，高级工程师，国家一级注册建造师，计算机信息系统集成高级项目经理。曾任电</w:t>
      </w:r>
      <w:r>
        <w:rPr>
          <w:w w:val="100"/>
        </w:rPr>
        <w:t> </w:t>
      </w:r>
      <w:r>
        <w:rPr>
          <w:spacing w:val="-4"/>
        </w:rPr>
        <w:t>子工业部中国电子器材总公司工程师、部门经理、工程公司总经理。报告期内，担任公司董事长、总经理，</w:t>
      </w:r>
      <w:r>
        <w:rPr>
          <w:spacing w:val="-43"/>
        </w:rPr>
        <w:t> </w:t>
      </w:r>
      <w:r>
        <w:rPr>
          <w:spacing w:val="-43"/>
        </w:rPr>
      </w:r>
      <w:r>
        <w:rPr/>
        <w:t>北京中电兴发科技有限公司董事长、总裁等职务。瞿洪桂先生还担任海淀区工商联执委、常委，电子科技</w:t>
      </w:r>
      <w:r>
        <w:rPr>
          <w:w w:val="100"/>
        </w:rPr>
        <w:t> </w:t>
      </w:r>
      <w:r>
        <w:rPr/>
        <w:t>大学研究员，电子科技大学警用装备研究联合实验室建设委员会副主任、学术委员会委员，全国警用装备</w:t>
      </w:r>
      <w:r>
        <w:rPr>
          <w:w w:val="100"/>
        </w:rPr>
        <w:t> </w:t>
      </w:r>
      <w:r>
        <w:rPr/>
        <w:t>标准化技术委员会第一届委员会通讯委员，工业和信息化部中国电子商会物联网应用专业委员会副会长，</w:t>
      </w:r>
      <w:r>
        <w:rPr>
          <w:w w:val="100"/>
        </w:rPr>
        <w:t> </w:t>
      </w:r>
      <w:r>
        <w:rPr/>
        <w:t>住房和城乡建设部中国建筑业协会智能建筑分会专家，北京市智能建筑协会专家，曾获得四川省科学技术</w:t>
      </w:r>
      <w:r>
        <w:rPr>
          <w:w w:val="100"/>
        </w:rPr>
        <w:t> </w:t>
      </w:r>
      <w:r>
        <w:rPr/>
        <w:t>进步二等奖、中共海淀区委海淀园工作委员会优秀党务工作者等荣誉称号。</w:t>
      </w:r>
    </w:p>
    <w:p>
      <w:pPr>
        <w:pStyle w:val="BodyText"/>
        <w:spacing w:line="350" w:lineRule="auto" w:before="29"/>
        <w:ind w:right="1002" w:firstLine="422"/>
        <w:jc w:val="left"/>
      </w:pPr>
      <w:r>
        <w:rPr/>
        <w:t>束龙胜，男，中国国籍，未拥有永久境外居留权，</w:t>
      </w:r>
      <w:r>
        <w:rPr>
          <w:rFonts w:ascii="宋体" w:hAnsi="宋体" w:cs="宋体" w:eastAsia="宋体" w:hint="default"/>
        </w:rPr>
        <w:t>1963</w:t>
      </w:r>
      <w:r>
        <w:rPr/>
        <w:t>年</w:t>
      </w:r>
      <w:r>
        <w:rPr>
          <w:rFonts w:ascii="宋体" w:hAnsi="宋体" w:cs="宋体" w:eastAsia="宋体" w:hint="default"/>
        </w:rPr>
        <w:t>5</w:t>
      </w:r>
      <w:r>
        <w:rPr/>
        <w:t>月出生，研究生学历，高级工程师。曾任</w:t>
      </w:r>
      <w:r>
        <w:rPr>
          <w:w w:val="100"/>
        </w:rPr>
        <w:t> </w:t>
      </w:r>
      <w:r>
        <w:rPr>
          <w:spacing w:val="-2"/>
        </w:rPr>
        <w:t>铜陵市磷铵厂技术员，芜湖市电器设备厂厂长、芜湖市时创信用担保有限公司董事。自</w:t>
      </w:r>
      <w:r>
        <w:rPr>
          <w:rFonts w:ascii="宋体" w:hAnsi="宋体" w:cs="宋体" w:eastAsia="宋体" w:hint="default"/>
          <w:spacing w:val="-2"/>
        </w:rPr>
        <w:t>2008</w:t>
      </w:r>
      <w:r>
        <w:rPr>
          <w:spacing w:val="-2"/>
        </w:rPr>
        <w:t>年起至</w:t>
      </w:r>
      <w:r>
        <w:rPr>
          <w:rFonts w:ascii="宋体" w:hAnsi="宋体" w:cs="宋体" w:eastAsia="宋体" w:hint="default"/>
          <w:spacing w:val="-2"/>
        </w:rPr>
        <w:t>2018</w:t>
      </w:r>
      <w:r>
        <w:rPr>
          <w:spacing w:val="-2"/>
        </w:rPr>
        <w:t>年</w:t>
      </w:r>
      <w:r>
        <w:rPr>
          <w:spacing w:val="-22"/>
        </w:rPr>
        <w:t> </w:t>
      </w:r>
      <w:r>
        <w:rPr>
          <w:spacing w:val="-2"/>
        </w:rPr>
        <w:t>末，担任公司董事会董事长。报告期内，担任公司副董事长，芜湖市鑫诚科技投资有限公司董事长，安徽</w:t>
      </w:r>
      <w:r>
        <w:rPr>
          <w:spacing w:val="-38"/>
        </w:rPr>
        <w:t> </w:t>
      </w:r>
      <w:r>
        <w:rPr>
          <w:spacing w:val="-38"/>
        </w:rPr>
      </w:r>
      <w:r>
        <w:rPr>
          <w:spacing w:val="-2"/>
        </w:rPr>
        <w:t>鑫龙自动化有限公司董事长、安徽鑫龙变压器有限公司董事长，安徽鑫东投资管理有限公司董事长，芜湖</w:t>
      </w:r>
      <w:r>
        <w:rPr>
          <w:spacing w:val="-33"/>
        </w:rPr>
        <w:t> </w:t>
      </w:r>
      <w:r>
        <w:rPr>
          <w:spacing w:val="-33"/>
        </w:rPr>
      </w:r>
      <w:r>
        <w:rPr>
          <w:spacing w:val="-2"/>
        </w:rPr>
        <w:t>斯高思电器有限公司董事长。束龙胜先生曾任中国电工技术学会青年工作委员会委员、安徽省政协委员、</w:t>
      </w:r>
      <w:r>
        <w:rPr>
          <w:spacing w:val="-13"/>
        </w:rPr>
        <w:t> </w:t>
      </w:r>
      <w:r>
        <w:rPr>
          <w:spacing w:val="-13"/>
        </w:rPr>
      </w:r>
      <w:r>
        <w:rPr>
          <w:spacing w:val="-2"/>
        </w:rPr>
        <w:t>芜湖市政协常委、芜湖市第十三届人大代表、芜湖市工商业联合会第十届委员会会长，并获得全国工商业</w:t>
      </w:r>
      <w:r>
        <w:rPr>
          <w:spacing w:val="-33"/>
        </w:rPr>
        <w:t> </w:t>
      </w:r>
      <w:r>
        <w:rPr>
          <w:spacing w:val="-33"/>
        </w:rPr>
      </w:r>
      <w:r>
        <w:rPr>
          <w:spacing w:val="-2"/>
        </w:rPr>
        <w:t>联合会中华全国总工会关爱员工优秀民营企业家、安徽省劳动模范、安徽省优秀民营科技企业家、安徽省</w:t>
      </w:r>
      <w:r>
        <w:rPr>
          <w:spacing w:val="-33"/>
        </w:rPr>
        <w:t> </w:t>
      </w:r>
      <w:r>
        <w:rPr>
          <w:spacing w:val="-33"/>
        </w:rPr>
      </w:r>
      <w:r>
        <w:rPr/>
        <w:t>优秀民营企业家、安徽省年度经济人物、芜湖市创新创业优秀人才、合芜蚌自主创新人才等荣誉称号。</w:t>
      </w:r>
    </w:p>
    <w:p>
      <w:pPr>
        <w:pStyle w:val="BodyText"/>
        <w:spacing w:line="350" w:lineRule="auto" w:before="27"/>
        <w:ind w:right="1002" w:firstLine="422"/>
        <w:jc w:val="left"/>
      </w:pPr>
      <w:r>
        <w:rPr/>
        <w:t>汪宇，男，中国国籍，未拥有永久境外居留权，</w:t>
      </w:r>
      <w:r>
        <w:rPr>
          <w:rFonts w:ascii="宋体" w:hAnsi="宋体" w:cs="宋体" w:eastAsia="宋体" w:hint="default"/>
        </w:rPr>
        <w:t>1970</w:t>
      </w:r>
      <w:r>
        <w:rPr/>
        <w:t>年</w:t>
      </w:r>
      <w:r>
        <w:rPr>
          <w:rFonts w:ascii="宋体" w:hAnsi="宋体" w:cs="宋体" w:eastAsia="宋体" w:hint="default"/>
        </w:rPr>
        <w:t>4</w:t>
      </w:r>
      <w:r>
        <w:rPr/>
        <w:t>月出生，中共党员，研究生学历，会计师，</w:t>
      </w:r>
      <w:r>
        <w:rPr>
          <w:w w:val="100"/>
        </w:rPr>
        <w:t> </w:t>
      </w:r>
      <w:r>
        <w:rPr>
          <w:spacing w:val="-2"/>
        </w:rPr>
        <w:t>安徽省劳动模范、芜湖市第十五届人大代表、中共芜湖市党代表。曾任芜湖缝纫机厂财务科副科长、副厂</w:t>
      </w:r>
      <w:r>
        <w:rPr>
          <w:spacing w:val="-33"/>
        </w:rPr>
        <w:t> </w:t>
      </w:r>
      <w:r>
        <w:rPr>
          <w:spacing w:val="-33"/>
        </w:rPr>
      </w:r>
      <w:r>
        <w:rPr>
          <w:spacing w:val="-2"/>
        </w:rPr>
        <w:t>长、厂长，芜湖凯元集团副总裁、总裁，本公司财务部经理、财务负责人。报告期内，担任公司常务副总</w:t>
      </w:r>
    </w:p>
    <w:p>
      <w:pPr>
        <w:spacing w:after="0" w:line="35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25"/>
        <w:jc w:val="both"/>
      </w:pPr>
      <w:r>
        <w:rPr>
          <w:spacing w:val="-2"/>
        </w:rPr>
        <w:t>经理、董事会秘书、董事，北京中电兴发科技有限公司董事、苏州开关二厂有限公司董事、安徽鑫龙电器</w:t>
      </w:r>
      <w:r>
        <w:rPr>
          <w:spacing w:val="-36"/>
        </w:rPr>
        <w:t> </w:t>
      </w:r>
      <w:r>
        <w:rPr>
          <w:spacing w:val="-36"/>
        </w:rPr>
      </w:r>
      <w:r>
        <w:rPr>
          <w:spacing w:val="-2"/>
        </w:rPr>
        <w:t>股份有限公司董事、安徽森源电器有限公司董事、安徽佑赛科技股份有限公司董事、安徽鑫龙低压电器有</w:t>
      </w:r>
      <w:r>
        <w:rPr>
          <w:spacing w:val="-33"/>
        </w:rPr>
        <w:t> </w:t>
      </w:r>
      <w:r>
        <w:rPr>
          <w:spacing w:val="-33"/>
        </w:rPr>
      </w:r>
      <w:r>
        <w:rPr/>
        <w:t>限公司董事、安徽鑫龙变压器有限公司董事、安徽美能储能有限公司监事。</w:t>
      </w:r>
    </w:p>
    <w:p>
      <w:pPr>
        <w:pStyle w:val="BodyText"/>
        <w:spacing w:line="350" w:lineRule="auto" w:before="27"/>
        <w:ind w:right="1002" w:firstLine="422"/>
        <w:jc w:val="left"/>
      </w:pPr>
      <w:r>
        <w:rPr>
          <w:spacing w:val="-2"/>
        </w:rPr>
        <w:t>郭晨，男，中国国籍，未拥有永久境外居留权，</w:t>
      </w:r>
      <w:r>
        <w:rPr>
          <w:rFonts w:ascii="宋体" w:hAnsi="宋体" w:cs="宋体" w:eastAsia="宋体" w:hint="default"/>
          <w:spacing w:val="-2"/>
        </w:rPr>
        <w:t>1983</w:t>
      </w:r>
      <w:r>
        <w:rPr>
          <w:spacing w:val="-2"/>
        </w:rPr>
        <w:t>年</w:t>
      </w:r>
      <w:r>
        <w:rPr>
          <w:rFonts w:ascii="宋体" w:hAnsi="宋体" w:cs="宋体" w:eastAsia="宋体" w:hint="default"/>
          <w:spacing w:val="-2"/>
        </w:rPr>
        <w:t>6</w:t>
      </w:r>
      <w:r>
        <w:rPr>
          <w:spacing w:val="-2"/>
        </w:rPr>
        <w:t>月生，研究生学历、硕士学位。</w:t>
      </w:r>
      <w:r>
        <w:rPr>
          <w:rFonts w:ascii="宋体" w:hAnsi="宋体" w:cs="宋体" w:eastAsia="宋体" w:hint="default"/>
          <w:spacing w:val="-2"/>
        </w:rPr>
        <w:t>2005</w:t>
      </w:r>
      <w:r>
        <w:rPr>
          <w:spacing w:val="-2"/>
        </w:rPr>
        <w:t>年</w:t>
      </w:r>
      <w:r>
        <w:rPr>
          <w:rFonts w:ascii="宋体" w:hAnsi="宋体" w:cs="宋体" w:eastAsia="宋体" w:hint="default"/>
          <w:spacing w:val="-2"/>
        </w:rPr>
        <w:t>5</w:t>
      </w:r>
      <w:r>
        <w:rPr>
          <w:spacing w:val="-2"/>
        </w:rPr>
        <w:t>月至</w:t>
      </w:r>
      <w:r>
        <w:rPr>
          <w:w w:val="100"/>
        </w:rPr>
        <w:t> </w:t>
      </w:r>
      <w:r>
        <w:rPr>
          <w:rFonts w:ascii="宋体" w:hAnsi="宋体" w:cs="宋体" w:eastAsia="宋体" w:hint="default"/>
        </w:rPr>
        <w:t>2006</w:t>
      </w:r>
      <w:r>
        <w:rPr/>
        <w:t>年</w:t>
      </w:r>
      <w:r>
        <w:rPr>
          <w:rFonts w:ascii="宋体" w:hAnsi="宋体" w:cs="宋体" w:eastAsia="宋体" w:hint="default"/>
        </w:rPr>
        <w:t>2</w:t>
      </w:r>
      <w:r>
        <w:rPr/>
        <w:t>月就职天津通信广播电视集团，担任研发工程师；</w:t>
      </w:r>
      <w:r>
        <w:rPr>
          <w:rFonts w:ascii="宋体" w:hAnsi="宋体" w:cs="宋体" w:eastAsia="宋体" w:hint="default"/>
        </w:rPr>
        <w:t>2006</w:t>
      </w:r>
      <w:r>
        <w:rPr/>
        <w:t>年</w:t>
      </w:r>
      <w:r>
        <w:rPr>
          <w:rFonts w:ascii="宋体" w:hAnsi="宋体" w:cs="宋体" w:eastAsia="宋体" w:hint="default"/>
        </w:rPr>
        <w:t>3</w:t>
      </w:r>
      <w:r>
        <w:rPr/>
        <w:t>月至</w:t>
      </w:r>
      <w:r>
        <w:rPr>
          <w:rFonts w:ascii="宋体" w:hAnsi="宋体" w:cs="宋体" w:eastAsia="宋体" w:hint="default"/>
        </w:rPr>
        <w:t>2007</w:t>
      </w:r>
      <w:r>
        <w:rPr/>
        <w:t>年</w:t>
      </w:r>
      <w:r>
        <w:rPr>
          <w:rFonts w:ascii="宋体" w:hAnsi="宋体" w:cs="宋体" w:eastAsia="宋体" w:hint="default"/>
        </w:rPr>
        <w:t>9</w:t>
      </w:r>
      <w:r>
        <w:rPr/>
        <w:t>月就职天津天地伟业数码</w:t>
      </w:r>
      <w:r>
        <w:rPr>
          <w:w w:val="100"/>
        </w:rPr>
        <w:t> </w:t>
      </w:r>
      <w:r>
        <w:rPr>
          <w:spacing w:val="-2"/>
        </w:rPr>
        <w:t>科技有限公司，担任研发工程师；</w:t>
      </w:r>
      <w:r>
        <w:rPr>
          <w:rFonts w:ascii="宋体" w:hAnsi="宋体" w:cs="宋体" w:eastAsia="宋体" w:hint="default"/>
          <w:spacing w:val="-2"/>
        </w:rPr>
        <w:t>2007</w:t>
      </w:r>
      <w:r>
        <w:rPr>
          <w:spacing w:val="-2"/>
        </w:rPr>
        <w:t>年</w:t>
      </w:r>
      <w:r>
        <w:rPr>
          <w:rFonts w:ascii="宋体" w:hAnsi="宋体" w:cs="宋体" w:eastAsia="宋体" w:hint="default"/>
          <w:spacing w:val="-2"/>
        </w:rPr>
        <w:t>10</w:t>
      </w:r>
      <w:r>
        <w:rPr>
          <w:spacing w:val="-2"/>
        </w:rPr>
        <w:t>月至今就职北京中电兴发科技有限公司，历任研发工程师、研</w:t>
      </w:r>
      <w:r>
        <w:rPr>
          <w:spacing w:val="-24"/>
        </w:rPr>
        <w:t> </w:t>
      </w:r>
      <w:r>
        <w:rPr>
          <w:spacing w:val="-24"/>
        </w:rPr>
      </w:r>
      <w:r>
        <w:rPr/>
        <w:t>发经理、总裁助理、副总裁，现任公司董事、北京中电兴发科技有限公司副总裁。</w:t>
      </w:r>
    </w:p>
    <w:p>
      <w:pPr>
        <w:pStyle w:val="BodyText"/>
        <w:spacing w:line="350" w:lineRule="auto" w:before="27"/>
        <w:ind w:right="1012" w:firstLine="422"/>
        <w:jc w:val="left"/>
      </w:pPr>
      <w:r>
        <w:rPr/>
        <w:t>周超，男，中国国籍，未拥有永久境外居留权，</w:t>
      </w:r>
      <w:r>
        <w:rPr>
          <w:rFonts w:ascii="宋体" w:hAnsi="宋体" w:cs="宋体" w:eastAsia="宋体" w:hint="default"/>
        </w:rPr>
        <w:t>1984</w:t>
      </w:r>
      <w:r>
        <w:rPr/>
        <w:t>年</w:t>
      </w:r>
      <w:r>
        <w:rPr>
          <w:rFonts w:ascii="宋体" w:hAnsi="宋体" w:cs="宋体" w:eastAsia="宋体" w:hint="default"/>
        </w:rPr>
        <w:t>6</w:t>
      </w:r>
      <w:r>
        <w:rPr/>
        <w:t>月生，本科学历、学士学位，智慧城市设计</w:t>
      </w:r>
      <w:r>
        <w:rPr>
          <w:w w:val="100"/>
        </w:rPr>
        <w:t> </w:t>
      </w:r>
      <w:r>
        <w:rPr/>
        <w:t>师。</w:t>
      </w:r>
      <w:r>
        <w:rPr>
          <w:rFonts w:ascii="宋体" w:hAnsi="宋体" w:cs="宋体" w:eastAsia="宋体" w:hint="default"/>
        </w:rPr>
        <w:t>2006</w:t>
      </w:r>
      <w:r>
        <w:rPr/>
        <w:t>年</w:t>
      </w:r>
      <w:r>
        <w:rPr>
          <w:rFonts w:ascii="宋体" w:hAnsi="宋体" w:cs="宋体" w:eastAsia="宋体" w:hint="default"/>
        </w:rPr>
        <w:t>7</w:t>
      </w:r>
      <w:r>
        <w:rPr/>
        <w:t>月至</w:t>
      </w:r>
      <w:r>
        <w:rPr>
          <w:rFonts w:ascii="宋体" w:hAnsi="宋体" w:cs="宋体" w:eastAsia="宋体" w:hint="default"/>
        </w:rPr>
        <w:t>2008</w:t>
      </w:r>
      <w:r>
        <w:rPr/>
        <w:t>年</w:t>
      </w:r>
      <w:r>
        <w:rPr>
          <w:rFonts w:ascii="宋体" w:hAnsi="宋体" w:cs="宋体" w:eastAsia="宋体" w:hint="default"/>
        </w:rPr>
        <w:t>2</w:t>
      </w:r>
      <w:r>
        <w:rPr/>
        <w:t>月在天地伟业技术有限公司担任软件工程师；</w:t>
      </w:r>
      <w:r>
        <w:rPr>
          <w:rFonts w:ascii="宋体" w:hAnsi="宋体" w:cs="宋体" w:eastAsia="宋体" w:hint="default"/>
        </w:rPr>
        <w:t>2008</w:t>
      </w:r>
      <w:r>
        <w:rPr/>
        <w:t>年</w:t>
      </w:r>
      <w:r>
        <w:rPr>
          <w:rFonts w:ascii="宋体" w:hAnsi="宋体" w:cs="宋体" w:eastAsia="宋体" w:hint="default"/>
        </w:rPr>
        <w:t>3</w:t>
      </w:r>
      <w:r>
        <w:rPr/>
        <w:t>月至今在北京中电兴发科</w:t>
      </w:r>
      <w:r>
        <w:rPr>
          <w:w w:val="100"/>
        </w:rPr>
        <w:t> </w:t>
      </w:r>
      <w:r>
        <w:rPr>
          <w:spacing w:val="-4"/>
          <w:w w:val="100"/>
        </w:rPr>
        <w:t>技有限公司，历任基础软件部经理、硬件部经理、研发中心总监、总裁助理（分管供应链、产品、市场）、</w:t>
      </w:r>
      <w:r>
        <w:rPr>
          <w:spacing w:val="-104"/>
          <w:w w:val="100"/>
        </w:rPr>
        <w:t> </w:t>
      </w:r>
      <w:r>
        <w:rPr>
          <w:spacing w:val="-104"/>
          <w:w w:val="100"/>
        </w:rPr>
      </w:r>
      <w:r>
        <w:rPr>
          <w:spacing w:val="-4"/>
          <w:w w:val="100"/>
        </w:rPr>
        <w:t>副总裁（分管智慧城市研究院、研发中心），现任公司董事、北京中电兴发科技有限公司副总裁、云南省</w:t>
      </w:r>
      <w:r>
        <w:rPr>
          <w:spacing w:val="-83"/>
          <w:w w:val="100"/>
        </w:rPr>
        <w:t> </w:t>
      </w:r>
      <w:r>
        <w:rPr>
          <w:spacing w:val="-83"/>
          <w:w w:val="100"/>
        </w:rPr>
      </w:r>
      <w:r>
        <w:rPr/>
        <w:t>子公司董事长、云南中电典基网络科技有限公司董事长、红河智慧科技有限公司总经理。</w:t>
      </w:r>
    </w:p>
    <w:p>
      <w:pPr>
        <w:pStyle w:val="BodyText"/>
        <w:spacing w:line="348" w:lineRule="auto" w:before="27"/>
        <w:ind w:right="1002" w:firstLine="422"/>
        <w:jc w:val="left"/>
      </w:pPr>
      <w:r>
        <w:rPr>
          <w:spacing w:val="-2"/>
        </w:rPr>
        <w:t>何利，男，中国国籍，未拥有永久境外居留权，</w:t>
      </w:r>
      <w:r>
        <w:rPr>
          <w:rFonts w:ascii="宋体" w:hAnsi="宋体" w:cs="宋体" w:eastAsia="宋体" w:hint="default"/>
          <w:spacing w:val="-2"/>
        </w:rPr>
        <w:t>1967</w:t>
      </w:r>
      <w:r>
        <w:rPr>
          <w:spacing w:val="-2"/>
        </w:rPr>
        <w:t>年</w:t>
      </w:r>
      <w:r>
        <w:rPr>
          <w:rFonts w:ascii="宋体" w:hAnsi="宋体" w:cs="宋体" w:eastAsia="宋体" w:hint="default"/>
          <w:spacing w:val="-2"/>
        </w:rPr>
        <w:t>5</w:t>
      </w:r>
      <w:r>
        <w:rPr>
          <w:spacing w:val="-2"/>
        </w:rPr>
        <w:t>月生，研究生学历、硕士学位，高级工程师。</w:t>
      </w:r>
      <w:r>
        <w:rPr>
          <w:w w:val="100"/>
        </w:rPr>
        <w:t> </w:t>
      </w:r>
      <w:r>
        <w:rPr>
          <w:rFonts w:ascii="宋体" w:hAnsi="宋体" w:cs="宋体" w:eastAsia="宋体" w:hint="default"/>
        </w:rPr>
        <w:t>1991</w:t>
      </w:r>
      <w:r>
        <w:rPr/>
        <w:t>年</w:t>
      </w:r>
      <w:r>
        <w:rPr>
          <w:rFonts w:ascii="宋体" w:hAnsi="宋体" w:cs="宋体" w:eastAsia="宋体" w:hint="default"/>
        </w:rPr>
        <w:t>9</w:t>
      </w:r>
      <w:r>
        <w:rPr/>
        <w:t>月至</w:t>
      </w:r>
      <w:r>
        <w:rPr>
          <w:rFonts w:ascii="宋体" w:hAnsi="宋体" w:cs="宋体" w:eastAsia="宋体" w:hint="default"/>
        </w:rPr>
        <w:t>1992</w:t>
      </w:r>
      <w:r>
        <w:rPr/>
        <w:t>年</w:t>
      </w:r>
      <w:r>
        <w:rPr>
          <w:rFonts w:ascii="宋体" w:hAnsi="宋体" w:cs="宋体" w:eastAsia="宋体" w:hint="default"/>
        </w:rPr>
        <w:t>9</w:t>
      </w:r>
      <w:r>
        <w:rPr/>
        <w:t>月石家庄飞机制造厂任工艺员；</w:t>
      </w:r>
      <w:r>
        <w:rPr>
          <w:rFonts w:ascii="宋体" w:hAnsi="宋体" w:cs="宋体" w:eastAsia="宋体" w:hint="default"/>
        </w:rPr>
        <w:t>1992</w:t>
      </w:r>
      <w:r>
        <w:rPr/>
        <w:t>年</w:t>
      </w:r>
      <w:r>
        <w:rPr>
          <w:rFonts w:ascii="宋体" w:hAnsi="宋体" w:cs="宋体" w:eastAsia="宋体" w:hint="default"/>
        </w:rPr>
        <w:t>10</w:t>
      </w:r>
      <w:r>
        <w:rPr/>
        <w:t>月至</w:t>
      </w:r>
      <w:r>
        <w:rPr>
          <w:spacing w:val="-13"/>
        </w:rPr>
        <w:t> </w:t>
      </w:r>
      <w:r>
        <w:rPr>
          <w:rFonts w:ascii="宋体" w:hAnsi="宋体" w:cs="宋体" w:eastAsia="宋体" w:hint="default"/>
        </w:rPr>
        <w:t>2003</w:t>
      </w:r>
      <w:r>
        <w:rPr/>
        <w:t>年</w:t>
      </w:r>
      <w:r>
        <w:rPr>
          <w:rFonts w:ascii="宋体" w:hAnsi="宋体" w:cs="宋体" w:eastAsia="宋体" w:hint="default"/>
        </w:rPr>
        <w:t>4</w:t>
      </w:r>
      <w:r>
        <w:rPr/>
        <w:t>月在石家庄泛安科技开发有限</w:t>
      </w:r>
      <w:r>
        <w:rPr>
          <w:w w:val="100"/>
        </w:rPr>
        <w:t> </w:t>
      </w:r>
      <w:r>
        <w:rPr/>
        <w:t>公司任副总经理、总工程师；</w:t>
      </w:r>
      <w:r>
        <w:rPr>
          <w:rFonts w:ascii="宋体" w:hAnsi="宋体" w:cs="宋体" w:eastAsia="宋体" w:hint="default"/>
        </w:rPr>
        <w:t>2003</w:t>
      </w:r>
      <w:r>
        <w:rPr/>
        <w:t>年</w:t>
      </w:r>
      <w:r>
        <w:rPr>
          <w:rFonts w:ascii="宋体" w:hAnsi="宋体" w:cs="宋体" w:eastAsia="宋体" w:hint="default"/>
        </w:rPr>
        <w:t>5</w:t>
      </w:r>
      <w:r>
        <w:rPr/>
        <w:t>月至</w:t>
      </w:r>
      <w:r>
        <w:rPr>
          <w:rFonts w:ascii="宋体" w:hAnsi="宋体" w:cs="宋体" w:eastAsia="宋体" w:hint="default"/>
        </w:rPr>
        <w:t>2006</w:t>
      </w:r>
      <w:r>
        <w:rPr/>
        <w:t>年</w:t>
      </w:r>
      <w:r>
        <w:rPr>
          <w:rFonts w:ascii="宋体" w:hAnsi="宋体" w:cs="宋体" w:eastAsia="宋体" w:hint="default"/>
        </w:rPr>
        <w:t>4</w:t>
      </w:r>
      <w:r>
        <w:rPr/>
        <w:t>月石家庄通远智能系统技术有限公司任总经理；</w:t>
      </w:r>
      <w:r>
        <w:rPr>
          <w:rFonts w:ascii="宋体" w:hAnsi="宋体" w:cs="宋体" w:eastAsia="宋体" w:hint="default"/>
        </w:rPr>
        <w:t>2006</w:t>
      </w:r>
      <w:r>
        <w:rPr/>
        <w:t>年</w:t>
      </w:r>
      <w:r>
        <w:rPr>
          <w:w w:val="100"/>
        </w:rPr>
        <w:t> </w:t>
      </w:r>
      <w:r>
        <w:rPr>
          <w:rFonts w:ascii="宋体" w:hAnsi="宋体" w:cs="宋体" w:eastAsia="宋体" w:hint="default"/>
        </w:rPr>
        <w:t>5</w:t>
      </w:r>
      <w:r>
        <w:rPr/>
        <w:t>月至</w:t>
      </w:r>
      <w:r>
        <w:rPr>
          <w:rFonts w:ascii="宋体" w:hAnsi="宋体" w:cs="宋体" w:eastAsia="宋体" w:hint="default"/>
        </w:rPr>
        <w:t>2008</w:t>
      </w:r>
      <w:r>
        <w:rPr/>
        <w:t>年</w:t>
      </w:r>
      <w:r>
        <w:rPr>
          <w:rFonts w:ascii="宋体" w:hAnsi="宋体" w:cs="宋体" w:eastAsia="宋体" w:hint="default"/>
        </w:rPr>
        <w:t>8</w:t>
      </w:r>
      <w:r>
        <w:rPr/>
        <w:t>月北京中航弱电系统工程有限公司上海分公司任总经理，</w:t>
      </w:r>
      <w:r>
        <w:rPr>
          <w:rFonts w:ascii="宋体" w:hAnsi="宋体" w:cs="宋体" w:eastAsia="宋体" w:hint="default"/>
        </w:rPr>
        <w:t>2008</w:t>
      </w:r>
      <w:r>
        <w:rPr>
          <w:rFonts w:ascii="宋体" w:hAnsi="宋体" w:cs="宋体" w:eastAsia="宋体" w:hint="default"/>
          <w:spacing w:val="-11"/>
        </w:rPr>
        <w:t> </w:t>
      </w:r>
      <w:r>
        <w:rPr/>
        <w:t>年</w:t>
      </w:r>
      <w:r>
        <w:rPr>
          <w:rFonts w:ascii="宋体" w:hAnsi="宋体" w:cs="宋体" w:eastAsia="宋体" w:hint="default"/>
        </w:rPr>
        <w:t>9</w:t>
      </w:r>
      <w:r>
        <w:rPr/>
        <w:t>月至今在北京中电兴发科</w:t>
      </w:r>
      <w:r>
        <w:rPr>
          <w:w w:val="100"/>
        </w:rPr>
        <w:t> </w:t>
      </w:r>
      <w:r>
        <w:rPr/>
        <w:t>技有限公司工作，现任公司董事、北京中电兴发科技有限公司副总裁。</w:t>
      </w:r>
    </w:p>
    <w:p>
      <w:pPr>
        <w:pStyle w:val="BodyText"/>
        <w:spacing w:line="350" w:lineRule="auto" w:before="34"/>
        <w:ind w:right="1002" w:firstLine="633"/>
        <w:jc w:val="left"/>
      </w:pPr>
      <w:r>
        <w:rPr/>
        <w:t>韦俊，男，中国国籍，未拥有永久境外居留权，</w:t>
      </w:r>
      <w:r>
        <w:rPr>
          <w:rFonts w:ascii="宋体" w:hAnsi="宋体" w:cs="宋体" w:eastAsia="宋体" w:hint="default"/>
        </w:rPr>
        <w:t>1967</w:t>
      </w:r>
      <w:r>
        <w:rPr/>
        <w:t>年</w:t>
      </w:r>
      <w:r>
        <w:rPr>
          <w:rFonts w:ascii="宋体" w:hAnsi="宋体" w:cs="宋体" w:eastAsia="宋体" w:hint="default"/>
        </w:rPr>
        <w:t>4</w:t>
      </w:r>
      <w:r>
        <w:rPr/>
        <w:t>月生，中共党员，工学学士、工商管理硕</w:t>
      </w:r>
      <w:r>
        <w:rPr>
          <w:w w:val="100"/>
        </w:rPr>
        <w:t> </w:t>
      </w:r>
      <w:r>
        <w:rPr>
          <w:spacing w:val="-4"/>
        </w:rPr>
        <w:t>士，中国电子学会常务理事。</w:t>
      </w:r>
      <w:r>
        <w:rPr>
          <w:rFonts w:ascii="宋体" w:hAnsi="宋体" w:cs="宋体" w:eastAsia="宋体" w:hint="default"/>
          <w:spacing w:val="-4"/>
        </w:rPr>
        <w:t>1990</w:t>
      </w:r>
      <w:r>
        <w:rPr>
          <w:spacing w:val="-4"/>
        </w:rPr>
        <w:t>年至</w:t>
      </w:r>
      <w:r>
        <w:rPr>
          <w:rFonts w:ascii="宋体" w:hAnsi="宋体" w:cs="宋体" w:eastAsia="宋体" w:hint="default"/>
          <w:spacing w:val="-4"/>
        </w:rPr>
        <w:t>1993</w:t>
      </w:r>
      <w:r>
        <w:rPr>
          <w:spacing w:val="-4"/>
        </w:rPr>
        <w:t>年，任机械电子工业部电子行业发展司科员；</w:t>
      </w:r>
      <w:r>
        <w:rPr>
          <w:rFonts w:ascii="宋体" w:hAnsi="宋体" w:cs="宋体" w:eastAsia="宋体" w:hint="default"/>
          <w:spacing w:val="-4"/>
        </w:rPr>
        <w:t>1993</w:t>
      </w:r>
      <w:r>
        <w:rPr>
          <w:spacing w:val="-4"/>
        </w:rPr>
        <w:t>年</w:t>
      </w:r>
      <w:r>
        <w:rPr>
          <w:rFonts w:ascii="宋体" w:hAnsi="宋体" w:cs="宋体" w:eastAsia="宋体" w:hint="default"/>
          <w:spacing w:val="-4"/>
        </w:rPr>
        <w:t>4</w:t>
      </w:r>
      <w:r>
        <w:rPr>
          <w:spacing w:val="-4"/>
        </w:rPr>
        <w:t>月至</w:t>
      </w:r>
      <w:r>
        <w:rPr>
          <w:rFonts w:ascii="宋体" w:hAnsi="宋体" w:cs="宋体" w:eastAsia="宋体" w:hint="default"/>
          <w:spacing w:val="-4"/>
        </w:rPr>
        <w:t>1998</w:t>
      </w:r>
      <w:r>
        <w:rPr>
          <w:rFonts w:ascii="宋体" w:hAnsi="宋体" w:cs="宋体" w:eastAsia="宋体" w:hint="default"/>
          <w:spacing w:val="-13"/>
        </w:rPr>
        <w:t> </w:t>
      </w:r>
      <w:r>
        <w:rPr>
          <w:rFonts w:ascii="宋体" w:hAnsi="宋体" w:cs="宋体" w:eastAsia="宋体" w:hint="default"/>
          <w:spacing w:val="-13"/>
        </w:rPr>
      </w:r>
      <w:r>
        <w:rPr/>
        <w:t>年</w:t>
      </w:r>
      <w:r>
        <w:rPr>
          <w:rFonts w:ascii="宋体" w:hAnsi="宋体" w:cs="宋体" w:eastAsia="宋体" w:hint="default"/>
        </w:rPr>
        <w:t>3</w:t>
      </w:r>
      <w:r>
        <w:rPr/>
        <w:t>月，任电子工业部综合规划司副处长；</w:t>
      </w:r>
      <w:r>
        <w:rPr>
          <w:rFonts w:ascii="宋体" w:hAnsi="宋体" w:cs="宋体" w:eastAsia="宋体" w:hint="default"/>
        </w:rPr>
        <w:t>1998</w:t>
      </w:r>
      <w:r>
        <w:rPr/>
        <w:t>年</w:t>
      </w:r>
      <w:r>
        <w:rPr>
          <w:rFonts w:ascii="宋体" w:hAnsi="宋体" w:cs="宋体" w:eastAsia="宋体" w:hint="default"/>
        </w:rPr>
        <w:t>4</w:t>
      </w:r>
      <w:r>
        <w:rPr/>
        <w:t>月至</w:t>
      </w:r>
      <w:r>
        <w:rPr>
          <w:rFonts w:ascii="宋体" w:hAnsi="宋体" w:cs="宋体" w:eastAsia="宋体" w:hint="default"/>
        </w:rPr>
        <w:t>2008</w:t>
      </w:r>
      <w:r>
        <w:rPr/>
        <w:t>年</w:t>
      </w:r>
      <w:r>
        <w:rPr>
          <w:rFonts w:ascii="宋体" w:hAnsi="宋体" w:cs="宋体" w:eastAsia="宋体" w:hint="default"/>
        </w:rPr>
        <w:t>6</w:t>
      </w:r>
      <w:r>
        <w:rPr/>
        <w:t>月，任信息产业部综合规划司处长、副司</w:t>
      </w:r>
      <w:r>
        <w:rPr>
          <w:w w:val="100"/>
        </w:rPr>
        <w:t> </w:t>
      </w:r>
      <w:r>
        <w:rPr/>
        <w:t>长；</w:t>
      </w:r>
      <w:r>
        <w:rPr>
          <w:rFonts w:ascii="宋体" w:hAnsi="宋体" w:cs="宋体" w:eastAsia="宋体" w:hint="default"/>
        </w:rPr>
        <w:t>2008</w:t>
      </w:r>
      <w:r>
        <w:rPr/>
        <w:t>年</w:t>
      </w:r>
      <w:r>
        <w:rPr>
          <w:rFonts w:ascii="宋体" w:hAnsi="宋体" w:cs="宋体" w:eastAsia="宋体" w:hint="default"/>
        </w:rPr>
        <w:t>7</w:t>
      </w:r>
      <w:r>
        <w:rPr/>
        <w:t>月至</w:t>
      </w:r>
      <w:r>
        <w:rPr>
          <w:rFonts w:ascii="宋体" w:hAnsi="宋体" w:cs="宋体" w:eastAsia="宋体" w:hint="default"/>
        </w:rPr>
        <w:t>2015</w:t>
      </w:r>
      <w:r>
        <w:rPr/>
        <w:t>年</w:t>
      </w:r>
      <w:r>
        <w:rPr>
          <w:rFonts w:ascii="宋体" w:hAnsi="宋体" w:cs="宋体" w:eastAsia="宋体" w:hint="default"/>
        </w:rPr>
        <w:t>6</w:t>
      </w:r>
      <w:r>
        <w:rPr/>
        <w:t>月，任工业和信息化部规划司副司长；</w:t>
      </w:r>
      <w:r>
        <w:rPr>
          <w:rFonts w:ascii="宋体" w:hAnsi="宋体" w:cs="宋体" w:eastAsia="宋体" w:hint="default"/>
        </w:rPr>
        <w:t>2015</w:t>
      </w:r>
      <w:r>
        <w:rPr/>
        <w:t>年</w:t>
      </w:r>
      <w:r>
        <w:rPr>
          <w:rFonts w:ascii="宋体" w:hAnsi="宋体" w:cs="宋体" w:eastAsia="宋体" w:hint="default"/>
        </w:rPr>
        <w:t>7</w:t>
      </w:r>
      <w:r>
        <w:rPr/>
        <w:t>月起，任国家集成电路产业投资</w:t>
      </w:r>
      <w:r>
        <w:rPr>
          <w:w w:val="100"/>
        </w:rPr>
        <w:t> </w:t>
      </w:r>
      <w:r>
        <w:rPr>
          <w:spacing w:val="-2"/>
        </w:rPr>
        <w:t>基金股份有限公司副总裁，现任公司独立董事。韦俊先生长期从事电子行业、信息产业、工业和信息化等</w:t>
      </w:r>
      <w:r>
        <w:rPr>
          <w:spacing w:val="-31"/>
        </w:rPr>
        <w:t> </w:t>
      </w:r>
      <w:r>
        <w:rPr>
          <w:spacing w:val="-31"/>
        </w:rPr>
      </w:r>
      <w:r>
        <w:rPr>
          <w:spacing w:val="-2"/>
        </w:rPr>
        <w:t>领域的发展战略、综合（行业、区域、子行业）规划、投资、区域布局和产业政策的研究、制订与管理工</w:t>
      </w:r>
      <w:r>
        <w:rPr>
          <w:spacing w:val="-38"/>
        </w:rPr>
        <w:t> </w:t>
      </w:r>
      <w:r>
        <w:rPr>
          <w:spacing w:val="-38"/>
        </w:rPr>
      </w:r>
      <w:r>
        <w:rPr>
          <w:spacing w:val="-2"/>
        </w:rPr>
        <w:t>作。先后参与了国产数字程控交换机产业化、光通信系统、数字移动通信、数字电视标准研发与产业化、</w:t>
      </w:r>
      <w:r>
        <w:rPr>
          <w:spacing w:val="-13"/>
        </w:rPr>
        <w:t> </w:t>
      </w:r>
      <w:r>
        <w:rPr>
          <w:spacing w:val="-13"/>
        </w:rPr>
      </w:r>
      <w:r>
        <w:rPr>
          <w:spacing w:val="-2"/>
        </w:rPr>
        <w:t>第三代移动通信研发与产业化等多项国家重大研发及产业化示范工程的方案拟订和实施工作，熟悉中国工</w:t>
      </w:r>
      <w:r>
        <w:rPr>
          <w:spacing w:val="-33"/>
        </w:rPr>
        <w:t> </w:t>
      </w:r>
      <w:r>
        <w:rPr>
          <w:spacing w:val="-33"/>
        </w:rPr>
      </w:r>
      <w:r>
        <w:rPr/>
        <w:t>业、信息产业和信息化发展脉络、趋势特点，对信息技术演进、工业投资与企业技术改造、互联网</w:t>
      </w:r>
      <w:r>
        <w:rPr>
          <w:rFonts w:ascii="宋体" w:hAnsi="宋体" w:cs="宋体" w:eastAsia="宋体" w:hint="default"/>
        </w:rPr>
        <w:t>+</w:t>
      </w:r>
      <w:r>
        <w:rPr/>
        <w:t>等有</w:t>
      </w:r>
      <w:r>
        <w:rPr>
          <w:spacing w:val="-103"/>
        </w:rPr>
        <w:t> </w:t>
      </w:r>
      <w:r>
        <w:rPr/>
        <w:t>较深刻的认识和理解。</w:t>
      </w:r>
    </w:p>
    <w:p>
      <w:pPr>
        <w:pStyle w:val="BodyText"/>
        <w:spacing w:line="350" w:lineRule="auto" w:before="27"/>
        <w:ind w:right="1002" w:firstLine="422"/>
        <w:jc w:val="left"/>
      </w:pPr>
      <w:r>
        <w:rPr/>
        <w:t>汪和俊，男，中国国籍，未拥有永久境外居留权，</w:t>
      </w:r>
      <w:r>
        <w:rPr>
          <w:rFonts w:ascii="宋体" w:hAnsi="宋体" w:cs="宋体" w:eastAsia="宋体" w:hint="default"/>
        </w:rPr>
        <w:t>1977</w:t>
      </w:r>
      <w:r>
        <w:rPr/>
        <w:t>年</w:t>
      </w:r>
      <w:r>
        <w:rPr>
          <w:rFonts w:ascii="宋体" w:hAnsi="宋体" w:cs="宋体" w:eastAsia="宋体" w:hint="default"/>
        </w:rPr>
        <w:t>9</w:t>
      </w:r>
      <w:r>
        <w:rPr/>
        <w:t>月出生，大专学历，中国注册会计师，中</w:t>
      </w:r>
      <w:r>
        <w:rPr>
          <w:w w:val="100"/>
        </w:rPr>
        <w:t> </w:t>
      </w:r>
      <w:r>
        <w:rPr>
          <w:spacing w:val="-2"/>
        </w:rPr>
        <w:t>国注册税务师。曾就职于安徽无为国家粮食储备库、安徽永诚会计师事务所、安徽新安会计师事务所、开</w:t>
      </w:r>
      <w:r>
        <w:rPr>
          <w:spacing w:val="-33"/>
        </w:rPr>
        <w:t> </w:t>
      </w:r>
      <w:r>
        <w:rPr>
          <w:spacing w:val="-33"/>
        </w:rPr>
      </w:r>
      <w:r>
        <w:rPr/>
        <w:t>元信德会计师事务所安徽分所，报告期内，任公司独立董事、北京兴华会计师事务所安徽分所所长。</w:t>
      </w:r>
    </w:p>
    <w:p>
      <w:pPr>
        <w:pStyle w:val="BodyText"/>
        <w:spacing w:line="350" w:lineRule="auto" w:before="27"/>
        <w:ind w:right="1125" w:firstLine="369"/>
        <w:jc w:val="both"/>
      </w:pPr>
      <w:r>
        <w:rPr>
          <w:spacing w:val="-2"/>
        </w:rPr>
        <w:t>韩旭，女，中国国籍，未拥有永久境外居留权，</w:t>
      </w:r>
      <w:r>
        <w:rPr>
          <w:rFonts w:ascii="宋体" w:hAnsi="宋体" w:cs="宋体" w:eastAsia="宋体" w:hint="default"/>
          <w:spacing w:val="-2"/>
        </w:rPr>
        <w:t>1976</w:t>
      </w:r>
      <w:r>
        <w:rPr>
          <w:spacing w:val="-2"/>
        </w:rPr>
        <w:t>年</w:t>
      </w:r>
      <w:r>
        <w:rPr>
          <w:rFonts w:ascii="宋体" w:hAnsi="宋体" w:cs="宋体" w:eastAsia="宋体" w:hint="default"/>
          <w:spacing w:val="-2"/>
        </w:rPr>
        <w:t>2</w:t>
      </w:r>
      <w:r>
        <w:rPr>
          <w:spacing w:val="-2"/>
        </w:rPr>
        <w:t>月出生，</w:t>
      </w:r>
      <w:r>
        <w:rPr>
          <w:rFonts w:ascii="宋体" w:hAnsi="宋体" w:cs="宋体" w:eastAsia="宋体" w:hint="default"/>
          <w:spacing w:val="-2"/>
        </w:rPr>
        <w:t>2002</w:t>
      </w:r>
      <w:r>
        <w:rPr>
          <w:spacing w:val="-2"/>
        </w:rPr>
        <w:t>年</w:t>
      </w:r>
      <w:r>
        <w:rPr>
          <w:rFonts w:ascii="宋体" w:hAnsi="宋体" w:cs="宋体" w:eastAsia="宋体" w:hint="default"/>
          <w:spacing w:val="-2"/>
        </w:rPr>
        <w:t>6</w:t>
      </w:r>
      <w:r>
        <w:rPr>
          <w:spacing w:val="-2"/>
        </w:rPr>
        <w:t>月硕士研究生毕业于英国牛</w:t>
      </w:r>
      <w:r>
        <w:rPr>
          <w:w w:val="100"/>
        </w:rPr>
        <w:t> </w:t>
      </w:r>
      <w:r>
        <w:rPr>
          <w:spacing w:val="-2"/>
        </w:rPr>
        <w:t>津大学。</w:t>
      </w:r>
      <w:r>
        <w:rPr>
          <w:rFonts w:ascii="宋体" w:hAnsi="宋体" w:cs="宋体" w:eastAsia="宋体" w:hint="default"/>
          <w:spacing w:val="-2"/>
        </w:rPr>
        <w:t>1998</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2001</w:t>
      </w:r>
      <w:r>
        <w:rPr>
          <w:spacing w:val="-2"/>
        </w:rPr>
        <w:t>年</w:t>
      </w:r>
      <w:r>
        <w:rPr>
          <w:rFonts w:ascii="宋体" w:hAnsi="宋体" w:cs="宋体" w:eastAsia="宋体" w:hint="default"/>
          <w:spacing w:val="-2"/>
        </w:rPr>
        <w:t>7</w:t>
      </w:r>
      <w:r>
        <w:rPr>
          <w:spacing w:val="-2"/>
        </w:rPr>
        <w:t>月，任光大证券投资总部内核人员，现任公司独立董事、腾讯音乐娱乐集团</w:t>
      </w:r>
      <w:r>
        <w:rPr>
          <w:spacing w:val="-23"/>
        </w:rPr>
        <w:t> </w:t>
      </w:r>
      <w:r>
        <w:rPr>
          <w:spacing w:val="-23"/>
        </w:rPr>
      </w:r>
      <w:r>
        <w:rPr/>
        <w:t>总法律顾问、北京浩风律师事务所主任律师。</w:t>
      </w:r>
    </w:p>
    <w:p>
      <w:pPr>
        <w:pStyle w:val="BodyText"/>
        <w:spacing w:line="240" w:lineRule="auto" w:before="27"/>
        <w:ind w:left="535" w:right="1002"/>
        <w:jc w:val="left"/>
      </w:pPr>
      <w:r>
        <w:rPr>
          <w:rFonts w:ascii="宋体" w:hAnsi="宋体" w:cs="宋体" w:eastAsia="宋体" w:hint="default"/>
        </w:rPr>
        <w:t>2</w:t>
      </w:r>
      <w:r>
        <w:rPr/>
        <w:t>、监事任职情况</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left="273" w:right="803" w:firstLine="422"/>
        <w:jc w:val="left"/>
      </w:pPr>
      <w:r>
        <w:rPr>
          <w:spacing w:val="-2"/>
        </w:rPr>
        <w:t>张廷勇，男，中国国籍，未拥有永久境外居留权，</w:t>
      </w:r>
      <w:r>
        <w:rPr>
          <w:rFonts w:ascii="宋体" w:hAnsi="宋体" w:cs="宋体" w:eastAsia="宋体" w:hint="default"/>
          <w:spacing w:val="-2"/>
        </w:rPr>
        <w:t>1987</w:t>
      </w:r>
      <w:r>
        <w:rPr>
          <w:spacing w:val="-2"/>
        </w:rPr>
        <w:t>年</w:t>
      </w:r>
      <w:r>
        <w:rPr>
          <w:rFonts w:ascii="宋体" w:hAnsi="宋体" w:cs="宋体" w:eastAsia="宋体" w:hint="default"/>
          <w:spacing w:val="-2"/>
        </w:rPr>
        <w:t>6</w:t>
      </w:r>
      <w:r>
        <w:rPr>
          <w:spacing w:val="-2"/>
        </w:rPr>
        <w:t>月出生，本科学历，学士学位。</w:t>
      </w:r>
      <w:r>
        <w:rPr>
          <w:rFonts w:ascii="宋体" w:hAnsi="宋体" w:cs="宋体" w:eastAsia="宋体" w:hint="default"/>
          <w:spacing w:val="-2"/>
        </w:rPr>
        <w:t>2011</w:t>
      </w:r>
      <w:r>
        <w:rPr>
          <w:spacing w:val="-2"/>
        </w:rPr>
        <w:t>年</w:t>
      </w:r>
      <w:r>
        <w:rPr>
          <w:rFonts w:ascii="宋体" w:hAnsi="宋体" w:cs="宋体" w:eastAsia="宋体" w:hint="default"/>
          <w:spacing w:val="-2"/>
        </w:rPr>
        <w:t>7</w:t>
      </w:r>
      <w:r>
        <w:rPr>
          <w:spacing w:val="-2"/>
        </w:rPr>
        <w:t>月</w:t>
      </w:r>
      <w:r>
        <w:rPr>
          <w:w w:val="100"/>
        </w:rPr>
        <w:t> </w:t>
      </w:r>
      <w:r>
        <w:rPr/>
        <w:t>至</w:t>
      </w:r>
      <w:r>
        <w:rPr>
          <w:rFonts w:ascii="宋体" w:hAnsi="宋体" w:cs="宋体" w:eastAsia="宋体" w:hint="default"/>
        </w:rPr>
        <w:t>2016</w:t>
      </w:r>
      <w:r>
        <w:rPr/>
        <w:t>年</w:t>
      </w:r>
      <w:r>
        <w:rPr>
          <w:rFonts w:ascii="宋体" w:hAnsi="宋体" w:cs="宋体" w:eastAsia="宋体" w:hint="default"/>
        </w:rPr>
        <w:t>4</w:t>
      </w:r>
      <w:r>
        <w:rPr/>
        <w:t>月就职于北京中电兴发科技有限公司，担任技术工程师，</w:t>
      </w:r>
      <w:r>
        <w:rPr>
          <w:rFonts w:ascii="宋体" w:hAnsi="宋体" w:cs="宋体" w:eastAsia="宋体" w:hint="default"/>
        </w:rPr>
        <w:t>2016</w:t>
      </w:r>
      <w:r>
        <w:rPr/>
        <w:t>年</w:t>
      </w:r>
      <w:r>
        <w:rPr>
          <w:rFonts w:ascii="宋体" w:hAnsi="宋体" w:cs="宋体" w:eastAsia="宋体" w:hint="default"/>
        </w:rPr>
        <w:t>4</w:t>
      </w:r>
      <w:r>
        <w:rPr/>
        <w:t>月至</w:t>
      </w:r>
      <w:r>
        <w:rPr>
          <w:rFonts w:ascii="宋体" w:hAnsi="宋体" w:cs="宋体" w:eastAsia="宋体" w:hint="default"/>
        </w:rPr>
        <w:t>2018</w:t>
      </w:r>
      <w:r>
        <w:rPr/>
        <w:t>年</w:t>
      </w:r>
      <w:r>
        <w:rPr>
          <w:rFonts w:ascii="宋体" w:hAnsi="宋体" w:cs="宋体" w:eastAsia="宋体" w:hint="default"/>
        </w:rPr>
        <w:t>8</w:t>
      </w:r>
      <w:r>
        <w:rPr/>
        <w:t>月就职于航天长</w:t>
      </w:r>
      <w:r>
        <w:rPr>
          <w:w w:val="100"/>
        </w:rPr>
        <w:t> </w:t>
      </w:r>
      <w:r>
        <w:rPr>
          <w:spacing w:val="-2"/>
        </w:rPr>
        <w:t>征国际贸易有限公司，担任经营管理主管。报告期内，担任本公司监事会主席、北京中电兴发科技有限公</w:t>
      </w:r>
      <w:r>
        <w:rPr>
          <w:spacing w:val="-33"/>
        </w:rPr>
        <w:t> </w:t>
      </w:r>
      <w:r>
        <w:rPr>
          <w:spacing w:val="-33"/>
        </w:rPr>
      </w:r>
      <w:r>
        <w:rPr/>
        <w:t>司合作营销主管。</w:t>
      </w:r>
    </w:p>
    <w:p>
      <w:pPr>
        <w:pStyle w:val="BodyText"/>
        <w:spacing w:line="350" w:lineRule="auto" w:before="27"/>
        <w:ind w:left="273" w:right="1122" w:firstLine="422"/>
        <w:jc w:val="both"/>
      </w:pPr>
      <w:r>
        <w:rPr>
          <w:spacing w:val="-2"/>
        </w:rPr>
        <w:t>曾滟，女，中国国籍，未拥有永久境外居留权，</w:t>
      </w:r>
      <w:r>
        <w:rPr>
          <w:rFonts w:ascii="宋体" w:hAnsi="宋体" w:cs="宋体" w:eastAsia="宋体" w:hint="default"/>
          <w:spacing w:val="-2"/>
        </w:rPr>
        <w:t>1979</w:t>
      </w:r>
      <w:r>
        <w:rPr>
          <w:spacing w:val="-2"/>
        </w:rPr>
        <w:t>年</w:t>
      </w:r>
      <w:r>
        <w:rPr>
          <w:rFonts w:ascii="宋体" w:hAnsi="宋体" w:cs="宋体" w:eastAsia="宋体" w:hint="default"/>
          <w:spacing w:val="-2"/>
        </w:rPr>
        <w:t>10</w:t>
      </w:r>
      <w:r>
        <w:rPr>
          <w:spacing w:val="-2"/>
        </w:rPr>
        <w:t>月生，本科学历。</w:t>
      </w:r>
      <w:r>
        <w:rPr>
          <w:rFonts w:ascii="宋体" w:hAnsi="宋体" w:cs="宋体" w:eastAsia="宋体" w:hint="default"/>
          <w:spacing w:val="-2"/>
        </w:rPr>
        <w:t>2001</w:t>
      </w:r>
      <w:r>
        <w:rPr>
          <w:spacing w:val="-2"/>
        </w:rPr>
        <w:t>年至今在北京中电兴</w:t>
      </w:r>
      <w:r>
        <w:rPr>
          <w:w w:val="100"/>
        </w:rPr>
        <w:t> </w:t>
      </w:r>
      <w:r>
        <w:rPr>
          <w:spacing w:val="-2"/>
        </w:rPr>
        <w:t>发科技有限公司工作，历任行政专员、总裁办副主任、主任、采购经理，报告期内，担任公司监事、北京</w:t>
      </w:r>
      <w:r>
        <w:rPr>
          <w:spacing w:val="-33"/>
        </w:rPr>
        <w:t> </w:t>
      </w:r>
      <w:r>
        <w:rPr>
          <w:spacing w:val="-33"/>
        </w:rPr>
      </w:r>
      <w:r>
        <w:rPr/>
        <w:t>中电兴发科技有限公司合约总监等职务。</w:t>
      </w:r>
    </w:p>
    <w:p>
      <w:pPr>
        <w:pStyle w:val="BodyText"/>
        <w:spacing w:line="352" w:lineRule="auto" w:before="27"/>
        <w:ind w:left="273" w:right="803" w:firstLine="422"/>
        <w:jc w:val="left"/>
      </w:pPr>
      <w:r>
        <w:rPr>
          <w:spacing w:val="-2"/>
        </w:rPr>
        <w:t>陈邦莲，女，中国国籍，未拥有永久境外居留权，</w:t>
      </w:r>
      <w:r>
        <w:rPr>
          <w:rFonts w:ascii="宋体" w:hAnsi="宋体" w:cs="宋体" w:eastAsia="宋体" w:hint="default"/>
          <w:spacing w:val="-2"/>
        </w:rPr>
        <w:t>1972</w:t>
      </w:r>
      <w:r>
        <w:rPr>
          <w:spacing w:val="-2"/>
        </w:rPr>
        <w:t>年</w:t>
      </w:r>
      <w:r>
        <w:rPr>
          <w:rFonts w:ascii="宋体" w:hAnsi="宋体" w:cs="宋体" w:eastAsia="宋体" w:hint="default"/>
          <w:spacing w:val="-2"/>
        </w:rPr>
        <w:t>3</w:t>
      </w:r>
      <w:r>
        <w:rPr>
          <w:spacing w:val="-2"/>
        </w:rPr>
        <w:t>月出生，中专学历。报告期内，担任公司</w:t>
      </w:r>
      <w:r>
        <w:rPr>
          <w:w w:val="100"/>
        </w:rPr>
        <w:t> </w:t>
      </w:r>
      <w:r>
        <w:rPr/>
        <w:t>监事。</w:t>
      </w:r>
    </w:p>
    <w:p>
      <w:pPr>
        <w:pStyle w:val="BodyText"/>
        <w:spacing w:line="348" w:lineRule="auto" w:before="25"/>
        <w:ind w:left="695" w:right="803"/>
        <w:jc w:val="left"/>
      </w:pPr>
      <w:r>
        <w:rPr>
          <w:rFonts w:ascii="宋体" w:hAnsi="宋体" w:cs="宋体" w:eastAsia="宋体" w:hint="default"/>
        </w:rPr>
        <w:t>3</w:t>
      </w:r>
      <w:r>
        <w:rPr/>
        <w:t>、其他高级管理人员任职情况</w:t>
      </w:r>
      <w:r>
        <w:rPr>
          <w:w w:val="100"/>
        </w:rPr>
        <w:t> </w:t>
      </w:r>
      <w:r>
        <w:rPr>
          <w:spacing w:val="-2"/>
        </w:rPr>
        <w:t>李小庆，男，中国国籍，未拥有永久境外居留权，</w:t>
      </w:r>
      <w:r>
        <w:rPr>
          <w:rFonts w:ascii="宋体" w:hAnsi="宋体" w:cs="宋体" w:eastAsia="宋体" w:hint="default"/>
          <w:spacing w:val="-2"/>
        </w:rPr>
        <w:t>1964</w:t>
      </w:r>
      <w:r>
        <w:rPr>
          <w:spacing w:val="-2"/>
        </w:rPr>
        <w:t>年</w:t>
      </w:r>
      <w:r>
        <w:rPr>
          <w:rFonts w:ascii="宋体" w:hAnsi="宋体" w:cs="宋体" w:eastAsia="宋体" w:hint="default"/>
          <w:spacing w:val="-2"/>
        </w:rPr>
        <w:t>2</w:t>
      </w:r>
      <w:r>
        <w:rPr>
          <w:spacing w:val="-2"/>
        </w:rPr>
        <w:t>月出生，本科学历，高级工程师。曾任芜</w:t>
      </w:r>
    </w:p>
    <w:p>
      <w:pPr>
        <w:pStyle w:val="BodyText"/>
        <w:spacing w:line="348" w:lineRule="auto" w:before="34"/>
        <w:ind w:left="273" w:right="803"/>
        <w:jc w:val="left"/>
      </w:pPr>
      <w:r>
        <w:rPr>
          <w:spacing w:val="-2"/>
        </w:rPr>
        <w:t>湖市粮油食品局科员，芜湖市益新面粉公司科长、副总经理，公司副总经理。报告期内，担任公司总工程</w:t>
      </w:r>
      <w:r>
        <w:rPr>
          <w:spacing w:val="-38"/>
        </w:rPr>
        <w:t> </w:t>
      </w:r>
      <w:r>
        <w:rPr>
          <w:spacing w:val="-38"/>
        </w:rPr>
      </w:r>
      <w:r>
        <w:rPr/>
        <w:t>师。</w:t>
      </w:r>
    </w:p>
    <w:p>
      <w:pPr>
        <w:pStyle w:val="BodyText"/>
        <w:spacing w:line="350" w:lineRule="auto" w:before="29"/>
        <w:ind w:left="273" w:right="1104" w:firstLine="422"/>
        <w:jc w:val="both"/>
      </w:pPr>
      <w:r>
        <w:rPr>
          <w:spacing w:val="-2"/>
        </w:rPr>
        <w:t>闫涛，男，中国国籍，未拥有永久境外居留权，</w:t>
      </w:r>
      <w:r>
        <w:rPr>
          <w:rFonts w:ascii="宋体" w:hAnsi="宋体" w:cs="宋体" w:eastAsia="宋体" w:hint="default"/>
          <w:spacing w:val="-2"/>
        </w:rPr>
        <w:t>1976</w:t>
      </w:r>
      <w:r>
        <w:rPr>
          <w:spacing w:val="-2"/>
        </w:rPr>
        <w:t>年</w:t>
      </w:r>
      <w:r>
        <w:rPr>
          <w:rFonts w:ascii="宋体" w:hAnsi="宋体" w:cs="宋体" w:eastAsia="宋体" w:hint="default"/>
          <w:spacing w:val="-2"/>
        </w:rPr>
        <w:t>12</w:t>
      </w:r>
      <w:r>
        <w:rPr>
          <w:spacing w:val="-2"/>
        </w:rPr>
        <w:t>月出生，大专学历。曾任公司物流部经理、</w:t>
      </w:r>
      <w:r>
        <w:rPr>
          <w:w w:val="100"/>
        </w:rPr>
        <w:t> </w:t>
      </w:r>
      <w:r>
        <w:rPr>
          <w:spacing w:val="-2"/>
        </w:rPr>
        <w:t>成套二厂厂长、安徽美能储能系统有限公司运营经理、安徽鑫龙低压电器有限公司总经理。报告期内，担</w:t>
      </w:r>
      <w:r>
        <w:rPr>
          <w:spacing w:val="-30"/>
        </w:rPr>
        <w:t> </w:t>
      </w:r>
      <w:r>
        <w:rPr>
          <w:spacing w:val="-30"/>
        </w:rPr>
      </w:r>
      <w:r>
        <w:rPr/>
        <w:t>任公司副总经理、安徽鑫龙电器股份有限公司总经理。</w:t>
      </w:r>
    </w:p>
    <w:p>
      <w:pPr>
        <w:pStyle w:val="BodyText"/>
        <w:spacing w:line="350" w:lineRule="auto" w:before="27"/>
        <w:ind w:left="273" w:right="803" w:firstLine="422"/>
        <w:jc w:val="left"/>
      </w:pPr>
      <w:r>
        <w:rPr/>
        <w:t>陶黎明，男，中国国籍，未拥有永久境外居留权，</w:t>
      </w:r>
      <w:r>
        <w:rPr>
          <w:rFonts w:ascii="宋体" w:hAnsi="宋体" w:cs="宋体" w:eastAsia="宋体" w:hint="default"/>
        </w:rPr>
        <w:t>1975</w:t>
      </w:r>
      <w:r>
        <w:rPr/>
        <w:t>年</w:t>
      </w:r>
      <w:r>
        <w:rPr>
          <w:rFonts w:ascii="宋体" w:hAnsi="宋体" w:cs="宋体" w:eastAsia="宋体" w:hint="default"/>
        </w:rPr>
        <w:t>8</w:t>
      </w:r>
      <w:r>
        <w:rPr/>
        <w:t>月出生，本科学历，中国注册会计师。曾</w:t>
      </w:r>
      <w:r>
        <w:rPr>
          <w:w w:val="100"/>
        </w:rPr>
        <w:t> </w:t>
      </w:r>
      <w:r>
        <w:rPr>
          <w:spacing w:val="-2"/>
        </w:rPr>
        <w:t>就职于芜湖市轻工工艺品进出口公司，南京中达制膜（集团）股份有限公司。报告期内，担任公司总经理</w:t>
      </w:r>
      <w:r>
        <w:rPr>
          <w:spacing w:val="-38"/>
        </w:rPr>
        <w:t> </w:t>
      </w:r>
      <w:r>
        <w:rPr>
          <w:spacing w:val="-38"/>
        </w:rPr>
      </w:r>
      <w:r>
        <w:rPr/>
        <w:t>助理、财务负责人。</w:t>
      </w:r>
    </w:p>
    <w:p>
      <w:pPr>
        <w:spacing w:before="5"/>
        <w:ind w:left="273" w:right="803" w:firstLine="0"/>
        <w:jc w:val="left"/>
        <w:rPr>
          <w:rFonts w:ascii="宋体" w:hAnsi="宋体" w:cs="宋体" w:eastAsia="宋体" w:hint="default"/>
          <w:sz w:val="18"/>
          <w:szCs w:val="18"/>
        </w:rPr>
      </w:pPr>
      <w:r>
        <w:rPr>
          <w:rFonts w:ascii="宋体" w:hAnsi="宋体" w:cs="宋体" w:eastAsia="宋体" w:hint="default"/>
          <w:spacing w:val="-3"/>
          <w:sz w:val="18"/>
          <w:szCs w:val="18"/>
        </w:rPr>
        <w:t>在股东单位任职情况</w:t>
      </w:r>
    </w:p>
    <w:p>
      <w:pPr>
        <w:spacing w:line="357" w:lineRule="auto" w:before="119"/>
        <w:ind w:left="273" w:right="766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pacing w:val="-3"/>
          <w:sz w:val="18"/>
          <w:szCs w:val="18"/>
        </w:rPr>
        <w:t>适用</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在其他单位任职情况</w:t>
      </w:r>
    </w:p>
    <w:p>
      <w:pPr>
        <w:spacing w:before="31"/>
        <w:ind w:left="273" w:right="80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8"/>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1023"/>
        <w:gridCol w:w="3179"/>
        <w:gridCol w:w="1863"/>
        <w:gridCol w:w="1138"/>
        <w:gridCol w:w="1143"/>
        <w:gridCol w:w="1801"/>
      </w:tblGrid>
      <w:tr>
        <w:trPr>
          <w:trHeight w:val="716"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92" w:right="185"/>
              <w:jc w:val="left"/>
              <w:rPr>
                <w:rFonts w:ascii="宋体" w:hAnsi="宋体" w:cs="宋体" w:eastAsia="宋体" w:hint="default"/>
                <w:sz w:val="21"/>
                <w:szCs w:val="21"/>
              </w:rPr>
            </w:pPr>
            <w:r>
              <w:rPr>
                <w:rFonts w:ascii="宋体" w:hAnsi="宋体" w:cs="宋体" w:eastAsia="宋体" w:hint="default"/>
                <w:sz w:val="21"/>
                <w:szCs w:val="21"/>
              </w:rPr>
              <w:t>任职人</w:t>
            </w:r>
            <w:r>
              <w:rPr>
                <w:rFonts w:ascii="宋体" w:hAnsi="宋体" w:cs="宋体" w:eastAsia="宋体" w:hint="default"/>
                <w:spacing w:val="-102"/>
                <w:sz w:val="21"/>
                <w:szCs w:val="21"/>
              </w:rPr>
              <w:t> </w:t>
            </w:r>
            <w:r>
              <w:rPr>
                <w:rFonts w:ascii="宋体" w:hAnsi="宋体" w:cs="宋体" w:eastAsia="宋体" w:hint="default"/>
                <w:sz w:val="21"/>
                <w:szCs w:val="21"/>
              </w:rPr>
              <w:t>员姓名</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50"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10" w:right="186" w:hanging="418"/>
              <w:jc w:val="left"/>
              <w:rPr>
                <w:rFonts w:ascii="宋体" w:hAnsi="宋体" w:cs="宋体" w:eastAsia="宋体" w:hint="default"/>
                <w:sz w:val="21"/>
                <w:szCs w:val="21"/>
              </w:rPr>
            </w:pPr>
            <w:r>
              <w:rPr>
                <w:rFonts w:ascii="宋体" w:hAnsi="宋体" w:cs="宋体" w:eastAsia="宋体" w:hint="default"/>
                <w:sz w:val="21"/>
                <w:szCs w:val="21"/>
              </w:rPr>
              <w:t>在其他单位担任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的职务</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50" w:right="143"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spacing w:val="-101"/>
                <w:sz w:val="21"/>
                <w:szCs w:val="21"/>
              </w:rPr>
              <w:t> </w:t>
            </w:r>
            <w:r>
              <w:rPr>
                <w:rFonts w:ascii="宋体" w:hAnsi="宋体" w:cs="宋体" w:eastAsia="宋体" w:hint="default"/>
                <w:sz w:val="21"/>
                <w:szCs w:val="21"/>
              </w:rPr>
              <w:t>日期</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60" w:right="137"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spacing w:val="-101"/>
                <w:sz w:val="21"/>
                <w:szCs w:val="21"/>
              </w:rPr>
              <w:t> </w:t>
            </w:r>
            <w:r>
              <w:rPr>
                <w:rFonts w:ascii="宋体" w:hAnsi="宋体" w:cs="宋体" w:eastAsia="宋体" w:hint="default"/>
                <w:sz w:val="21"/>
                <w:szCs w:val="21"/>
              </w:rPr>
              <w:t>日期</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4" w:right="157"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领取报酬津贴</w:t>
            </w:r>
          </w:p>
        </w:tc>
      </w:tr>
      <w:tr>
        <w:trPr>
          <w:trHeight w:val="39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北京中电兴发科技有限公司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董事长、总裁</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中投仙能科技（北京）有限公司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pacing w:val="-6"/>
                <w:sz w:val="21"/>
                <w:szCs w:val="21"/>
              </w:rPr>
              <w:t>执行董事、总经理</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中投仙能科技（苏州）有限公司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pacing w:val="-6"/>
                <w:sz w:val="21"/>
                <w:szCs w:val="21"/>
              </w:rPr>
              <w:t>执行董事、总经理</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云泽投资管理（天津）有限公司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中普慧园科技（北京）有限公司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芜湖市鑫诚科技投资有限公司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安徽鑫龙自动化有限公司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安徽鑫龙变压器有限公司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安徽鑫东投资管理有限公司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芜湖市斯高思电器有限公司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860" w:right="0"/>
        </w:sectPr>
      </w:pPr>
    </w:p>
    <w:p>
      <w:pPr>
        <w:spacing w:line="240" w:lineRule="auto" w:before="7"/>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1023"/>
        <w:gridCol w:w="3179"/>
        <w:gridCol w:w="1863"/>
        <w:gridCol w:w="1138"/>
        <w:gridCol w:w="1143"/>
        <w:gridCol w:w="1801"/>
      </w:tblGrid>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汪宇</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安徽佑赛科技股份有限公司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汪宇</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苏州开关二厂有限公司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汪宇</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汪宇</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安徽鑫龙电器股份有限公司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汪宇</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安徽鑫龙低压电器有限公司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汪宇</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安徽鑫龙变压器有限公司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汪宇</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安徽美能储能有限公司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郭晨</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北京中电兴发科技有限公司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郭晨</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123"/>
              <w:jc w:val="left"/>
              <w:rPr>
                <w:rFonts w:ascii="宋体" w:hAnsi="宋体" w:cs="宋体" w:eastAsia="宋体" w:hint="default"/>
                <w:sz w:val="21"/>
                <w:szCs w:val="21"/>
              </w:rPr>
            </w:pPr>
            <w:r>
              <w:rPr>
                <w:rFonts w:ascii="宋体" w:hAnsi="宋体" w:cs="宋体" w:eastAsia="宋体" w:hint="default"/>
                <w:spacing w:val="-2"/>
                <w:sz w:val="21"/>
                <w:szCs w:val="21"/>
              </w:rPr>
              <w:t>凤凰智慧城市管理运营有限责任</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郭晨</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湖南恒联通达信息科技有限公司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董事兼总经理</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郭晨</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湖北楚兴联怡网络技术有限公司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董事兼总经理</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郭晨</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北京普天智慧科技有限公司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董事兼总经理</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周超</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北京中电兴发科技有限公司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周超</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云南中电典基网络科技有限公司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周超</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sz w:val="21"/>
                <w:szCs w:val="21"/>
              </w:rPr>
              <w:t>红河智慧科技有限公司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总经理</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何利</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北京中电兴发科技有限公司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何利</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芜湖中电兴发科技有限公司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韦俊</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123"/>
              <w:jc w:val="left"/>
              <w:rPr>
                <w:rFonts w:ascii="宋体" w:hAnsi="宋体" w:cs="宋体" w:eastAsia="宋体" w:hint="default"/>
                <w:sz w:val="21"/>
                <w:szCs w:val="21"/>
              </w:rPr>
            </w:pPr>
            <w:r>
              <w:rPr>
                <w:rFonts w:ascii="宋体" w:hAnsi="宋体" w:cs="宋体" w:eastAsia="宋体" w:hint="default"/>
                <w:spacing w:val="-2"/>
                <w:sz w:val="21"/>
                <w:szCs w:val="21"/>
              </w:rPr>
              <w:t>国家集成电路产业投资基金股份</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有限公司</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汪和俊</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北京兴华会计师事务所安徽分所</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3"/>
              <w:ind w:left="105" w:right="272"/>
              <w:jc w:val="left"/>
              <w:rPr>
                <w:rFonts w:ascii="宋体" w:hAnsi="宋体" w:cs="宋体" w:eastAsia="宋体" w:hint="default"/>
                <w:sz w:val="21"/>
                <w:szCs w:val="21"/>
              </w:rPr>
            </w:pPr>
            <w:r>
              <w:rPr>
                <w:rFonts w:ascii="宋体" w:hAnsi="宋体" w:cs="宋体" w:eastAsia="宋体" w:hint="default"/>
                <w:sz w:val="21"/>
                <w:szCs w:val="21"/>
              </w:rPr>
              <w:t>合伙人兼安徽分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所所长</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韩旭</w:t>
            </w:r>
          </w:p>
        </w:tc>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北京市浩风律师事务所</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138"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r>
    </w:tbl>
    <w:p>
      <w:pPr>
        <w:spacing w:before="53"/>
        <w:ind w:left="273" w:right="803" w:firstLine="0"/>
        <w:jc w:val="left"/>
        <w:rPr>
          <w:rFonts w:ascii="宋体" w:hAnsi="宋体" w:cs="宋体" w:eastAsia="宋体" w:hint="default"/>
          <w:sz w:val="18"/>
          <w:szCs w:val="18"/>
        </w:rPr>
      </w:pPr>
      <w:r>
        <w:rPr>
          <w:rFonts w:ascii="宋体" w:hAnsi="宋体" w:cs="宋体" w:eastAsia="宋体" w:hint="default"/>
          <w:spacing w:val="-3"/>
          <w:sz w:val="18"/>
          <w:szCs w:val="18"/>
        </w:rPr>
        <w:t>公司现任及报告期内离任董事、监事和高级管理人员近三年证券监管机构处罚的情况</w:t>
      </w:r>
    </w:p>
    <w:p>
      <w:pPr>
        <w:spacing w:before="120"/>
        <w:ind w:left="273" w:right="803"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left="273" w:right="803"/>
        <w:jc w:val="left"/>
        <w:rPr>
          <w:b w:val="0"/>
          <w:bCs w:val="0"/>
        </w:rPr>
      </w:pPr>
      <w:bookmarkStart w:name="四、董事、监事、高级管理人员报酬情况" w:id="132"/>
      <w:bookmarkEnd w:id="132"/>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5"/>
          <w:szCs w:val="25"/>
        </w:rPr>
      </w:pPr>
    </w:p>
    <w:p>
      <w:pPr>
        <w:pStyle w:val="BodyText"/>
        <w:spacing w:line="240" w:lineRule="auto" w:before="0"/>
        <w:ind w:left="273" w:right="803"/>
        <w:jc w:val="left"/>
      </w:pPr>
      <w:r>
        <w:rPr/>
        <w:t>董事、监事、高级管理人员报酬的决策程序、确定依据、实际支付情况</w:t>
      </w:r>
    </w:p>
    <w:p>
      <w:pPr>
        <w:spacing w:line="240" w:lineRule="auto" w:before="7"/>
        <w:rPr>
          <w:rFonts w:ascii="宋体" w:hAnsi="宋体" w:cs="宋体" w:eastAsia="宋体" w:hint="default"/>
          <w:sz w:val="6"/>
          <w:szCs w:val="6"/>
        </w:rPr>
      </w:pPr>
    </w:p>
    <w:tbl>
      <w:tblPr>
        <w:tblW w:w="0" w:type="auto"/>
        <w:jc w:val="left"/>
        <w:tblInd w:w="263" w:type="dxa"/>
        <w:tblLayout w:type="fixed"/>
        <w:tblCellMar>
          <w:top w:w="0" w:type="dxa"/>
          <w:left w:w="0" w:type="dxa"/>
          <w:bottom w:w="0" w:type="dxa"/>
          <w:right w:w="0" w:type="dxa"/>
        </w:tblCellMar>
        <w:tblLook w:val="01E0"/>
      </w:tblPr>
      <w:tblGrid>
        <w:gridCol w:w="2391"/>
        <w:gridCol w:w="7328"/>
      </w:tblGrid>
      <w:tr>
        <w:trPr>
          <w:trHeight w:val="716" w:hRule="exact"/>
        </w:trPr>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6"/>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员报酬的决策程序</w:t>
            </w:r>
          </w:p>
        </w:tc>
        <w:tc>
          <w:tcPr>
            <w:tcW w:w="73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7"/>
              <w:jc w:val="left"/>
              <w:rPr>
                <w:rFonts w:ascii="宋体" w:hAnsi="宋体" w:cs="宋体" w:eastAsia="宋体" w:hint="default"/>
                <w:sz w:val="21"/>
                <w:szCs w:val="21"/>
              </w:rPr>
            </w:pPr>
            <w:r>
              <w:rPr>
                <w:rFonts w:ascii="宋体" w:hAnsi="宋体" w:cs="宋体" w:eastAsia="宋体" w:hint="default"/>
                <w:w w:val="100"/>
                <w:sz w:val="21"/>
                <w:szCs w:val="21"/>
              </w:rPr>
              <w:t>经董事会</w:t>
            </w:r>
            <w:r>
              <w:rPr>
                <w:rFonts w:ascii="宋体" w:hAnsi="宋体" w:cs="宋体" w:eastAsia="宋体" w:hint="default"/>
                <w:spacing w:val="-5"/>
                <w:w w:val="100"/>
                <w:sz w:val="21"/>
                <w:szCs w:val="21"/>
              </w:rPr>
              <w:t>薪</w:t>
            </w:r>
            <w:r>
              <w:rPr>
                <w:rFonts w:ascii="宋体" w:hAnsi="宋体" w:cs="宋体" w:eastAsia="宋体" w:hint="default"/>
                <w:w w:val="100"/>
                <w:sz w:val="21"/>
                <w:szCs w:val="21"/>
              </w:rPr>
              <w:t>酬与考</w:t>
            </w:r>
            <w:r>
              <w:rPr>
                <w:rFonts w:ascii="宋体" w:hAnsi="宋体" w:cs="宋体" w:eastAsia="宋体" w:hint="default"/>
                <w:spacing w:val="-5"/>
                <w:w w:val="100"/>
                <w:sz w:val="21"/>
                <w:szCs w:val="21"/>
              </w:rPr>
              <w:t>核</w:t>
            </w:r>
            <w:r>
              <w:rPr>
                <w:rFonts w:ascii="宋体" w:hAnsi="宋体" w:cs="宋体" w:eastAsia="宋体" w:hint="default"/>
                <w:w w:val="100"/>
                <w:sz w:val="21"/>
                <w:szCs w:val="21"/>
              </w:rPr>
              <w:t>委员会</w:t>
            </w:r>
            <w:r>
              <w:rPr>
                <w:rFonts w:ascii="宋体" w:hAnsi="宋体" w:cs="宋体" w:eastAsia="宋体" w:hint="default"/>
                <w:spacing w:val="-5"/>
                <w:w w:val="100"/>
                <w:sz w:val="21"/>
                <w:szCs w:val="21"/>
              </w:rPr>
              <w:t>审</w:t>
            </w:r>
            <w:r>
              <w:rPr>
                <w:rFonts w:ascii="宋体" w:hAnsi="宋体" w:cs="宋体" w:eastAsia="宋体" w:hint="default"/>
                <w:w w:val="100"/>
                <w:sz w:val="21"/>
                <w:szCs w:val="21"/>
              </w:rPr>
              <w:t>定后提</w:t>
            </w:r>
            <w:r>
              <w:rPr>
                <w:rFonts w:ascii="宋体" w:hAnsi="宋体" w:cs="宋体" w:eastAsia="宋体" w:hint="default"/>
                <w:spacing w:val="-5"/>
                <w:w w:val="100"/>
                <w:sz w:val="21"/>
                <w:szCs w:val="21"/>
              </w:rPr>
              <w:t>交</w:t>
            </w:r>
            <w:r>
              <w:rPr>
                <w:rFonts w:ascii="宋体" w:hAnsi="宋体" w:cs="宋体" w:eastAsia="宋体" w:hint="default"/>
                <w:w w:val="100"/>
                <w:sz w:val="21"/>
                <w:szCs w:val="21"/>
              </w:rPr>
              <w:t>董事会</w:t>
            </w:r>
            <w:r>
              <w:rPr>
                <w:rFonts w:ascii="宋体" w:hAnsi="宋体" w:cs="宋体" w:eastAsia="宋体" w:hint="default"/>
                <w:spacing w:val="-5"/>
                <w:w w:val="100"/>
                <w:sz w:val="21"/>
                <w:szCs w:val="21"/>
              </w:rPr>
              <w:t>审</w:t>
            </w:r>
            <w:r>
              <w:rPr>
                <w:rFonts w:ascii="宋体" w:hAnsi="宋体" w:cs="宋体" w:eastAsia="宋体" w:hint="default"/>
                <w:w w:val="100"/>
                <w:sz w:val="21"/>
                <w:szCs w:val="21"/>
              </w:rPr>
              <w:t>议</w:t>
            </w:r>
            <w:r>
              <w:rPr>
                <w:rFonts w:ascii="宋体" w:hAnsi="宋体" w:cs="宋体" w:eastAsia="宋体" w:hint="default"/>
                <w:spacing w:val="-87"/>
                <w:w w:val="100"/>
                <w:sz w:val="21"/>
                <w:szCs w:val="21"/>
              </w:rPr>
              <w:t>，</w:t>
            </w:r>
            <w:r>
              <w:rPr>
                <w:rFonts w:ascii="宋体" w:hAnsi="宋体" w:cs="宋体" w:eastAsia="宋体" w:hint="default"/>
                <w:w w:val="100"/>
                <w:sz w:val="21"/>
                <w:szCs w:val="21"/>
              </w:rPr>
              <w:t>决策程序</w:t>
            </w:r>
            <w:r>
              <w:rPr>
                <w:rFonts w:ascii="宋体" w:hAnsi="宋体" w:cs="宋体" w:eastAsia="宋体" w:hint="default"/>
                <w:spacing w:val="-5"/>
                <w:w w:val="100"/>
                <w:sz w:val="21"/>
                <w:szCs w:val="21"/>
              </w:rPr>
              <w:t>符</w:t>
            </w:r>
            <w:r>
              <w:rPr>
                <w:rFonts w:ascii="宋体" w:hAnsi="宋体" w:cs="宋体" w:eastAsia="宋体" w:hint="default"/>
                <w:spacing w:val="-87"/>
                <w:w w:val="100"/>
                <w:sz w:val="21"/>
                <w:szCs w:val="21"/>
              </w:rPr>
              <w:t>合</w:t>
            </w:r>
            <w:r>
              <w:rPr>
                <w:rFonts w:ascii="宋体" w:hAnsi="宋体" w:cs="宋体" w:eastAsia="宋体" w:hint="default"/>
                <w:w w:val="100"/>
                <w:sz w:val="21"/>
                <w:szCs w:val="21"/>
              </w:rPr>
              <w:t>《公司法</w:t>
            </w:r>
            <w:r>
              <w:rPr>
                <w:rFonts w:ascii="宋体" w:hAnsi="宋体" w:cs="宋体" w:eastAsia="宋体" w:hint="default"/>
                <w:spacing w:val="-106"/>
                <w:w w:val="100"/>
                <w:sz w:val="21"/>
                <w:szCs w:val="21"/>
              </w:rPr>
              <w:t>》</w:t>
            </w:r>
            <w:r>
              <w:rPr>
                <w:rFonts w:ascii="宋体" w:hAnsi="宋体" w:cs="宋体" w:eastAsia="宋体" w:hint="default"/>
                <w:spacing w:val="-192"/>
                <w:w w:val="100"/>
                <w:sz w:val="21"/>
                <w:szCs w:val="21"/>
              </w:rPr>
              <w:t>，</w:t>
            </w:r>
            <w:r>
              <w:rPr>
                <w:rFonts w:ascii="宋体" w:hAnsi="宋体" w:cs="宋体" w:eastAsia="宋体" w:hint="default"/>
                <w:w w:val="100"/>
                <w:sz w:val="21"/>
                <w:szCs w:val="21"/>
              </w:rPr>
              <w:t>《公</w:t>
            </w:r>
            <w:r>
              <w:rPr>
                <w:rFonts w:ascii="宋体" w:hAnsi="宋体" w:cs="宋体" w:eastAsia="宋体" w:hint="default"/>
                <w:w w:val="100"/>
                <w:sz w:val="21"/>
                <w:szCs w:val="21"/>
              </w:rPr>
              <w:t> 司章程</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董事会</w:t>
            </w:r>
            <w:r>
              <w:rPr>
                <w:rFonts w:ascii="宋体" w:hAnsi="宋体" w:cs="宋体" w:eastAsia="宋体" w:hint="default"/>
                <w:spacing w:val="-5"/>
                <w:w w:val="100"/>
                <w:sz w:val="21"/>
                <w:szCs w:val="21"/>
              </w:rPr>
              <w:t>薪</w:t>
            </w:r>
            <w:r>
              <w:rPr>
                <w:rFonts w:ascii="宋体" w:hAnsi="宋体" w:cs="宋体" w:eastAsia="宋体" w:hint="default"/>
                <w:w w:val="100"/>
                <w:sz w:val="21"/>
                <w:szCs w:val="21"/>
              </w:rPr>
              <w:t>酬委员</w:t>
            </w:r>
            <w:r>
              <w:rPr>
                <w:rFonts w:ascii="宋体" w:hAnsi="宋体" w:cs="宋体" w:eastAsia="宋体" w:hint="default"/>
                <w:spacing w:val="-5"/>
                <w:w w:val="100"/>
                <w:sz w:val="21"/>
                <w:szCs w:val="21"/>
              </w:rPr>
              <w:t>会</w:t>
            </w:r>
            <w:r>
              <w:rPr>
                <w:rFonts w:ascii="宋体" w:hAnsi="宋体" w:cs="宋体" w:eastAsia="宋体" w:hint="default"/>
                <w:w w:val="100"/>
                <w:sz w:val="21"/>
                <w:szCs w:val="21"/>
              </w:rPr>
              <w:t>工作细</w:t>
            </w:r>
            <w:r>
              <w:rPr>
                <w:rFonts w:ascii="宋体" w:hAnsi="宋体" w:cs="宋体" w:eastAsia="宋体" w:hint="default"/>
                <w:spacing w:val="-5"/>
                <w:w w:val="100"/>
                <w:sz w:val="21"/>
                <w:szCs w:val="21"/>
              </w:rPr>
              <w:t>则</w:t>
            </w:r>
            <w:r>
              <w:rPr>
                <w:rFonts w:ascii="宋体" w:hAnsi="宋体" w:cs="宋体" w:eastAsia="宋体" w:hint="default"/>
                <w:w w:val="100"/>
                <w:sz w:val="21"/>
                <w:szCs w:val="21"/>
              </w:rPr>
              <w:t>》的相</w:t>
            </w:r>
            <w:r>
              <w:rPr>
                <w:rFonts w:ascii="宋体" w:hAnsi="宋体" w:cs="宋体" w:eastAsia="宋体" w:hint="default"/>
                <w:spacing w:val="-5"/>
                <w:w w:val="100"/>
                <w:sz w:val="21"/>
                <w:szCs w:val="21"/>
              </w:rPr>
              <w:t>关</w:t>
            </w:r>
            <w:r>
              <w:rPr>
                <w:rFonts w:ascii="宋体" w:hAnsi="宋体" w:cs="宋体" w:eastAsia="宋体" w:hint="default"/>
                <w:w w:val="100"/>
                <w:sz w:val="21"/>
                <w:szCs w:val="21"/>
              </w:rPr>
              <w:t>规</w:t>
            </w:r>
            <w:r>
              <w:rPr>
                <w:rFonts w:ascii="宋体" w:hAnsi="宋体" w:cs="宋体" w:eastAsia="宋体" w:hint="default"/>
                <w:spacing w:val="-5"/>
                <w:w w:val="100"/>
                <w:sz w:val="21"/>
                <w:szCs w:val="21"/>
              </w:rPr>
              <w:t>定</w:t>
            </w:r>
            <w:r>
              <w:rPr>
                <w:rFonts w:ascii="宋体" w:hAnsi="宋体" w:cs="宋体" w:eastAsia="宋体" w:hint="default"/>
                <w:w w:val="100"/>
                <w:sz w:val="21"/>
                <w:szCs w:val="21"/>
              </w:rPr>
              <w:t>。</w:t>
            </w:r>
          </w:p>
        </w:tc>
      </w:tr>
      <w:tr>
        <w:trPr>
          <w:trHeight w:val="686" w:hRule="exact"/>
        </w:trPr>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67"/>
              <w:jc w:val="left"/>
              <w:rPr>
                <w:rFonts w:ascii="宋体" w:hAnsi="宋体" w:cs="宋体" w:eastAsia="宋体" w:hint="default"/>
                <w:sz w:val="21"/>
                <w:szCs w:val="21"/>
              </w:rPr>
            </w:pPr>
            <w:r>
              <w:rPr>
                <w:rFonts w:ascii="宋体" w:hAnsi="宋体" w:cs="宋体" w:eastAsia="宋体" w:hint="default"/>
                <w:sz w:val="21"/>
                <w:szCs w:val="21"/>
              </w:rPr>
              <w:t>董事、监事、高级管人</w:t>
            </w:r>
            <w:r>
              <w:rPr>
                <w:rFonts w:ascii="宋体" w:hAnsi="宋体" w:cs="宋体" w:eastAsia="宋体" w:hint="default"/>
                <w:w w:val="100"/>
                <w:sz w:val="21"/>
                <w:szCs w:val="21"/>
              </w:rPr>
              <w:t> </w:t>
            </w:r>
            <w:r>
              <w:rPr>
                <w:rFonts w:ascii="宋体" w:hAnsi="宋体" w:cs="宋体" w:eastAsia="宋体" w:hint="default"/>
                <w:sz w:val="21"/>
                <w:szCs w:val="21"/>
              </w:rPr>
              <w:t>员报酬确定依据</w:t>
            </w:r>
          </w:p>
        </w:tc>
        <w:tc>
          <w:tcPr>
            <w:tcW w:w="73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
              <w:jc w:val="left"/>
              <w:rPr>
                <w:rFonts w:ascii="宋体" w:hAnsi="宋体" w:cs="宋体" w:eastAsia="宋体" w:hint="default"/>
                <w:sz w:val="21"/>
                <w:szCs w:val="21"/>
              </w:rPr>
            </w:pPr>
            <w:r>
              <w:rPr>
                <w:rFonts w:ascii="宋体" w:hAnsi="宋体" w:cs="宋体" w:eastAsia="宋体" w:hint="default"/>
                <w:spacing w:val="-3"/>
                <w:sz w:val="21"/>
                <w:szCs w:val="21"/>
              </w:rPr>
              <w:t>公司依据《高管人员薪酬管理制度》和《关于公司第八届董事会独立董事津贴的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议案》确定董事、监事、高管人员报酬。</w:t>
            </w:r>
          </w:p>
        </w:tc>
      </w:tr>
      <w:tr>
        <w:trPr>
          <w:trHeight w:val="1057" w:hRule="exact"/>
        </w:trPr>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6"/>
              <w:jc w:val="left"/>
              <w:rPr>
                <w:rFonts w:ascii="宋体" w:hAnsi="宋体" w:cs="宋体" w:eastAsia="宋体" w:hint="default"/>
                <w:sz w:val="21"/>
                <w:szCs w:val="21"/>
              </w:rPr>
            </w:pPr>
            <w:r>
              <w:rPr>
                <w:rFonts w:ascii="宋体" w:hAnsi="宋体" w:cs="宋体" w:eastAsia="宋体" w:hint="default"/>
                <w:sz w:val="21"/>
                <w:szCs w:val="21"/>
              </w:rPr>
              <w:t>董事、监事和高级管理人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员报酬的实际支付情况</w:t>
            </w:r>
          </w:p>
        </w:tc>
        <w:tc>
          <w:tcPr>
            <w:tcW w:w="73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pacing w:val="-3"/>
                <w:sz w:val="21"/>
                <w:szCs w:val="21"/>
              </w:rPr>
              <w:t>公司现任董事、监事、高级管理人员实际在公司领取报酬有</w:t>
            </w:r>
            <w:r>
              <w:rPr>
                <w:rFonts w:ascii="宋体" w:hAnsi="宋体" w:cs="宋体" w:eastAsia="宋体" w:hint="default"/>
                <w:spacing w:val="-3"/>
                <w:sz w:val="21"/>
                <w:szCs w:val="21"/>
              </w:rPr>
              <w:t>15</w:t>
            </w:r>
            <w:r>
              <w:rPr>
                <w:rFonts w:ascii="宋体" w:hAnsi="宋体" w:cs="宋体" w:eastAsia="宋体" w:hint="default"/>
                <w:spacing w:val="-3"/>
                <w:sz w:val="21"/>
                <w:szCs w:val="21"/>
              </w:rPr>
              <w:t>人，</w:t>
            </w:r>
            <w:r>
              <w:rPr>
                <w:rFonts w:ascii="宋体" w:hAnsi="宋体" w:cs="宋体" w:eastAsia="宋体" w:hint="default"/>
                <w:spacing w:val="-3"/>
                <w:sz w:val="21"/>
                <w:szCs w:val="21"/>
              </w:rPr>
              <w:t>2019</w:t>
            </w:r>
            <w:r>
              <w:rPr>
                <w:rFonts w:ascii="宋体" w:hAnsi="宋体" w:cs="宋体" w:eastAsia="宋体" w:hint="default"/>
                <w:spacing w:val="-3"/>
                <w:sz w:val="21"/>
                <w:szCs w:val="21"/>
              </w:rPr>
              <w:t>年</w:t>
            </w:r>
            <w:r>
              <w:rPr>
                <w:rFonts w:ascii="宋体" w:hAnsi="宋体" w:cs="宋体" w:eastAsia="宋体" w:hint="default"/>
                <w:spacing w:val="-3"/>
                <w:sz w:val="21"/>
                <w:szCs w:val="21"/>
              </w:rPr>
              <w:t>12</w:t>
            </w:r>
            <w:r>
              <w:rPr>
                <w:rFonts w:ascii="宋体" w:hAnsi="宋体" w:cs="宋体" w:eastAsia="宋体" w:hint="default"/>
                <w:spacing w:val="-3"/>
                <w:sz w:val="21"/>
                <w:szCs w:val="21"/>
              </w:rPr>
              <w:t>月</w:t>
            </w:r>
            <w:r>
              <w:rPr>
                <w:rFonts w:ascii="宋体" w:hAnsi="宋体" w:cs="宋体" w:eastAsia="宋体" w:hint="default"/>
                <w:spacing w:val="-3"/>
                <w:sz w:val="21"/>
                <w:szCs w:val="21"/>
              </w:rPr>
              <w:t>31</w:t>
            </w:r>
            <w:r>
              <w:rPr>
                <w:rFonts w:ascii="宋体" w:hAnsi="宋体" w:cs="宋体" w:eastAsia="宋体" w:hint="default"/>
                <w:spacing w:val="-25"/>
                <w:sz w:val="21"/>
                <w:szCs w:val="21"/>
              </w:rPr>
              <w:t> </w:t>
            </w:r>
            <w:r>
              <w:rPr>
                <w:rFonts w:ascii="宋体" w:hAnsi="宋体" w:cs="宋体" w:eastAsia="宋体" w:hint="default"/>
                <w:spacing w:val="-3"/>
                <w:sz w:val="21"/>
                <w:szCs w:val="21"/>
              </w:rPr>
              <w:t>日，现任董事、监事、高级管理人员在公司领取的年度报酬的总数为</w:t>
            </w:r>
            <w:r>
              <w:rPr>
                <w:rFonts w:ascii="宋体" w:hAnsi="宋体" w:cs="宋体" w:eastAsia="宋体" w:hint="default"/>
                <w:spacing w:val="-3"/>
                <w:sz w:val="21"/>
                <w:szCs w:val="21"/>
              </w:rPr>
              <w:t>499.84</w:t>
            </w:r>
            <w:r>
              <w:rPr>
                <w:rFonts w:ascii="宋体" w:hAnsi="宋体" w:cs="宋体" w:eastAsia="宋体" w:hint="default"/>
                <w:spacing w:val="-3"/>
                <w:sz w:val="21"/>
                <w:szCs w:val="21"/>
              </w:rPr>
              <w:t>万元</w:t>
            </w:r>
          </w:p>
          <w:p>
            <w:pPr>
              <w:pStyle w:val="TableParagraph"/>
              <w:spacing w:line="240" w:lineRule="auto" w:before="7"/>
              <w:ind w:left="4" w:right="0"/>
              <w:jc w:val="left"/>
              <w:rPr>
                <w:rFonts w:ascii="宋体" w:hAnsi="宋体" w:cs="宋体" w:eastAsia="宋体" w:hint="default"/>
                <w:sz w:val="21"/>
                <w:szCs w:val="21"/>
              </w:rPr>
            </w:pPr>
            <w:r>
              <w:rPr>
                <w:rFonts w:ascii="宋体" w:hAnsi="宋体" w:cs="宋体" w:eastAsia="宋体" w:hint="default"/>
                <w:w w:val="100"/>
                <w:sz w:val="21"/>
                <w:szCs w:val="21"/>
              </w:rPr>
              <w:t>（税前</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5"/>
                <w:w w:val="100"/>
                <w:sz w:val="21"/>
                <w:szCs w:val="21"/>
              </w:rPr>
              <w:t>其</w:t>
            </w:r>
            <w:r>
              <w:rPr>
                <w:rFonts w:ascii="宋体" w:hAnsi="宋体" w:cs="宋体" w:eastAsia="宋体" w:hint="default"/>
                <w:w w:val="100"/>
                <w:sz w:val="21"/>
                <w:szCs w:val="21"/>
              </w:rPr>
              <w:t>中现任</w:t>
            </w:r>
            <w:r>
              <w:rPr>
                <w:rFonts w:ascii="宋体" w:hAnsi="宋体" w:cs="宋体" w:eastAsia="宋体" w:hint="default"/>
                <w:spacing w:val="-5"/>
                <w:w w:val="100"/>
                <w:sz w:val="21"/>
                <w:szCs w:val="21"/>
              </w:rPr>
              <w:t>独</w:t>
            </w:r>
            <w:r>
              <w:rPr>
                <w:rFonts w:ascii="宋体" w:hAnsi="宋体" w:cs="宋体" w:eastAsia="宋体" w:hint="default"/>
                <w:w w:val="100"/>
                <w:sz w:val="21"/>
                <w:szCs w:val="21"/>
              </w:rPr>
              <w:t>立董事</w:t>
            </w:r>
            <w:r>
              <w:rPr>
                <w:rFonts w:ascii="宋体" w:hAnsi="宋体" w:cs="宋体" w:eastAsia="宋体" w:hint="default"/>
                <w:spacing w:val="-5"/>
                <w:w w:val="100"/>
                <w:sz w:val="21"/>
                <w:szCs w:val="21"/>
              </w:rPr>
              <w:t>在</w:t>
            </w:r>
            <w:r>
              <w:rPr>
                <w:rFonts w:ascii="宋体" w:hAnsi="宋体" w:cs="宋体" w:eastAsia="宋体" w:hint="default"/>
                <w:w w:val="100"/>
                <w:sz w:val="21"/>
                <w:szCs w:val="21"/>
              </w:rPr>
              <w:t>公司领</w:t>
            </w:r>
            <w:r>
              <w:rPr>
                <w:rFonts w:ascii="宋体" w:hAnsi="宋体" w:cs="宋体" w:eastAsia="宋体" w:hint="default"/>
                <w:spacing w:val="-5"/>
                <w:w w:val="100"/>
                <w:sz w:val="21"/>
                <w:szCs w:val="21"/>
              </w:rPr>
              <w:t>取</w:t>
            </w:r>
            <w:r>
              <w:rPr>
                <w:rFonts w:ascii="宋体" w:hAnsi="宋体" w:cs="宋体" w:eastAsia="宋体" w:hint="default"/>
                <w:w w:val="100"/>
                <w:sz w:val="21"/>
                <w:szCs w:val="21"/>
              </w:rPr>
              <w:t>的津</w:t>
            </w:r>
            <w:r>
              <w:rPr>
                <w:rFonts w:ascii="宋体" w:hAnsi="宋体" w:cs="宋体" w:eastAsia="宋体" w:hint="default"/>
                <w:spacing w:val="-5"/>
                <w:w w:val="100"/>
                <w:sz w:val="21"/>
                <w:szCs w:val="21"/>
              </w:rPr>
              <w:t>贴</w:t>
            </w:r>
            <w:r>
              <w:rPr>
                <w:rFonts w:ascii="宋体" w:hAnsi="宋体" w:cs="宋体" w:eastAsia="宋体" w:hint="default"/>
                <w:w w:val="100"/>
                <w:sz w:val="21"/>
                <w:szCs w:val="21"/>
              </w:rPr>
              <w:t>总</w:t>
            </w:r>
            <w:r>
              <w:rPr>
                <w:rFonts w:ascii="宋体" w:hAnsi="宋体" w:cs="宋体" w:eastAsia="宋体" w:hint="default"/>
                <w:spacing w:val="-5"/>
                <w:w w:val="100"/>
                <w:sz w:val="21"/>
                <w:szCs w:val="21"/>
              </w:rPr>
              <w:t>额</w:t>
            </w:r>
            <w:r>
              <w:rPr>
                <w:rFonts w:ascii="宋体" w:hAnsi="宋体" w:cs="宋体" w:eastAsia="宋体" w:hint="default"/>
                <w:spacing w:val="2"/>
                <w:w w:val="100"/>
                <w:sz w:val="21"/>
                <w:szCs w:val="21"/>
              </w:rPr>
              <w:t>为</w:t>
            </w:r>
            <w:r>
              <w:rPr>
                <w:rFonts w:ascii="宋体" w:hAnsi="宋体" w:cs="宋体" w:eastAsia="宋体" w:hint="default"/>
                <w:w w:val="100"/>
                <w:sz w:val="21"/>
                <w:szCs w:val="21"/>
              </w:rPr>
              <w:t>36</w:t>
            </w:r>
            <w:r>
              <w:rPr>
                <w:rFonts w:ascii="宋体" w:hAnsi="宋体" w:cs="宋体" w:eastAsia="宋体" w:hint="default"/>
                <w:w w:val="100"/>
                <w:sz w:val="21"/>
                <w:szCs w:val="21"/>
              </w:rPr>
              <w:t>万元</w:t>
            </w:r>
            <w:r>
              <w:rPr>
                <w:rFonts w:ascii="宋体" w:hAnsi="宋体" w:cs="宋体" w:eastAsia="宋体" w:hint="default"/>
                <w:spacing w:val="-5"/>
                <w:w w:val="100"/>
                <w:sz w:val="21"/>
                <w:szCs w:val="21"/>
              </w:rPr>
              <w:t>（</w:t>
            </w:r>
            <w:r>
              <w:rPr>
                <w:rFonts w:ascii="宋体" w:hAnsi="宋体" w:cs="宋体" w:eastAsia="宋体" w:hint="default"/>
                <w:w w:val="100"/>
                <w:sz w:val="21"/>
                <w:szCs w:val="21"/>
              </w:rPr>
              <w:t>税前</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tc>
      </w:tr>
    </w:tbl>
    <w:p>
      <w:pPr>
        <w:spacing w:before="53"/>
        <w:ind w:left="273" w:right="803" w:firstLine="0"/>
        <w:jc w:val="left"/>
        <w:rPr>
          <w:rFonts w:ascii="宋体" w:hAnsi="宋体" w:cs="宋体" w:eastAsia="宋体" w:hint="default"/>
          <w:sz w:val="18"/>
          <w:szCs w:val="18"/>
        </w:rPr>
      </w:pPr>
      <w:r>
        <w:rPr>
          <w:rFonts w:ascii="宋体" w:hAnsi="宋体" w:cs="宋体" w:eastAsia="宋体" w:hint="default"/>
          <w:spacing w:val="-3"/>
          <w:sz w:val="18"/>
          <w:szCs w:val="18"/>
        </w:rPr>
        <w:t>公司报告期内董事、监事和高级管理人员报酬情况</w:t>
      </w:r>
    </w:p>
    <w:p>
      <w:pPr>
        <w:spacing w:after="0"/>
        <w:jc w:val="left"/>
        <w:rPr>
          <w:rFonts w:ascii="宋体" w:hAnsi="宋体" w:cs="宋体" w:eastAsia="宋体" w:hint="default"/>
          <w:sz w:val="18"/>
          <w:szCs w:val="18"/>
        </w:rPr>
        <w:sectPr>
          <w:pgSz w:w="11910" w:h="16840"/>
          <w:pgMar w:header="906" w:footer="1022" w:top="1100" w:bottom="1220" w:left="860" w:right="0"/>
        </w:sectPr>
      </w:pPr>
    </w:p>
    <w:p>
      <w:pPr>
        <w:spacing w:line="240" w:lineRule="auto" w:before="2"/>
        <w:rPr>
          <w:rFonts w:ascii="宋体" w:hAnsi="宋体" w:cs="宋体" w:eastAsia="宋体" w:hint="default"/>
          <w:sz w:val="23"/>
          <w:szCs w:val="23"/>
        </w:rPr>
      </w:pPr>
    </w:p>
    <w:p>
      <w:pPr>
        <w:spacing w:before="46"/>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单位：万元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95"/>
        <w:gridCol w:w="1920"/>
        <w:gridCol w:w="1287"/>
        <w:gridCol w:w="1172"/>
        <w:gridCol w:w="1364"/>
        <w:gridCol w:w="1369"/>
        <w:gridCol w:w="1369"/>
      </w:tblGrid>
      <w:tr>
        <w:trPr>
          <w:trHeight w:val="1028" w:hRule="exact"/>
        </w:trPr>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53" w:right="147"/>
              <w:jc w:val="center"/>
              <w:rPr>
                <w:rFonts w:ascii="宋体" w:hAnsi="宋体" w:cs="宋体" w:eastAsia="宋体" w:hint="default"/>
                <w:sz w:val="21"/>
                <w:szCs w:val="21"/>
              </w:rPr>
            </w:pPr>
            <w:r>
              <w:rPr>
                <w:rFonts w:ascii="宋体" w:hAnsi="宋体" w:cs="宋体" w:eastAsia="宋体" w:hint="default"/>
                <w:sz w:val="21"/>
                <w:szCs w:val="21"/>
              </w:rPr>
              <w:t>从公司获得</w:t>
            </w:r>
            <w:r>
              <w:rPr>
                <w:rFonts w:ascii="宋体" w:hAnsi="宋体" w:cs="宋体" w:eastAsia="宋体" w:hint="default"/>
                <w:w w:val="100"/>
                <w:sz w:val="21"/>
                <w:szCs w:val="21"/>
              </w:rPr>
              <w:t> </w:t>
            </w:r>
            <w:r>
              <w:rPr>
                <w:rFonts w:ascii="宋体" w:hAnsi="宋体" w:cs="宋体" w:eastAsia="宋体" w:hint="default"/>
                <w:sz w:val="21"/>
                <w:szCs w:val="21"/>
              </w:rPr>
              <w:t>的税前报酬</w:t>
            </w:r>
            <w:r>
              <w:rPr>
                <w:rFonts w:ascii="宋体" w:hAnsi="宋体" w:cs="宋体" w:eastAsia="宋体" w:hint="default"/>
                <w:w w:val="100"/>
                <w:sz w:val="21"/>
                <w:szCs w:val="21"/>
              </w:rPr>
              <w:t> </w:t>
            </w:r>
            <w:r>
              <w:rPr>
                <w:rFonts w:ascii="宋体" w:hAnsi="宋体" w:cs="宋体" w:eastAsia="宋体" w:hint="default"/>
                <w:sz w:val="21"/>
                <w:szCs w:val="21"/>
              </w:rPr>
              <w:t>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53" w:right="146"/>
              <w:jc w:val="center"/>
              <w:rPr>
                <w:rFonts w:ascii="宋体" w:hAnsi="宋体" w:cs="宋体" w:eastAsia="宋体" w:hint="default"/>
                <w:sz w:val="21"/>
                <w:szCs w:val="21"/>
              </w:rPr>
            </w:pPr>
            <w:r>
              <w:rPr>
                <w:rFonts w:ascii="宋体" w:hAnsi="宋体" w:cs="宋体" w:eastAsia="宋体" w:hint="default"/>
                <w:sz w:val="21"/>
                <w:szCs w:val="21"/>
              </w:rPr>
              <w:t>是否在公司</w:t>
            </w:r>
            <w:r>
              <w:rPr>
                <w:rFonts w:ascii="宋体" w:hAnsi="宋体" w:cs="宋体" w:eastAsia="宋体" w:hint="default"/>
                <w:w w:val="100"/>
                <w:sz w:val="21"/>
                <w:szCs w:val="21"/>
              </w:rPr>
              <w:t> </w:t>
            </w:r>
            <w:r>
              <w:rPr>
                <w:rFonts w:ascii="宋体" w:hAnsi="宋体" w:cs="宋体" w:eastAsia="宋体" w:hint="default"/>
                <w:sz w:val="21"/>
                <w:szCs w:val="21"/>
              </w:rPr>
              <w:t>关联方获取</w:t>
            </w:r>
            <w:r>
              <w:rPr>
                <w:rFonts w:ascii="宋体" w:hAnsi="宋体" w:cs="宋体" w:eastAsia="宋体" w:hint="default"/>
                <w:w w:val="100"/>
                <w:sz w:val="21"/>
                <w:szCs w:val="21"/>
              </w:rPr>
              <w:t> </w:t>
            </w:r>
            <w:r>
              <w:rPr>
                <w:rFonts w:ascii="宋体" w:hAnsi="宋体" w:cs="宋体" w:eastAsia="宋体" w:hint="default"/>
                <w:sz w:val="21"/>
                <w:szCs w:val="21"/>
              </w:rPr>
              <w:t>报酬</w:t>
            </w:r>
          </w:p>
        </w:tc>
      </w:tr>
      <w:tr>
        <w:trPr>
          <w:trHeight w:val="40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董事长、总经理</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汪宇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123"/>
              <w:jc w:val="left"/>
              <w:rPr>
                <w:rFonts w:ascii="宋体" w:hAnsi="宋体" w:cs="宋体" w:eastAsia="宋体" w:hint="default"/>
                <w:sz w:val="21"/>
                <w:szCs w:val="21"/>
              </w:rPr>
            </w:pPr>
            <w:r>
              <w:rPr>
                <w:rFonts w:ascii="宋体" w:hAnsi="宋体" w:cs="宋体" w:eastAsia="宋体" w:hint="default"/>
                <w:sz w:val="21"/>
                <w:szCs w:val="21"/>
              </w:rPr>
              <w:t>常务副总经理、董</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事会秘书、董事</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41.8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郭晨</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41</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周超</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副总经理、董事</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36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50.4</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何利</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37.4</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韦俊</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汪和俊</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韩旭</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张廷勇</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23.92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曾滟</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28.8</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陈邦莲</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3"/>
              <w:jc w:val="right"/>
              <w:rPr>
                <w:rFonts w:ascii="Times New Roman" w:hAnsi="Times New Roman" w:cs="Times New Roman" w:eastAsia="Times New Roman" w:hint="default"/>
                <w:sz w:val="21"/>
                <w:szCs w:val="21"/>
              </w:rPr>
            </w:pPr>
            <w:r>
              <w:rPr>
                <w:rFonts w:ascii="Times New Roman"/>
                <w:sz w:val="21"/>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7.02</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闫涛</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40.5</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李小庆</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总工程师</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38.5</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陶黎明</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123"/>
              <w:jc w:val="left"/>
              <w:rPr>
                <w:rFonts w:ascii="宋体" w:hAnsi="宋体" w:cs="宋体" w:eastAsia="宋体" w:hint="default"/>
                <w:sz w:val="21"/>
                <w:szCs w:val="21"/>
              </w:rPr>
            </w:pPr>
            <w:r>
              <w:rPr>
                <w:rFonts w:ascii="宋体" w:hAnsi="宋体" w:cs="宋体" w:eastAsia="宋体" w:hint="default"/>
                <w:sz w:val="21"/>
                <w:szCs w:val="21"/>
              </w:rPr>
              <w:t>总经理助理、财务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负责人</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38.5</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499.84</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5" w:right="0"/>
              <w:jc w:val="center"/>
              <w:rPr>
                <w:rFonts w:ascii="Times New Roman" w:hAnsi="Times New Roman" w:cs="Times New Roman" w:eastAsia="Times New Roman" w:hint="default"/>
                <w:sz w:val="21"/>
                <w:szCs w:val="21"/>
              </w:rPr>
            </w:pPr>
            <w:r>
              <w:rPr>
                <w:rFonts w:ascii="Times New Roman"/>
                <w:sz w:val="21"/>
              </w:rPr>
              <w:t>--</w:t>
            </w:r>
          </w:p>
        </w:tc>
      </w:tr>
    </w:tbl>
    <w:p>
      <w:pPr>
        <w:spacing w:before="53"/>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公司董事、高级管理人员报告期内被授予的股权激励情况</w:t>
      </w:r>
    </w:p>
    <w:p>
      <w:pPr>
        <w:spacing w:before="119"/>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02"/>
        <w:jc w:val="left"/>
        <w:rPr>
          <w:b w:val="0"/>
          <w:bCs w:val="0"/>
        </w:rPr>
      </w:pPr>
      <w:bookmarkStart w:name="五、公司员工情况" w:id="133"/>
      <w:bookmarkEnd w:id="133"/>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right="1002"/>
        <w:jc w:val="left"/>
        <w:rPr>
          <w:b w:val="0"/>
          <w:bCs w:val="0"/>
        </w:rPr>
      </w:pPr>
      <w:bookmarkStart w:name="1、员工数量、专业构成及教育程度" w:id="134"/>
      <w:bookmarkEnd w:id="13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5277"/>
        <w:gridCol w:w="4293"/>
      </w:tblGrid>
      <w:tr>
        <w:trPr>
          <w:trHeight w:val="403"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母公司在职员工的数量（人）</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676</w:t>
            </w:r>
          </w:p>
        </w:tc>
      </w:tr>
      <w:tr>
        <w:trPr>
          <w:trHeight w:val="399"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主要子公司在职员工的数量（人）</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2,164</w:t>
            </w:r>
          </w:p>
        </w:tc>
      </w:tr>
      <w:tr>
        <w:trPr>
          <w:trHeight w:val="403"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在职员工的数量合计（人）</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2,840</w:t>
            </w:r>
          </w:p>
        </w:tc>
      </w:tr>
      <w:tr>
        <w:trPr>
          <w:trHeight w:val="403"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当期领取薪酬员工总人数（人）</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2,840</w:t>
            </w:r>
          </w:p>
        </w:tc>
      </w:tr>
      <w:tr>
        <w:trPr>
          <w:trHeight w:val="408"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9"/>
              <w:jc w:val="left"/>
              <w:rPr>
                <w:rFonts w:ascii="宋体" w:hAnsi="宋体" w:cs="宋体" w:eastAsia="宋体" w:hint="default"/>
                <w:sz w:val="21"/>
                <w:szCs w:val="21"/>
              </w:rPr>
            </w:pPr>
            <w:r>
              <w:rPr>
                <w:rFonts w:ascii="宋体" w:hAnsi="宋体" w:cs="宋体" w:eastAsia="宋体" w:hint="default"/>
                <w:spacing w:val="-5"/>
                <w:sz w:val="21"/>
                <w:szCs w:val="21"/>
              </w:rPr>
              <w:t>母公司及主要子公司需承担费用的离退休职工人数（人）</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21</w:t>
            </w:r>
          </w:p>
        </w:tc>
      </w:tr>
      <w:tr>
        <w:trPr>
          <w:trHeight w:val="39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4"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98"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95" w:right="0"/>
              <w:jc w:val="left"/>
              <w:rPr>
                <w:rFonts w:ascii="宋体" w:hAnsi="宋体" w:cs="宋体" w:eastAsia="宋体" w:hint="default"/>
                <w:sz w:val="21"/>
                <w:szCs w:val="21"/>
              </w:rPr>
            </w:pPr>
            <w:r>
              <w:rPr>
                <w:rFonts w:ascii="宋体" w:hAnsi="宋体" w:cs="宋体" w:eastAsia="宋体" w:hint="default"/>
                <w:sz w:val="21"/>
                <w:szCs w:val="21"/>
              </w:rPr>
              <w:t>专业构成人数（人）</w:t>
            </w:r>
          </w:p>
        </w:tc>
      </w:tr>
      <w:tr>
        <w:trPr>
          <w:trHeight w:val="408"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609</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5277"/>
        <w:gridCol w:w="4293"/>
      </w:tblGrid>
      <w:tr>
        <w:trPr>
          <w:trHeight w:val="403"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196</w:t>
            </w:r>
          </w:p>
        </w:tc>
      </w:tr>
      <w:tr>
        <w:trPr>
          <w:trHeight w:val="401"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1,688</w:t>
            </w:r>
          </w:p>
        </w:tc>
      </w:tr>
      <w:tr>
        <w:trPr>
          <w:trHeight w:val="401"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05"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Times New Roman" w:hAnsi="Times New Roman" w:cs="Times New Roman" w:eastAsia="Times New Roman" w:hint="default"/>
                <w:sz w:val="21"/>
                <w:szCs w:val="21"/>
              </w:rPr>
            </w:pPr>
            <w:r>
              <w:rPr>
                <w:rFonts w:ascii="Times New Roman"/>
                <w:sz w:val="21"/>
              </w:rPr>
              <w:t>100</w:t>
            </w:r>
          </w:p>
        </w:tc>
      </w:tr>
      <w:tr>
        <w:trPr>
          <w:trHeight w:val="403"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247</w:t>
            </w:r>
          </w:p>
        </w:tc>
      </w:tr>
      <w:tr>
        <w:trPr>
          <w:trHeight w:val="408"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2,840</w:t>
            </w:r>
          </w:p>
        </w:tc>
      </w:tr>
      <w:tr>
        <w:trPr>
          <w:trHeight w:val="396"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4"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401"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教育程度类别</w:t>
            </w:r>
          </w:p>
        </w:tc>
        <w:tc>
          <w:tcPr>
            <w:tcW w:w="4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数量（人）</w:t>
            </w:r>
          </w:p>
        </w:tc>
      </w:tr>
      <w:tr>
        <w:trPr>
          <w:trHeight w:val="403" w:hRule="exact"/>
        </w:trPr>
        <w:tc>
          <w:tcPr>
            <w:tcW w:w="5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大专以上</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1,833</w:t>
            </w:r>
          </w:p>
        </w:tc>
      </w:tr>
      <w:tr>
        <w:trPr>
          <w:trHeight w:val="403" w:hRule="exact"/>
        </w:trPr>
        <w:tc>
          <w:tcPr>
            <w:tcW w:w="5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中专及高中</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522</w:t>
            </w:r>
          </w:p>
        </w:tc>
      </w:tr>
      <w:tr>
        <w:trPr>
          <w:trHeight w:val="398" w:hRule="exact"/>
        </w:trPr>
        <w:tc>
          <w:tcPr>
            <w:tcW w:w="5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高中以下</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485</w:t>
            </w:r>
          </w:p>
        </w:tc>
      </w:tr>
      <w:tr>
        <w:trPr>
          <w:trHeight w:val="403" w:hRule="exact"/>
        </w:trPr>
        <w:tc>
          <w:tcPr>
            <w:tcW w:w="5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sz w:val="21"/>
              </w:rPr>
              <w:t>2,840</w:t>
            </w:r>
          </w:p>
        </w:tc>
      </w:tr>
    </w:tbl>
    <w:p>
      <w:pPr>
        <w:spacing w:line="240" w:lineRule="auto" w:before="3"/>
        <w:rPr>
          <w:rFonts w:ascii="宋体" w:hAnsi="宋体" w:cs="宋体" w:eastAsia="宋体" w:hint="default"/>
          <w:b/>
          <w:bCs/>
          <w:sz w:val="19"/>
          <w:szCs w:val="19"/>
        </w:rPr>
      </w:pPr>
    </w:p>
    <w:p>
      <w:pPr>
        <w:pStyle w:val="Heading5"/>
        <w:spacing w:line="240" w:lineRule="auto" w:before="36"/>
        <w:ind w:right="1002"/>
        <w:jc w:val="left"/>
        <w:rPr>
          <w:b w:val="0"/>
          <w:bCs w:val="0"/>
        </w:rPr>
      </w:pPr>
      <w:bookmarkStart w:name="2、薪酬政策" w:id="135"/>
      <w:bookmarkEnd w:id="13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9"/>
        <w:rPr>
          <w:rFonts w:ascii="宋体" w:hAnsi="宋体" w:cs="宋体" w:eastAsia="宋体" w:hint="default"/>
          <w:b/>
          <w:bCs/>
          <w:sz w:val="31"/>
          <w:szCs w:val="31"/>
        </w:rPr>
      </w:pPr>
    </w:p>
    <w:p>
      <w:pPr>
        <w:pStyle w:val="BodyText"/>
        <w:spacing w:line="348" w:lineRule="auto" w:before="0"/>
        <w:ind w:right="1123" w:firstLine="451"/>
        <w:jc w:val="both"/>
      </w:pPr>
      <w:r>
        <w:rPr>
          <w:spacing w:val="-3"/>
        </w:rPr>
        <w:t>能力决定岗位，贡献决定收入。公司薪酬制度以岗位为基础，综合考虑员工技能与工作业绩，实行同</w:t>
      </w:r>
      <w:r>
        <w:rPr>
          <w:w w:val="100"/>
        </w:rPr>
        <w:t> </w:t>
      </w:r>
      <w:r>
        <w:rPr>
          <w:spacing w:val="-2"/>
        </w:rPr>
        <w:t>工同酬。采取计件、技能评级、绩效打分等绩效考核方式，评估员工的劳动产出，实行多劳多得，激励先</w:t>
      </w:r>
      <w:r>
        <w:rPr>
          <w:spacing w:val="-31"/>
        </w:rPr>
        <w:t> </w:t>
      </w:r>
      <w:r>
        <w:rPr>
          <w:spacing w:val="-31"/>
        </w:rPr>
      </w:r>
      <w:r>
        <w:rPr>
          <w:spacing w:val="-2"/>
        </w:rPr>
        <w:t>进、鞭策后进。同时，对拥有高学历、职称、特殊技能的员工，以及对公司技术工艺改进、培养人才等方</w:t>
      </w:r>
      <w:r>
        <w:rPr>
          <w:spacing w:val="-33"/>
        </w:rPr>
        <w:t> </w:t>
      </w:r>
      <w:r>
        <w:rPr>
          <w:spacing w:val="-33"/>
        </w:rPr>
      </w:r>
      <w:r>
        <w:rPr>
          <w:spacing w:val="-2"/>
        </w:rPr>
        <w:t>面拥有突出贡献的员工给予相应薪酬补贴。以保证公司薪酬制度的公平、公正、合理，充分发挥薪酬的激</w:t>
      </w:r>
      <w:r>
        <w:rPr>
          <w:spacing w:val="-33"/>
        </w:rPr>
        <w:t> </w:t>
      </w:r>
      <w:r>
        <w:rPr>
          <w:spacing w:val="-33"/>
        </w:rPr>
      </w:r>
      <w:r>
        <w:rPr/>
        <w:t>励性。</w:t>
      </w:r>
    </w:p>
    <w:p>
      <w:pPr>
        <w:pStyle w:val="BodyText"/>
        <w:spacing w:line="350" w:lineRule="auto" w:before="29"/>
        <w:ind w:right="1002" w:firstLine="422"/>
        <w:jc w:val="left"/>
      </w:pPr>
      <w:r>
        <w:rPr/>
        <w:t>报告期内，职工薪酬总额（计入成本部分）</w:t>
      </w:r>
      <w:r>
        <w:rPr>
          <w:rFonts w:ascii="宋体" w:hAnsi="宋体" w:cs="宋体" w:eastAsia="宋体" w:hint="default"/>
        </w:rPr>
        <w:t>6,900.54</w:t>
      </w:r>
      <w:r>
        <w:rPr/>
        <w:t>万元，占公司成本总额的比重为</w:t>
      </w:r>
      <w:r>
        <w:rPr>
          <w:rFonts w:ascii="宋体" w:hAnsi="宋体" w:cs="宋体" w:eastAsia="宋体" w:hint="default"/>
        </w:rPr>
        <w:t>3.80%</w:t>
      </w:r>
      <w:r>
        <w:rPr/>
        <w:t>。公司利</w:t>
      </w:r>
      <w:r>
        <w:rPr>
          <w:w w:val="100"/>
        </w:rPr>
        <w:t> </w:t>
      </w:r>
      <w:r>
        <w:rPr>
          <w:spacing w:val="-2"/>
        </w:rPr>
        <w:t>润对职工薪酬总额变化敏感度较低，职工薪酬对公司财务状况和经营成果不构成重大影响。报告期内公司</w:t>
      </w:r>
      <w:r>
        <w:rPr>
          <w:spacing w:val="-33"/>
        </w:rPr>
        <w:t> </w:t>
      </w:r>
      <w:r>
        <w:rPr>
          <w:spacing w:val="-33"/>
        </w:rPr>
      </w:r>
      <w:r>
        <w:rPr/>
        <w:t>核心技术人员为</w:t>
      </w:r>
      <w:r>
        <w:rPr>
          <w:rFonts w:ascii="宋体" w:hAnsi="宋体" w:cs="宋体" w:eastAsia="宋体" w:hint="default"/>
        </w:rPr>
        <w:t>14</w:t>
      </w:r>
      <w:r>
        <w:rPr/>
        <w:t>人，占全体员工人数的</w:t>
      </w:r>
      <w:r>
        <w:rPr>
          <w:rFonts w:ascii="宋体" w:hAnsi="宋体" w:cs="宋体" w:eastAsia="宋体" w:hint="default"/>
        </w:rPr>
        <w:t>0.49%</w:t>
      </w:r>
      <w:r>
        <w:rPr/>
        <w:t>，截止报告期末，核心技术人员薪酬占全体员工薪酬的</w:t>
      </w:r>
      <w:r>
        <w:rPr>
          <w:w w:val="100"/>
        </w:rPr>
        <w:t> </w:t>
      </w:r>
      <w:r>
        <w:rPr>
          <w:rFonts w:ascii="宋体" w:hAnsi="宋体" w:cs="宋体" w:eastAsia="宋体" w:hint="default"/>
        </w:rPr>
        <w:t>1.42%</w:t>
      </w:r>
      <w:r>
        <w:rPr/>
        <w:t>，本报告期较上年同期未发生重大变化。</w:t>
      </w:r>
    </w:p>
    <w:p>
      <w:pPr>
        <w:pStyle w:val="BodyText"/>
        <w:spacing w:line="274" w:lineRule="exact" w:before="0"/>
        <w:ind w:right="1002"/>
        <w:jc w:val="left"/>
      </w:pPr>
      <w:r>
        <w:rPr/>
        <w:t>公司需遵守《深圳证券交易所行业信息披露指引第</w:t>
      </w:r>
      <w:r>
        <w:rPr>
          <w:spacing w:val="-48"/>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
        </w:rPr>
        <w:t> </w:t>
      </w:r>
      <w:r>
        <w:rPr/>
        <w:t>号——上市公司从事软件与信息技术服务业务》的</w:t>
      </w:r>
    </w:p>
    <w:p>
      <w:pPr>
        <w:pStyle w:val="BodyText"/>
        <w:spacing w:line="240" w:lineRule="auto" w:before="22"/>
        <w:ind w:right="1002"/>
        <w:jc w:val="left"/>
      </w:pPr>
      <w:r>
        <w:rPr/>
        <w:t>披露要求</w:t>
      </w:r>
    </w:p>
    <w:p>
      <w:pPr>
        <w:pStyle w:val="BodyText"/>
        <w:spacing w:line="706" w:lineRule="exact" w:before="10"/>
        <w:ind w:left="430" w:right="1002" w:hanging="317"/>
        <w:jc w:val="left"/>
      </w:pPr>
      <w:bookmarkStart w:name="3、培训计划" w:id="136"/>
      <w:bookmarkEnd w:id="136"/>
      <w:r>
        <w:rPr/>
      </w:r>
      <w:r>
        <w:rPr>
          <w:rFonts w:ascii="Times New Roman" w:hAnsi="Times New Roman" w:cs="Times New Roman" w:eastAsia="Times New Roman" w:hint="default"/>
          <w:b/>
          <w:bCs/>
        </w:rPr>
        <w:t>3</w:t>
      </w:r>
      <w:r>
        <w:rPr>
          <w:rFonts w:ascii="宋体" w:hAnsi="宋体" w:cs="宋体" w:eastAsia="宋体" w:hint="default"/>
          <w:b/>
          <w:bCs/>
        </w:rPr>
        <w:t>、培训计划</w:t>
      </w:r>
      <w:r>
        <w:rPr>
          <w:rFonts w:ascii="宋体" w:hAnsi="宋体" w:cs="宋体" w:eastAsia="宋体" w:hint="default"/>
          <w:b/>
          <w:bCs/>
          <w:spacing w:val="-104"/>
        </w:rPr>
        <w:t> </w:t>
      </w:r>
      <w:r>
        <w:rPr>
          <w:spacing w:val="-2"/>
        </w:rPr>
        <w:t>现代企业的竞争实际是人才的竞争，人才被视为公司最核心竞争力。公司每年根据员工职业生涯规划</w:t>
      </w:r>
    </w:p>
    <w:p>
      <w:pPr>
        <w:pStyle w:val="BodyText"/>
        <w:spacing w:line="348" w:lineRule="auto" w:before="17"/>
        <w:ind w:right="1002"/>
        <w:jc w:val="left"/>
      </w:pPr>
      <w:r>
        <w:rPr/>
        <w:pict>
          <v:shape style="position:absolute;margin-left:56.183998pt;margin-top:57.033707pt;width:477.45pt;height:84.0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1"/>
                    <w:gridCol w:w="1522"/>
                    <w:gridCol w:w="1229"/>
                    <w:gridCol w:w="3486"/>
                    <w:gridCol w:w="1868"/>
                  </w:tblGrid>
                  <w:tr>
                    <w:trPr>
                      <w:trHeight w:val="346"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83" w:right="0"/>
                          <w:jc w:val="left"/>
                          <w:rPr>
                            <w:rFonts w:ascii="宋体" w:hAnsi="宋体" w:cs="宋体" w:eastAsia="宋体" w:hint="default"/>
                            <w:sz w:val="21"/>
                            <w:szCs w:val="21"/>
                          </w:rPr>
                        </w:pPr>
                        <w:r>
                          <w:rPr>
                            <w:rFonts w:ascii="宋体" w:hAnsi="宋体" w:cs="宋体" w:eastAsia="宋体" w:hint="default"/>
                            <w:sz w:val="21"/>
                            <w:szCs w:val="21"/>
                          </w:rPr>
                          <w:t>培训对象</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31" w:right="0"/>
                          <w:jc w:val="left"/>
                          <w:rPr>
                            <w:rFonts w:ascii="宋体" w:hAnsi="宋体" w:cs="宋体" w:eastAsia="宋体" w:hint="default"/>
                            <w:sz w:val="21"/>
                            <w:szCs w:val="21"/>
                          </w:rPr>
                        </w:pPr>
                        <w:r>
                          <w:rPr>
                            <w:rFonts w:ascii="宋体" w:hAnsi="宋体" w:cs="宋体" w:eastAsia="宋体" w:hint="default"/>
                            <w:sz w:val="21"/>
                            <w:szCs w:val="21"/>
                          </w:rPr>
                          <w:t>培训目标</w:t>
                        </w:r>
                      </w:p>
                    </w:tc>
                    <w:tc>
                      <w:tcPr>
                        <w:tcW w:w="4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主要培训内容</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08" w:right="0"/>
                          <w:jc w:val="left"/>
                          <w:rPr>
                            <w:rFonts w:ascii="宋体" w:hAnsi="宋体" w:cs="宋体" w:eastAsia="宋体" w:hint="default"/>
                            <w:sz w:val="21"/>
                            <w:szCs w:val="21"/>
                          </w:rPr>
                        </w:pPr>
                        <w:r>
                          <w:rPr>
                            <w:rFonts w:ascii="宋体" w:hAnsi="宋体" w:cs="宋体" w:eastAsia="宋体" w:hint="default"/>
                            <w:sz w:val="21"/>
                            <w:szCs w:val="21"/>
                          </w:rPr>
                          <w:t>培训方式</w:t>
                        </w:r>
                      </w:p>
                    </w:tc>
                  </w:tr>
                  <w:tr>
                    <w:trPr>
                      <w:trHeight w:val="970" w:hRule="exact"/>
                    </w:trPr>
                    <w:tc>
                      <w:tcPr>
                        <w:tcW w:w="1421" w:type="dxa"/>
                        <w:vMerge w:val="restart"/>
                        <w:tcBorders>
                          <w:top w:val="single" w:sz="6" w:space="0" w:color="000000"/>
                          <w:left w:val="single" w:sz="6" w:space="0" w:color="000000"/>
                          <w:right w:val="single" w:sz="6" w:space="0" w:color="000000"/>
                        </w:tcBorders>
                      </w:tcPr>
                      <w:p>
                        <w:pPr>
                          <w:pStyle w:val="TableParagraph"/>
                          <w:spacing w:line="270" w:lineRule="exact"/>
                          <w:ind w:left="283" w:right="0"/>
                          <w:jc w:val="left"/>
                          <w:rPr>
                            <w:rFonts w:ascii="宋体" w:hAnsi="宋体" w:cs="宋体" w:eastAsia="宋体" w:hint="default"/>
                            <w:sz w:val="21"/>
                            <w:szCs w:val="21"/>
                          </w:rPr>
                        </w:pPr>
                        <w:r>
                          <w:rPr>
                            <w:rFonts w:ascii="宋体" w:hAnsi="宋体" w:cs="宋体" w:eastAsia="宋体" w:hint="default"/>
                            <w:sz w:val="21"/>
                            <w:szCs w:val="21"/>
                          </w:rPr>
                          <w:t>管理人员</w:t>
                        </w:r>
                      </w:p>
                    </w:tc>
                    <w:tc>
                      <w:tcPr>
                        <w:tcW w:w="1522" w:type="dxa"/>
                        <w:vMerge w:val="restart"/>
                        <w:tcBorders>
                          <w:top w:val="single" w:sz="6" w:space="0" w:color="000000"/>
                          <w:left w:val="single" w:sz="6" w:space="0" w:color="000000"/>
                          <w:right w:val="single" w:sz="6" w:space="0" w:color="000000"/>
                        </w:tcBorders>
                      </w:tcPr>
                      <w:p>
                        <w:pPr>
                          <w:pStyle w:val="TableParagraph"/>
                          <w:spacing w:line="270" w:lineRule="exact"/>
                          <w:ind w:left="120" w:right="0"/>
                          <w:jc w:val="left"/>
                          <w:rPr>
                            <w:rFonts w:ascii="宋体" w:hAnsi="宋体" w:cs="宋体" w:eastAsia="宋体" w:hint="default"/>
                            <w:sz w:val="21"/>
                            <w:szCs w:val="21"/>
                          </w:rPr>
                        </w:pPr>
                        <w:r>
                          <w:rPr>
                            <w:rFonts w:ascii="宋体" w:hAnsi="宋体" w:cs="宋体" w:eastAsia="宋体" w:hint="default"/>
                            <w:sz w:val="21"/>
                            <w:szCs w:val="21"/>
                          </w:rPr>
                          <w:t>管理能力升级</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高层干部</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4" w:right="-5"/>
                          <w:jc w:val="both"/>
                          <w:rPr>
                            <w:rFonts w:ascii="宋体" w:hAnsi="宋体" w:cs="宋体" w:eastAsia="宋体" w:hint="default"/>
                            <w:sz w:val="21"/>
                            <w:szCs w:val="21"/>
                          </w:rPr>
                        </w:pPr>
                        <w:r>
                          <w:rPr>
                            <w:rFonts w:ascii="宋体" w:hAnsi="宋体" w:cs="宋体" w:eastAsia="宋体" w:hint="default"/>
                            <w:spacing w:val="-7"/>
                            <w:w w:val="100"/>
                            <w:sz w:val="21"/>
                            <w:szCs w:val="21"/>
                          </w:rPr>
                          <w:t>公司管理制度（</w:t>
                        </w:r>
                        <w:r>
                          <w:rPr>
                            <w:rFonts w:ascii="Times New Roman" w:hAnsi="Times New Roman" w:cs="Times New Roman" w:eastAsia="Times New Roman" w:hint="default"/>
                            <w:spacing w:val="-7"/>
                            <w:w w:val="100"/>
                            <w:sz w:val="21"/>
                            <w:szCs w:val="21"/>
                          </w:rPr>
                          <w:t>2020</w:t>
                        </w:r>
                        <w:r>
                          <w:rPr>
                            <w:rFonts w:ascii="宋体" w:hAnsi="宋体" w:cs="宋体" w:eastAsia="宋体" w:hint="default"/>
                            <w:spacing w:val="-7"/>
                            <w:w w:val="100"/>
                            <w:sz w:val="21"/>
                            <w:szCs w:val="21"/>
                          </w:rPr>
                          <w:t>版）、现代企业相</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8"/>
                            <w:sz w:val="21"/>
                            <w:szCs w:val="21"/>
                          </w:rPr>
                          <w:t>关法律法规、高级财务管理知识、书面</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表达、办公技能（高级）等</w:t>
                        </w:r>
                      </w:p>
                    </w:tc>
                    <w:tc>
                      <w:tcPr>
                        <w:tcW w:w="1868" w:type="dxa"/>
                        <w:vMerge w:val="restart"/>
                        <w:tcBorders>
                          <w:top w:val="single" w:sz="6" w:space="0" w:color="000000"/>
                          <w:left w:val="single" w:sz="6" w:space="0" w:color="000000"/>
                          <w:right w:val="single" w:sz="6" w:space="0" w:color="000000"/>
                        </w:tcBorders>
                      </w:tcPr>
                      <w:p>
                        <w:pPr>
                          <w:pStyle w:val="TableParagraph"/>
                          <w:spacing w:line="270" w:lineRule="exact"/>
                          <w:ind w:left="403" w:right="0"/>
                          <w:jc w:val="left"/>
                          <w:rPr>
                            <w:rFonts w:ascii="宋体" w:hAnsi="宋体" w:cs="宋体" w:eastAsia="宋体" w:hint="default"/>
                            <w:sz w:val="21"/>
                            <w:szCs w:val="21"/>
                          </w:rPr>
                        </w:pPr>
                        <w:r>
                          <w:rPr>
                            <w:rFonts w:ascii="宋体" w:hAnsi="宋体" w:cs="宋体" w:eastAsia="宋体" w:hint="default"/>
                            <w:sz w:val="21"/>
                            <w:szCs w:val="21"/>
                          </w:rPr>
                          <w:t>干部培训班</w:t>
                        </w:r>
                      </w:p>
                    </w:tc>
                  </w:tr>
                  <w:tr>
                    <w:trPr>
                      <w:trHeight w:val="350" w:hRule="exact"/>
                    </w:trPr>
                    <w:tc>
                      <w:tcPr>
                        <w:tcW w:w="1421" w:type="dxa"/>
                        <w:vMerge/>
                        <w:tcBorders>
                          <w:left w:val="single" w:sz="6" w:space="0" w:color="000000"/>
                          <w:bottom w:val="single" w:sz="6" w:space="0" w:color="000000"/>
                          <w:right w:val="single" w:sz="6" w:space="0" w:color="000000"/>
                        </w:tcBorders>
                      </w:tcPr>
                      <w:p>
                        <w:pPr/>
                      </w:p>
                    </w:tc>
                    <w:tc>
                      <w:tcPr>
                        <w:tcW w:w="1522" w:type="dxa"/>
                        <w:vMerge/>
                        <w:tcBorders>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中层干部</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 w:right="-5"/>
                          <w:jc w:val="left"/>
                          <w:rPr>
                            <w:rFonts w:ascii="宋体" w:hAnsi="宋体" w:cs="宋体" w:eastAsia="宋体" w:hint="default"/>
                            <w:sz w:val="21"/>
                            <w:szCs w:val="21"/>
                          </w:rPr>
                        </w:pPr>
                        <w:r>
                          <w:rPr>
                            <w:rFonts w:ascii="宋体" w:hAnsi="宋体" w:cs="宋体" w:eastAsia="宋体" w:hint="default"/>
                            <w:w w:val="100"/>
                            <w:sz w:val="21"/>
                            <w:szCs w:val="21"/>
                          </w:rPr>
                          <w:t>公司管理</w:t>
                        </w:r>
                        <w:r>
                          <w:rPr>
                            <w:rFonts w:ascii="宋体" w:hAnsi="宋体" w:cs="宋体" w:eastAsia="宋体" w:hint="default"/>
                            <w:spacing w:val="-5"/>
                            <w:w w:val="100"/>
                            <w:sz w:val="21"/>
                            <w:szCs w:val="21"/>
                          </w:rPr>
                          <w:t>制</w:t>
                        </w:r>
                        <w:r>
                          <w:rPr>
                            <w:rFonts w:ascii="宋体" w:hAnsi="宋体" w:cs="宋体" w:eastAsia="宋体" w:hint="default"/>
                            <w:w w:val="100"/>
                            <w:sz w:val="21"/>
                            <w:szCs w:val="21"/>
                          </w:rPr>
                          <w:t>度（</w:t>
                        </w:r>
                        <w:r>
                          <w:rPr>
                            <w:rFonts w:ascii="Times New Roman" w:hAnsi="Times New Roman" w:cs="Times New Roman" w:eastAsia="Times New Roman" w:hint="default"/>
                            <w:w w:val="100"/>
                            <w:sz w:val="21"/>
                            <w:szCs w:val="21"/>
                          </w:rPr>
                          <w:t>202</w:t>
                        </w:r>
                        <w:r>
                          <w:rPr>
                            <w:rFonts w:ascii="Times New Roman" w:hAnsi="Times New Roman" w:cs="Times New Roman" w:eastAsia="Times New Roman" w:hint="default"/>
                            <w:spacing w:val="-5"/>
                            <w:w w:val="100"/>
                            <w:sz w:val="21"/>
                            <w:szCs w:val="21"/>
                          </w:rPr>
                          <w:t>0</w:t>
                        </w:r>
                        <w:r>
                          <w:rPr>
                            <w:rFonts w:ascii="宋体" w:hAnsi="宋体" w:cs="宋体" w:eastAsia="宋体" w:hint="default"/>
                            <w:w w:val="100"/>
                            <w:sz w:val="21"/>
                            <w:szCs w:val="21"/>
                          </w:rPr>
                          <w:t>版</w:t>
                        </w:r>
                        <w:r>
                          <w:rPr>
                            <w:rFonts w:ascii="宋体" w:hAnsi="宋体" w:cs="宋体" w:eastAsia="宋体" w:hint="default"/>
                            <w:spacing w:val="-106"/>
                            <w:w w:val="100"/>
                            <w:sz w:val="21"/>
                            <w:szCs w:val="21"/>
                          </w:rPr>
                          <w:t>）</w:t>
                        </w:r>
                        <w:r>
                          <w:rPr>
                            <w:rFonts w:ascii="宋体" w:hAnsi="宋体" w:cs="宋体" w:eastAsia="宋体" w:hint="default"/>
                            <w:w w:val="100"/>
                            <w:sz w:val="21"/>
                            <w:szCs w:val="21"/>
                          </w:rPr>
                          <w:t>、现</w:t>
                        </w:r>
                        <w:r>
                          <w:rPr>
                            <w:rFonts w:ascii="宋体" w:hAnsi="宋体" w:cs="宋体" w:eastAsia="宋体" w:hint="default"/>
                            <w:spacing w:val="-5"/>
                            <w:w w:val="100"/>
                            <w:sz w:val="21"/>
                            <w:szCs w:val="21"/>
                          </w:rPr>
                          <w:t>代</w:t>
                        </w:r>
                        <w:r>
                          <w:rPr>
                            <w:rFonts w:ascii="宋体" w:hAnsi="宋体" w:cs="宋体" w:eastAsia="宋体" w:hint="default"/>
                            <w:w w:val="100"/>
                            <w:sz w:val="21"/>
                            <w:szCs w:val="21"/>
                          </w:rPr>
                          <w:t>企业相</w:t>
                        </w:r>
                      </w:p>
                    </w:tc>
                    <w:tc>
                      <w:tcPr>
                        <w:tcW w:w="1868" w:type="dxa"/>
                        <w:vMerge/>
                        <w:tcBorders>
                          <w:left w:val="single" w:sz="6" w:space="0" w:color="000000"/>
                          <w:bottom w:val="single" w:sz="6" w:space="0" w:color="000000"/>
                          <w:right w:val="single" w:sz="6" w:space="0" w:color="000000"/>
                        </w:tcBorders>
                      </w:tcPr>
                      <w:p>
                        <w:pPr/>
                      </w:p>
                    </w:tc>
                  </w:tr>
                </w:tbl>
                <w:p>
                  <w:pPr/>
                </w:p>
              </w:txbxContent>
            </v:textbox>
            <w10:wrap type="none"/>
          </v:shape>
        </w:pict>
      </w:r>
      <w:r>
        <w:rPr>
          <w:spacing w:val="-4"/>
        </w:rPr>
        <w:t>及素质提升需要，组织员工在专业技能、理论知识、法律法规、管理技巧等方面开展教育学习与培训活动。</w:t>
      </w:r>
      <w:r>
        <w:rPr>
          <w:spacing w:val="-47"/>
        </w:rPr>
        <w:t> </w:t>
      </w:r>
      <w:r>
        <w:rPr>
          <w:spacing w:val="-47"/>
        </w:rPr>
      </w:r>
      <w:r>
        <w:rPr>
          <w:spacing w:val="-4"/>
          <w:w w:val="100"/>
        </w:rPr>
        <w:t>对不同类型的员工有不同的培训重点和相应的培训方式（如下表），并投入充足的经费与人力，保证培训</w:t>
      </w:r>
      <w:r>
        <w:rPr>
          <w:spacing w:val="-83"/>
          <w:w w:val="100"/>
        </w:rPr>
        <w:t> </w:t>
      </w:r>
      <w:r>
        <w:rPr>
          <w:spacing w:val="-83"/>
          <w:w w:val="100"/>
        </w:rPr>
      </w:r>
      <w:r>
        <w:rPr/>
        <w:t>工作的顺利开展。</w:t>
      </w:r>
    </w:p>
    <w:p>
      <w:pPr>
        <w:spacing w:after="0" w:line="348"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240" w:lineRule="auto" w:before="0"/>
        <w:ind w:left="0" w:right="1141"/>
        <w:jc w:val="right"/>
      </w:pPr>
      <w:r>
        <w:rPr/>
        <w:pict>
          <v:shape style="position:absolute;margin-left:56.183998pt;margin-top:-97.686317pt;width:477.45pt;height:354.6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21"/>
                    <w:gridCol w:w="1522"/>
                    <w:gridCol w:w="1229"/>
                    <w:gridCol w:w="3486"/>
                    <w:gridCol w:w="1868"/>
                  </w:tblGrid>
                  <w:tr>
                    <w:trPr>
                      <w:trHeight w:val="658" w:hRule="exact"/>
                    </w:trPr>
                    <w:tc>
                      <w:tcPr>
                        <w:tcW w:w="1421" w:type="dxa"/>
                        <w:vMerge w:val="restart"/>
                        <w:tcBorders>
                          <w:top w:val="single" w:sz="6" w:space="0" w:color="000000"/>
                          <w:left w:val="single" w:sz="6" w:space="0" w:color="000000"/>
                          <w:right w:val="single" w:sz="6" w:space="0" w:color="000000"/>
                        </w:tcBorders>
                      </w:tcPr>
                      <w:p>
                        <w:pPr/>
                      </w:p>
                    </w:tc>
                    <w:tc>
                      <w:tcPr>
                        <w:tcW w:w="1522" w:type="dxa"/>
                        <w:vMerge w:val="restart"/>
                        <w:tcBorders>
                          <w:top w:val="single" w:sz="6" w:space="0" w:color="000000"/>
                          <w:left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pacing w:val="-8"/>
                            <w:sz w:val="21"/>
                            <w:szCs w:val="21"/>
                          </w:rPr>
                          <w:t>关法律法规、中级财务管理知识、书面</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表达、办公技能（高级）等</w:t>
                        </w:r>
                      </w:p>
                    </w:tc>
                    <w:tc>
                      <w:tcPr>
                        <w:tcW w:w="1868" w:type="dxa"/>
                        <w:vMerge w:val="restart"/>
                        <w:tcBorders>
                          <w:top w:val="single" w:sz="6" w:space="0" w:color="000000"/>
                          <w:left w:val="single" w:sz="6" w:space="0" w:color="000000"/>
                          <w:right w:val="single" w:sz="6" w:space="0" w:color="000000"/>
                        </w:tcBorders>
                      </w:tcPr>
                      <w:p>
                        <w:pPr/>
                      </w:p>
                    </w:tc>
                  </w:tr>
                  <w:tr>
                    <w:trPr>
                      <w:trHeight w:val="975" w:hRule="exact"/>
                    </w:trPr>
                    <w:tc>
                      <w:tcPr>
                        <w:tcW w:w="1421" w:type="dxa"/>
                        <w:vMerge/>
                        <w:tcBorders>
                          <w:left w:val="single" w:sz="6" w:space="0" w:color="000000"/>
                          <w:bottom w:val="single" w:sz="6" w:space="0" w:color="000000"/>
                          <w:right w:val="single" w:sz="6" w:space="0" w:color="000000"/>
                        </w:tcBorders>
                      </w:tcPr>
                      <w:p>
                        <w:pPr/>
                      </w:p>
                    </w:tc>
                    <w:tc>
                      <w:tcPr>
                        <w:tcW w:w="1522" w:type="dxa"/>
                        <w:vMerge/>
                        <w:tcBorders>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基层干部</w:t>
                        </w:r>
                      </w:p>
                    </w:tc>
                    <w:tc>
                      <w:tcPr>
                        <w:tcW w:w="3486"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4" w:right="-5"/>
                          <w:jc w:val="both"/>
                          <w:rPr>
                            <w:rFonts w:ascii="宋体" w:hAnsi="宋体" w:cs="宋体" w:eastAsia="宋体" w:hint="default"/>
                            <w:sz w:val="21"/>
                            <w:szCs w:val="21"/>
                          </w:rPr>
                        </w:pPr>
                        <w:r>
                          <w:rPr>
                            <w:rFonts w:ascii="宋体" w:hAnsi="宋体" w:cs="宋体" w:eastAsia="宋体" w:hint="default"/>
                            <w:spacing w:val="-7"/>
                            <w:w w:val="100"/>
                            <w:sz w:val="21"/>
                            <w:szCs w:val="21"/>
                          </w:rPr>
                          <w:t>公司管理制度（</w:t>
                        </w:r>
                        <w:r>
                          <w:rPr>
                            <w:rFonts w:ascii="Times New Roman" w:hAnsi="Times New Roman" w:cs="Times New Roman" w:eastAsia="Times New Roman" w:hint="default"/>
                            <w:spacing w:val="-7"/>
                            <w:w w:val="100"/>
                            <w:sz w:val="21"/>
                            <w:szCs w:val="21"/>
                          </w:rPr>
                          <w:t>2020</w:t>
                        </w:r>
                        <w:r>
                          <w:rPr>
                            <w:rFonts w:ascii="宋体" w:hAnsi="宋体" w:cs="宋体" w:eastAsia="宋体" w:hint="default"/>
                            <w:spacing w:val="-7"/>
                            <w:w w:val="100"/>
                            <w:sz w:val="21"/>
                            <w:szCs w:val="21"/>
                          </w:rPr>
                          <w:t>版）、现代企业相</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8"/>
                            <w:sz w:val="21"/>
                            <w:szCs w:val="21"/>
                          </w:rPr>
                          <w:t>关法律法规、初级财务管理知识、书面</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表达、办公技能（高级）等</w:t>
                        </w:r>
                      </w:p>
                    </w:tc>
                    <w:tc>
                      <w:tcPr>
                        <w:tcW w:w="1868" w:type="dxa"/>
                        <w:vMerge/>
                        <w:tcBorders>
                          <w:left w:val="single" w:sz="6" w:space="0" w:color="000000"/>
                          <w:bottom w:val="single" w:sz="6" w:space="0" w:color="000000"/>
                          <w:right w:val="single" w:sz="6" w:space="0" w:color="000000"/>
                        </w:tcBorders>
                      </w:tcPr>
                      <w:p>
                        <w:pPr/>
                      </w:p>
                    </w:tc>
                  </w:tr>
                  <w:tr>
                    <w:trPr>
                      <w:trHeight w:val="3155"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专业技术人员</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7"/>
                          <w:jc w:val="both"/>
                          <w:rPr>
                            <w:rFonts w:ascii="宋体" w:hAnsi="宋体" w:cs="宋体" w:eastAsia="宋体" w:hint="default"/>
                            <w:sz w:val="21"/>
                            <w:szCs w:val="21"/>
                          </w:rPr>
                        </w:pPr>
                        <w:r>
                          <w:rPr>
                            <w:rFonts w:ascii="宋体" w:hAnsi="宋体" w:cs="宋体" w:eastAsia="宋体" w:hint="default"/>
                            <w:sz w:val="21"/>
                            <w:szCs w:val="21"/>
                          </w:rPr>
                          <w:t>解决方案、项目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管理等能力的提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升</w:t>
                        </w:r>
                      </w:p>
                    </w:tc>
                    <w:tc>
                      <w:tcPr>
                        <w:tcW w:w="4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智慧行政区域治理解决方案</w:t>
                        </w:r>
                      </w:p>
                      <w:p>
                        <w:pPr>
                          <w:pStyle w:val="TableParagraph"/>
                          <w:spacing w:line="240" w:lineRule="auto" w:before="21"/>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智慧城市基础设施建设与技术方案</w:t>
                        </w:r>
                      </w:p>
                      <w:p>
                        <w:pPr>
                          <w:pStyle w:val="TableParagraph"/>
                          <w:spacing w:line="240" w:lineRule="auto" w:before="21"/>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政务及社会服务解决方案</w:t>
                        </w:r>
                      </w:p>
                      <w:p>
                        <w:pPr>
                          <w:pStyle w:val="TableParagraph"/>
                          <w:spacing w:line="240" w:lineRule="auto" w:before="21"/>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智能建筑知识</w:t>
                        </w:r>
                      </w:p>
                      <w:p>
                        <w:pPr>
                          <w:pStyle w:val="TableParagraph"/>
                          <w:spacing w:line="240" w:lineRule="auto" w:before="21"/>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公司产品知识</w:t>
                        </w:r>
                      </w:p>
                      <w:p>
                        <w:pPr>
                          <w:pStyle w:val="TableParagraph"/>
                          <w:spacing w:line="240" w:lineRule="auto" w:before="21"/>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财务管理知识</w:t>
                        </w:r>
                      </w:p>
                      <w:p>
                        <w:pPr>
                          <w:pStyle w:val="TableParagraph"/>
                          <w:spacing w:line="240" w:lineRule="auto" w:before="21"/>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项目管理知识</w:t>
                        </w:r>
                      </w:p>
                      <w:p>
                        <w:pPr>
                          <w:pStyle w:val="TableParagraph"/>
                          <w:spacing w:line="240" w:lineRule="auto" w:before="21"/>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0"/>
                            <w:sz w:val="21"/>
                            <w:szCs w:val="21"/>
                          </w:rPr>
                          <w:t> </w:t>
                        </w:r>
                        <w:r>
                          <w:rPr>
                            <w:rFonts w:ascii="宋体" w:hAnsi="宋体" w:cs="宋体" w:eastAsia="宋体" w:hint="default"/>
                            <w:sz w:val="21"/>
                            <w:szCs w:val="21"/>
                          </w:rPr>
                          <w:t>行业法律法规标准规范知识</w:t>
                        </w:r>
                      </w:p>
                      <w:p>
                        <w:pPr>
                          <w:pStyle w:val="TableParagraph"/>
                          <w:numPr>
                            <w:ilvl w:val="0"/>
                            <w:numId w:val="1"/>
                          </w:numPr>
                          <w:tabs>
                            <w:tab w:pos="130" w:val="left" w:leader="none"/>
                          </w:tabs>
                          <w:spacing w:line="240" w:lineRule="auto" w:before="21" w:after="0"/>
                          <w:ind w:left="129" w:right="0" w:hanging="120"/>
                          <w:jc w:val="left"/>
                          <w:rPr>
                            <w:rFonts w:ascii="宋体" w:hAnsi="宋体" w:cs="宋体" w:eastAsia="宋体" w:hint="default"/>
                            <w:sz w:val="21"/>
                            <w:szCs w:val="21"/>
                          </w:rPr>
                        </w:pPr>
                        <w:r>
                          <w:rPr>
                            <w:rFonts w:ascii="Times New Roman" w:hAnsi="Times New Roman" w:cs="Times New Roman" w:eastAsia="Times New Roman" w:hint="default"/>
                            <w:sz w:val="21"/>
                            <w:szCs w:val="21"/>
                          </w:rPr>
                          <w:t>PPP</w:t>
                        </w:r>
                        <w:r>
                          <w:rPr>
                            <w:rFonts w:ascii="宋体" w:hAnsi="宋体" w:cs="宋体" w:eastAsia="宋体" w:hint="default"/>
                            <w:sz w:val="21"/>
                            <w:szCs w:val="21"/>
                          </w:rPr>
                          <w:t>知识</w:t>
                        </w:r>
                      </w:p>
                      <w:p>
                        <w:pPr>
                          <w:pStyle w:val="TableParagraph"/>
                          <w:numPr>
                            <w:ilvl w:val="0"/>
                            <w:numId w:val="1"/>
                          </w:numPr>
                          <w:tabs>
                            <w:tab w:pos="130" w:val="left" w:leader="none"/>
                          </w:tabs>
                          <w:spacing w:line="240" w:lineRule="auto" w:before="22" w:after="0"/>
                          <w:ind w:left="129" w:right="0" w:hanging="120"/>
                          <w:jc w:val="left"/>
                          <w:rPr>
                            <w:rFonts w:ascii="宋体" w:hAnsi="宋体" w:cs="宋体" w:eastAsia="宋体" w:hint="default"/>
                            <w:sz w:val="21"/>
                            <w:szCs w:val="21"/>
                          </w:rPr>
                        </w:pPr>
                        <w:r>
                          <w:rPr>
                            <w:rFonts w:ascii="Times New Roman" w:hAnsi="Times New Roman" w:cs="Times New Roman" w:eastAsia="Times New Roman" w:hint="default"/>
                            <w:sz w:val="21"/>
                            <w:szCs w:val="21"/>
                          </w:rPr>
                          <w:t>CAD</w:t>
                        </w:r>
                        <w:r>
                          <w:rPr>
                            <w:rFonts w:ascii="宋体" w:hAnsi="宋体" w:cs="宋体" w:eastAsia="宋体" w:hint="default"/>
                            <w:sz w:val="21"/>
                            <w:szCs w:val="21"/>
                          </w:rPr>
                          <w:t>技能</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pacing w:val="-6"/>
                            <w:sz w:val="21"/>
                            <w:szCs w:val="21"/>
                          </w:rPr>
                          <w:t>学习班、师带徒、远</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8"/>
                            <w:sz w:val="21"/>
                            <w:szCs w:val="21"/>
                          </w:rPr>
                          <w:t>程教学、轮岗、换岗</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6"/>
                            <w:sz w:val="21"/>
                            <w:szCs w:val="21"/>
                          </w:rPr>
                          <w:t>外送培训、多媒体教</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学</w:t>
                        </w:r>
                      </w:p>
                    </w:tc>
                  </w:tr>
                  <w:tr>
                    <w:trPr>
                      <w:trHeight w:val="658"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技术工人</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操作技能升级</w:t>
                        </w:r>
                      </w:p>
                    </w:tc>
                    <w:tc>
                      <w:tcPr>
                        <w:tcW w:w="4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岗位技能、职业资格等级技能、新技术</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8"/>
                          <w:jc w:val="left"/>
                          <w:rPr>
                            <w:rFonts w:ascii="宋体" w:hAnsi="宋体" w:cs="宋体" w:eastAsia="宋体" w:hint="default"/>
                            <w:sz w:val="21"/>
                            <w:szCs w:val="21"/>
                          </w:rPr>
                        </w:pPr>
                        <w:r>
                          <w:rPr>
                            <w:rFonts w:ascii="宋体" w:hAnsi="宋体" w:cs="宋体" w:eastAsia="宋体" w:hint="default"/>
                            <w:sz w:val="21"/>
                            <w:szCs w:val="21"/>
                          </w:rPr>
                          <w:t>师带徒、工作训练、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轮岗、换岗</w:t>
                        </w:r>
                      </w:p>
                    </w:tc>
                  </w:tr>
                  <w:tr>
                    <w:trPr>
                      <w:trHeight w:val="970"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营销服务人员</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岗位技能升级</w:t>
                        </w:r>
                      </w:p>
                    </w:tc>
                    <w:tc>
                      <w:tcPr>
                        <w:tcW w:w="4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解决方案、产品、营销技能、商务礼仪、岗位技能</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both"/>
                          <w:rPr>
                            <w:rFonts w:ascii="宋体" w:hAnsi="宋体" w:cs="宋体" w:eastAsia="宋体" w:hint="default"/>
                            <w:sz w:val="21"/>
                            <w:szCs w:val="21"/>
                          </w:rPr>
                        </w:pPr>
                        <w:r>
                          <w:rPr>
                            <w:rFonts w:ascii="宋体" w:hAnsi="宋体" w:cs="宋体" w:eastAsia="宋体" w:hint="default"/>
                            <w:spacing w:val="-6"/>
                            <w:sz w:val="21"/>
                            <w:szCs w:val="21"/>
                          </w:rPr>
                          <w:t>轮训、专题讲座、多</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6"/>
                            <w:sz w:val="21"/>
                            <w:szCs w:val="21"/>
                          </w:rPr>
                          <w:t>媒体教学、轮岗、换</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岗、外请培训</w:t>
                        </w:r>
                      </w:p>
                    </w:tc>
                  </w:tr>
                  <w:tr>
                    <w:trPr>
                      <w:trHeight w:val="662" w:hRule="exact"/>
                    </w:trPr>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新员工</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岗位必备能力</w:t>
                        </w:r>
                      </w:p>
                    </w:tc>
                    <w:tc>
                      <w:tcPr>
                        <w:tcW w:w="47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71"/>
                          <w:jc w:val="left"/>
                          <w:rPr>
                            <w:rFonts w:ascii="宋体" w:hAnsi="宋体" w:cs="宋体" w:eastAsia="宋体" w:hint="default"/>
                            <w:sz w:val="21"/>
                            <w:szCs w:val="21"/>
                          </w:rPr>
                        </w:pPr>
                        <w:r>
                          <w:rPr>
                            <w:rFonts w:ascii="宋体" w:hAnsi="宋体" w:cs="宋体" w:eastAsia="宋体" w:hint="default"/>
                            <w:spacing w:val="-2"/>
                            <w:sz w:val="21"/>
                            <w:szCs w:val="21"/>
                          </w:rPr>
                          <w:t>办公技能、沟通表达、公司制度、岗位知识和技能</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等</w:t>
                        </w:r>
                      </w:p>
                    </w:tc>
                    <w:tc>
                      <w:tcPr>
                        <w:tcW w:w="186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pacing w:val="-6"/>
                            <w:sz w:val="21"/>
                            <w:szCs w:val="21"/>
                          </w:rPr>
                          <w:t>师带徒、老带新、轮</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岗、换岗、实习</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78"/>
        <w:ind w:right="1002"/>
        <w:jc w:val="left"/>
        <w:rPr>
          <w:b w:val="0"/>
          <w:bCs w:val="0"/>
        </w:rPr>
      </w:pPr>
      <w:bookmarkStart w:name="4、劳务外包情况" w:id="137"/>
      <w:bookmarkEnd w:id="13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464"/>
        <w:jc w:val="center"/>
        <w:rPr>
          <w:b w:val="0"/>
          <w:bCs w:val="0"/>
        </w:rPr>
      </w:pPr>
      <w:bookmarkStart w:name="第十节公司治理" w:id="138"/>
      <w:bookmarkEnd w:id="138"/>
      <w:r>
        <w:rPr>
          <w:b w:val="0"/>
          <w:bCs w:val="0"/>
        </w:rPr>
      </w:r>
      <w:bookmarkStart w:name="_bookmark8" w:id="139"/>
      <w:bookmarkEnd w:id="139"/>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40"/>
      <w:bookmarkEnd w:id="140"/>
      <w:r>
        <w:rPr>
          <w:b w:val="0"/>
          <w:bCs w:val="0"/>
        </w:rPr>
      </w:r>
      <w:r>
        <w:rPr/>
        <w:t>一、公司治理的基本状况</w:t>
      </w:r>
      <w:r>
        <w:rPr>
          <w:b w:val="0"/>
          <w:bCs w:val="0"/>
        </w:rPr>
      </w:r>
    </w:p>
    <w:p>
      <w:pPr>
        <w:spacing w:line="240" w:lineRule="auto" w:before="3"/>
        <w:rPr>
          <w:rFonts w:ascii="宋体" w:hAnsi="宋体" w:cs="宋体" w:eastAsia="宋体" w:hint="default"/>
          <w:b/>
          <w:bCs/>
          <w:sz w:val="32"/>
          <w:szCs w:val="32"/>
        </w:rPr>
      </w:pPr>
    </w:p>
    <w:p>
      <w:pPr>
        <w:pStyle w:val="BodyText"/>
        <w:spacing w:line="348" w:lineRule="auto" w:before="0"/>
        <w:ind w:right="1125" w:firstLine="451"/>
        <w:jc w:val="both"/>
      </w:pPr>
      <w:r>
        <w:rPr>
          <w:spacing w:val="-16"/>
          <w:w w:val="100"/>
        </w:rPr>
        <w:t>报告期内，公司严格按照《公司法》、《证券法》、《上市公司治理准则》、《深圳证券交易所股票上市规</w:t>
      </w:r>
      <w:r>
        <w:rPr>
          <w:w w:val="100"/>
        </w:rPr>
        <w:t> </w:t>
      </w:r>
      <w:r>
        <w:rPr>
          <w:spacing w:val="-7"/>
          <w:w w:val="100"/>
        </w:rPr>
        <w:t>则》、《深圳证券交易所上市公司规范运作指引》和中国证监会有关法律法规的要求，不断完善公司治理结</w:t>
      </w:r>
      <w:r>
        <w:rPr>
          <w:spacing w:val="-64"/>
          <w:w w:val="100"/>
        </w:rPr>
        <w:t> </w:t>
      </w:r>
      <w:r>
        <w:rPr>
          <w:spacing w:val="-64"/>
          <w:w w:val="100"/>
        </w:rPr>
      </w:r>
      <w:r>
        <w:rPr>
          <w:spacing w:val="-2"/>
        </w:rPr>
        <w:t>构，建立健全内部管理和控制制度，进一步提高公司治理水平。截止报告期末，公司治理的实际运行情况</w:t>
      </w:r>
      <w:r>
        <w:rPr>
          <w:spacing w:val="-33"/>
        </w:rPr>
        <w:t> </w:t>
      </w:r>
      <w:r>
        <w:rPr>
          <w:spacing w:val="-33"/>
        </w:rPr>
      </w:r>
      <w:r>
        <w:rPr>
          <w:spacing w:val="-2"/>
        </w:rPr>
        <w:t>与中国证监会、深圳证券交易所上市公司治理规范性文件基本相符，不存在尚未解决的治理问题。截止报</w:t>
      </w:r>
      <w:r>
        <w:rPr>
          <w:spacing w:val="-33"/>
        </w:rPr>
        <w:t> </w:t>
      </w:r>
      <w:r>
        <w:rPr>
          <w:spacing w:val="-33"/>
        </w:rPr>
      </w:r>
      <w:r>
        <w:rPr>
          <w:spacing w:val="-2"/>
        </w:rPr>
        <w:t>告期末，公司对照中国证监会发布的有关上市公司治理的规范性文件，公司认为：公司法人治理结构的实</w:t>
      </w:r>
      <w:r>
        <w:rPr>
          <w:spacing w:val="-33"/>
        </w:rPr>
        <w:t> </w:t>
      </w:r>
      <w:r>
        <w:rPr>
          <w:spacing w:val="-33"/>
        </w:rPr>
      </w:r>
      <w:r>
        <w:rPr/>
        <w:t>际状况基本符合中国证监会发布的有关上市公司治理的规范性文件。</w:t>
      </w:r>
    </w:p>
    <w:p>
      <w:pPr>
        <w:pStyle w:val="BodyText"/>
        <w:spacing w:line="348" w:lineRule="auto" w:before="34"/>
        <w:ind w:left="430" w:right="7926"/>
        <w:jc w:val="left"/>
      </w:pPr>
      <w:r>
        <w:rPr>
          <w:spacing w:val="-1"/>
        </w:rPr>
        <w:t>公司治理的具体情况如下：</w:t>
      </w:r>
      <w:r>
        <w:rPr>
          <w:spacing w:val="-89"/>
        </w:rPr>
        <w:t> </w:t>
      </w:r>
      <w:r>
        <w:rPr>
          <w:spacing w:val="-89"/>
        </w:rPr>
      </w:r>
      <w:r>
        <w:rPr>
          <w:rFonts w:ascii="宋体" w:hAnsi="宋体" w:cs="宋体" w:eastAsia="宋体" w:hint="default"/>
        </w:rPr>
        <w:t>1</w:t>
      </w:r>
      <w:r>
        <w:rPr/>
        <w:t>、关于股东与股东大会</w:t>
      </w:r>
    </w:p>
    <w:p>
      <w:pPr>
        <w:pStyle w:val="BodyText"/>
        <w:spacing w:line="350" w:lineRule="auto" w:before="29"/>
        <w:ind w:right="1002" w:firstLine="316"/>
        <w:jc w:val="left"/>
      </w:pPr>
      <w:r>
        <w:rPr>
          <w:spacing w:val="-2"/>
        </w:rPr>
        <w:t>公司严格按照《公司章程》和《股东大会议事规则》的规定，规范股东大会的召集、召开及表决程序，</w:t>
      </w:r>
      <w:r>
        <w:rPr>
          <w:w w:val="100"/>
        </w:rPr>
        <w:t> </w:t>
      </w:r>
      <w:r>
        <w:rPr>
          <w:spacing w:val="-2"/>
        </w:rPr>
        <w:t>并聘请律师出席见证，确保全体股东、特别是中小股东享有平等地位，公司通过建立与股东沟通的有效渠</w:t>
      </w:r>
      <w:r>
        <w:rPr>
          <w:spacing w:val="-33"/>
        </w:rPr>
        <w:t> </w:t>
      </w:r>
      <w:r>
        <w:rPr>
          <w:spacing w:val="-33"/>
        </w:rPr>
      </w:r>
      <w:r>
        <w:rPr/>
        <w:t>道，确保全体股东充分地行使自己的合法权利。</w:t>
      </w:r>
    </w:p>
    <w:p>
      <w:pPr>
        <w:pStyle w:val="BodyText"/>
        <w:spacing w:line="352" w:lineRule="auto" w:before="27"/>
        <w:ind w:left="430" w:right="1002"/>
        <w:jc w:val="left"/>
      </w:pPr>
      <w:r>
        <w:rPr>
          <w:rFonts w:ascii="宋体" w:hAnsi="宋体" w:cs="宋体" w:eastAsia="宋体" w:hint="default"/>
        </w:rPr>
        <w:t>2</w:t>
      </w:r>
      <w:r>
        <w:rPr/>
        <w:t>、关于公司与控股股东</w:t>
      </w:r>
      <w:r>
        <w:rPr>
          <w:spacing w:val="-103"/>
        </w:rPr>
        <w:t> </w:t>
      </w:r>
      <w:r>
        <w:rPr>
          <w:spacing w:val="-103"/>
        </w:rPr>
      </w:r>
      <w:r>
        <w:rPr>
          <w:spacing w:val="-2"/>
        </w:rPr>
        <w:t>公司控股股东对公司依法通过股东大会行使出资人的权利，没有超越股东大会直接或间接干预公司的</w:t>
      </w:r>
    </w:p>
    <w:p>
      <w:pPr>
        <w:pStyle w:val="BodyText"/>
        <w:spacing w:line="350" w:lineRule="auto" w:before="25"/>
        <w:ind w:right="1125"/>
        <w:jc w:val="both"/>
      </w:pPr>
      <w:r>
        <w:rPr>
          <w:spacing w:val="-2"/>
        </w:rPr>
        <w:t>决策和经营活动。公司拥有独立的业务和经营自主能力，在业务、人员、资产、机构、财务上独立于控股</w:t>
      </w:r>
      <w:r>
        <w:rPr>
          <w:spacing w:val="-38"/>
        </w:rPr>
        <w:t> </w:t>
      </w:r>
      <w:r>
        <w:rPr>
          <w:spacing w:val="-38"/>
        </w:rPr>
      </w:r>
      <w:r>
        <w:rPr>
          <w:spacing w:val="-2"/>
        </w:rPr>
        <w:t>股东，公司董事会、监事会和内部机构独立运作。公司控股股东能严格规范自己的行为，依法行使其权利</w:t>
      </w:r>
      <w:r>
        <w:rPr>
          <w:spacing w:val="-33"/>
        </w:rPr>
        <w:t> </w:t>
      </w:r>
      <w:r>
        <w:rPr>
          <w:spacing w:val="-33"/>
        </w:rPr>
      </w:r>
      <w:r>
        <w:rPr>
          <w:spacing w:val="-2"/>
        </w:rPr>
        <w:t>并承担相应义务，没有超越公司股东大会直接或间接干预公司的决策和经营活动的行为。公司不存在控股</w:t>
      </w:r>
      <w:r>
        <w:rPr>
          <w:spacing w:val="-33"/>
        </w:rPr>
        <w:t> </w:t>
      </w:r>
      <w:r>
        <w:rPr>
          <w:spacing w:val="-33"/>
        </w:rPr>
      </w:r>
      <w:r>
        <w:rPr/>
        <w:t>股东占用公司资金的现象，公司也没有为控股股东提供担保的情形。</w:t>
      </w:r>
    </w:p>
    <w:p>
      <w:pPr>
        <w:pStyle w:val="BodyText"/>
        <w:spacing w:line="352" w:lineRule="auto" w:before="27"/>
        <w:ind w:left="430" w:right="1002" w:firstLine="105"/>
        <w:jc w:val="left"/>
      </w:pPr>
      <w:r>
        <w:rPr>
          <w:rFonts w:ascii="宋体" w:hAnsi="宋体" w:cs="宋体" w:eastAsia="宋体" w:hint="default"/>
        </w:rPr>
        <w:t>3</w:t>
      </w:r>
      <w:r>
        <w:rPr/>
        <w:t>、关于董事与董事会</w:t>
      </w:r>
      <w:r>
        <w:rPr>
          <w:w w:val="100"/>
        </w:rPr>
        <w:t> </w:t>
      </w:r>
      <w:r>
        <w:rPr>
          <w:spacing w:val="-7"/>
          <w:w w:val="100"/>
        </w:rPr>
        <w:t>公司严格按照《公司法》、《公司章程》的规定，严格董事的选聘程序，确保公司董事选聘公开、公平、</w:t>
      </w:r>
    </w:p>
    <w:p>
      <w:pPr>
        <w:pStyle w:val="BodyText"/>
        <w:spacing w:line="348" w:lineRule="auto" w:before="25"/>
        <w:ind w:right="1002"/>
        <w:jc w:val="left"/>
      </w:pPr>
      <w:r>
        <w:rPr/>
        <w:t>公正、独立。公司目前有董事</w:t>
      </w:r>
      <w:r>
        <w:rPr>
          <w:rFonts w:ascii="宋体" w:hAnsi="宋体" w:cs="宋体" w:eastAsia="宋体" w:hint="default"/>
        </w:rPr>
        <w:t>9</w:t>
      </w:r>
      <w:r>
        <w:rPr/>
        <w:t>名，其中独立董事三名，占全体董事的三分之一，董事会成员构成符合法</w:t>
      </w:r>
      <w:r>
        <w:rPr>
          <w:w w:val="100"/>
        </w:rPr>
        <w:t> </w:t>
      </w:r>
      <w:r>
        <w:rPr>
          <w:spacing w:val="-11"/>
          <w:w w:val="100"/>
        </w:rPr>
        <w:t>律法规的要求。公司全体董事能够按照《董事会议事规则》、《公司独立董事制度》、《深圳证券交易所上市</w:t>
      </w:r>
      <w:r>
        <w:rPr>
          <w:spacing w:val="-77"/>
          <w:w w:val="100"/>
        </w:rPr>
        <w:t> </w:t>
      </w:r>
      <w:r>
        <w:rPr>
          <w:spacing w:val="-77"/>
          <w:w w:val="100"/>
        </w:rPr>
      </w:r>
      <w:r>
        <w:rPr>
          <w:spacing w:val="-2"/>
        </w:rPr>
        <w:t>公司规范运作指引》的要求开展工作，认真出席董事会和股东大会，认真履行董事诚实守信、勤勉尽责的</w:t>
      </w:r>
      <w:r>
        <w:rPr>
          <w:spacing w:val="-33"/>
        </w:rPr>
        <w:t> </w:t>
      </w:r>
      <w:r>
        <w:rPr>
          <w:spacing w:val="-33"/>
        </w:rPr>
      </w:r>
      <w:r>
        <w:rPr>
          <w:spacing w:val="-5"/>
        </w:rPr>
        <w:t>义务。董事会下设战略委员会、审计委员会、薪酬与考核委员会、提名委员会四个专门委员会，各尽其责，</w:t>
      </w:r>
      <w:r>
        <w:rPr>
          <w:spacing w:val="-3"/>
        </w:rPr>
        <w:t> </w:t>
      </w:r>
      <w:r>
        <w:rPr>
          <w:spacing w:val="-3"/>
        </w:rPr>
      </w:r>
      <w:r>
        <w:rPr/>
        <w:t>提高了董事会的办事效率。</w:t>
      </w:r>
    </w:p>
    <w:p>
      <w:pPr>
        <w:pStyle w:val="BodyText"/>
        <w:spacing w:line="348" w:lineRule="auto" w:before="34"/>
        <w:ind w:left="535" w:right="1002"/>
        <w:jc w:val="left"/>
      </w:pPr>
      <w:r>
        <w:rPr>
          <w:rFonts w:ascii="宋体" w:hAnsi="宋体" w:cs="宋体" w:eastAsia="宋体" w:hint="default"/>
        </w:rPr>
        <w:t>4</w:t>
      </w:r>
      <w:r>
        <w:rPr/>
        <w:t>、关于监事与监事会</w:t>
      </w:r>
      <w:r>
        <w:rPr>
          <w:w w:val="100"/>
        </w:rPr>
        <w:t> </w:t>
      </w:r>
      <w:r>
        <w:rPr>
          <w:spacing w:val="-7"/>
          <w:w w:val="100"/>
        </w:rPr>
        <w:t>公司严格按照《公司章程》、《监事会议事规则》的规定，严格监事的选聘程序，确保公司监事选聘公</w:t>
      </w:r>
    </w:p>
    <w:p>
      <w:pPr>
        <w:pStyle w:val="BodyText"/>
        <w:spacing w:line="350" w:lineRule="auto" w:before="29"/>
        <w:ind w:right="1106"/>
        <w:jc w:val="both"/>
      </w:pPr>
      <w:r>
        <w:rPr>
          <w:spacing w:val="-2"/>
        </w:rPr>
        <w:t>开、公平、公正、独立。公司监事会由三名监事组成，其中一名为职工代表监事，监事会成员构成符合相</w:t>
      </w:r>
      <w:r>
        <w:rPr>
          <w:spacing w:val="-33"/>
        </w:rPr>
        <w:t> </w:t>
      </w:r>
      <w:r>
        <w:rPr>
          <w:spacing w:val="-33"/>
        </w:rPr>
      </w:r>
      <w:r>
        <w:rPr>
          <w:spacing w:val="-7"/>
          <w:w w:val="100"/>
        </w:rPr>
        <w:t>关法律法规的要求。公司全体监事能够按照《公司章程》、《监事会议事规则》等制度，认真履行自己的职</w:t>
      </w:r>
      <w:r>
        <w:rPr>
          <w:spacing w:val="-69"/>
          <w:w w:val="100"/>
        </w:rPr>
        <w:t> </w:t>
      </w:r>
      <w:r>
        <w:rPr>
          <w:spacing w:val="-69"/>
          <w:w w:val="100"/>
        </w:rPr>
      </w:r>
      <w:r>
        <w:rPr>
          <w:spacing w:val="-2"/>
        </w:rPr>
        <w:t>责，能够本着对股东负责的精神，认真出席监事会和股东大会，列席董事会，对公司财务以及公司董事、</w:t>
      </w:r>
    </w:p>
    <w:p>
      <w:pPr>
        <w:spacing w:after="0" w:line="35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25"/>
        <w:jc w:val="both"/>
      </w:pPr>
      <w:r>
        <w:rPr>
          <w:spacing w:val="-2"/>
        </w:rPr>
        <w:t>总经理和其他高级管理人员履行职责的合法合规性进行监督，维护公司及股东的合法权益。对公司运营情</w:t>
      </w:r>
      <w:r>
        <w:rPr>
          <w:spacing w:val="-33"/>
        </w:rPr>
        <w:t> </w:t>
      </w:r>
      <w:r>
        <w:rPr>
          <w:spacing w:val="-33"/>
        </w:rPr>
      </w:r>
      <w:r>
        <w:rPr>
          <w:spacing w:val="-2"/>
        </w:rPr>
        <w:t>况、重大事项、关联交易对关联交易以及公司董事的选举、高级管理人员的聘任履行程序、职责的合法合</w:t>
      </w:r>
      <w:r>
        <w:rPr>
          <w:spacing w:val="-32"/>
        </w:rPr>
        <w:t> </w:t>
      </w:r>
      <w:r>
        <w:rPr>
          <w:spacing w:val="-32"/>
        </w:rPr>
      </w:r>
      <w:r>
        <w:rPr/>
        <w:t>规性进行监督，维护了公司及股东的合法权益。</w:t>
      </w:r>
    </w:p>
    <w:p>
      <w:pPr>
        <w:pStyle w:val="BodyText"/>
        <w:spacing w:line="348" w:lineRule="auto" w:before="27"/>
        <w:ind w:left="535" w:right="1002"/>
        <w:jc w:val="left"/>
      </w:pPr>
      <w:r>
        <w:rPr>
          <w:rFonts w:ascii="宋体" w:hAnsi="宋体" w:cs="宋体" w:eastAsia="宋体" w:hint="default"/>
        </w:rPr>
        <w:t>5</w:t>
      </w:r>
      <w:r>
        <w:rPr/>
        <w:t>、关于绩效评价与激励约束机制</w:t>
      </w:r>
      <w:r>
        <w:rPr>
          <w:spacing w:val="-103"/>
        </w:rPr>
        <w:t> </w:t>
      </w:r>
      <w:r>
        <w:rPr>
          <w:spacing w:val="-103"/>
        </w:rPr>
      </w:r>
      <w:r>
        <w:rPr>
          <w:spacing w:val="-2"/>
        </w:rPr>
        <w:t>公司已建立较为完善的员工绩效评价和激励约束机制，同时建立了公正、透明的董事、监事和经营层</w:t>
      </w:r>
    </w:p>
    <w:p>
      <w:pPr>
        <w:pStyle w:val="BodyText"/>
        <w:spacing w:line="348" w:lineRule="auto" w:before="34"/>
        <w:ind w:right="1002"/>
        <w:jc w:val="left"/>
      </w:pPr>
      <w:r>
        <w:rPr>
          <w:spacing w:val="-2"/>
        </w:rPr>
        <w:t>人员等的绩效评价标准和激励约束机制，公司管理人员的聘任公开、透明，符合法律法规的规定。根据公</w:t>
      </w:r>
      <w:r>
        <w:rPr>
          <w:spacing w:val="-33"/>
        </w:rPr>
        <w:t> </w:t>
      </w:r>
      <w:r>
        <w:rPr>
          <w:spacing w:val="-33"/>
        </w:rPr>
      </w:r>
      <w:r>
        <w:rPr/>
        <w:t>司的发展，公司将进一步明确高级管理人员的职责范围和工作指引。</w:t>
      </w:r>
    </w:p>
    <w:p>
      <w:pPr>
        <w:pStyle w:val="BodyText"/>
        <w:spacing w:line="352" w:lineRule="auto" w:before="29"/>
        <w:ind w:left="535" w:right="1002"/>
        <w:jc w:val="left"/>
      </w:pPr>
      <w:r>
        <w:rPr>
          <w:rFonts w:ascii="宋体" w:hAnsi="宋体" w:cs="宋体" w:eastAsia="宋体" w:hint="default"/>
        </w:rPr>
        <w:t>6</w:t>
      </w:r>
      <w:r>
        <w:rPr/>
        <w:t>、关于相关利益者</w:t>
      </w:r>
      <w:r>
        <w:rPr>
          <w:w w:val="100"/>
        </w:rPr>
        <w:t> </w:t>
      </w:r>
      <w:r>
        <w:rPr>
          <w:spacing w:val="-2"/>
        </w:rPr>
        <w:t>公司在保持稳健发展、实现股东利益最大化的同时，充分尊重和维护相关利益者的合法利益，积极与</w:t>
      </w:r>
    </w:p>
    <w:p>
      <w:pPr>
        <w:pStyle w:val="BodyText"/>
        <w:spacing w:line="348" w:lineRule="auto" w:before="25"/>
        <w:ind w:right="1002"/>
        <w:jc w:val="left"/>
      </w:pPr>
      <w:r>
        <w:rPr>
          <w:spacing w:val="-2"/>
        </w:rPr>
        <w:t>相关利益者沟通和交流，努力实现股东、员工、社会等各方利益的均衡，在经营中秉承诚实守信，公平公</w:t>
      </w:r>
      <w:r>
        <w:rPr>
          <w:spacing w:val="-38"/>
        </w:rPr>
        <w:t> </w:t>
      </w:r>
      <w:r>
        <w:rPr>
          <w:spacing w:val="-38"/>
        </w:rPr>
      </w:r>
      <w:r>
        <w:rPr/>
        <w:t>开的原则，共同推进公司持续、健康地发展。</w:t>
      </w:r>
    </w:p>
    <w:p>
      <w:pPr>
        <w:pStyle w:val="BodyText"/>
        <w:spacing w:line="348" w:lineRule="auto" w:before="34"/>
        <w:ind w:left="454" w:right="1002" w:firstLine="81"/>
        <w:jc w:val="left"/>
      </w:pPr>
      <w:r>
        <w:rPr>
          <w:rFonts w:ascii="宋体" w:hAnsi="宋体" w:cs="宋体" w:eastAsia="宋体" w:hint="default"/>
        </w:rPr>
        <w:t>7</w:t>
      </w:r>
      <w:r>
        <w:rPr/>
        <w:t>、关于信息披露与透明度</w:t>
      </w:r>
      <w:r>
        <w:rPr>
          <w:w w:val="100"/>
        </w:rPr>
        <w:t> </w:t>
      </w:r>
      <w:r>
        <w:rPr>
          <w:spacing w:val="-2"/>
        </w:rPr>
        <w:t>公司已指定董事会秘书为公司的投资者关系管理负责人，负责公司的信息披露与投资者关系的管理，</w:t>
      </w:r>
    </w:p>
    <w:p>
      <w:pPr>
        <w:pStyle w:val="BodyText"/>
        <w:spacing w:line="343" w:lineRule="auto" w:before="29"/>
        <w:ind w:right="1002"/>
        <w:jc w:val="left"/>
      </w:pPr>
      <w:r>
        <w:rPr>
          <w:spacing w:val="-15"/>
          <w:w w:val="100"/>
        </w:rPr>
        <w:t>接待股东的来访和咨询；指定《证券时报》、《中国证券报》、《上海证券报》和巨潮资讯网</w:t>
      </w:r>
      <w:r>
        <w:rPr>
          <w:rFonts w:ascii="Times New Roman" w:hAnsi="Times New Roman" w:cs="Times New Roman" w:eastAsia="Times New Roman" w:hint="default"/>
          <w:spacing w:val="-15"/>
          <w:w w:val="100"/>
        </w:rPr>
        <w:t>(www.cninfo.com.cn)</w:t>
      </w:r>
      <w:r>
        <w:rPr>
          <w:rFonts w:ascii="Times New Roman" w:hAnsi="Times New Roman" w:cs="Times New Roman" w:eastAsia="Times New Roman" w:hint="default"/>
          <w:spacing w:val="-48"/>
          <w:w w:val="100"/>
        </w:rPr>
        <w:t> </w:t>
      </w:r>
      <w:r>
        <w:rPr>
          <w:rFonts w:ascii="Times New Roman" w:hAnsi="Times New Roman" w:cs="Times New Roman" w:eastAsia="Times New Roman" w:hint="default"/>
          <w:spacing w:val="-48"/>
          <w:w w:val="100"/>
        </w:rPr>
      </w:r>
      <w:r>
        <w:rPr>
          <w:spacing w:val="-4"/>
        </w:rPr>
        <w:t>作为公司指定信息披露媒体，公司严格按照有关法律法规和《公司信息披露管理制度》的规定，做到公平、</w:t>
      </w:r>
      <w:r>
        <w:rPr>
          <w:spacing w:val="-47"/>
        </w:rPr>
        <w:t> </w:t>
      </w:r>
      <w:r>
        <w:rPr>
          <w:spacing w:val="-47"/>
        </w:rPr>
      </w:r>
      <w:r>
        <w:rPr>
          <w:spacing w:val="-2"/>
        </w:rPr>
        <w:t>真实、准确、及时、完整的披露公司信息，并确保所有股东有公平的机会获得信息。公司注重与投资者沟</w:t>
      </w:r>
      <w:r>
        <w:rPr>
          <w:spacing w:val="-38"/>
        </w:rPr>
        <w:t> </w:t>
      </w:r>
      <w:r>
        <w:rPr>
          <w:spacing w:val="-38"/>
        </w:rPr>
      </w:r>
      <w:r>
        <w:rPr/>
        <w:t>通交流，并通过深圳证券交易所互动平台和接待来访等方式与投资者的沟通和交流。</w:t>
      </w:r>
    </w:p>
    <w:p>
      <w:pPr>
        <w:spacing w:line="240" w:lineRule="auto" w:before="0"/>
        <w:rPr>
          <w:rFonts w:ascii="宋体" w:hAnsi="宋体" w:cs="宋体" w:eastAsia="宋体" w:hint="default"/>
          <w:sz w:val="25"/>
          <w:szCs w:val="25"/>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公司治理的实际状况与中国证监会发布的有关上市公司治理的规范性文件是否存在重大差异</w:t>
      </w:r>
    </w:p>
    <w:p>
      <w:pPr>
        <w:spacing w:line="362" w:lineRule="auto" w:before="115"/>
        <w:ind w:left="113" w:right="3345"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3"/>
          <w:sz w:val="18"/>
          <w:szCs w:val="18"/>
        </w:rPr>
        <w:t>公司治理的实际状况与中国证监会发布的有关上市公司治理的规范性文件不存在重大差异。</w:t>
      </w:r>
    </w:p>
    <w:p>
      <w:pPr>
        <w:spacing w:line="240" w:lineRule="auto" w:before="12"/>
        <w:rPr>
          <w:rFonts w:ascii="宋体" w:hAnsi="宋体" w:cs="宋体" w:eastAsia="宋体" w:hint="default"/>
          <w:sz w:val="16"/>
          <w:szCs w:val="16"/>
        </w:rPr>
      </w:pPr>
    </w:p>
    <w:p>
      <w:pPr>
        <w:pStyle w:val="Heading2"/>
        <w:spacing w:line="240" w:lineRule="auto"/>
        <w:ind w:right="1002"/>
        <w:jc w:val="left"/>
        <w:rPr>
          <w:b w:val="0"/>
          <w:bCs w:val="0"/>
        </w:rPr>
      </w:pPr>
      <w:bookmarkStart w:name="二、公司相对于控股股东在业务、人员、资产、机构、财务等方面的独立情况" w:id="141"/>
      <w:bookmarkEnd w:id="141"/>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32"/>
          <w:szCs w:val="32"/>
        </w:rPr>
      </w:pPr>
    </w:p>
    <w:p>
      <w:pPr>
        <w:pStyle w:val="BodyText"/>
        <w:spacing w:line="348" w:lineRule="auto" w:before="0"/>
        <w:ind w:right="1002" w:firstLine="451"/>
        <w:jc w:val="left"/>
      </w:pPr>
      <w:r>
        <w:rPr>
          <w:spacing w:val="-3"/>
        </w:rPr>
        <w:t>公司与控股股东在业务、资产、人员、财务、机构等方面完全分开，具有独立完整的业务及自主经营</w:t>
      </w:r>
      <w:r>
        <w:rPr>
          <w:w w:val="100"/>
        </w:rPr>
        <w:t> </w:t>
      </w:r>
      <w:r>
        <w:rPr/>
        <w:t>能力。具体的独立运营情况如下：</w:t>
      </w:r>
    </w:p>
    <w:p>
      <w:pPr>
        <w:pStyle w:val="BodyText"/>
        <w:spacing w:line="348" w:lineRule="auto" w:before="34"/>
        <w:ind w:right="1002" w:firstLine="422"/>
        <w:jc w:val="left"/>
      </w:pPr>
      <w:r>
        <w:rPr>
          <w:rFonts w:ascii="宋体" w:hAnsi="宋体" w:cs="宋体" w:eastAsia="宋体" w:hint="default"/>
          <w:spacing w:val="-2"/>
        </w:rPr>
        <w:t>1</w:t>
      </w:r>
      <w:r>
        <w:rPr>
          <w:spacing w:val="-2"/>
        </w:rPr>
        <w:t>、人员方面：公司在劳动、人事及工资管理与控股股东完全分开，公司高级管理人员均未在股东单</w:t>
      </w:r>
      <w:r>
        <w:rPr>
          <w:w w:val="100"/>
        </w:rPr>
        <w:t> </w:t>
      </w:r>
      <w:r>
        <w:rPr/>
        <w:t>位兼职或领取薪酬；公司在员工管理、社会保障、工资报酬等方面均独立于股东和其他关联方。</w:t>
      </w:r>
    </w:p>
    <w:p>
      <w:pPr>
        <w:pStyle w:val="BodyText"/>
        <w:spacing w:line="350" w:lineRule="auto" w:before="29"/>
        <w:ind w:right="1002" w:firstLine="422"/>
        <w:jc w:val="left"/>
      </w:pPr>
      <w:r>
        <w:rPr>
          <w:rFonts w:ascii="宋体" w:hAnsi="宋体" w:cs="宋体" w:eastAsia="宋体" w:hint="default"/>
        </w:rPr>
        <w:t>2</w:t>
      </w:r>
      <w:r>
        <w:rPr/>
        <w:t>、资产方面：公司拥有独立的采购、销售、研发、服务体系及配套设施，公司股东与公司的资产产</w:t>
      </w:r>
      <w:r>
        <w:rPr>
          <w:w w:val="100"/>
        </w:rPr>
        <w:t> </w:t>
      </w:r>
      <w:r>
        <w:rPr>
          <w:spacing w:val="-2"/>
        </w:rPr>
        <w:t>权界定明确。公司拥有的土地使用权证、房屋所有权证、商标注册证及其他产权证明的取得手续完备，资</w:t>
      </w:r>
      <w:r>
        <w:rPr>
          <w:spacing w:val="-33"/>
        </w:rPr>
        <w:t> </w:t>
      </w:r>
      <w:r>
        <w:rPr>
          <w:spacing w:val="-33"/>
        </w:rPr>
      </w:r>
      <w:r>
        <w:rPr/>
        <w:t>产完整、权属清晰。</w:t>
      </w:r>
    </w:p>
    <w:p>
      <w:pPr>
        <w:pStyle w:val="BodyText"/>
        <w:spacing w:line="352" w:lineRule="auto" w:before="27"/>
        <w:ind w:right="1002" w:firstLine="422"/>
        <w:jc w:val="left"/>
      </w:pPr>
      <w:r>
        <w:rPr>
          <w:rFonts w:ascii="宋体" w:hAnsi="宋体" w:cs="宋体" w:eastAsia="宋体" w:hint="default"/>
          <w:spacing w:val="-2"/>
        </w:rPr>
        <w:t>3</w:t>
      </w:r>
      <w:r>
        <w:rPr>
          <w:spacing w:val="-2"/>
        </w:rPr>
        <w:t>、财务方面：公司设有独立的财务会计部门，配备了专门的财务人员，建立了符合有关会计制度要</w:t>
      </w:r>
      <w:r>
        <w:rPr>
          <w:w w:val="100"/>
        </w:rPr>
        <w:t> </w:t>
      </w:r>
      <w:r>
        <w:rPr/>
        <w:t>求、独立的会计核算体系和财务管理制度。</w:t>
      </w:r>
    </w:p>
    <w:p>
      <w:pPr>
        <w:pStyle w:val="BodyText"/>
        <w:spacing w:line="350" w:lineRule="auto" w:before="25"/>
        <w:ind w:right="1002" w:firstLine="422"/>
        <w:jc w:val="left"/>
      </w:pPr>
      <w:r>
        <w:rPr>
          <w:rFonts w:ascii="宋体" w:hAnsi="宋体" w:cs="宋体" w:eastAsia="宋体" w:hint="default"/>
        </w:rPr>
        <w:t>4</w:t>
      </w:r>
      <w:r>
        <w:rPr/>
        <w:t>、机构方面：公司健全了股东大会、董事会、监事会、经理层等法人治理机构，各组织机构依法行</w:t>
      </w:r>
      <w:r>
        <w:rPr>
          <w:w w:val="100"/>
        </w:rPr>
        <w:t> </w:t>
      </w:r>
      <w:r>
        <w:rPr>
          <w:spacing w:val="-2"/>
        </w:rPr>
        <w:t>使各自的职权；建立了独立的、适应自身发展需要的组织机构，制订了完善的岗位职责和管理制度，各部</w:t>
      </w:r>
      <w:r>
        <w:rPr>
          <w:spacing w:val="-33"/>
        </w:rPr>
        <w:t> </w:t>
      </w:r>
      <w:r>
        <w:rPr>
          <w:spacing w:val="-33"/>
        </w:rPr>
      </w:r>
      <w:r>
        <w:rPr/>
        <w:t>门按照规定的职责独立运作。</w:t>
      </w:r>
    </w:p>
    <w:p>
      <w:pPr>
        <w:spacing w:after="0" w:line="35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28" w:lineRule="auto"/>
        <w:ind w:left="233" w:right="0" w:firstLine="340"/>
        <w:jc w:val="left"/>
      </w:pPr>
      <w:r>
        <w:rPr>
          <w:rFonts w:ascii="Times New Roman" w:hAnsi="Times New Roman" w:cs="Times New Roman" w:eastAsia="Times New Roman" w:hint="default"/>
          <w:spacing w:val="-3"/>
        </w:rPr>
        <w:t>5</w:t>
      </w:r>
      <w:r>
        <w:rPr>
          <w:spacing w:val="-3"/>
        </w:rPr>
        <w:t>、内控独立：公司设立独立的审计部门，配备专职的审计人员，审计部直属于公司董事会领导，在业</w:t>
      </w:r>
      <w:r>
        <w:rPr>
          <w:w w:val="100"/>
        </w:rPr>
        <w:t> </w:t>
      </w:r>
      <w:r>
        <w:rPr/>
        <w:t>务、人员等方面完全独立，对董事会负责，向董事会报告。</w:t>
      </w:r>
    </w:p>
    <w:p>
      <w:pPr>
        <w:pStyle w:val="BodyText"/>
        <w:spacing w:line="328" w:lineRule="auto" w:before="51"/>
        <w:ind w:left="233" w:right="0" w:firstLine="422"/>
        <w:jc w:val="left"/>
      </w:pPr>
      <w:r>
        <w:rPr>
          <w:rFonts w:ascii="Times New Roman" w:hAnsi="Times New Roman" w:cs="Times New Roman" w:eastAsia="Times New Roman" w:hint="default"/>
          <w:spacing w:val="-2"/>
        </w:rPr>
        <w:t>6</w:t>
      </w:r>
      <w:r>
        <w:rPr>
          <w:spacing w:val="-2"/>
        </w:rPr>
        <w:t>、业务方面：公司在经营管理上独立运作，独立对外签订合同，开展业务，形成了独立完整的业务</w:t>
      </w:r>
      <w:r>
        <w:rPr>
          <w:w w:val="100"/>
        </w:rPr>
        <w:t> </w:t>
      </w:r>
      <w:r>
        <w:rPr/>
        <w:t>体系，具备面向市场自主经营的能力。</w:t>
      </w:r>
    </w:p>
    <w:p>
      <w:pPr>
        <w:spacing w:line="240" w:lineRule="auto" w:before="4"/>
        <w:rPr>
          <w:rFonts w:ascii="宋体" w:hAnsi="宋体" w:cs="宋体" w:eastAsia="宋体" w:hint="default"/>
          <w:sz w:val="17"/>
          <w:szCs w:val="17"/>
        </w:rPr>
      </w:pPr>
    </w:p>
    <w:p>
      <w:pPr>
        <w:pStyle w:val="Heading2"/>
        <w:spacing w:line="240" w:lineRule="auto"/>
        <w:ind w:left="233" w:right="0"/>
        <w:jc w:val="left"/>
        <w:rPr>
          <w:b w:val="0"/>
          <w:bCs w:val="0"/>
        </w:rPr>
      </w:pPr>
      <w:bookmarkStart w:name="三、同业竞争情况" w:id="142"/>
      <w:bookmarkEnd w:id="142"/>
      <w:r>
        <w:rPr>
          <w:b w:val="0"/>
          <w:bCs w:val="0"/>
        </w:rPr>
      </w:r>
      <w:r>
        <w:rPr/>
        <w:t>三、同业竞争情况</w:t>
      </w:r>
      <w:r>
        <w:rPr>
          <w:b w:val="0"/>
          <w:bCs w:val="0"/>
        </w:rPr>
      </w:r>
    </w:p>
    <w:p>
      <w:pPr>
        <w:spacing w:line="240" w:lineRule="auto" w:before="7"/>
        <w:rPr>
          <w:rFonts w:ascii="宋体" w:hAnsi="宋体" w:cs="宋体" w:eastAsia="宋体" w:hint="default"/>
          <w:b/>
          <w:bCs/>
          <w:sz w:val="27"/>
          <w:szCs w:val="27"/>
        </w:rPr>
      </w:pPr>
    </w:p>
    <w:p>
      <w:pPr>
        <w:spacing w:before="0"/>
        <w:ind w:left="23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left="233" w:right="0"/>
        <w:jc w:val="left"/>
        <w:rPr>
          <w:b w:val="0"/>
          <w:bCs w:val="0"/>
        </w:rPr>
      </w:pPr>
      <w:bookmarkStart w:name="四、报告期内召开的年度股东大会和临时股东大会的有关情况" w:id="143"/>
      <w:bookmarkEnd w:id="143"/>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5"/>
        <w:spacing w:line="240" w:lineRule="auto"/>
        <w:ind w:left="233" w:right="0"/>
        <w:jc w:val="left"/>
        <w:rPr>
          <w:b w:val="0"/>
          <w:bCs w:val="0"/>
        </w:rPr>
      </w:pPr>
      <w:bookmarkStart w:name="1、本报告期股东大会情况" w:id="144"/>
      <w:bookmarkEnd w:id="14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18" w:type="dxa"/>
        <w:tblLayout w:type="fixed"/>
        <w:tblCellMar>
          <w:top w:w="0" w:type="dxa"/>
          <w:left w:w="0" w:type="dxa"/>
          <w:bottom w:w="0" w:type="dxa"/>
          <w:right w:w="0" w:type="dxa"/>
        </w:tblCellMar>
        <w:tblLook w:val="01E0"/>
      </w:tblPr>
      <w:tblGrid>
        <w:gridCol w:w="1637"/>
        <w:gridCol w:w="1215"/>
        <w:gridCol w:w="1757"/>
        <w:gridCol w:w="1321"/>
        <w:gridCol w:w="1200"/>
        <w:gridCol w:w="3122"/>
      </w:tblGrid>
      <w:tr>
        <w:trPr>
          <w:trHeight w:val="399"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9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82" w:right="0"/>
              <w:jc w:val="left"/>
              <w:rPr>
                <w:rFonts w:ascii="宋体" w:hAnsi="宋体" w:cs="宋体" w:eastAsia="宋体" w:hint="default"/>
                <w:sz w:val="21"/>
                <w:szCs w:val="21"/>
              </w:rPr>
            </w:pPr>
            <w:r>
              <w:rPr>
                <w:rFonts w:ascii="宋体" w:hAnsi="宋体" w:cs="宋体" w:eastAsia="宋体" w:hint="default"/>
                <w:sz w:val="21"/>
                <w:szCs w:val="21"/>
              </w:rPr>
              <w:t>会议类型</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133"/>
              <w:jc w:val="right"/>
              <w:rPr>
                <w:rFonts w:ascii="宋体" w:hAnsi="宋体" w:cs="宋体" w:eastAsia="宋体" w:hint="default"/>
                <w:sz w:val="21"/>
                <w:szCs w:val="21"/>
              </w:rPr>
            </w:pPr>
            <w:r>
              <w:rPr>
                <w:rFonts w:ascii="宋体" w:hAnsi="宋体" w:cs="宋体" w:eastAsia="宋体" w:hint="default"/>
                <w:spacing w:val="-1"/>
                <w:sz w:val="21"/>
                <w:szCs w:val="21"/>
              </w:rPr>
              <w:t>投资者参与比例</w:t>
            </w:r>
          </w:p>
        </w:tc>
        <w:tc>
          <w:tcPr>
            <w:tcW w:w="1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77"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3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56" w:lineRule="auto"/>
              <w:ind w:left="105" w:right="204"/>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年年度股</w:t>
            </w:r>
            <w:r>
              <w:rPr>
                <w:rFonts w:ascii="宋体" w:hAnsi="宋体" w:cs="宋体" w:eastAsia="宋体" w:hint="default"/>
                <w:w w:val="100"/>
                <w:sz w:val="21"/>
                <w:szCs w:val="21"/>
              </w:rPr>
              <w:t> </w:t>
            </w:r>
            <w:r>
              <w:rPr>
                <w:rFonts w:ascii="宋体" w:hAnsi="宋体" w:cs="宋体" w:eastAsia="宋体" w:hint="default"/>
                <w:sz w:val="21"/>
                <w:szCs w:val="21"/>
              </w:rPr>
              <w:t>东大会</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73" w:lineRule="auto"/>
              <w:ind w:left="105" w:right="252"/>
              <w:jc w:val="left"/>
              <w:rPr>
                <w:rFonts w:ascii="宋体" w:hAnsi="宋体" w:cs="宋体" w:eastAsia="宋体" w:hint="default"/>
                <w:sz w:val="21"/>
                <w:szCs w:val="21"/>
              </w:rPr>
            </w:pPr>
            <w:r>
              <w:rPr>
                <w:rFonts w:ascii="宋体" w:hAnsi="宋体" w:cs="宋体" w:eastAsia="宋体" w:hint="default"/>
                <w:sz w:val="21"/>
                <w:szCs w:val="21"/>
              </w:rPr>
              <w:t>年度股东</w:t>
            </w:r>
            <w:r>
              <w:rPr>
                <w:rFonts w:ascii="宋体" w:hAnsi="宋体" w:cs="宋体" w:eastAsia="宋体" w:hint="default"/>
                <w:spacing w:val="-101"/>
                <w:sz w:val="21"/>
                <w:szCs w:val="21"/>
              </w:rPr>
              <w:t> </w:t>
            </w:r>
            <w:r>
              <w:rPr>
                <w:rFonts w:ascii="宋体" w:hAnsi="宋体" w:cs="宋体" w:eastAsia="宋体" w:hint="default"/>
                <w:sz w:val="21"/>
                <w:szCs w:val="21"/>
              </w:rPr>
              <w:t>大会</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38.33%</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10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w w:val="100"/>
                <w:sz w:val="21"/>
                <w:szCs w:val="21"/>
              </w:rPr>
              <w:t>《证券时报</w:t>
            </w:r>
            <w:r>
              <w:rPr>
                <w:rFonts w:ascii="宋体" w:hAnsi="宋体" w:cs="宋体" w:eastAsia="宋体" w:hint="default"/>
                <w:spacing w:val="-111"/>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国</w:t>
            </w:r>
            <w:r>
              <w:rPr>
                <w:rFonts w:ascii="宋体" w:hAnsi="宋体" w:cs="宋体" w:eastAsia="宋体" w:hint="default"/>
                <w:w w:val="100"/>
                <w:sz w:val="21"/>
                <w:szCs w:val="21"/>
              </w:rPr>
              <w:t>证券报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106" w:right="0"/>
              <w:jc w:val="left"/>
              <w:rPr>
                <w:rFonts w:ascii="宋体" w:hAnsi="宋体" w:cs="宋体" w:eastAsia="宋体" w:hint="default"/>
                <w:sz w:val="21"/>
                <w:szCs w:val="21"/>
              </w:rPr>
            </w:pPr>
            <w:r>
              <w:rPr>
                <w:rFonts w:ascii="宋体" w:hAnsi="宋体" w:cs="宋体" w:eastAsia="宋体" w:hint="default"/>
                <w:sz w:val="21"/>
                <w:szCs w:val="21"/>
              </w:rPr>
              <w:t>《上海证券报》和巨潮资讯网</w:t>
            </w:r>
          </w:p>
          <w:p>
            <w:pPr>
              <w:pStyle w:val="TableParagraph"/>
              <w:spacing w:line="240" w:lineRule="auto" w:before="42"/>
              <w:ind w:left="106" w:right="0"/>
              <w:jc w:val="left"/>
              <w:rPr>
                <w:rFonts w:ascii="宋体" w:hAnsi="宋体" w:cs="宋体" w:eastAsia="宋体" w:hint="default"/>
                <w:sz w:val="21"/>
                <w:szCs w:val="21"/>
              </w:rPr>
            </w:pPr>
            <w:r>
              <w:rPr>
                <w:rFonts w:ascii="宋体" w:hAnsi="宋体" w:cs="宋体" w:eastAsia="宋体" w:hint="default"/>
                <w:sz w:val="21"/>
                <w:szCs w:val="21"/>
              </w:rPr>
              <w:t>（</w:t>
            </w:r>
            <w:hyperlink r:id="rId8">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56" w:lineRule="auto"/>
              <w:ind w:left="105" w:right="204"/>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w:t>
            </w:r>
            <w:r>
              <w:rPr>
                <w:rFonts w:ascii="宋体" w:hAnsi="宋体" w:cs="宋体" w:eastAsia="宋体" w:hint="default"/>
                <w:w w:val="100"/>
                <w:sz w:val="21"/>
                <w:szCs w:val="21"/>
              </w:rPr>
              <w:t> </w:t>
            </w:r>
            <w:r>
              <w:rPr>
                <w:rFonts w:ascii="宋体" w:hAnsi="宋体" w:cs="宋体" w:eastAsia="宋体" w:hint="default"/>
                <w:sz w:val="21"/>
                <w:szCs w:val="21"/>
              </w:rPr>
              <w:t>临时股东大会</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73" w:lineRule="auto"/>
              <w:ind w:left="105" w:right="252"/>
              <w:jc w:val="left"/>
              <w:rPr>
                <w:rFonts w:ascii="宋体" w:hAnsi="宋体" w:cs="宋体" w:eastAsia="宋体" w:hint="default"/>
                <w:sz w:val="21"/>
                <w:szCs w:val="21"/>
              </w:rPr>
            </w:pPr>
            <w:r>
              <w:rPr>
                <w:rFonts w:ascii="宋体" w:hAnsi="宋体" w:cs="宋体" w:eastAsia="宋体" w:hint="default"/>
                <w:sz w:val="21"/>
                <w:szCs w:val="21"/>
              </w:rPr>
              <w:t>临时股东</w:t>
            </w:r>
            <w:r>
              <w:rPr>
                <w:rFonts w:ascii="宋体" w:hAnsi="宋体" w:cs="宋体" w:eastAsia="宋体" w:hint="default"/>
                <w:spacing w:val="-101"/>
                <w:sz w:val="21"/>
                <w:szCs w:val="21"/>
              </w:rPr>
              <w:t> </w:t>
            </w:r>
            <w:r>
              <w:rPr>
                <w:rFonts w:ascii="宋体" w:hAnsi="宋体" w:cs="宋体" w:eastAsia="宋体" w:hint="default"/>
                <w:sz w:val="21"/>
                <w:szCs w:val="21"/>
              </w:rPr>
              <w:t>大会</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38.75%</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0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10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01</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w w:val="100"/>
                <w:sz w:val="21"/>
                <w:szCs w:val="21"/>
              </w:rPr>
              <w:t>《证券时报</w:t>
            </w:r>
            <w:r>
              <w:rPr>
                <w:rFonts w:ascii="宋体" w:hAnsi="宋体" w:cs="宋体" w:eastAsia="宋体" w:hint="default"/>
                <w:spacing w:val="-111"/>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国</w:t>
            </w:r>
            <w:r>
              <w:rPr>
                <w:rFonts w:ascii="宋体" w:hAnsi="宋体" w:cs="宋体" w:eastAsia="宋体" w:hint="default"/>
                <w:w w:val="100"/>
                <w:sz w:val="21"/>
                <w:szCs w:val="21"/>
              </w:rPr>
              <w:t>证券报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7"/>
              <w:ind w:left="106" w:right="0"/>
              <w:jc w:val="left"/>
              <w:rPr>
                <w:rFonts w:ascii="宋体" w:hAnsi="宋体" w:cs="宋体" w:eastAsia="宋体" w:hint="default"/>
                <w:sz w:val="21"/>
                <w:szCs w:val="21"/>
              </w:rPr>
            </w:pPr>
            <w:r>
              <w:rPr>
                <w:rFonts w:ascii="宋体" w:hAnsi="宋体" w:cs="宋体" w:eastAsia="宋体" w:hint="default"/>
                <w:sz w:val="21"/>
                <w:szCs w:val="21"/>
              </w:rPr>
              <w:t>《上海证券报》和巨潮资讯网</w:t>
            </w:r>
          </w:p>
          <w:p>
            <w:pPr>
              <w:pStyle w:val="TableParagraph"/>
              <w:spacing w:line="240" w:lineRule="auto" w:before="42"/>
              <w:ind w:left="106" w:right="0"/>
              <w:jc w:val="left"/>
              <w:rPr>
                <w:rFonts w:ascii="宋体" w:hAnsi="宋体" w:cs="宋体" w:eastAsia="宋体" w:hint="default"/>
                <w:sz w:val="21"/>
                <w:szCs w:val="21"/>
              </w:rPr>
            </w:pPr>
            <w:r>
              <w:rPr>
                <w:rFonts w:ascii="宋体" w:hAnsi="宋体" w:cs="宋体" w:eastAsia="宋体" w:hint="default"/>
                <w:sz w:val="21"/>
                <w:szCs w:val="21"/>
              </w:rPr>
              <w:t>（</w:t>
            </w:r>
            <w:hyperlink r:id="rId8">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61" w:lineRule="auto"/>
              <w:ind w:left="105" w:right="204"/>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年第二次</w:t>
            </w:r>
            <w:r>
              <w:rPr>
                <w:rFonts w:ascii="宋体" w:hAnsi="宋体" w:cs="宋体" w:eastAsia="宋体" w:hint="default"/>
                <w:w w:val="100"/>
                <w:sz w:val="21"/>
                <w:szCs w:val="21"/>
              </w:rPr>
              <w:t> </w:t>
            </w:r>
            <w:r>
              <w:rPr>
                <w:rFonts w:ascii="宋体" w:hAnsi="宋体" w:cs="宋体" w:eastAsia="宋体" w:hint="default"/>
                <w:sz w:val="21"/>
                <w:szCs w:val="21"/>
              </w:rPr>
              <w:t>临时股东大会</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6" w:lineRule="auto"/>
              <w:ind w:left="105" w:right="252"/>
              <w:jc w:val="left"/>
              <w:rPr>
                <w:rFonts w:ascii="宋体" w:hAnsi="宋体" w:cs="宋体" w:eastAsia="宋体" w:hint="default"/>
                <w:sz w:val="21"/>
                <w:szCs w:val="21"/>
              </w:rPr>
            </w:pPr>
            <w:r>
              <w:rPr>
                <w:rFonts w:ascii="宋体" w:hAnsi="宋体" w:cs="宋体" w:eastAsia="宋体" w:hint="default"/>
                <w:sz w:val="21"/>
                <w:szCs w:val="21"/>
              </w:rPr>
              <w:t>临时股东</w:t>
            </w:r>
            <w:r>
              <w:rPr>
                <w:rFonts w:ascii="宋体" w:hAnsi="宋体" w:cs="宋体" w:eastAsia="宋体" w:hint="default"/>
                <w:spacing w:val="-101"/>
                <w:sz w:val="21"/>
                <w:szCs w:val="21"/>
              </w:rPr>
              <w:t> </w:t>
            </w:r>
            <w:r>
              <w:rPr>
                <w:rFonts w:ascii="宋体" w:hAnsi="宋体" w:cs="宋体" w:eastAsia="宋体" w:hint="default"/>
                <w:sz w:val="21"/>
                <w:szCs w:val="21"/>
              </w:rPr>
              <w:t>大会</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2"/>
                <w:sz w:val="21"/>
              </w:rPr>
              <w:t>42.11%</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06</w:t>
            </w:r>
          </w:p>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06</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w w:val="100"/>
                <w:sz w:val="21"/>
                <w:szCs w:val="21"/>
              </w:rPr>
              <w:t>《证券时报</w:t>
            </w:r>
            <w:r>
              <w:rPr>
                <w:rFonts w:ascii="宋体" w:hAnsi="宋体" w:cs="宋体" w:eastAsia="宋体" w:hint="default"/>
                <w:spacing w:val="-111"/>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国</w:t>
            </w:r>
            <w:r>
              <w:rPr>
                <w:rFonts w:ascii="宋体" w:hAnsi="宋体" w:cs="宋体" w:eastAsia="宋体" w:hint="default"/>
                <w:w w:val="100"/>
                <w:sz w:val="21"/>
                <w:szCs w:val="21"/>
              </w:rPr>
              <w:t>证券报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2"/>
              <w:ind w:left="106" w:right="0"/>
              <w:jc w:val="left"/>
              <w:rPr>
                <w:rFonts w:ascii="宋体" w:hAnsi="宋体" w:cs="宋体" w:eastAsia="宋体" w:hint="default"/>
                <w:sz w:val="21"/>
                <w:szCs w:val="21"/>
              </w:rPr>
            </w:pPr>
            <w:r>
              <w:rPr>
                <w:rFonts w:ascii="宋体" w:hAnsi="宋体" w:cs="宋体" w:eastAsia="宋体" w:hint="default"/>
                <w:sz w:val="21"/>
                <w:szCs w:val="21"/>
              </w:rPr>
              <w:t>《上海证券报》和巨潮资讯网</w:t>
            </w:r>
          </w:p>
          <w:p>
            <w:pPr>
              <w:pStyle w:val="TableParagraph"/>
              <w:spacing w:line="240" w:lineRule="auto" w:before="42"/>
              <w:ind w:left="106" w:right="0"/>
              <w:jc w:val="left"/>
              <w:rPr>
                <w:rFonts w:ascii="宋体" w:hAnsi="宋体" w:cs="宋体" w:eastAsia="宋体" w:hint="default"/>
                <w:sz w:val="21"/>
                <w:szCs w:val="21"/>
              </w:rPr>
            </w:pPr>
            <w:r>
              <w:rPr>
                <w:rFonts w:ascii="宋体" w:hAnsi="宋体" w:cs="宋体" w:eastAsia="宋体" w:hint="default"/>
                <w:sz w:val="21"/>
                <w:szCs w:val="21"/>
              </w:rPr>
              <w:t>（</w:t>
            </w:r>
            <w:hyperlink r:id="rId8">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r>
        <w:trPr>
          <w:trHeight w:val="1022"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61" w:lineRule="auto"/>
              <w:ind w:left="105" w:right="204"/>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年第三次</w:t>
            </w:r>
            <w:r>
              <w:rPr>
                <w:rFonts w:ascii="宋体" w:hAnsi="宋体" w:cs="宋体" w:eastAsia="宋体" w:hint="default"/>
                <w:w w:val="100"/>
                <w:sz w:val="21"/>
                <w:szCs w:val="21"/>
              </w:rPr>
              <w:t> </w:t>
            </w:r>
            <w:r>
              <w:rPr>
                <w:rFonts w:ascii="宋体" w:hAnsi="宋体" w:cs="宋体" w:eastAsia="宋体" w:hint="default"/>
                <w:sz w:val="21"/>
                <w:szCs w:val="21"/>
              </w:rPr>
              <w:t>临时股东大会</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6" w:lineRule="auto"/>
              <w:ind w:left="105" w:right="252"/>
              <w:jc w:val="left"/>
              <w:rPr>
                <w:rFonts w:ascii="宋体" w:hAnsi="宋体" w:cs="宋体" w:eastAsia="宋体" w:hint="default"/>
                <w:sz w:val="21"/>
                <w:szCs w:val="21"/>
              </w:rPr>
            </w:pPr>
            <w:r>
              <w:rPr>
                <w:rFonts w:ascii="宋体" w:hAnsi="宋体" w:cs="宋体" w:eastAsia="宋体" w:hint="default"/>
                <w:sz w:val="21"/>
                <w:szCs w:val="21"/>
              </w:rPr>
              <w:t>临时股东</w:t>
            </w:r>
            <w:r>
              <w:rPr>
                <w:rFonts w:ascii="宋体" w:hAnsi="宋体" w:cs="宋体" w:eastAsia="宋体" w:hint="default"/>
                <w:spacing w:val="-101"/>
                <w:sz w:val="21"/>
                <w:szCs w:val="21"/>
              </w:rPr>
              <w:t> </w:t>
            </w:r>
            <w:r>
              <w:rPr>
                <w:rFonts w:ascii="宋体" w:hAnsi="宋体" w:cs="宋体" w:eastAsia="宋体" w:hint="default"/>
                <w:sz w:val="21"/>
                <w:szCs w:val="21"/>
              </w:rPr>
              <w:t>大会</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37.98%</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6"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p>
          <w:p>
            <w:pPr>
              <w:pStyle w:val="TableParagraph"/>
              <w:spacing w:line="240" w:lineRule="auto" w:before="26"/>
              <w:ind w:left="106"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10</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w w:val="100"/>
                <w:sz w:val="21"/>
                <w:szCs w:val="21"/>
              </w:rPr>
              <w:t>《证券时报</w:t>
            </w:r>
            <w:r>
              <w:rPr>
                <w:rFonts w:ascii="宋体" w:hAnsi="宋体" w:cs="宋体" w:eastAsia="宋体" w:hint="default"/>
                <w:spacing w:val="-111"/>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《中</w:t>
            </w:r>
            <w:r>
              <w:rPr>
                <w:rFonts w:ascii="宋体" w:hAnsi="宋体" w:cs="宋体" w:eastAsia="宋体" w:hint="default"/>
                <w:spacing w:val="-5"/>
                <w:w w:val="100"/>
                <w:sz w:val="21"/>
                <w:szCs w:val="21"/>
              </w:rPr>
              <w:t>国</w:t>
            </w:r>
            <w:r>
              <w:rPr>
                <w:rFonts w:ascii="宋体" w:hAnsi="宋体" w:cs="宋体" w:eastAsia="宋体" w:hint="default"/>
                <w:w w:val="100"/>
                <w:sz w:val="21"/>
                <w:szCs w:val="21"/>
              </w:rPr>
              <w:t>证券报</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40" w:lineRule="auto" w:before="32"/>
              <w:ind w:left="106" w:right="0"/>
              <w:jc w:val="left"/>
              <w:rPr>
                <w:rFonts w:ascii="宋体" w:hAnsi="宋体" w:cs="宋体" w:eastAsia="宋体" w:hint="default"/>
                <w:sz w:val="21"/>
                <w:szCs w:val="21"/>
              </w:rPr>
            </w:pPr>
            <w:r>
              <w:rPr>
                <w:rFonts w:ascii="宋体" w:hAnsi="宋体" w:cs="宋体" w:eastAsia="宋体" w:hint="default"/>
                <w:sz w:val="21"/>
                <w:szCs w:val="21"/>
              </w:rPr>
              <w:t>《上海证券报》和巨潮资讯网</w:t>
            </w:r>
          </w:p>
          <w:p>
            <w:pPr>
              <w:pStyle w:val="TableParagraph"/>
              <w:spacing w:line="240" w:lineRule="auto" w:before="42"/>
              <w:ind w:left="106" w:right="0"/>
              <w:jc w:val="left"/>
              <w:rPr>
                <w:rFonts w:ascii="宋体" w:hAnsi="宋体" w:cs="宋体" w:eastAsia="宋体" w:hint="default"/>
                <w:sz w:val="21"/>
                <w:szCs w:val="21"/>
              </w:rPr>
            </w:pPr>
            <w:r>
              <w:rPr>
                <w:rFonts w:ascii="宋体" w:hAnsi="宋体" w:cs="宋体" w:eastAsia="宋体" w:hint="default"/>
                <w:sz w:val="21"/>
                <w:szCs w:val="21"/>
              </w:rPr>
              <w:t>（</w:t>
            </w:r>
            <w:hyperlink r:id="rId8">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w:t>
            </w:r>
          </w:p>
        </w:tc>
      </w:tr>
    </w:tbl>
    <w:p>
      <w:pPr>
        <w:spacing w:line="240" w:lineRule="auto" w:before="3"/>
        <w:rPr>
          <w:rFonts w:ascii="宋体" w:hAnsi="宋体" w:cs="宋体" w:eastAsia="宋体" w:hint="default"/>
          <w:b/>
          <w:bCs/>
          <w:sz w:val="19"/>
          <w:szCs w:val="19"/>
        </w:rPr>
      </w:pPr>
    </w:p>
    <w:p>
      <w:pPr>
        <w:pStyle w:val="Heading5"/>
        <w:spacing w:line="240" w:lineRule="auto" w:before="36"/>
        <w:ind w:left="233" w:right="0"/>
        <w:jc w:val="left"/>
        <w:rPr>
          <w:b w:val="0"/>
          <w:bCs w:val="0"/>
        </w:rPr>
      </w:pPr>
      <w:bookmarkStart w:name="2、表决权恢复的优先股股东请求召开临时股东大会" w:id="145"/>
      <w:bookmarkEnd w:id="14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1"/>
        <w:rPr>
          <w:rFonts w:ascii="宋体" w:hAnsi="宋体" w:cs="宋体" w:eastAsia="宋体" w:hint="default"/>
          <w:b/>
          <w:bCs/>
          <w:sz w:val="27"/>
          <w:szCs w:val="27"/>
        </w:rPr>
      </w:pPr>
    </w:p>
    <w:p>
      <w:pPr>
        <w:spacing w:before="0"/>
        <w:ind w:left="233" w:right="0"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left="233" w:right="0"/>
        <w:jc w:val="left"/>
        <w:rPr>
          <w:b w:val="0"/>
          <w:bCs w:val="0"/>
        </w:rPr>
      </w:pPr>
      <w:bookmarkStart w:name="五、报告期内独立董事履行职责的情况" w:id="146"/>
      <w:bookmarkEnd w:id="146"/>
      <w:r>
        <w:rPr>
          <w:b w:val="0"/>
          <w:bCs w:val="0"/>
        </w:rPr>
      </w:r>
      <w:r>
        <w:rPr/>
        <w:t>五、报告期内独立董事履行职责的情况</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left="233" w:right="0"/>
        <w:jc w:val="left"/>
        <w:rPr>
          <w:b w:val="0"/>
          <w:bCs w:val="0"/>
        </w:rPr>
      </w:pPr>
      <w:bookmarkStart w:name="1、独立董事出席董事会及股东大会的情况" w:id="147"/>
      <w:bookmarkEnd w:id="14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228" w:type="dxa"/>
        <w:tblLayout w:type="fixed"/>
        <w:tblCellMar>
          <w:top w:w="0" w:type="dxa"/>
          <w:left w:w="0" w:type="dxa"/>
          <w:bottom w:w="0" w:type="dxa"/>
          <w:right w:w="0" w:type="dxa"/>
        </w:tblCellMar>
        <w:tblLook w:val="01E0"/>
      </w:tblPr>
      <w:tblGrid>
        <w:gridCol w:w="1426"/>
        <w:gridCol w:w="1167"/>
        <w:gridCol w:w="1162"/>
        <w:gridCol w:w="1167"/>
        <w:gridCol w:w="1162"/>
        <w:gridCol w:w="994"/>
        <w:gridCol w:w="1580"/>
        <w:gridCol w:w="917"/>
      </w:tblGrid>
      <w:tr>
        <w:trPr>
          <w:trHeight w:val="403"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96" w:right="0"/>
              <w:jc w:val="left"/>
              <w:rPr>
                <w:rFonts w:ascii="宋体" w:hAnsi="宋体" w:cs="宋体" w:eastAsia="宋体" w:hint="default"/>
                <w:sz w:val="21"/>
                <w:szCs w:val="21"/>
              </w:rPr>
            </w:pPr>
            <w:r>
              <w:rPr>
                <w:rFonts w:ascii="宋体" w:hAnsi="宋体" w:cs="宋体" w:eastAsia="宋体" w:hint="default"/>
                <w:sz w:val="21"/>
                <w:szCs w:val="21"/>
              </w:rPr>
              <w:t>独立董事出席董事会及股东大会的情况</w:t>
            </w:r>
          </w:p>
        </w:tc>
      </w:tr>
      <w:tr>
        <w:trPr>
          <w:trHeight w:val="102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604" w:right="176" w:hanging="423"/>
              <w:jc w:val="left"/>
              <w:rPr>
                <w:rFonts w:ascii="宋体" w:hAnsi="宋体" w:cs="宋体" w:eastAsia="宋体" w:hint="default"/>
                <w:sz w:val="21"/>
                <w:szCs w:val="21"/>
              </w:rPr>
            </w:pPr>
            <w:r>
              <w:rPr>
                <w:rFonts w:ascii="宋体" w:hAnsi="宋体" w:cs="宋体" w:eastAsia="宋体" w:hint="default"/>
                <w:sz w:val="21"/>
                <w:szCs w:val="21"/>
              </w:rPr>
              <w:t>独立董事姓</w:t>
            </w:r>
            <w:r>
              <w:rPr>
                <w:rFonts w:ascii="宋体" w:hAnsi="宋体" w:cs="宋体" w:eastAsia="宋体" w:hint="default"/>
                <w:spacing w:val="-99"/>
                <w:sz w:val="21"/>
                <w:szCs w:val="21"/>
              </w:rPr>
              <w:t> </w:t>
            </w:r>
            <w:r>
              <w:rPr>
                <w:rFonts w:ascii="宋体" w:hAnsi="宋体" w:cs="宋体" w:eastAsia="宋体" w:hint="default"/>
                <w:sz w:val="21"/>
                <w:szCs w:val="21"/>
              </w:rPr>
              <w:t>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8" w:right="153"/>
              <w:jc w:val="both"/>
              <w:rPr>
                <w:rFonts w:ascii="宋体" w:hAnsi="宋体" w:cs="宋体" w:eastAsia="宋体" w:hint="default"/>
                <w:sz w:val="21"/>
                <w:szCs w:val="21"/>
              </w:rPr>
            </w:pPr>
            <w:r>
              <w:rPr>
                <w:rFonts w:ascii="宋体" w:hAnsi="宋体" w:cs="宋体" w:eastAsia="宋体" w:hint="default"/>
                <w:sz w:val="21"/>
                <w:szCs w:val="21"/>
              </w:rPr>
              <w:t>本报告期</w:t>
            </w:r>
            <w:r>
              <w:rPr>
                <w:rFonts w:ascii="宋体" w:hAnsi="宋体" w:cs="宋体" w:eastAsia="宋体" w:hint="default"/>
                <w:spacing w:val="-101"/>
                <w:sz w:val="21"/>
                <w:szCs w:val="21"/>
              </w:rPr>
              <w:t> </w:t>
            </w:r>
            <w:r>
              <w:rPr>
                <w:rFonts w:ascii="宋体" w:hAnsi="宋体" w:cs="宋体" w:eastAsia="宋体" w:hint="default"/>
                <w:sz w:val="21"/>
                <w:szCs w:val="21"/>
              </w:rPr>
              <w:t>应参加董</w:t>
            </w:r>
            <w:r>
              <w:rPr>
                <w:rFonts w:ascii="宋体" w:hAnsi="宋体" w:cs="宋体" w:eastAsia="宋体" w:hint="default"/>
                <w:spacing w:val="-101"/>
                <w:sz w:val="21"/>
                <w:szCs w:val="21"/>
              </w:rPr>
              <w:t> </w:t>
            </w:r>
            <w:r>
              <w:rPr>
                <w:rFonts w:ascii="宋体" w:hAnsi="宋体" w:cs="宋体" w:eastAsia="宋体" w:hint="default"/>
                <w:sz w:val="21"/>
                <w:szCs w:val="21"/>
              </w:rPr>
              <w:t>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8" w:right="147"/>
              <w:jc w:val="center"/>
              <w:rPr>
                <w:rFonts w:ascii="宋体" w:hAnsi="宋体" w:cs="宋体" w:eastAsia="宋体" w:hint="default"/>
                <w:sz w:val="21"/>
                <w:szCs w:val="21"/>
              </w:rPr>
            </w:pPr>
            <w:r>
              <w:rPr>
                <w:rFonts w:ascii="宋体" w:hAnsi="宋体" w:cs="宋体" w:eastAsia="宋体" w:hint="default"/>
                <w:sz w:val="21"/>
                <w:szCs w:val="21"/>
              </w:rPr>
              <w:t>现场出席</w:t>
            </w:r>
            <w:r>
              <w:rPr>
                <w:rFonts w:ascii="宋体" w:hAnsi="宋体" w:cs="宋体" w:eastAsia="宋体" w:hint="default"/>
                <w:w w:val="100"/>
                <w:sz w:val="21"/>
                <w:szCs w:val="21"/>
              </w:rPr>
              <w:t> </w:t>
            </w:r>
            <w:r>
              <w:rPr>
                <w:rFonts w:ascii="宋体" w:hAnsi="宋体" w:cs="宋体" w:eastAsia="宋体" w:hint="default"/>
                <w:sz w:val="21"/>
                <w:szCs w:val="21"/>
              </w:rPr>
              <w:t>董事会次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8" w:right="153"/>
              <w:jc w:val="both"/>
              <w:rPr>
                <w:rFonts w:ascii="宋体" w:hAnsi="宋体" w:cs="宋体" w:eastAsia="宋体" w:hint="default"/>
                <w:sz w:val="21"/>
                <w:szCs w:val="21"/>
              </w:rPr>
            </w:pPr>
            <w:r>
              <w:rPr>
                <w:rFonts w:ascii="宋体" w:hAnsi="宋体" w:cs="宋体" w:eastAsia="宋体" w:hint="default"/>
                <w:sz w:val="21"/>
                <w:szCs w:val="21"/>
              </w:rPr>
              <w:t>以通讯方</w:t>
            </w:r>
            <w:r>
              <w:rPr>
                <w:rFonts w:ascii="宋体" w:hAnsi="宋体" w:cs="宋体" w:eastAsia="宋体" w:hint="default"/>
                <w:spacing w:val="-101"/>
                <w:sz w:val="21"/>
                <w:szCs w:val="21"/>
              </w:rPr>
              <w:t> </w:t>
            </w:r>
            <w:r>
              <w:rPr>
                <w:rFonts w:ascii="宋体" w:hAnsi="宋体" w:cs="宋体" w:eastAsia="宋体" w:hint="default"/>
                <w:sz w:val="21"/>
                <w:szCs w:val="21"/>
              </w:rPr>
              <w:t>式参加董</w:t>
            </w:r>
            <w:r>
              <w:rPr>
                <w:rFonts w:ascii="宋体" w:hAnsi="宋体" w:cs="宋体" w:eastAsia="宋体" w:hint="default"/>
                <w:spacing w:val="-101"/>
                <w:sz w:val="21"/>
                <w:szCs w:val="21"/>
              </w:rPr>
              <w:t> </w:t>
            </w:r>
            <w:r>
              <w:rPr>
                <w:rFonts w:ascii="宋体" w:hAnsi="宋体" w:cs="宋体" w:eastAsia="宋体" w:hint="default"/>
                <w:sz w:val="21"/>
                <w:szCs w:val="21"/>
              </w:rPr>
              <w:t>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3" w:right="153"/>
              <w:jc w:val="center"/>
              <w:rPr>
                <w:rFonts w:ascii="宋体" w:hAnsi="宋体" w:cs="宋体" w:eastAsia="宋体" w:hint="default"/>
                <w:sz w:val="21"/>
                <w:szCs w:val="21"/>
              </w:rPr>
            </w:pPr>
            <w:r>
              <w:rPr>
                <w:rFonts w:ascii="宋体" w:hAnsi="宋体" w:cs="宋体" w:eastAsia="宋体" w:hint="default"/>
                <w:sz w:val="21"/>
                <w:szCs w:val="21"/>
              </w:rPr>
              <w:t>委托出席</w:t>
            </w:r>
            <w:r>
              <w:rPr>
                <w:rFonts w:ascii="宋体" w:hAnsi="宋体" w:cs="宋体" w:eastAsia="宋体" w:hint="default"/>
                <w:w w:val="100"/>
                <w:sz w:val="21"/>
                <w:szCs w:val="21"/>
              </w:rPr>
              <w:t> </w:t>
            </w:r>
            <w:r>
              <w:rPr>
                <w:rFonts w:ascii="宋体" w:hAnsi="宋体" w:cs="宋体" w:eastAsia="宋体" w:hint="default"/>
                <w:sz w:val="21"/>
                <w:szCs w:val="21"/>
              </w:rPr>
              <w:t>董事会次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82" w:right="166"/>
              <w:jc w:val="center"/>
              <w:rPr>
                <w:rFonts w:ascii="宋体" w:hAnsi="宋体" w:cs="宋体" w:eastAsia="宋体" w:hint="default"/>
                <w:sz w:val="21"/>
                <w:szCs w:val="21"/>
              </w:rPr>
            </w:pPr>
            <w:r>
              <w:rPr>
                <w:rFonts w:ascii="宋体" w:hAnsi="宋体" w:cs="宋体" w:eastAsia="宋体" w:hint="default"/>
                <w:sz w:val="21"/>
                <w:szCs w:val="21"/>
              </w:rPr>
              <w:t>缺席董</w:t>
            </w:r>
            <w:r>
              <w:rPr>
                <w:rFonts w:ascii="宋体" w:hAnsi="宋体" w:cs="宋体" w:eastAsia="宋体" w:hint="default"/>
                <w:w w:val="100"/>
                <w:sz w:val="21"/>
                <w:szCs w:val="21"/>
              </w:rPr>
              <w:t> </w:t>
            </w:r>
            <w:r>
              <w:rPr>
                <w:rFonts w:ascii="宋体" w:hAnsi="宋体" w:cs="宋体" w:eastAsia="宋体" w:hint="default"/>
                <w:sz w:val="21"/>
                <w:szCs w:val="21"/>
              </w:rPr>
              <w:t>事会次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3" w:right="152"/>
              <w:jc w:val="center"/>
              <w:rPr>
                <w:rFonts w:ascii="宋体" w:hAnsi="宋体" w:cs="宋体" w:eastAsia="宋体" w:hint="default"/>
                <w:sz w:val="21"/>
                <w:szCs w:val="21"/>
              </w:rPr>
            </w:pPr>
            <w:r>
              <w:rPr>
                <w:rFonts w:ascii="宋体" w:hAnsi="宋体" w:cs="宋体" w:eastAsia="宋体" w:hint="default"/>
                <w:spacing w:val="-1"/>
                <w:sz w:val="21"/>
                <w:szCs w:val="21"/>
              </w:rPr>
              <w:t>是否连续两次</w:t>
            </w:r>
            <w:r>
              <w:rPr>
                <w:rFonts w:ascii="宋体" w:hAnsi="宋体" w:cs="宋体" w:eastAsia="宋体" w:hint="default"/>
                <w:w w:val="100"/>
                <w:sz w:val="21"/>
                <w:szCs w:val="21"/>
              </w:rPr>
              <w:t> </w:t>
            </w:r>
            <w:r>
              <w:rPr>
                <w:rFonts w:ascii="宋体" w:hAnsi="宋体" w:cs="宋体" w:eastAsia="宋体" w:hint="default"/>
                <w:spacing w:val="-1"/>
                <w:sz w:val="21"/>
                <w:szCs w:val="21"/>
              </w:rPr>
              <w:t>未亲自参加董</w:t>
            </w:r>
            <w:r>
              <w:rPr>
                <w:rFonts w:ascii="宋体" w:hAnsi="宋体" w:cs="宋体" w:eastAsia="宋体" w:hint="default"/>
                <w:w w:val="100"/>
                <w:sz w:val="21"/>
                <w:szCs w:val="21"/>
              </w:rPr>
              <w:t> </w:t>
            </w:r>
            <w:r>
              <w:rPr>
                <w:rFonts w:ascii="宋体" w:hAnsi="宋体" w:cs="宋体" w:eastAsia="宋体" w:hint="default"/>
                <w:sz w:val="21"/>
                <w:szCs w:val="21"/>
              </w:rPr>
              <w:t>事会会议</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34" w:right="137"/>
              <w:jc w:val="both"/>
              <w:rPr>
                <w:rFonts w:ascii="宋体" w:hAnsi="宋体" w:cs="宋体" w:eastAsia="宋体" w:hint="default"/>
                <w:sz w:val="21"/>
                <w:szCs w:val="21"/>
              </w:rPr>
            </w:pPr>
            <w:r>
              <w:rPr>
                <w:rFonts w:ascii="宋体" w:hAnsi="宋体" w:cs="宋体" w:eastAsia="宋体" w:hint="default"/>
                <w:sz w:val="21"/>
                <w:szCs w:val="21"/>
              </w:rPr>
              <w:t>出席股</w:t>
            </w:r>
            <w:r>
              <w:rPr>
                <w:rFonts w:ascii="宋体" w:hAnsi="宋体" w:cs="宋体" w:eastAsia="宋体" w:hint="default"/>
                <w:spacing w:val="-102"/>
                <w:sz w:val="21"/>
                <w:szCs w:val="21"/>
              </w:rPr>
              <w:t> </w:t>
            </w:r>
            <w:r>
              <w:rPr>
                <w:rFonts w:ascii="宋体" w:hAnsi="宋体" w:cs="宋体" w:eastAsia="宋体" w:hint="default"/>
                <w:sz w:val="21"/>
                <w:szCs w:val="21"/>
              </w:rPr>
              <w:t>东大会</w:t>
            </w:r>
            <w:r>
              <w:rPr>
                <w:rFonts w:ascii="宋体" w:hAnsi="宋体" w:cs="宋体" w:eastAsia="宋体" w:hint="default"/>
                <w:spacing w:val="-102"/>
                <w:sz w:val="21"/>
                <w:szCs w:val="21"/>
              </w:rPr>
              <w:t> </w:t>
            </w:r>
            <w:r>
              <w:rPr>
                <w:rFonts w:ascii="宋体" w:hAnsi="宋体" w:cs="宋体" w:eastAsia="宋体" w:hint="default"/>
                <w:sz w:val="21"/>
                <w:szCs w:val="21"/>
              </w:rPr>
              <w:t>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韦俊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w w:val="100"/>
                <w:sz w:val="21"/>
              </w:rPr>
              <w:t>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w w:val="100"/>
                <w:sz w:val="21"/>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w w:val="100"/>
                <w:sz w:val="21"/>
              </w:rPr>
              <w:t>4</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汪和俊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z w:val="21"/>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w w:val="100"/>
                <w:sz w:val="21"/>
              </w:rPr>
              <w:t>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w w:val="100"/>
                <w:sz w:val="21"/>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w w:val="100"/>
                <w:sz w:val="21"/>
              </w:rPr>
              <w:t>4</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90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26"/>
        <w:gridCol w:w="1167"/>
        <w:gridCol w:w="1162"/>
        <w:gridCol w:w="1167"/>
        <w:gridCol w:w="1162"/>
        <w:gridCol w:w="994"/>
        <w:gridCol w:w="1580"/>
        <w:gridCol w:w="917"/>
      </w:tblGrid>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韩旭</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3"/>
              <w:jc w:val="right"/>
              <w:rPr>
                <w:rFonts w:ascii="Times New Roman" w:hAnsi="Times New Roman" w:cs="Times New Roman" w:eastAsia="Times New Roman" w:hint="default"/>
                <w:sz w:val="21"/>
                <w:szCs w:val="21"/>
              </w:rPr>
            </w:pPr>
            <w:r>
              <w:rPr>
                <w:rFonts w:ascii="Times New Roman"/>
                <w:spacing w:val="-10"/>
                <w:sz w:val="21"/>
              </w:rPr>
              <w:t>11</w:t>
            </w:r>
            <w:r>
              <w:rPr>
                <w:rFonts w:ascii="Times New Roman"/>
                <w:sz w:val="21"/>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w w:val="100"/>
                <w:sz w:val="21"/>
              </w:rPr>
              <w:t>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w w:val="100"/>
                <w:sz w:val="21"/>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w w:val="100"/>
                <w:sz w:val="21"/>
              </w:rPr>
              <w:t>3</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葛愿</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w w:val="100"/>
                <w:sz w:val="21"/>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w w:val="100"/>
                <w:sz w:val="21"/>
              </w:rPr>
              <w:t>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w w:val="100"/>
                <w:sz w:val="21"/>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w w:val="100"/>
                <w:sz w:val="21"/>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w w:val="100"/>
                <w:sz w:val="21"/>
              </w:rPr>
              <w:t>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w w:val="100"/>
                <w:sz w:val="21"/>
              </w:rPr>
              <w:t>1</w:t>
            </w:r>
          </w:p>
        </w:tc>
      </w:tr>
    </w:tbl>
    <w:p>
      <w:pPr>
        <w:spacing w:before="53"/>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连续两次未亲自出席董事会的说明</w:t>
      </w:r>
    </w:p>
    <w:p>
      <w:pPr>
        <w:spacing w:line="240" w:lineRule="auto" w:before="4"/>
        <w:rPr>
          <w:rFonts w:ascii="宋体" w:hAnsi="宋体" w:cs="宋体" w:eastAsia="宋体" w:hint="default"/>
          <w:sz w:val="26"/>
          <w:szCs w:val="26"/>
        </w:rPr>
      </w:pPr>
    </w:p>
    <w:p>
      <w:pPr>
        <w:pStyle w:val="Heading5"/>
        <w:spacing w:line="240" w:lineRule="auto"/>
        <w:ind w:right="1002"/>
        <w:jc w:val="left"/>
        <w:rPr>
          <w:b w:val="0"/>
          <w:bCs w:val="0"/>
        </w:rPr>
      </w:pPr>
      <w:bookmarkStart w:name="2、独立董事对公司有关事项提出异议的情况" w:id="148"/>
      <w:bookmarkEnd w:id="14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独立董事对公司有关事项是否提出异议</w:t>
      </w:r>
    </w:p>
    <w:p>
      <w:pPr>
        <w:spacing w:line="357" w:lineRule="auto" w:before="119"/>
        <w:ind w:left="113" w:right="680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报告期内独立董事对公司有关事项未提出异议。</w:t>
      </w:r>
    </w:p>
    <w:p>
      <w:pPr>
        <w:spacing w:line="240" w:lineRule="auto" w:before="7"/>
        <w:rPr>
          <w:rFonts w:ascii="宋体" w:hAnsi="宋体" w:cs="宋体" w:eastAsia="宋体" w:hint="default"/>
          <w:sz w:val="19"/>
          <w:szCs w:val="19"/>
        </w:rPr>
      </w:pPr>
    </w:p>
    <w:p>
      <w:pPr>
        <w:pStyle w:val="Heading5"/>
        <w:spacing w:line="240" w:lineRule="auto"/>
        <w:ind w:right="1002"/>
        <w:jc w:val="left"/>
        <w:rPr>
          <w:b w:val="0"/>
          <w:bCs w:val="0"/>
        </w:rPr>
      </w:pPr>
      <w:bookmarkStart w:name="3、独立董事履行职责的其他说明" w:id="149"/>
      <w:bookmarkEnd w:id="14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独立董事对公司有关建议是否被采纳</w:t>
      </w:r>
    </w:p>
    <w:p>
      <w:pPr>
        <w:spacing w:line="362" w:lineRule="auto" w:before="115"/>
        <w:ind w:left="113" w:right="680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独立董事对公司有关建议被采纳或未被采纳的说明</w:t>
      </w:r>
    </w:p>
    <w:p>
      <w:pPr>
        <w:pStyle w:val="BodyText"/>
        <w:spacing w:line="350" w:lineRule="auto" w:before="84"/>
        <w:ind w:right="1125" w:firstLine="393"/>
        <w:jc w:val="both"/>
      </w:pPr>
      <w:r>
        <w:rPr>
          <w:spacing w:val="-19"/>
          <w:w w:val="100"/>
        </w:rPr>
        <w:t>报告期内，公司独立董事根据《公司法》、《证券法》、《股票上市规则》、《上市公司治理准则》、《公司</w:t>
      </w:r>
      <w:r>
        <w:rPr>
          <w:w w:val="100"/>
        </w:rPr>
        <w:t> </w:t>
      </w:r>
      <w:r>
        <w:rPr>
          <w:spacing w:val="-2"/>
        </w:rPr>
        <w:t>章程》等规定，关注公司运作的规范性，认真独立履行职责，对公司的制度完善和日常经营决策等方面提</w:t>
      </w:r>
      <w:r>
        <w:rPr>
          <w:spacing w:val="-33"/>
        </w:rPr>
        <w:t> </w:t>
      </w:r>
      <w:r>
        <w:rPr>
          <w:spacing w:val="-33"/>
        </w:rPr>
      </w:r>
      <w:r>
        <w:rPr>
          <w:spacing w:val="-2"/>
        </w:rPr>
        <w:t>出了很多专业性建议，对报告期内公司发生的日常关联及其他需要独立董事发表意见的事项进行审核并出</w:t>
      </w:r>
      <w:r>
        <w:rPr>
          <w:spacing w:val="-33"/>
        </w:rPr>
        <w:t> </w:t>
      </w:r>
      <w:r>
        <w:rPr>
          <w:spacing w:val="-33"/>
        </w:rPr>
      </w:r>
      <w:r>
        <w:rPr/>
        <w:t>具了独立董事意见，为完善公司监督机制，</w:t>
      </w:r>
      <w:r>
        <w:rPr>
          <w:spacing w:val="4"/>
        </w:rPr>
        <w:t> </w:t>
      </w:r>
      <w:r>
        <w:rPr/>
        <w:t>切实维护了公司和中小股东的利益。</w:t>
      </w:r>
    </w:p>
    <w:p>
      <w:pPr>
        <w:spacing w:line="240" w:lineRule="auto" w:before="12"/>
        <w:rPr>
          <w:rFonts w:ascii="宋体" w:hAnsi="宋体" w:cs="宋体" w:eastAsia="宋体" w:hint="default"/>
          <w:sz w:val="15"/>
          <w:szCs w:val="15"/>
        </w:rPr>
      </w:pPr>
    </w:p>
    <w:p>
      <w:pPr>
        <w:pStyle w:val="Heading2"/>
        <w:spacing w:line="240" w:lineRule="auto"/>
        <w:ind w:right="1002"/>
        <w:jc w:val="left"/>
        <w:rPr>
          <w:b w:val="0"/>
          <w:bCs w:val="0"/>
        </w:rPr>
      </w:pPr>
      <w:bookmarkStart w:name="六、董事会下设专门委员会在报告期内履行职责情况" w:id="150"/>
      <w:bookmarkEnd w:id="150"/>
      <w:r>
        <w:rPr>
          <w:b w:val="0"/>
          <w:bCs w:val="0"/>
        </w:rPr>
      </w:r>
      <w:r>
        <w:rPr/>
        <w:t>六、董事会下设专门委员会在报告期内履行职责情况</w:t>
      </w:r>
      <w:r>
        <w:rPr>
          <w:b w:val="0"/>
          <w:bCs w:val="0"/>
        </w:rPr>
      </w:r>
    </w:p>
    <w:p>
      <w:pPr>
        <w:spacing w:line="240" w:lineRule="auto" w:before="3"/>
        <w:rPr>
          <w:rFonts w:ascii="宋体" w:hAnsi="宋体" w:cs="宋体" w:eastAsia="宋体" w:hint="default"/>
          <w:b/>
          <w:bCs/>
          <w:sz w:val="32"/>
          <w:szCs w:val="32"/>
        </w:rPr>
      </w:pPr>
    </w:p>
    <w:p>
      <w:pPr>
        <w:pStyle w:val="BodyText"/>
        <w:spacing w:line="348" w:lineRule="auto" w:before="0"/>
        <w:ind w:right="1002" w:firstLine="364"/>
        <w:jc w:val="left"/>
      </w:pPr>
      <w:r>
        <w:rPr>
          <w:spacing w:val="-3"/>
        </w:rPr>
        <w:t>公司董事会下设审计委员会、提名委员会、薪酬与考核委员会、战略委员会四个专业委员会，</w:t>
      </w:r>
      <w:r>
        <w:rPr>
          <w:rFonts w:ascii="宋体" w:hAnsi="宋体" w:cs="宋体" w:eastAsia="宋体" w:hint="default"/>
          <w:spacing w:val="-3"/>
        </w:rPr>
        <w:t>2019</w:t>
      </w:r>
      <w:r>
        <w:rPr>
          <w:spacing w:val="-3"/>
        </w:rPr>
        <w:t>年，</w:t>
      </w:r>
      <w:r>
        <w:rPr>
          <w:w w:val="100"/>
        </w:rPr>
        <w:t> </w:t>
      </w:r>
      <w:r>
        <w:rPr>
          <w:spacing w:val="-11"/>
          <w:w w:val="100"/>
        </w:rPr>
        <w:t>专业委员会根据《上市公司治理准则》、《公司章程》、《董事会议事规则》以及各专业委员会实施细则赋予</w:t>
      </w:r>
      <w:r>
        <w:rPr>
          <w:spacing w:val="-77"/>
          <w:w w:val="100"/>
        </w:rPr>
        <w:t> </w:t>
      </w:r>
      <w:r>
        <w:rPr>
          <w:spacing w:val="-77"/>
          <w:w w:val="100"/>
        </w:rPr>
      </w:r>
      <w:r>
        <w:rPr/>
        <w:t>的职权和义务，认真履行了职责。现将各专门委员会具体工作报告如下：</w:t>
      </w:r>
    </w:p>
    <w:p>
      <w:pPr>
        <w:pStyle w:val="BodyText"/>
        <w:spacing w:line="348" w:lineRule="auto" w:before="34"/>
        <w:ind w:left="535" w:right="1002"/>
        <w:jc w:val="left"/>
      </w:pPr>
      <w:r>
        <w:rPr>
          <w:rFonts w:ascii="宋体" w:hAnsi="宋体" w:cs="宋体" w:eastAsia="宋体" w:hint="default"/>
        </w:rPr>
        <w:t>1</w:t>
      </w:r>
      <w:r>
        <w:rPr/>
        <w:t>、董事会审计委员会的履职情况</w:t>
      </w:r>
      <w:r>
        <w:rPr>
          <w:spacing w:val="-103"/>
        </w:rPr>
        <w:t> </w:t>
      </w:r>
      <w:r>
        <w:rPr>
          <w:spacing w:val="-103"/>
        </w:rPr>
      </w:r>
      <w:r>
        <w:rPr>
          <w:spacing w:val="-2"/>
        </w:rPr>
        <w:t>公司董事会审计委员会由</w:t>
      </w:r>
      <w:r>
        <w:rPr>
          <w:rFonts w:ascii="宋体" w:hAnsi="宋体" w:cs="宋体" w:eastAsia="宋体" w:hint="default"/>
          <w:spacing w:val="-2"/>
        </w:rPr>
        <w:t>3</w:t>
      </w:r>
      <w:r>
        <w:rPr>
          <w:spacing w:val="-2"/>
        </w:rPr>
        <w:t>名董事组成，其中主任委员由专业会计人士汪和俊先生担任。</w:t>
      </w:r>
    </w:p>
    <w:p>
      <w:pPr>
        <w:pStyle w:val="BodyText"/>
        <w:spacing w:line="352" w:lineRule="auto" w:before="29"/>
        <w:ind w:left="535" w:right="1002" w:hanging="106"/>
        <w:jc w:val="left"/>
      </w:pPr>
      <w:r>
        <w:rPr/>
        <w:t>（</w:t>
      </w:r>
      <w:r>
        <w:rPr>
          <w:rFonts w:ascii="宋体" w:hAnsi="宋体" w:cs="宋体" w:eastAsia="宋体" w:hint="default"/>
        </w:rPr>
        <w:t>1</w:t>
      </w:r>
      <w:r>
        <w:rPr/>
        <w:t>）对会计师事务所审计工作的督促情况</w:t>
      </w:r>
      <w:r>
        <w:rPr>
          <w:spacing w:val="-103"/>
        </w:rPr>
        <w:t> </w:t>
      </w:r>
      <w:r>
        <w:rPr>
          <w:spacing w:val="-103"/>
        </w:rPr>
      </w:r>
      <w:r>
        <w:rPr>
          <w:spacing w:val="-2"/>
        </w:rPr>
        <w:t>在本次年度审计前，审计委员会与会计师事务所协商制订了公司</w:t>
      </w:r>
      <w:r>
        <w:rPr>
          <w:rFonts w:ascii="宋体" w:hAnsi="宋体" w:cs="宋体" w:eastAsia="宋体" w:hint="default"/>
          <w:spacing w:val="-2"/>
        </w:rPr>
        <w:t>2019</w:t>
      </w:r>
      <w:r>
        <w:rPr>
          <w:spacing w:val="-2"/>
        </w:rPr>
        <w:t>年度财务报告审计工作计划，并</w:t>
      </w:r>
    </w:p>
    <w:p>
      <w:pPr>
        <w:pStyle w:val="BodyText"/>
        <w:spacing w:line="348" w:lineRule="auto" w:before="25"/>
        <w:ind w:right="1002"/>
        <w:jc w:val="left"/>
      </w:pPr>
      <w:r>
        <w:rPr>
          <w:spacing w:val="-2"/>
        </w:rPr>
        <w:t>进行了深入沟通和交流。审计委员会认为大华会计师事务所（特殊普通合伙）</w:t>
      </w:r>
      <w:r>
        <w:rPr>
          <w:rFonts w:ascii="宋体" w:hAnsi="宋体" w:cs="宋体" w:eastAsia="宋体" w:hint="default"/>
          <w:spacing w:val="-2"/>
        </w:rPr>
        <w:t>2019</w:t>
      </w:r>
      <w:r>
        <w:rPr>
          <w:spacing w:val="-2"/>
        </w:rPr>
        <w:t>年度审计工作完全按照</w:t>
      </w:r>
      <w:r>
        <w:rPr>
          <w:spacing w:val="-26"/>
        </w:rPr>
        <w:t> </w:t>
      </w:r>
      <w:r>
        <w:rPr>
          <w:spacing w:val="-26"/>
        </w:rPr>
      </w:r>
      <w:r>
        <w:rPr/>
        <w:t>审计工作安排时间表进行，会计师事务所完全履行其审计责任。</w:t>
      </w:r>
    </w:p>
    <w:p>
      <w:pPr>
        <w:pStyle w:val="BodyText"/>
        <w:spacing w:line="348" w:lineRule="auto" w:before="34"/>
        <w:ind w:right="1002" w:firstLine="422"/>
        <w:jc w:val="left"/>
      </w:pPr>
      <w:r>
        <w:rPr>
          <w:spacing w:val="-2"/>
        </w:rPr>
        <w:t>本年度审计工作进展顺利，大华会计师事务所（特殊普通合伙）在双方约定时间内完成了公司</w:t>
      </w:r>
      <w:r>
        <w:rPr>
          <w:rFonts w:ascii="宋体" w:hAnsi="宋体" w:cs="宋体" w:eastAsia="宋体" w:hint="default"/>
          <w:spacing w:val="-2"/>
        </w:rPr>
        <w:t>2019</w:t>
      </w:r>
      <w:r>
        <w:rPr>
          <w:spacing w:val="-2"/>
        </w:rPr>
        <w:t>年</w:t>
      </w:r>
      <w:r>
        <w:rPr>
          <w:w w:val="100"/>
        </w:rPr>
        <w:t> </w:t>
      </w:r>
      <w:r>
        <w:rPr/>
        <w:t>年度审计工作，并出具了审计意见，审计委员会对审计结果进行了审核。</w:t>
      </w:r>
    </w:p>
    <w:p>
      <w:pPr>
        <w:pStyle w:val="BodyText"/>
        <w:spacing w:line="352" w:lineRule="auto" w:before="29"/>
        <w:ind w:left="535" w:right="1002" w:hanging="106"/>
        <w:jc w:val="left"/>
      </w:pPr>
      <w:r>
        <w:rPr/>
        <w:t>（</w:t>
      </w:r>
      <w:r>
        <w:rPr>
          <w:rFonts w:ascii="宋体" w:hAnsi="宋体" w:cs="宋体" w:eastAsia="宋体" w:hint="default"/>
        </w:rPr>
        <w:t>2</w:t>
      </w:r>
      <w:r>
        <w:rPr/>
        <w:t>）对会计师事务所出具的财务报告的审计意见</w:t>
      </w:r>
      <w:r>
        <w:rPr>
          <w:w w:val="100"/>
        </w:rPr>
        <w:t> </w:t>
      </w:r>
      <w:r>
        <w:rPr>
          <w:spacing w:val="-2"/>
        </w:rPr>
        <w:t>大华会计师事务所（特殊普通合伙）审计小组在本年度审计中按照中国注册会计师审计准则的要求执</w:t>
      </w:r>
    </w:p>
    <w:p>
      <w:pPr>
        <w:pStyle w:val="BodyText"/>
        <w:spacing w:line="348" w:lineRule="auto" w:before="25"/>
        <w:ind w:right="1002"/>
        <w:jc w:val="left"/>
      </w:pPr>
      <w:r>
        <w:rPr>
          <w:spacing w:val="-2"/>
        </w:rPr>
        <w:t>行了恰当的审计程序。董事会审计委员会根据会计师事务所对相关财务报表审计后出具的初步审计意见，</w:t>
      </w:r>
      <w:r>
        <w:rPr>
          <w:spacing w:val="-13"/>
        </w:rPr>
        <w:t> </w:t>
      </w:r>
      <w:r>
        <w:rPr>
          <w:spacing w:val="-13"/>
        </w:rPr>
      </w:r>
      <w:r>
        <w:rPr>
          <w:spacing w:val="-2"/>
        </w:rPr>
        <w:t>对相关财务会计报表及附注进行了审阅，认为：公司财务报表已经按照《企业会计准则》的规定编制，符</w:t>
      </w:r>
    </w:p>
    <w:p>
      <w:pPr>
        <w:spacing w:after="0" w:line="348"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right="1002"/>
        <w:jc w:val="left"/>
      </w:pPr>
      <w:r>
        <w:rPr>
          <w:spacing w:val="-2"/>
        </w:rPr>
        <w:t>合国家颁布的《企业会计准则》的要求，在所有重大方面公允地反映了公司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日的财务状况以</w:t>
      </w:r>
      <w:r>
        <w:rPr>
          <w:spacing w:val="-23"/>
        </w:rPr>
        <w:t> </w:t>
      </w:r>
      <w:r>
        <w:rPr>
          <w:spacing w:val="-23"/>
        </w:rPr>
      </w:r>
      <w:r>
        <w:rPr/>
        <w:t>及</w:t>
      </w:r>
      <w:r>
        <w:rPr>
          <w:rFonts w:ascii="宋体" w:hAnsi="宋体" w:cs="宋体" w:eastAsia="宋体" w:hint="default"/>
        </w:rPr>
        <w:t>2019</w:t>
      </w:r>
      <w:r>
        <w:rPr/>
        <w:t>年度的经营成果和现金流量。</w:t>
      </w:r>
    </w:p>
    <w:p>
      <w:pPr>
        <w:pStyle w:val="BodyText"/>
        <w:spacing w:line="348" w:lineRule="auto" w:before="34"/>
        <w:ind w:left="535" w:right="1002" w:hanging="106"/>
        <w:jc w:val="left"/>
      </w:pPr>
      <w:r>
        <w:rPr/>
        <w:t>（</w:t>
      </w:r>
      <w:r>
        <w:rPr>
          <w:rFonts w:ascii="宋体" w:hAnsi="宋体" w:cs="宋体" w:eastAsia="宋体" w:hint="default"/>
        </w:rPr>
        <w:t>3</w:t>
      </w:r>
      <w:r>
        <w:rPr/>
        <w:t>）关于续聘会计师事务所决议</w:t>
      </w:r>
      <w:r>
        <w:rPr>
          <w:spacing w:val="-103"/>
        </w:rPr>
        <w:t> </w:t>
      </w:r>
      <w:r>
        <w:rPr>
          <w:spacing w:val="-103"/>
        </w:rPr>
      </w:r>
      <w:r>
        <w:rPr>
          <w:spacing w:val="-2"/>
        </w:rPr>
        <w:t>大华会计师事务所（特殊普通合伙）在担任公司审计机构以来，公司与该所保持了良好的合作关系，</w:t>
      </w:r>
    </w:p>
    <w:p>
      <w:pPr>
        <w:pStyle w:val="BodyText"/>
        <w:spacing w:line="350" w:lineRule="auto" w:before="29"/>
        <w:ind w:left="535" w:right="1002" w:hanging="423"/>
        <w:jc w:val="left"/>
      </w:pPr>
      <w:r>
        <w:rPr/>
        <w:t>审计委员会同意公司续聘大华会计师事务所（特殊普通合伙）为公司</w:t>
      </w:r>
      <w:r>
        <w:rPr>
          <w:rFonts w:ascii="宋体" w:hAnsi="宋体" w:cs="宋体" w:eastAsia="宋体" w:hint="default"/>
        </w:rPr>
        <w:t>2020</w:t>
      </w:r>
      <w:r>
        <w:rPr/>
        <w:t>年度财务审计机构。</w:t>
      </w:r>
      <w:r>
        <w:rPr>
          <w:w w:val="100"/>
        </w:rPr>
        <w:t> </w:t>
      </w:r>
      <w:r>
        <w:rPr>
          <w:rFonts w:ascii="宋体" w:hAnsi="宋体" w:cs="宋体" w:eastAsia="宋体" w:hint="default"/>
        </w:rPr>
        <w:t>2</w:t>
      </w:r>
      <w:r>
        <w:rPr/>
        <w:t>、董事会提名委员会的履职情况</w:t>
      </w:r>
      <w:r>
        <w:rPr>
          <w:w w:val="100"/>
        </w:rPr>
        <w:t> </w:t>
      </w:r>
      <w:r>
        <w:rPr>
          <w:spacing w:val="-2"/>
        </w:rPr>
        <w:t>为强化董事会决策功能，董事会下设提名委员会，由</w:t>
      </w:r>
      <w:r>
        <w:rPr>
          <w:rFonts w:ascii="宋体" w:hAnsi="宋体" w:cs="宋体" w:eastAsia="宋体" w:hint="default"/>
          <w:spacing w:val="-2"/>
        </w:rPr>
        <w:t>3</w:t>
      </w:r>
      <w:r>
        <w:rPr>
          <w:spacing w:val="-2"/>
        </w:rPr>
        <w:t>名董事组成，其中</w:t>
      </w:r>
      <w:r>
        <w:rPr>
          <w:rFonts w:ascii="宋体" w:hAnsi="宋体" w:cs="宋体" w:eastAsia="宋体" w:hint="default"/>
          <w:spacing w:val="-2"/>
        </w:rPr>
        <w:t>2</w:t>
      </w:r>
      <w:r>
        <w:rPr>
          <w:spacing w:val="-2"/>
        </w:rPr>
        <w:t>名为独立董事、并由</w:t>
      </w:r>
      <w:r>
        <w:rPr>
          <w:rFonts w:ascii="宋体" w:hAnsi="宋体" w:cs="宋体" w:eastAsia="宋体" w:hint="default"/>
          <w:spacing w:val="-2"/>
        </w:rPr>
        <w:t>1</w:t>
      </w:r>
      <w:r>
        <w:rPr>
          <w:spacing w:val="-2"/>
        </w:rPr>
        <w:t>名独</w:t>
      </w:r>
    </w:p>
    <w:p>
      <w:pPr>
        <w:pStyle w:val="BodyText"/>
        <w:spacing w:line="352" w:lineRule="auto" w:before="27"/>
        <w:ind w:left="535" w:right="1002" w:hanging="423"/>
        <w:jc w:val="left"/>
      </w:pPr>
      <w:r>
        <w:rPr/>
        <w:t>立董事担任召集人，主要负责对公司董事、高级管理人员的人选、选择标准和程序审核并提出建议。</w:t>
      </w:r>
      <w:r>
        <w:rPr>
          <w:spacing w:val="-103"/>
        </w:rPr>
        <w:t> </w:t>
      </w:r>
      <w:r>
        <w:rPr>
          <w:spacing w:val="-103"/>
        </w:rPr>
      </w:r>
      <w:r>
        <w:rPr>
          <w:spacing w:val="-7"/>
          <w:w w:val="100"/>
        </w:rPr>
        <w:t>报告期内，公司董事会提名委员会严格按照《独立董事制度》、《董事会提名委员会实施细则》等相关</w:t>
      </w:r>
    </w:p>
    <w:p>
      <w:pPr>
        <w:pStyle w:val="BodyText"/>
        <w:spacing w:line="348" w:lineRule="auto" w:before="25"/>
        <w:ind w:right="1002"/>
        <w:jc w:val="left"/>
      </w:pPr>
      <w:r>
        <w:rPr>
          <w:spacing w:val="-2"/>
        </w:rPr>
        <w:t>制度的规定工作，持续研究与关注董事、高级管理人员选拔制度，认真审核与评价公司董事、高级管理人</w:t>
      </w:r>
      <w:r>
        <w:rPr>
          <w:spacing w:val="-33"/>
        </w:rPr>
        <w:t> </w:t>
      </w:r>
      <w:r>
        <w:rPr>
          <w:spacing w:val="-33"/>
        </w:rPr>
      </w:r>
      <w:r>
        <w:rPr/>
        <w:t>员候选，勤勉尽责地履行职责。</w:t>
      </w:r>
    </w:p>
    <w:p>
      <w:pPr>
        <w:pStyle w:val="BodyText"/>
        <w:spacing w:line="348" w:lineRule="auto" w:before="34"/>
        <w:ind w:left="535" w:right="1002"/>
        <w:jc w:val="left"/>
      </w:pPr>
      <w:r>
        <w:rPr>
          <w:rFonts w:ascii="宋体" w:hAnsi="宋体" w:cs="宋体" w:eastAsia="宋体" w:hint="default"/>
        </w:rPr>
        <w:t>3</w:t>
      </w:r>
      <w:r>
        <w:rPr/>
        <w:t>、董事会薪酬与考核委员会的履职情况</w:t>
      </w:r>
      <w:r>
        <w:rPr>
          <w:w w:val="100"/>
        </w:rPr>
        <w:t> </w:t>
      </w:r>
      <w:r>
        <w:rPr>
          <w:spacing w:val="-2"/>
        </w:rPr>
        <w:t>为强化董事会决策功能，董事会下设薪酬与考核委员会，由</w:t>
      </w:r>
      <w:r>
        <w:rPr>
          <w:rFonts w:ascii="宋体" w:hAnsi="宋体" w:cs="宋体" w:eastAsia="宋体" w:hint="default"/>
          <w:spacing w:val="-2"/>
        </w:rPr>
        <w:t>3</w:t>
      </w:r>
      <w:r>
        <w:rPr>
          <w:spacing w:val="-2"/>
        </w:rPr>
        <w:t>名董事组成，其中</w:t>
      </w:r>
      <w:r>
        <w:rPr>
          <w:rFonts w:ascii="宋体" w:hAnsi="宋体" w:cs="宋体" w:eastAsia="宋体" w:hint="default"/>
          <w:spacing w:val="-2"/>
        </w:rPr>
        <w:t>2</w:t>
      </w:r>
      <w:r>
        <w:rPr>
          <w:spacing w:val="-2"/>
        </w:rPr>
        <w:t>名为独立董事、并由</w:t>
      </w:r>
    </w:p>
    <w:p>
      <w:pPr>
        <w:pStyle w:val="BodyText"/>
        <w:spacing w:line="350" w:lineRule="auto" w:before="29"/>
        <w:ind w:right="1002"/>
        <w:jc w:val="left"/>
      </w:pPr>
      <w:r>
        <w:rPr>
          <w:rFonts w:ascii="宋体" w:hAnsi="宋体" w:cs="宋体" w:eastAsia="宋体" w:hint="default"/>
        </w:rPr>
        <w:t>1</w:t>
      </w:r>
      <w:r>
        <w:rPr/>
        <w:t>名独立董事担任召集人，主要负责制定公司董事及高级管理人员的考核标准并进行考核、制定和审查公</w:t>
      </w:r>
      <w:r>
        <w:rPr>
          <w:w w:val="100"/>
        </w:rPr>
        <w:t> </w:t>
      </w:r>
      <w:r>
        <w:rPr>
          <w:spacing w:val="-2"/>
        </w:rPr>
        <w:t>司董事及高级管理人员的薪酬政策与方案等。公司董事会薪酬与考核委员会成立以来，积极参加公司关于</w:t>
      </w:r>
      <w:r>
        <w:rPr>
          <w:spacing w:val="-33"/>
        </w:rPr>
        <w:t> </w:t>
      </w:r>
      <w:r>
        <w:rPr>
          <w:spacing w:val="-33"/>
        </w:rPr>
      </w:r>
      <w:r>
        <w:rPr/>
        <w:t>薪酬与考核方面的会议，委员会成员积极工作，指导公司董事会完善了公司薪酬体系。</w:t>
      </w:r>
    </w:p>
    <w:p>
      <w:pPr>
        <w:pStyle w:val="BodyText"/>
        <w:spacing w:line="352" w:lineRule="auto" w:before="27"/>
        <w:ind w:left="535" w:right="1002"/>
        <w:jc w:val="left"/>
      </w:pPr>
      <w:r>
        <w:rPr>
          <w:rFonts w:ascii="宋体" w:hAnsi="宋体" w:cs="宋体" w:eastAsia="宋体" w:hint="default"/>
        </w:rPr>
        <w:t>4</w:t>
      </w:r>
      <w:r>
        <w:rPr/>
        <w:t>、董事会战略委员会的履职情况</w:t>
      </w:r>
      <w:r>
        <w:rPr>
          <w:spacing w:val="-103"/>
        </w:rPr>
        <w:t> </w:t>
      </w:r>
      <w:r>
        <w:rPr>
          <w:spacing w:val="-103"/>
        </w:rPr>
      </w:r>
      <w:r>
        <w:rPr>
          <w:spacing w:val="-2"/>
        </w:rPr>
        <w:t>为强化董事会决策功能，董事会下设战略委员会，由</w:t>
      </w:r>
      <w:r>
        <w:rPr>
          <w:rFonts w:ascii="宋体" w:hAnsi="宋体" w:cs="宋体" w:eastAsia="宋体" w:hint="default"/>
          <w:spacing w:val="-2"/>
        </w:rPr>
        <w:t>5</w:t>
      </w:r>
      <w:r>
        <w:rPr>
          <w:spacing w:val="-2"/>
        </w:rPr>
        <w:t>名董事组成，主要负责公司长期发展战略和重</w:t>
      </w:r>
    </w:p>
    <w:p>
      <w:pPr>
        <w:pStyle w:val="BodyText"/>
        <w:spacing w:line="350" w:lineRule="auto" w:before="25"/>
        <w:ind w:right="1125"/>
        <w:jc w:val="both"/>
      </w:pPr>
      <w:r>
        <w:rPr>
          <w:spacing w:val="-2"/>
        </w:rPr>
        <w:t>大投资决策研究并提出建议。报告期内，公司董事会战略委员会密切跟踪和关注国家宏观经济政策、结构</w:t>
      </w:r>
      <w:r>
        <w:rPr>
          <w:spacing w:val="-33"/>
        </w:rPr>
        <w:t> </w:t>
      </w:r>
      <w:r>
        <w:rPr>
          <w:spacing w:val="-33"/>
        </w:rPr>
      </w:r>
      <w:r>
        <w:rPr>
          <w:spacing w:val="-2"/>
        </w:rPr>
        <w:t>调整对公司的影响，结合公司战略发展要求，向公司董事会提出有关结构调整、资本运作、长远发展等事</w:t>
      </w:r>
      <w:r>
        <w:rPr>
          <w:spacing w:val="-33"/>
        </w:rPr>
        <w:t> </w:t>
      </w:r>
      <w:r>
        <w:rPr>
          <w:spacing w:val="-33"/>
        </w:rPr>
      </w:r>
      <w:r>
        <w:rPr/>
        <w:t>项的建议，对促进公司持续、稳定发展，规避市场风险，起到了积极良好的作用。</w:t>
      </w:r>
    </w:p>
    <w:p>
      <w:pPr>
        <w:spacing w:line="240" w:lineRule="auto" w:before="12"/>
        <w:rPr>
          <w:rFonts w:ascii="宋体" w:hAnsi="宋体" w:cs="宋体" w:eastAsia="宋体" w:hint="default"/>
          <w:sz w:val="15"/>
          <w:szCs w:val="15"/>
        </w:rPr>
      </w:pPr>
    </w:p>
    <w:p>
      <w:pPr>
        <w:pStyle w:val="Heading2"/>
        <w:spacing w:line="240" w:lineRule="auto"/>
        <w:ind w:right="1002"/>
        <w:jc w:val="left"/>
        <w:rPr>
          <w:b w:val="0"/>
          <w:bCs w:val="0"/>
        </w:rPr>
      </w:pPr>
      <w:bookmarkStart w:name="七、监事会工作情况" w:id="151"/>
      <w:bookmarkEnd w:id="151"/>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监事会在报告期内的监督活动中发现公司是否存在风险</w:t>
      </w:r>
    </w:p>
    <w:p>
      <w:pPr>
        <w:spacing w:line="357" w:lineRule="auto" w:before="119"/>
        <w:ind w:left="113" w:right="7667" w:firstLine="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
          <w:sz w:val="18"/>
          <w:szCs w:val="18"/>
        </w:rPr>
        <w:t> </w:t>
      </w:r>
      <w:r>
        <w:rPr>
          <w:rFonts w:ascii="宋体" w:hAnsi="宋体" w:cs="宋体" w:eastAsia="宋体" w:hint="default"/>
          <w:sz w:val="18"/>
          <w:szCs w:val="18"/>
        </w:rPr>
        <w:t>√</w:t>
      </w:r>
      <w:r>
        <w:rPr>
          <w:rFonts w:ascii="宋体" w:hAnsi="宋体" w:cs="宋体" w:eastAsia="宋体" w:hint="default"/>
          <w:spacing w:val="-4"/>
          <w:sz w:val="18"/>
          <w:szCs w:val="18"/>
        </w:rPr>
        <w:t> </w:t>
      </w:r>
      <w:r>
        <w:rPr>
          <w:rFonts w:ascii="宋体" w:hAnsi="宋体" w:cs="宋体" w:eastAsia="宋体" w:hint="default"/>
          <w:sz w:val="18"/>
          <w:szCs w:val="18"/>
        </w:rPr>
        <w:t>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监事会对报告期内的监督事项无异议。</w:t>
      </w:r>
    </w:p>
    <w:p>
      <w:pPr>
        <w:spacing w:line="240" w:lineRule="auto" w:before="3"/>
        <w:rPr>
          <w:rFonts w:ascii="宋体" w:hAnsi="宋体" w:cs="宋体" w:eastAsia="宋体" w:hint="default"/>
          <w:sz w:val="17"/>
          <w:szCs w:val="17"/>
        </w:rPr>
      </w:pPr>
    </w:p>
    <w:p>
      <w:pPr>
        <w:pStyle w:val="Heading2"/>
        <w:spacing w:line="240" w:lineRule="auto"/>
        <w:ind w:right="1002"/>
        <w:jc w:val="left"/>
        <w:rPr>
          <w:b w:val="0"/>
          <w:bCs w:val="0"/>
        </w:rPr>
      </w:pPr>
      <w:bookmarkStart w:name="八、高级管理人员的考评及激励情况" w:id="152"/>
      <w:bookmarkEnd w:id="152"/>
      <w:r>
        <w:rPr>
          <w:b w:val="0"/>
          <w:bCs w:val="0"/>
        </w:rPr>
      </w:r>
      <w:r>
        <w:rPr/>
        <w:t>八、高级管理人员的考评及激励情况</w:t>
      </w:r>
      <w:r>
        <w:rPr>
          <w:b w:val="0"/>
          <w:bCs w:val="0"/>
        </w:rPr>
      </w:r>
    </w:p>
    <w:p>
      <w:pPr>
        <w:spacing w:line="240" w:lineRule="auto" w:before="5"/>
        <w:rPr>
          <w:rFonts w:ascii="宋体" w:hAnsi="宋体" w:cs="宋体" w:eastAsia="宋体" w:hint="default"/>
          <w:b/>
          <w:bCs/>
          <w:sz w:val="33"/>
          <w:szCs w:val="33"/>
        </w:rPr>
      </w:pPr>
    </w:p>
    <w:p>
      <w:pPr>
        <w:pStyle w:val="BodyText"/>
        <w:spacing w:line="350" w:lineRule="auto" w:before="0"/>
        <w:ind w:right="1002" w:firstLine="542"/>
        <w:jc w:val="left"/>
      </w:pPr>
      <w:r>
        <w:rPr>
          <w:rFonts w:ascii="宋体" w:hAnsi="宋体" w:cs="宋体" w:eastAsia="宋体" w:hint="default"/>
          <w:spacing w:val="-3"/>
        </w:rPr>
        <w:t>1</w:t>
      </w:r>
      <w:r>
        <w:rPr>
          <w:spacing w:val="-3"/>
        </w:rPr>
        <w:t>、公司根据年度财务预算、生产经营指标、管理目标的完成情况，对高级管理人员的绩效进行全面</w:t>
      </w:r>
      <w:r>
        <w:rPr>
          <w:w w:val="100"/>
        </w:rPr>
        <w:t> </w:t>
      </w:r>
      <w:r>
        <w:rPr>
          <w:spacing w:val="-2"/>
        </w:rPr>
        <w:t>综合考核，将工作绩效与其收入直接挂钩，完善了绩效考核体系。为了加快企业发展，促进公司的规范运</w:t>
      </w:r>
      <w:r>
        <w:rPr>
          <w:spacing w:val="-33"/>
        </w:rPr>
        <w:t> </w:t>
      </w:r>
      <w:r>
        <w:rPr>
          <w:spacing w:val="-33"/>
        </w:rPr>
      </w:r>
      <w:r>
        <w:rPr>
          <w:spacing w:val="-4"/>
        </w:rPr>
        <w:t>作，增强公司高管人员的诚信意识，责任意识，提升公司法人治理水平，建立和健全年薪绩效评价和激励、</w:t>
      </w:r>
      <w:r>
        <w:rPr>
          <w:spacing w:val="-47"/>
        </w:rPr>
        <w:t> </w:t>
      </w:r>
      <w:r>
        <w:rPr>
          <w:spacing w:val="-47"/>
        </w:rPr>
      </w:r>
      <w:r>
        <w:rPr/>
        <w:t>约束机制，最大限度地调动公司高管人员的积极性及创造性。</w:t>
      </w:r>
    </w:p>
    <w:p>
      <w:pPr>
        <w:pStyle w:val="BodyText"/>
        <w:spacing w:line="348" w:lineRule="auto" w:before="32"/>
        <w:ind w:right="1002" w:firstLine="633"/>
        <w:jc w:val="left"/>
      </w:pPr>
      <w:r>
        <w:rPr>
          <w:rFonts w:ascii="宋体" w:hAnsi="宋体" w:cs="宋体" w:eastAsia="宋体" w:hint="default"/>
          <w:spacing w:val="-2"/>
        </w:rPr>
        <w:t>2</w:t>
      </w:r>
      <w:r>
        <w:rPr>
          <w:spacing w:val="-2"/>
        </w:rPr>
        <w:t>、为了更好激发管理团队的积极，提高经营效率，促进公司业绩提升，对高级管理人员、核心技</w:t>
      </w:r>
      <w:r>
        <w:rPr>
          <w:w w:val="100"/>
        </w:rPr>
        <w:t> </w:t>
      </w:r>
      <w:r>
        <w:rPr/>
        <w:t>术及业务骨干人员实施员工持股计划或股权激励计划，激发管理人才团队在推动公司战略实现的核心作</w:t>
      </w:r>
    </w:p>
    <w:p>
      <w:pPr>
        <w:spacing w:after="0" w:line="348" w:lineRule="auto"/>
        <w:jc w:val="left"/>
        <w:sectPr>
          <w:pgSz w:w="11910" w:h="16840"/>
          <w:pgMar w:header="906" w:footer="1022" w:top="1100" w:bottom="1220" w:left="1020" w:right="0"/>
        </w:sectPr>
      </w:pPr>
    </w:p>
    <w:p>
      <w:pPr>
        <w:spacing w:line="240" w:lineRule="auto" w:before="9"/>
        <w:rPr>
          <w:rFonts w:ascii="宋体" w:hAnsi="宋体" w:cs="宋体" w:eastAsia="宋体" w:hint="default"/>
          <w:sz w:val="29"/>
          <w:szCs w:val="29"/>
        </w:rPr>
      </w:pPr>
    </w:p>
    <w:p>
      <w:pPr>
        <w:pStyle w:val="BodyText"/>
        <w:spacing w:line="240" w:lineRule="auto"/>
        <w:ind w:left="373" w:right="0"/>
        <w:jc w:val="left"/>
      </w:pPr>
      <w:r>
        <w:rPr/>
        <w:t>用，激励公司核心管理人员为公司创造更大的价值，促进公司的长期稳定可持续发展。</w:t>
      </w:r>
    </w:p>
    <w:p>
      <w:pPr>
        <w:spacing w:line="240" w:lineRule="auto" w:before="2"/>
        <w:rPr>
          <w:rFonts w:ascii="宋体" w:hAnsi="宋体" w:cs="宋体" w:eastAsia="宋体" w:hint="default"/>
          <w:sz w:val="22"/>
          <w:szCs w:val="22"/>
        </w:rPr>
      </w:pPr>
    </w:p>
    <w:p>
      <w:pPr>
        <w:pStyle w:val="Heading2"/>
        <w:spacing w:line="240" w:lineRule="auto"/>
        <w:ind w:left="373" w:right="0"/>
        <w:jc w:val="left"/>
        <w:rPr>
          <w:b w:val="0"/>
          <w:bCs w:val="0"/>
        </w:rPr>
      </w:pPr>
      <w:bookmarkStart w:name="九、内部控制评价报告" w:id="153"/>
      <w:bookmarkEnd w:id="153"/>
      <w:r>
        <w:rPr>
          <w:b w:val="0"/>
          <w:bCs w:val="0"/>
        </w:rPr>
      </w:r>
      <w:r>
        <w:rPr/>
        <w:t>九、内部控制评价报告</w:t>
      </w:r>
      <w:r>
        <w:rPr>
          <w:b w:val="0"/>
          <w:bCs w:val="0"/>
        </w:rPr>
      </w:r>
    </w:p>
    <w:p>
      <w:pPr>
        <w:spacing w:line="240" w:lineRule="auto" w:before="4"/>
        <w:rPr>
          <w:rFonts w:ascii="宋体" w:hAnsi="宋体" w:cs="宋体" w:eastAsia="宋体" w:hint="default"/>
          <w:b/>
          <w:bCs/>
          <w:sz w:val="25"/>
          <w:szCs w:val="25"/>
        </w:rPr>
      </w:pPr>
    </w:p>
    <w:p>
      <w:pPr>
        <w:pStyle w:val="Heading5"/>
        <w:spacing w:line="240" w:lineRule="auto"/>
        <w:ind w:left="373" w:right="0"/>
        <w:jc w:val="left"/>
        <w:rPr>
          <w:b w:val="0"/>
          <w:bCs w:val="0"/>
        </w:rPr>
      </w:pPr>
      <w:bookmarkStart w:name="1、报告期内发现的内部控制重大缺陷的具体情况" w:id="154"/>
      <w:bookmarkEnd w:id="15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spacing w:before="0"/>
        <w:ind w:left="373" w:right="0" w:firstLine="0"/>
        <w:jc w:val="left"/>
        <w:rPr>
          <w:rFonts w:ascii="宋体" w:hAnsi="宋体" w:cs="宋体" w:eastAsia="宋体" w:hint="default"/>
          <w:sz w:val="18"/>
          <w:szCs w:val="18"/>
        </w:rPr>
      </w:pPr>
      <w:r>
        <w:rPr>
          <w:rFonts w:ascii="宋体" w:hAnsi="宋体" w:cs="宋体" w:eastAsia="宋体" w:hint="default"/>
          <w:sz w:val="18"/>
          <w:szCs w:val="18"/>
        </w:rPr>
        <w:t>□ 是 √</w:t>
      </w:r>
      <w:r>
        <w:rPr>
          <w:rFonts w:ascii="宋体" w:hAnsi="宋体" w:cs="宋体" w:eastAsia="宋体" w:hint="default"/>
          <w:spacing w:val="2"/>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6"/>
          <w:szCs w:val="26"/>
        </w:rPr>
      </w:pPr>
    </w:p>
    <w:p>
      <w:pPr>
        <w:pStyle w:val="Heading5"/>
        <w:spacing w:line="240" w:lineRule="auto"/>
        <w:ind w:left="373" w:right="0"/>
        <w:jc w:val="left"/>
        <w:rPr>
          <w:b w:val="0"/>
          <w:bCs w:val="0"/>
        </w:rPr>
      </w:pPr>
      <w:bookmarkStart w:name="2、内控自我评价报告" w:id="155"/>
      <w:bookmarkEnd w:id="15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227"/>
        <w:gridCol w:w="3553"/>
        <w:gridCol w:w="3304"/>
      </w:tblGrid>
      <w:tr>
        <w:trPr>
          <w:trHeight w:val="398"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15"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auto" w:before="28"/>
              <w:ind w:left="105" w:right="124"/>
              <w:jc w:val="left"/>
              <w:rPr>
                <w:rFonts w:ascii="宋体" w:hAnsi="宋体" w:cs="宋体" w:eastAsia="宋体" w:hint="default"/>
                <w:sz w:val="21"/>
                <w:szCs w:val="21"/>
              </w:rPr>
            </w:pPr>
            <w:r>
              <w:rPr>
                <w:rFonts w:ascii="宋体" w:hAnsi="宋体" w:cs="宋体" w:eastAsia="宋体" w:hint="default"/>
                <w:sz w:val="21"/>
                <w:szCs w:val="21"/>
              </w:rPr>
              <w:t>刊登于巨潮资讯网 </w:t>
            </w:r>
            <w:hyperlink r:id="rId8">
              <w:r>
                <w:rPr>
                  <w:rFonts w:ascii="Times New Roman" w:hAnsi="Times New Roman" w:cs="Times New Roman" w:eastAsia="Times New Roman" w:hint="default"/>
                  <w:spacing w:val="-3"/>
                  <w:sz w:val="21"/>
                  <w:szCs w:val="21"/>
                </w:rPr>
                <w:t>http://www.cninfo.com.cn</w:t>
              </w:r>
            </w:hyperlink>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上的《安徽中电兴发与鑫龙</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
                <w:w w:val="100"/>
                <w:sz w:val="21"/>
                <w:szCs w:val="21"/>
              </w:rPr>
              <w:t>科技股份有限公司</w:t>
            </w:r>
            <w:r>
              <w:rPr>
                <w:rFonts w:ascii="宋体" w:hAnsi="宋体" w:cs="宋体" w:eastAsia="宋体" w:hint="default"/>
                <w:w w:val="100"/>
                <w:sz w:val="21"/>
                <w:szCs w:val="21"/>
              </w:rPr>
              <w:t> </w:t>
            </w:r>
            <w:r>
              <w:rPr>
                <w:rFonts w:ascii="Times New Roman" w:hAnsi="Times New Roman" w:cs="Times New Roman" w:eastAsia="Times New Roman" w:hint="default"/>
                <w:spacing w:val="-2"/>
                <w:w w:val="100"/>
                <w:sz w:val="21"/>
                <w:szCs w:val="21"/>
              </w:rPr>
              <w:t>2019</w:t>
            </w:r>
            <w:r>
              <w:rPr>
                <w:rFonts w:ascii="Times New Roman" w:hAnsi="Times New Roman" w:cs="Times New Roman" w:eastAsia="Times New Roman" w:hint="default"/>
                <w:spacing w:val="17"/>
                <w:w w:val="100"/>
                <w:sz w:val="21"/>
                <w:szCs w:val="21"/>
              </w:rPr>
              <w:t> </w:t>
            </w:r>
            <w:r>
              <w:rPr>
                <w:rFonts w:ascii="宋体" w:hAnsi="宋体" w:cs="宋体" w:eastAsia="宋体" w:hint="default"/>
                <w:spacing w:val="-11"/>
                <w:w w:val="100"/>
                <w:sz w:val="21"/>
                <w:szCs w:val="21"/>
              </w:rPr>
              <w:t>年度内部控制评价报告》。</w:t>
            </w:r>
          </w:p>
        </w:tc>
      </w:tr>
      <w:tr>
        <w:trPr>
          <w:trHeight w:val="716"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9"/>
              <w:ind w:left="105" w:right="167"/>
              <w:jc w:val="left"/>
              <w:rPr>
                <w:rFonts w:ascii="宋体" w:hAnsi="宋体" w:cs="宋体" w:eastAsia="宋体" w:hint="default"/>
                <w:sz w:val="21"/>
                <w:szCs w:val="21"/>
              </w:rPr>
            </w:pPr>
            <w:r>
              <w:rPr>
                <w:rFonts w:ascii="宋体" w:hAnsi="宋体" w:cs="宋体" w:eastAsia="宋体" w:hint="default"/>
                <w:spacing w:val="-2"/>
                <w:sz w:val="21"/>
                <w:szCs w:val="21"/>
              </w:rPr>
              <w:t>纳入评价范围单位资产总额占公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司合并财务报表资产总额的比例</w:t>
            </w:r>
          </w:p>
        </w:tc>
        <w:tc>
          <w:tcPr>
            <w:tcW w:w="6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100.00%</w:t>
            </w:r>
          </w:p>
        </w:tc>
      </w:tr>
      <w:tr>
        <w:trPr>
          <w:trHeight w:val="715"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67"/>
              <w:jc w:val="left"/>
              <w:rPr>
                <w:rFonts w:ascii="宋体" w:hAnsi="宋体" w:cs="宋体" w:eastAsia="宋体" w:hint="default"/>
                <w:sz w:val="21"/>
                <w:szCs w:val="21"/>
              </w:rPr>
            </w:pPr>
            <w:r>
              <w:rPr>
                <w:rFonts w:ascii="宋体" w:hAnsi="宋体" w:cs="宋体" w:eastAsia="宋体" w:hint="default"/>
                <w:spacing w:val="-2"/>
                <w:sz w:val="21"/>
                <w:szCs w:val="21"/>
              </w:rPr>
              <w:t>纳入评价范围单位营业收入占公</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司合并财务报表营业收入的比例</w:t>
            </w:r>
          </w:p>
        </w:tc>
        <w:tc>
          <w:tcPr>
            <w:tcW w:w="6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100.00%</w:t>
            </w:r>
          </w:p>
        </w:tc>
      </w:tr>
      <w:tr>
        <w:trPr>
          <w:trHeight w:val="398" w:hRule="exact"/>
        </w:trPr>
        <w:tc>
          <w:tcPr>
            <w:tcW w:w="100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缺陷认定标准</w:t>
            </w:r>
          </w:p>
        </w:tc>
      </w:tr>
      <w:tr>
        <w:trPr>
          <w:trHeight w:val="404"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财务报告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非财务报告</w:t>
            </w:r>
          </w:p>
        </w:tc>
      </w:tr>
      <w:tr>
        <w:trPr>
          <w:trHeight w:val="6021"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定性标准</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4"/>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）财务报告重大缺陷的迹象包括：</w:t>
            </w:r>
          </w:p>
          <w:p>
            <w:pPr>
              <w:pStyle w:val="TableParagraph"/>
              <w:spacing w:line="273" w:lineRule="auto" w:before="21"/>
              <w:ind w:left="105" w:right="75"/>
              <w:jc w:val="left"/>
              <w:rPr>
                <w:rFonts w:ascii="宋体" w:hAnsi="宋体" w:cs="宋体" w:eastAsia="宋体" w:hint="default"/>
                <w:sz w:val="21"/>
                <w:szCs w:val="21"/>
              </w:rPr>
            </w:pPr>
            <w:r>
              <w:rPr>
                <w:rFonts w:ascii="宋体" w:hAnsi="宋体" w:cs="宋体" w:eastAsia="宋体" w:hint="default"/>
                <w:spacing w:val="-3"/>
                <w:sz w:val="21"/>
                <w:szCs w:val="21"/>
              </w:rPr>
              <w:t>①公司董事、监事和高级管理人员舞</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弊；②公司更正已公布的财务报告；</w:t>
            </w:r>
          </w:p>
          <w:p>
            <w:pPr>
              <w:pStyle w:val="TableParagraph"/>
              <w:spacing w:line="271" w:lineRule="auto" w:before="7"/>
              <w:ind w:left="105" w:right="76"/>
              <w:jc w:val="left"/>
              <w:rPr>
                <w:rFonts w:ascii="宋体" w:hAnsi="宋体" w:cs="宋体" w:eastAsia="宋体" w:hint="default"/>
                <w:sz w:val="21"/>
                <w:szCs w:val="21"/>
              </w:rPr>
            </w:pPr>
            <w:r>
              <w:rPr>
                <w:rFonts w:ascii="宋体" w:hAnsi="宋体" w:cs="宋体" w:eastAsia="宋体" w:hint="default"/>
                <w:sz w:val="21"/>
                <w:szCs w:val="21"/>
              </w:rPr>
              <w:t>③注册会计师发现当期财务报告存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在重大错报，而内部控制在运行过程</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3"/>
                <w:sz w:val="21"/>
                <w:szCs w:val="21"/>
              </w:rPr>
              <w:t>中未能发现该错报；④公司审计委员</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会和内部审计机构对内部控制的监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w w:val="100"/>
                <w:sz w:val="21"/>
                <w:szCs w:val="21"/>
              </w:rPr>
              <w:t>督无效。（</w:t>
            </w:r>
            <w:r>
              <w:rPr>
                <w:rFonts w:ascii="Times New Roman" w:hAnsi="Times New Roman" w:cs="Times New Roman" w:eastAsia="Times New Roman" w:hint="default"/>
                <w:spacing w:val="-9"/>
                <w:w w:val="100"/>
                <w:sz w:val="21"/>
                <w:szCs w:val="21"/>
              </w:rPr>
              <w:t>2</w:t>
            </w:r>
            <w:r>
              <w:rPr>
                <w:rFonts w:ascii="宋体" w:hAnsi="宋体" w:cs="宋体" w:eastAsia="宋体" w:hint="default"/>
                <w:spacing w:val="-9"/>
                <w:w w:val="100"/>
                <w:sz w:val="21"/>
                <w:szCs w:val="21"/>
              </w:rPr>
              <w:t>）财务报告重要缺陷的迹</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3"/>
                <w:sz w:val="21"/>
                <w:szCs w:val="21"/>
              </w:rPr>
              <w:t>象包括：①未依照公认会计准则选择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和应用会计政策；②未建立反舞弊程</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3"/>
                <w:sz w:val="21"/>
                <w:szCs w:val="21"/>
              </w:rPr>
              <w:t>序和控制措施；③对于非常规或特殊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交易的账务处理没有建立相应的控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制机制或没有实施且没有相应的补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3"/>
                <w:sz w:val="21"/>
                <w:szCs w:val="21"/>
              </w:rPr>
              <w:t>偿性控制；④对于期末财务报告过程</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的控制存在一项或多项缺陷且不能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合理保证编制的财务报表达到真实、</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9"/>
                <w:w w:val="100"/>
                <w:sz w:val="21"/>
                <w:szCs w:val="21"/>
              </w:rPr>
              <w:t>准确的目标。（</w:t>
            </w:r>
            <w:r>
              <w:rPr>
                <w:rFonts w:ascii="Times New Roman" w:hAnsi="Times New Roman" w:cs="Times New Roman" w:eastAsia="Times New Roman" w:hint="default"/>
                <w:spacing w:val="-9"/>
                <w:w w:val="100"/>
                <w:sz w:val="21"/>
                <w:szCs w:val="21"/>
              </w:rPr>
              <w:t>3</w:t>
            </w:r>
            <w:r>
              <w:rPr>
                <w:rFonts w:ascii="宋体" w:hAnsi="宋体" w:cs="宋体" w:eastAsia="宋体" w:hint="default"/>
                <w:spacing w:val="-9"/>
                <w:w w:val="100"/>
                <w:sz w:val="21"/>
                <w:szCs w:val="21"/>
              </w:rPr>
              <w:t>）财务报告一般缺陷</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pacing w:val="-3"/>
                <w:sz w:val="21"/>
                <w:szCs w:val="21"/>
              </w:rPr>
              <w:t>是指除上述重大缺陷、重要缺陷之外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的其他控制缺陷。</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100" w:right="3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）非财务报告重大缺陷的迹象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包括：①违反国家法律、法规或规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6"/>
                <w:sz w:val="21"/>
                <w:szCs w:val="21"/>
              </w:rPr>
              <w:t>范性文件；②决策程序不科学导致</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6"/>
                <w:sz w:val="21"/>
                <w:szCs w:val="21"/>
              </w:rPr>
              <w:t>重大决策失误；③重要业务制度性</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6"/>
                <w:sz w:val="21"/>
                <w:szCs w:val="21"/>
              </w:rPr>
              <w:t>缺失或系统性失效；④重大或重要</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
                <w:sz w:val="21"/>
                <w:szCs w:val="21"/>
              </w:rPr>
              <w:t>缺陷不能得到有效整改；⑤安全、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环保事故对公司造成重大负面影</w:t>
            </w:r>
            <w:r>
              <w:rPr>
                <w:rFonts w:ascii="宋体" w:hAnsi="宋体" w:cs="宋体" w:eastAsia="宋体" w:hint="default"/>
                <w:w w:val="100"/>
                <w:sz w:val="21"/>
                <w:szCs w:val="21"/>
              </w:rPr>
              <w:t> </w:t>
            </w:r>
            <w:r>
              <w:rPr>
                <w:rFonts w:ascii="宋体" w:hAnsi="宋体" w:cs="宋体" w:eastAsia="宋体" w:hint="default"/>
                <w:spacing w:val="-12"/>
                <w:w w:val="100"/>
                <w:sz w:val="21"/>
                <w:szCs w:val="21"/>
              </w:rPr>
              <w:t>响的情形。（</w:t>
            </w:r>
            <w:r>
              <w:rPr>
                <w:rFonts w:ascii="Times New Roman" w:hAnsi="Times New Roman" w:cs="Times New Roman" w:eastAsia="Times New Roman" w:hint="default"/>
                <w:spacing w:val="-12"/>
                <w:w w:val="100"/>
                <w:sz w:val="21"/>
                <w:szCs w:val="21"/>
              </w:rPr>
              <w:t>2</w:t>
            </w:r>
            <w:r>
              <w:rPr>
                <w:rFonts w:ascii="宋体" w:hAnsi="宋体" w:cs="宋体" w:eastAsia="宋体" w:hint="default"/>
                <w:spacing w:val="-12"/>
                <w:w w:val="100"/>
                <w:sz w:val="21"/>
                <w:szCs w:val="21"/>
              </w:rPr>
              <w:t>）非财务报告重要缺</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6"/>
                <w:sz w:val="21"/>
                <w:szCs w:val="21"/>
              </w:rPr>
              <w:t>陷的迹象包括：①重要业务制度或</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6"/>
                <w:sz w:val="21"/>
                <w:szCs w:val="21"/>
              </w:rPr>
              <w:t>系统存在的缺陷；②内部控制内部</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1"/>
                <w:sz w:val="21"/>
                <w:szCs w:val="21"/>
              </w:rPr>
              <w:t>监督发现的重要缺陷未及时整改；</w:t>
            </w:r>
          </w:p>
          <w:p>
            <w:pPr>
              <w:pStyle w:val="TableParagraph"/>
              <w:spacing w:line="264" w:lineRule="auto" w:before="12"/>
              <w:ind w:left="100" w:right="38"/>
              <w:jc w:val="both"/>
              <w:rPr>
                <w:rFonts w:ascii="宋体" w:hAnsi="宋体" w:cs="宋体" w:eastAsia="宋体" w:hint="default"/>
                <w:sz w:val="21"/>
                <w:szCs w:val="21"/>
              </w:rPr>
            </w:pPr>
            <w:r>
              <w:rPr>
                <w:rFonts w:ascii="宋体" w:hAnsi="宋体" w:cs="宋体" w:eastAsia="宋体" w:hint="default"/>
                <w:spacing w:val="-6"/>
                <w:sz w:val="21"/>
                <w:szCs w:val="21"/>
              </w:rPr>
              <w:t>③重要业务系统运转效率低下；④</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8"/>
                <w:w w:val="100"/>
                <w:sz w:val="21"/>
                <w:szCs w:val="21"/>
              </w:rPr>
              <w:t>关键岗位业务人员流失严重。（</w:t>
            </w:r>
            <w:r>
              <w:rPr>
                <w:rFonts w:ascii="Times New Roman" w:hAnsi="Times New Roman" w:cs="Times New Roman" w:eastAsia="Times New Roman" w:hint="default"/>
                <w:spacing w:val="-8"/>
                <w:w w:val="100"/>
                <w:sz w:val="21"/>
                <w:szCs w:val="21"/>
              </w:rPr>
              <w:t>3</w:t>
            </w:r>
            <w:r>
              <w:rPr>
                <w:rFonts w:ascii="宋体" w:hAnsi="宋体" w:cs="宋体" w:eastAsia="宋体" w:hint="default"/>
                <w:spacing w:val="-8"/>
                <w:w w:val="100"/>
                <w:sz w:val="21"/>
                <w:szCs w:val="21"/>
              </w:rPr>
              <w:t>）</w:t>
            </w:r>
            <w:r>
              <w:rPr>
                <w:rFonts w:ascii="宋体" w:hAnsi="宋体" w:cs="宋体" w:eastAsia="宋体" w:hint="default"/>
                <w:spacing w:val="-98"/>
                <w:w w:val="100"/>
                <w:sz w:val="21"/>
                <w:szCs w:val="21"/>
              </w:rPr>
              <w:t> </w:t>
            </w:r>
            <w:r>
              <w:rPr>
                <w:rFonts w:ascii="宋体" w:hAnsi="宋体" w:cs="宋体" w:eastAsia="宋体" w:hint="default"/>
                <w:spacing w:val="-1"/>
                <w:sz w:val="21"/>
                <w:szCs w:val="21"/>
              </w:rPr>
              <w:t>非财务报告一般缺陷的迹象包括：</w:t>
            </w:r>
          </w:p>
          <w:p>
            <w:pPr>
              <w:pStyle w:val="TableParagraph"/>
              <w:spacing w:line="240" w:lineRule="auto" w:before="16"/>
              <w:ind w:left="100" w:right="0"/>
              <w:jc w:val="left"/>
              <w:rPr>
                <w:rFonts w:ascii="宋体" w:hAnsi="宋体" w:cs="宋体" w:eastAsia="宋体" w:hint="default"/>
                <w:sz w:val="21"/>
                <w:szCs w:val="21"/>
              </w:rPr>
            </w:pPr>
            <w:r>
              <w:rPr>
                <w:rFonts w:ascii="宋体" w:hAnsi="宋体" w:cs="宋体" w:eastAsia="宋体" w:hint="default"/>
                <w:sz w:val="21"/>
                <w:szCs w:val="21"/>
              </w:rPr>
              <w:t>①一般业务制度或系统存在缺陷；</w:t>
            </w:r>
          </w:p>
          <w:p>
            <w:pPr>
              <w:pStyle w:val="TableParagraph"/>
              <w:spacing w:line="273" w:lineRule="auto" w:before="37"/>
              <w:ind w:left="100" w:right="99"/>
              <w:jc w:val="left"/>
              <w:rPr>
                <w:rFonts w:ascii="宋体" w:hAnsi="宋体" w:cs="宋体" w:eastAsia="宋体" w:hint="default"/>
                <w:sz w:val="21"/>
                <w:szCs w:val="21"/>
              </w:rPr>
            </w:pPr>
            <w:r>
              <w:rPr>
                <w:rFonts w:ascii="宋体" w:hAnsi="宋体" w:cs="宋体" w:eastAsia="宋体" w:hint="default"/>
                <w:sz w:val="21"/>
                <w:szCs w:val="21"/>
              </w:rPr>
              <w:t>②内部控制内部监督发现的一般</w:t>
            </w:r>
            <w:r>
              <w:rPr>
                <w:rFonts w:ascii="宋体" w:hAnsi="宋体" w:cs="宋体" w:eastAsia="宋体" w:hint="default"/>
                <w:w w:val="100"/>
                <w:sz w:val="21"/>
                <w:szCs w:val="21"/>
              </w:rPr>
              <w:t> </w:t>
            </w:r>
            <w:r>
              <w:rPr>
                <w:rFonts w:ascii="宋体" w:hAnsi="宋体" w:cs="宋体" w:eastAsia="宋体" w:hint="default"/>
                <w:spacing w:val="-6"/>
                <w:sz w:val="21"/>
                <w:szCs w:val="21"/>
              </w:rPr>
              <w:t>缺陷未得到整改；③一般业务系统</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6"/>
                <w:sz w:val="21"/>
                <w:szCs w:val="21"/>
              </w:rPr>
              <w:t>运转效率低下；④一般岗位业务人</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员流失严重。</w:t>
            </w:r>
          </w:p>
        </w:tc>
      </w:tr>
      <w:tr>
        <w:trPr>
          <w:trHeight w:val="1297" w:hRule="exact"/>
        </w:trPr>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定量标准</w:t>
            </w:r>
          </w:p>
        </w:tc>
        <w:tc>
          <w:tcPr>
            <w:tcW w:w="3553"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8"/>
              <w:ind w:left="105" w:right="9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）重大缺陷：资产总额潜在错报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金额≥资产总额的</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；营业收入</w:t>
            </w:r>
            <w:r>
              <w:rPr>
                <w:rFonts w:ascii="宋体" w:hAnsi="宋体" w:cs="宋体" w:eastAsia="宋体" w:hint="default"/>
                <w:w w:val="100"/>
                <w:sz w:val="21"/>
                <w:szCs w:val="21"/>
              </w:rPr>
              <w:t> </w:t>
            </w:r>
            <w:r>
              <w:rPr>
                <w:rFonts w:ascii="宋体" w:hAnsi="宋体" w:cs="宋体" w:eastAsia="宋体" w:hint="default"/>
                <w:sz w:val="21"/>
                <w:szCs w:val="21"/>
              </w:rPr>
              <w:t>潜在错报金额≥主营业务收入的</w:t>
            </w:r>
            <w:r>
              <w:rPr>
                <w:rFonts w:ascii="宋体" w:hAnsi="宋体" w:cs="宋体" w:eastAsia="宋体" w:hint="default"/>
                <w:w w:val="100"/>
                <w:sz w:val="21"/>
                <w:szCs w:val="21"/>
              </w:rPr>
              <w:t> </w:t>
            </w:r>
            <w:r>
              <w:rPr>
                <w:rFonts w:ascii="Times New Roman" w:hAnsi="Times New Roman" w:cs="Times New Roman" w:eastAsia="Times New Roman" w:hint="default"/>
                <w:spacing w:val="-7"/>
                <w:w w:val="100"/>
                <w:sz w:val="21"/>
                <w:szCs w:val="21"/>
              </w:rPr>
              <w:t>5%</w:t>
            </w:r>
            <w:r>
              <w:rPr>
                <w:rFonts w:ascii="宋体" w:hAnsi="宋体" w:cs="宋体" w:eastAsia="宋体" w:hint="default"/>
                <w:spacing w:val="-7"/>
                <w:w w:val="100"/>
                <w:sz w:val="21"/>
                <w:szCs w:val="21"/>
              </w:rPr>
              <w:t>；利润总额潜在错报金额≥利润总</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73" w:lineRule="auto"/>
              <w:ind w:left="100" w:right="249"/>
              <w:jc w:val="left"/>
              <w:rPr>
                <w:rFonts w:ascii="宋体" w:hAnsi="宋体" w:cs="宋体" w:eastAsia="宋体" w:hint="default"/>
                <w:sz w:val="21"/>
                <w:szCs w:val="21"/>
              </w:rPr>
            </w:pPr>
            <w:r>
              <w:rPr>
                <w:rFonts w:ascii="宋体" w:hAnsi="宋体" w:cs="宋体" w:eastAsia="宋体" w:hint="default"/>
                <w:spacing w:val="-2"/>
                <w:sz w:val="21"/>
                <w:szCs w:val="21"/>
              </w:rPr>
              <w:t>参照财务报告内部控制缺陷评价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的定量标准执行。</w:t>
            </w:r>
          </w:p>
        </w:tc>
      </w:tr>
    </w:tbl>
    <w:p>
      <w:pPr>
        <w:spacing w:after="0" w:line="273" w:lineRule="auto"/>
        <w:jc w:val="left"/>
        <w:rPr>
          <w:rFonts w:ascii="宋体" w:hAnsi="宋体" w:cs="宋体" w:eastAsia="宋体" w:hint="default"/>
          <w:sz w:val="21"/>
          <w:szCs w:val="21"/>
        </w:rPr>
        <w:sectPr>
          <w:pgSz w:w="11910" w:h="16840"/>
          <w:pgMar w:header="906" w:footer="1022" w:top="1100" w:bottom="1220" w:left="760" w:right="0"/>
        </w:sectPr>
      </w:pPr>
    </w:p>
    <w:p>
      <w:pPr>
        <w:spacing w:line="240" w:lineRule="auto" w:before="7"/>
        <w:rPr>
          <w:rFonts w:ascii="宋体" w:hAnsi="宋体" w:cs="宋体" w:eastAsia="宋体" w:hint="default"/>
          <w:b/>
          <w:bCs/>
          <w:sz w:val="25"/>
          <w:szCs w:val="25"/>
        </w:rPr>
      </w:pPr>
    </w:p>
    <w:tbl>
      <w:tblPr>
        <w:tblW w:w="0" w:type="auto"/>
        <w:jc w:val="left"/>
        <w:tblInd w:w="111" w:type="dxa"/>
        <w:tblLayout w:type="fixed"/>
        <w:tblCellMar>
          <w:top w:w="0" w:type="dxa"/>
          <w:left w:w="0" w:type="dxa"/>
          <w:bottom w:w="0" w:type="dxa"/>
          <w:right w:w="0" w:type="dxa"/>
        </w:tblCellMar>
        <w:tblLook w:val="01E0"/>
      </w:tblPr>
      <w:tblGrid>
        <w:gridCol w:w="3224"/>
        <w:gridCol w:w="3553"/>
        <w:gridCol w:w="3304"/>
      </w:tblGrid>
      <w:tr>
        <w:trPr>
          <w:trHeight w:val="3481"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53" w:type="dxa"/>
            <w:tcBorders>
              <w:top w:val="single" w:sz="4" w:space="0" w:color="000000"/>
              <w:left w:val="single" w:sz="4" w:space="0" w:color="000000"/>
              <w:bottom w:val="single" w:sz="4" w:space="0" w:color="000000"/>
              <w:right w:val="single" w:sz="4" w:space="0" w:color="000000"/>
            </w:tcBorders>
          </w:tcPr>
          <w:p>
            <w:pPr>
              <w:pStyle w:val="TableParagraph"/>
              <w:tabs>
                <w:tab w:pos="1440" w:val="left" w:leader="none"/>
              </w:tabs>
              <w:spacing w:line="276" w:lineRule="exact"/>
              <w:ind w:left="105" w:right="0"/>
              <w:jc w:val="left"/>
              <w:rPr>
                <w:rFonts w:ascii="宋体" w:hAnsi="宋体" w:cs="宋体" w:eastAsia="宋体" w:hint="default"/>
                <w:sz w:val="21"/>
                <w:szCs w:val="21"/>
              </w:rPr>
            </w:pPr>
            <w:r>
              <w:rPr>
                <w:rFonts w:ascii="宋体" w:hAnsi="宋体" w:cs="宋体" w:eastAsia="宋体" w:hint="default"/>
                <w:sz w:val="21"/>
                <w:szCs w:val="21"/>
              </w:rPr>
              <w:t>额的</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tab/>
              <w:t>（</w:t>
            </w:r>
            <w:r>
              <w:rPr>
                <w:rFonts w:ascii="Times New Roman" w:hAnsi="Times New Roman" w:cs="Times New Roman" w:eastAsia="Times New Roman" w:hint="default"/>
                <w:sz w:val="21"/>
                <w:szCs w:val="21"/>
              </w:rPr>
              <w:t>2</w:t>
            </w:r>
            <w:r>
              <w:rPr>
                <w:rFonts w:ascii="宋体" w:hAnsi="宋体" w:cs="宋体" w:eastAsia="宋体" w:hint="default"/>
                <w:sz w:val="21"/>
                <w:szCs w:val="21"/>
              </w:rPr>
              <w:t>）重要缺陷：资产</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总额的</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≤资产总额潜在错报金额</w:t>
            </w:r>
          </w:p>
          <w:p>
            <w:pPr>
              <w:pStyle w:val="TableParagraph"/>
              <w:tabs>
                <w:tab w:pos="1229" w:val="left" w:leader="none"/>
              </w:tabs>
              <w:spacing w:line="261" w:lineRule="auto" w:before="21"/>
              <w:ind w:left="105" w:right="104"/>
              <w:jc w:val="left"/>
              <w:rPr>
                <w:rFonts w:ascii="宋体" w:hAnsi="宋体" w:cs="宋体" w:eastAsia="宋体" w:hint="default"/>
                <w:sz w:val="21"/>
                <w:szCs w:val="21"/>
              </w:rPr>
            </w:pPr>
            <w:r>
              <w:rPr>
                <w:rFonts w:ascii="宋体" w:hAnsi="宋体" w:cs="宋体" w:eastAsia="宋体" w:hint="default"/>
                <w:sz w:val="21"/>
                <w:szCs w:val="21"/>
              </w:rPr>
              <w:t>＜资产总额的 </w:t>
            </w:r>
            <w:r>
              <w:rPr>
                <w:rFonts w:ascii="Times New Roman" w:hAnsi="Times New Roman" w:cs="Times New Roman" w:eastAsia="Times New Roman" w:hint="default"/>
                <w:sz w:val="21"/>
                <w:szCs w:val="21"/>
              </w:rPr>
              <w:t>2.5%</w:t>
            </w:r>
            <w:r>
              <w:rPr>
                <w:rFonts w:ascii="宋体" w:hAnsi="宋体" w:cs="宋体" w:eastAsia="宋体" w:hint="default"/>
                <w:sz w:val="21"/>
                <w:szCs w:val="21"/>
              </w:rPr>
              <w:t>；营业收入的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2%</w:t>
            </w:r>
            <w:r>
              <w:rPr>
                <w:rFonts w:ascii="宋体" w:hAnsi="宋体" w:cs="宋体" w:eastAsia="宋体" w:hint="default"/>
                <w:sz w:val="21"/>
                <w:szCs w:val="21"/>
              </w:rPr>
              <w:t>≤营业收入潜在错报金额＜主营</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业务收入的 </w:t>
            </w:r>
            <w:r>
              <w:rPr>
                <w:rFonts w:ascii="Times New Roman" w:hAnsi="Times New Roman" w:cs="Times New Roman" w:eastAsia="Times New Roman" w:hint="default"/>
                <w:sz w:val="21"/>
                <w:szCs w:val="21"/>
              </w:rPr>
              <w:t>5%</w:t>
            </w:r>
            <w:r>
              <w:rPr>
                <w:rFonts w:ascii="宋体" w:hAnsi="宋体" w:cs="宋体" w:eastAsia="宋体" w:hint="default"/>
                <w:sz w:val="21"/>
                <w:szCs w:val="21"/>
              </w:rPr>
              <w:t>；利润总额的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利润总额潜在错报金额＜利润总额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w:t>
              <w:tab/>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）一般缺陷：资产总</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额潜在错报金额＜资产总额的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100"/>
                <w:sz w:val="21"/>
                <w:szCs w:val="21"/>
              </w:rPr>
              <w:t> </w:t>
            </w:r>
            <w:r>
              <w:rPr>
                <w:rFonts w:ascii="宋体" w:hAnsi="宋体" w:cs="宋体" w:eastAsia="宋体" w:hint="default"/>
                <w:sz w:val="21"/>
                <w:szCs w:val="21"/>
              </w:rPr>
              <w:t>营业收入潜在错报金额＜主营业务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收入的</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；利润总额潜在错报金额</w:t>
            </w:r>
          </w:p>
          <w:p>
            <w:pPr>
              <w:pStyle w:val="TableParagraph"/>
              <w:spacing w:line="240" w:lineRule="auto" w:before="5"/>
              <w:ind w:left="105" w:right="0"/>
              <w:jc w:val="left"/>
              <w:rPr>
                <w:rFonts w:ascii="宋体" w:hAnsi="宋体" w:cs="宋体" w:eastAsia="宋体" w:hint="default"/>
                <w:sz w:val="21"/>
                <w:szCs w:val="21"/>
              </w:rPr>
            </w:pPr>
            <w:r>
              <w:rPr>
                <w:rFonts w:ascii="宋体" w:hAnsi="宋体" w:cs="宋体" w:eastAsia="宋体" w:hint="default"/>
                <w:sz w:val="21"/>
                <w:szCs w:val="21"/>
              </w:rPr>
              <w:t>＜利润总额的</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p>
        </w:tc>
        <w:tc>
          <w:tcPr>
            <w:tcW w:w="33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财务报告重大缺陷数量（个）</w:t>
            </w:r>
          </w:p>
        </w:tc>
        <w:tc>
          <w:tcPr>
            <w:tcW w:w="6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403"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非财务报告重大缺陷数量（个）</w:t>
            </w:r>
          </w:p>
        </w:tc>
        <w:tc>
          <w:tcPr>
            <w:tcW w:w="6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404"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3" w:right="0"/>
              <w:jc w:val="left"/>
              <w:rPr>
                <w:rFonts w:ascii="宋体" w:hAnsi="宋体" w:cs="宋体" w:eastAsia="宋体" w:hint="default"/>
                <w:sz w:val="21"/>
                <w:szCs w:val="21"/>
              </w:rPr>
            </w:pPr>
            <w:r>
              <w:rPr>
                <w:rFonts w:ascii="宋体" w:hAnsi="宋体" w:cs="宋体" w:eastAsia="宋体" w:hint="default"/>
                <w:sz w:val="21"/>
                <w:szCs w:val="21"/>
              </w:rPr>
              <w:t>财务报告重要缺陷数量（个）</w:t>
            </w:r>
          </w:p>
        </w:tc>
        <w:tc>
          <w:tcPr>
            <w:tcW w:w="6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w w:val="100"/>
                <w:sz w:val="21"/>
              </w:rPr>
              <w:t>0</w:t>
            </w:r>
          </w:p>
        </w:tc>
      </w:tr>
      <w:tr>
        <w:trPr>
          <w:trHeight w:val="398" w:hRule="exact"/>
        </w:trPr>
        <w:tc>
          <w:tcPr>
            <w:tcW w:w="3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3" w:right="0"/>
              <w:jc w:val="left"/>
              <w:rPr>
                <w:rFonts w:ascii="宋体" w:hAnsi="宋体" w:cs="宋体" w:eastAsia="宋体" w:hint="default"/>
                <w:sz w:val="21"/>
                <w:szCs w:val="21"/>
              </w:rPr>
            </w:pPr>
            <w:r>
              <w:rPr>
                <w:rFonts w:ascii="宋体" w:hAnsi="宋体" w:cs="宋体" w:eastAsia="宋体" w:hint="default"/>
                <w:sz w:val="21"/>
                <w:szCs w:val="21"/>
              </w:rPr>
              <w:t>非财务报告重要缺陷数量（个）</w:t>
            </w:r>
          </w:p>
        </w:tc>
        <w:tc>
          <w:tcPr>
            <w:tcW w:w="68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9"/>
        <w:rPr>
          <w:rFonts w:ascii="宋体" w:hAnsi="宋体" w:cs="宋体" w:eastAsia="宋体" w:hint="default"/>
          <w:b/>
          <w:bCs/>
          <w:sz w:val="17"/>
          <w:szCs w:val="17"/>
        </w:rPr>
      </w:pPr>
    </w:p>
    <w:p>
      <w:pPr>
        <w:pStyle w:val="Heading2"/>
        <w:spacing w:line="240" w:lineRule="auto" w:before="26"/>
        <w:ind w:left="373" w:right="0"/>
        <w:jc w:val="left"/>
        <w:rPr>
          <w:b w:val="0"/>
          <w:bCs w:val="0"/>
        </w:rPr>
      </w:pPr>
      <w:bookmarkStart w:name="十、内部控制审计报告或鉴证报告" w:id="156"/>
      <w:bookmarkEnd w:id="156"/>
      <w:r>
        <w:rPr>
          <w:b w:val="0"/>
          <w:bCs w:val="0"/>
        </w:rPr>
      </w:r>
      <w:r>
        <w:rPr/>
        <w:t>十、内部控制审计报告或鉴证报告</w:t>
      </w:r>
      <w:r>
        <w:rPr>
          <w:b w:val="0"/>
          <w:bCs w:val="0"/>
        </w:rPr>
      </w:r>
    </w:p>
    <w:p>
      <w:pPr>
        <w:spacing w:line="240" w:lineRule="auto" w:before="8"/>
        <w:rPr>
          <w:rFonts w:ascii="宋体" w:hAnsi="宋体" w:cs="宋体" w:eastAsia="宋体" w:hint="default"/>
          <w:b/>
          <w:bCs/>
          <w:sz w:val="27"/>
          <w:szCs w:val="27"/>
        </w:rPr>
      </w:pPr>
    </w:p>
    <w:p>
      <w:pPr>
        <w:spacing w:before="0"/>
        <w:ind w:left="37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906" w:footer="1022" w:top="1100" w:bottom="1220" w:left="7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03" w:right="1002"/>
        <w:jc w:val="left"/>
        <w:rPr>
          <w:b w:val="0"/>
          <w:bCs w:val="0"/>
        </w:rPr>
      </w:pPr>
      <w:bookmarkStart w:name="第十一节公司债券相关情况" w:id="157"/>
      <w:bookmarkEnd w:id="157"/>
      <w:r>
        <w:rPr>
          <w:b w:val="0"/>
          <w:bCs w:val="0"/>
        </w:rPr>
      </w:r>
      <w:bookmarkStart w:name="_bookmark9" w:id="158"/>
      <w:bookmarkEnd w:id="158"/>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spacing w:line="357" w:lineRule="auto" w:before="0"/>
        <w:ind w:left="113" w:right="2115" w:firstLine="0"/>
        <w:jc w:val="left"/>
        <w:rPr>
          <w:rFonts w:ascii="宋体" w:hAnsi="宋体" w:cs="宋体" w:eastAsia="宋体" w:hint="default"/>
          <w:sz w:val="18"/>
          <w:szCs w:val="18"/>
        </w:rPr>
      </w:pPr>
      <w:r>
        <w:rPr>
          <w:rFonts w:ascii="宋体" w:hAnsi="宋体" w:cs="宋体" w:eastAsia="宋体" w:hint="default"/>
          <w:spacing w:val="-3"/>
          <w:sz w:val="18"/>
          <w:szCs w:val="18"/>
        </w:rPr>
        <w:t>公司是否存在公开发行并在证券交易所上市，且在年度报告批准报出日未到期或到期未能全额兑付的公司债券</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否</w:t>
      </w:r>
    </w:p>
    <w:p>
      <w:pPr>
        <w:spacing w:after="0" w:line="357"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566" w:right="1002"/>
        <w:jc w:val="left"/>
        <w:rPr>
          <w:b w:val="0"/>
          <w:bCs w:val="0"/>
        </w:rPr>
      </w:pPr>
      <w:bookmarkStart w:name="第十二节 财务报告" w:id="159"/>
      <w:bookmarkEnd w:id="159"/>
      <w:r>
        <w:rPr>
          <w:b w:val="0"/>
          <w:bCs w:val="0"/>
        </w:rPr>
      </w:r>
      <w:bookmarkStart w:name="_bookmark10" w:id="160"/>
      <w:bookmarkEnd w:id="160"/>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002"/>
        <w:jc w:val="left"/>
        <w:rPr>
          <w:b w:val="0"/>
          <w:bCs w:val="0"/>
        </w:rPr>
      </w:pPr>
      <w:bookmarkStart w:name="一、审计报告" w:id="161"/>
      <w:bookmarkEnd w:id="161"/>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大华审字</w:t>
            </w:r>
            <w:r>
              <w:rPr>
                <w:rFonts w:ascii="Times New Roman" w:hAnsi="Times New Roman" w:cs="Times New Roman" w:eastAsia="Times New Roman" w:hint="default"/>
                <w:sz w:val="21"/>
                <w:szCs w:val="21"/>
              </w:rPr>
              <w:t>[2020]007850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吴琳、高山</w:t>
            </w:r>
          </w:p>
        </w:tc>
      </w:tr>
    </w:tbl>
    <w:p>
      <w:pPr>
        <w:spacing w:line="240" w:lineRule="auto" w:before="5"/>
        <w:rPr>
          <w:rFonts w:ascii="宋体" w:hAnsi="宋体" w:cs="宋体" w:eastAsia="宋体" w:hint="default"/>
          <w:b/>
          <w:bCs/>
          <w:sz w:val="6"/>
          <w:szCs w:val="6"/>
        </w:rPr>
      </w:pPr>
    </w:p>
    <w:p>
      <w:pPr>
        <w:spacing w:line="381" w:lineRule="auto" w:before="36"/>
        <w:ind w:left="113" w:right="5300" w:firstLine="4191"/>
        <w:jc w:val="left"/>
        <w:rPr>
          <w:rFonts w:ascii="宋体" w:hAnsi="宋体" w:cs="宋体" w:eastAsia="宋体" w:hint="default"/>
          <w:sz w:val="21"/>
          <w:szCs w:val="21"/>
        </w:rPr>
      </w:pPr>
      <w:r>
        <w:rPr>
          <w:rFonts w:ascii="宋体" w:hAnsi="宋体" w:cs="宋体" w:eastAsia="宋体" w:hint="default"/>
          <w:sz w:val="21"/>
          <w:szCs w:val="21"/>
        </w:rPr>
        <w:t>审计报告正文</w:t>
      </w:r>
      <w:r>
        <w:rPr>
          <w:rFonts w:ascii="宋体" w:hAnsi="宋体" w:cs="宋体" w:eastAsia="宋体" w:hint="default"/>
          <w:w w:val="100"/>
          <w:sz w:val="21"/>
          <w:szCs w:val="21"/>
        </w:rPr>
        <w:t> </w:t>
      </w:r>
      <w:r>
        <w:rPr>
          <w:rFonts w:ascii="宋体" w:hAnsi="宋体" w:cs="宋体" w:eastAsia="宋体" w:hint="default"/>
          <w:b/>
          <w:bCs/>
          <w:sz w:val="21"/>
          <w:szCs w:val="21"/>
        </w:rPr>
        <w:t>安徽中电兴发与鑫龙科技股份有限公司全体股东：</w:t>
      </w:r>
      <w:r>
        <w:rPr>
          <w:rFonts w:ascii="宋体" w:hAnsi="宋体" w:cs="宋体" w:eastAsia="宋体" w:hint="default"/>
          <w:sz w:val="21"/>
          <w:szCs w:val="21"/>
        </w:rPr>
      </w:r>
    </w:p>
    <w:p>
      <w:pPr>
        <w:pStyle w:val="BodyText"/>
        <w:spacing w:line="348" w:lineRule="auto" w:before="4"/>
        <w:ind w:left="473" w:right="1002"/>
        <w:jc w:val="left"/>
        <w:rPr>
          <w:rFonts w:ascii="宋体" w:hAnsi="宋体" w:cs="宋体" w:eastAsia="宋体" w:hint="default"/>
        </w:rPr>
      </w:pPr>
      <w:r>
        <w:rPr>
          <w:rFonts w:ascii="宋体" w:hAnsi="宋体" w:cs="宋体" w:eastAsia="宋体" w:hint="default"/>
          <w:b/>
          <w:bCs/>
        </w:rPr>
        <w:t>一、审计意见</w:t>
      </w:r>
      <w:r>
        <w:rPr>
          <w:rFonts w:ascii="宋体" w:hAnsi="宋体" w:cs="宋体" w:eastAsia="宋体" w:hint="default"/>
          <w:b/>
          <w:bCs/>
          <w:spacing w:val="-104"/>
        </w:rPr>
        <w:t> </w:t>
      </w:r>
      <w:r>
        <w:rPr>
          <w:spacing w:val="-1"/>
        </w:rPr>
        <w:t>我们审计了安徽中电兴发与鑫龙科技股份有限公司</w:t>
      </w:r>
      <w:r>
        <w:rPr>
          <w:rFonts w:ascii="宋体" w:hAnsi="宋体" w:cs="宋体" w:eastAsia="宋体" w:hint="default"/>
          <w:spacing w:val="-1"/>
        </w:rPr>
        <w:t>(</w:t>
      </w:r>
      <w:r>
        <w:rPr>
          <w:spacing w:val="-1"/>
        </w:rPr>
        <w:t>以下简称中电兴发公司</w:t>
      </w:r>
      <w:r>
        <w:rPr>
          <w:rFonts w:ascii="宋体" w:hAnsi="宋体" w:cs="宋体" w:eastAsia="宋体" w:hint="default"/>
          <w:spacing w:val="-1"/>
        </w:rPr>
        <w:t>)</w:t>
      </w:r>
      <w:r>
        <w:rPr>
          <w:spacing w:val="-1"/>
        </w:rPr>
        <w:t>财务报表，包括</w:t>
      </w:r>
      <w:r>
        <w:rPr>
          <w:rFonts w:ascii="宋体" w:hAnsi="宋体" w:cs="宋体" w:eastAsia="宋体" w:hint="default"/>
          <w:spacing w:val="-1"/>
        </w:rPr>
        <w:t>2019</w:t>
      </w:r>
      <w:r>
        <w:rPr>
          <w:spacing w:val="-1"/>
        </w:rPr>
        <w:t>年</w:t>
      </w:r>
      <w:r>
        <w:rPr>
          <w:rFonts w:ascii="宋体" w:hAnsi="宋体" w:cs="宋体" w:eastAsia="宋体" w:hint="default"/>
          <w:spacing w:val="-1"/>
        </w:rPr>
        <w:t>12</w:t>
      </w:r>
    </w:p>
    <w:p>
      <w:pPr>
        <w:pStyle w:val="BodyText"/>
        <w:spacing w:line="352" w:lineRule="auto" w:before="29"/>
        <w:ind w:right="1124"/>
        <w:jc w:val="both"/>
      </w:pPr>
      <w:r>
        <w:rPr>
          <w:spacing w:val="-2"/>
        </w:rPr>
        <w:t>月</w:t>
      </w: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2019</w:t>
      </w:r>
      <w:r>
        <w:rPr>
          <w:spacing w:val="-2"/>
        </w:rPr>
        <w:t>年度的合并及母公司利润表、合并及母公司现金流量表、合并及</w:t>
      </w:r>
      <w:r>
        <w:rPr>
          <w:spacing w:val="-25"/>
        </w:rPr>
        <w:t> </w:t>
      </w:r>
      <w:r>
        <w:rPr>
          <w:spacing w:val="-25"/>
        </w:rPr>
      </w:r>
      <w:r>
        <w:rPr/>
        <w:t>母公司股东权益变动表以及相关财务报表附注。</w:t>
      </w:r>
    </w:p>
    <w:p>
      <w:pPr>
        <w:pStyle w:val="BodyText"/>
        <w:spacing w:line="348" w:lineRule="auto" w:before="25"/>
        <w:ind w:right="1002" w:firstLine="360"/>
        <w:jc w:val="left"/>
      </w:pPr>
      <w:r>
        <w:rPr>
          <w:spacing w:val="-1"/>
        </w:rPr>
        <w:t>我们认为，后附的财务报表在所有重大方面按照企业会计准则的规定编制，公允反映了中电兴发公司</w:t>
      </w:r>
      <w:r>
        <w:rPr>
          <w:w w:val="100"/>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日的合并及母公司财务状况以及</w:t>
      </w:r>
      <w:r>
        <w:rPr>
          <w:rFonts w:ascii="宋体" w:hAnsi="宋体" w:cs="宋体" w:eastAsia="宋体" w:hint="default"/>
        </w:rPr>
        <w:t>2019</w:t>
      </w:r>
      <w:r>
        <w:rPr/>
        <w:t>年度的合并及母公司经营成果和现金流量。</w:t>
      </w:r>
    </w:p>
    <w:p>
      <w:pPr>
        <w:spacing w:line="348" w:lineRule="auto" w:before="34"/>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spacing w:val="-102"/>
          <w:sz w:val="21"/>
          <w:szCs w:val="21"/>
        </w:rPr>
        <w:t> </w:t>
      </w:r>
      <w:r>
        <w:rPr>
          <w:rFonts w:ascii="宋体" w:hAnsi="宋体" w:cs="宋体" w:eastAsia="宋体" w:hint="default"/>
          <w:spacing w:val="-3"/>
          <w:sz w:val="21"/>
          <w:szCs w:val="21"/>
        </w:rPr>
        <w:t>我们按照中国注册会计师审计准则的规定执行了审计工作。审计报告的</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注册会计师对财务报表审计的</w:t>
      </w:r>
    </w:p>
    <w:p>
      <w:pPr>
        <w:pStyle w:val="BodyText"/>
        <w:spacing w:line="340" w:lineRule="auto" w:before="3"/>
        <w:ind w:right="1131"/>
        <w:jc w:val="both"/>
      </w:pPr>
      <w:r>
        <w:rPr/>
        <w:t>责任</w:t>
      </w:r>
      <w:r>
        <w:rPr>
          <w:rFonts w:ascii="Times New Roman" w:hAnsi="Times New Roman" w:cs="Times New Roman" w:eastAsia="Times New Roman" w:hint="default"/>
        </w:rPr>
        <w:t>”</w:t>
      </w:r>
      <w:r>
        <w:rPr/>
        <w:t>部分进一步阐述了我们在这些准则下的责任。按照中国注册会计师职业道德守则，我们独立于中电</w:t>
      </w:r>
      <w:r>
        <w:rPr>
          <w:spacing w:val="-21"/>
        </w:rPr>
        <w:t> </w:t>
      </w:r>
      <w:r>
        <w:rPr>
          <w:spacing w:val="-21"/>
        </w:rPr>
      </w:r>
      <w:r>
        <w:rPr>
          <w:spacing w:val="-2"/>
        </w:rPr>
        <w:t>兴发公司，并履行了职业道德方面的其他责任。我们相信，我们获取的审计证据是充分、适当的，为发表</w:t>
      </w:r>
      <w:r>
        <w:rPr>
          <w:spacing w:val="-38"/>
        </w:rPr>
        <w:t> </w:t>
      </w:r>
      <w:r>
        <w:rPr>
          <w:spacing w:val="-38"/>
        </w:rPr>
      </w:r>
      <w:r>
        <w:rPr/>
        <w:t>审计意见提供了基础。</w:t>
      </w:r>
    </w:p>
    <w:p>
      <w:pPr>
        <w:pStyle w:val="BodyText"/>
        <w:spacing w:line="352" w:lineRule="auto"/>
        <w:ind w:left="473" w:right="1002"/>
        <w:jc w:val="left"/>
      </w:pPr>
      <w:r>
        <w:rPr>
          <w:rFonts w:ascii="宋体" w:hAnsi="宋体" w:cs="宋体" w:eastAsia="宋体" w:hint="default"/>
          <w:b/>
          <w:bCs/>
        </w:rPr>
        <w:t>三、关键审计事项</w:t>
      </w:r>
      <w:r>
        <w:rPr>
          <w:rFonts w:ascii="宋体" w:hAnsi="宋体" w:cs="宋体" w:eastAsia="宋体" w:hint="default"/>
          <w:b/>
          <w:bCs/>
          <w:spacing w:val="-103"/>
        </w:rPr>
        <w:t> </w:t>
      </w:r>
      <w:r>
        <w:rPr>
          <w:spacing w:val="-1"/>
        </w:rPr>
        <w:t>关键审计事项是我们根据职业判断，认为对本期财务报表审计最为重要的事项。这些事项的应对以对</w:t>
      </w:r>
    </w:p>
    <w:p>
      <w:pPr>
        <w:pStyle w:val="BodyText"/>
        <w:spacing w:line="350" w:lineRule="auto" w:before="25"/>
        <w:ind w:left="473" w:right="2661" w:hanging="360"/>
        <w:jc w:val="left"/>
      </w:pPr>
      <w:r>
        <w:rPr>
          <w:spacing w:val="-2"/>
        </w:rPr>
        <w:t>财务报表整体进行审计并形成审计意见为背景，我们不对这些事项单独发表意见。</w:t>
      </w:r>
      <w:r>
        <w:rPr>
          <w:spacing w:val="-30"/>
        </w:rPr>
        <w:t> </w:t>
      </w:r>
      <w:r>
        <w:rPr>
          <w:spacing w:val="-30"/>
        </w:rPr>
      </w:r>
      <w:r>
        <w:rPr/>
        <w:t>我们确定下列事项是需要在审计报告中沟通的关键审计事项。</w:t>
      </w:r>
      <w:r>
        <w:rPr>
          <w:w w:val="100"/>
        </w:rPr>
        <w:t> </w:t>
      </w:r>
      <w:r>
        <w:rPr>
          <w:rFonts w:ascii="宋体" w:hAnsi="宋体" w:cs="宋体" w:eastAsia="宋体" w:hint="default"/>
        </w:rPr>
        <w:t>1.</w:t>
      </w:r>
      <w:r>
        <w:rPr/>
        <w:t>主营业务收入确认；</w:t>
      </w:r>
    </w:p>
    <w:p>
      <w:pPr>
        <w:pStyle w:val="BodyText"/>
        <w:spacing w:line="240" w:lineRule="auto" w:before="27"/>
        <w:ind w:left="473" w:right="1002"/>
        <w:jc w:val="left"/>
      </w:pPr>
      <w:r>
        <w:rPr>
          <w:rFonts w:ascii="宋体" w:hAnsi="宋体" w:cs="宋体" w:eastAsia="宋体" w:hint="default"/>
        </w:rPr>
        <w:t>2.</w:t>
      </w:r>
      <w:r>
        <w:rPr/>
        <w:t>应收账款预期信用损失计提；</w:t>
      </w:r>
    </w:p>
    <w:p>
      <w:pPr>
        <w:pStyle w:val="BodyText"/>
        <w:spacing w:line="240" w:lineRule="auto" w:before="123"/>
        <w:ind w:left="473" w:right="1002"/>
        <w:jc w:val="left"/>
      </w:pPr>
      <w:r>
        <w:rPr>
          <w:rFonts w:ascii="宋体" w:hAnsi="宋体" w:cs="宋体" w:eastAsia="宋体" w:hint="default"/>
        </w:rPr>
        <w:t>3.</w:t>
      </w:r>
      <w:r>
        <w:rPr/>
        <w:t>商誉减值测试事项。</w:t>
      </w:r>
    </w:p>
    <w:p>
      <w:pPr>
        <w:pStyle w:val="BodyText"/>
        <w:spacing w:line="348" w:lineRule="auto" w:before="128"/>
        <w:ind w:left="473" w:right="8092"/>
        <w:jc w:val="left"/>
      </w:pPr>
      <w:r>
        <w:rPr>
          <w:spacing w:val="-1"/>
        </w:rPr>
        <w:t>（一）主营业务收入确认</w:t>
      </w:r>
      <w:r>
        <w:rPr>
          <w:spacing w:val="-91"/>
        </w:rPr>
        <w:t> </w:t>
      </w:r>
      <w:r>
        <w:rPr>
          <w:spacing w:val="-91"/>
        </w:rPr>
      </w:r>
      <w:r>
        <w:rPr>
          <w:rFonts w:ascii="宋体" w:hAnsi="宋体" w:cs="宋体" w:eastAsia="宋体" w:hint="default"/>
        </w:rPr>
        <w:t>1</w:t>
      </w:r>
      <w:r>
        <w:rPr/>
        <w:t>、事项描述</w:t>
      </w:r>
    </w:p>
    <w:p>
      <w:pPr>
        <w:pStyle w:val="BodyText"/>
        <w:spacing w:line="352" w:lineRule="auto" w:before="29"/>
        <w:ind w:right="1002" w:firstLine="360"/>
        <w:jc w:val="left"/>
      </w:pPr>
      <w:r>
        <w:rPr/>
        <w:t>本年度中电兴发公司的收入确认会计政策及账面金额信息请参阅合并财务报表附注四</w:t>
      </w:r>
      <w:r>
        <w:rPr>
          <w:rFonts w:ascii="宋体" w:hAnsi="宋体" w:cs="宋体" w:eastAsia="宋体" w:hint="default"/>
        </w:rPr>
        <w:t>/(</w:t>
      </w:r>
      <w:r>
        <w:rPr/>
        <w:t>三十</w:t>
      </w:r>
      <w:r>
        <w:rPr>
          <w:rFonts w:ascii="宋体" w:hAnsi="宋体" w:cs="宋体" w:eastAsia="宋体" w:hint="default"/>
        </w:rPr>
        <w:t>)</w:t>
      </w:r>
      <w:r>
        <w:rPr/>
        <w:t>及附注</w:t>
      </w:r>
      <w:r>
        <w:rPr>
          <w:spacing w:val="4"/>
          <w:w w:val="100"/>
        </w:rPr>
        <w:t> </w:t>
      </w:r>
      <w:r>
        <w:rPr/>
        <w:t>六</w:t>
      </w:r>
      <w:r>
        <w:rPr>
          <w:rFonts w:ascii="宋体" w:hAnsi="宋体" w:cs="宋体" w:eastAsia="宋体" w:hint="default"/>
        </w:rPr>
        <w:t>/</w:t>
      </w:r>
      <w:r>
        <w:rPr/>
        <w:t>注释</w:t>
      </w:r>
      <w:r>
        <w:rPr>
          <w:rFonts w:ascii="宋体" w:hAnsi="宋体" w:cs="宋体" w:eastAsia="宋体" w:hint="default"/>
        </w:rPr>
        <w:t>40</w:t>
      </w:r>
      <w:r>
        <w:rPr/>
        <w:t>、附注十五</w:t>
      </w:r>
      <w:r>
        <w:rPr>
          <w:rFonts w:ascii="宋体" w:hAnsi="宋体" w:cs="宋体" w:eastAsia="宋体" w:hint="default"/>
        </w:rPr>
        <w:t>/</w:t>
      </w:r>
      <w:r>
        <w:rPr/>
        <w:t>注释</w:t>
      </w:r>
      <w:r>
        <w:rPr>
          <w:rFonts w:ascii="宋体" w:hAnsi="宋体" w:cs="宋体" w:eastAsia="宋体" w:hint="default"/>
        </w:rPr>
        <w:t>4</w:t>
      </w:r>
      <w:r>
        <w:rPr/>
        <w:t>。中电兴发公司的收入主要是成套开关设备收入和系统集成收入。中电兴发</w:t>
      </w:r>
    </w:p>
    <w:p>
      <w:pPr>
        <w:spacing w:after="0" w:line="352"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left="473" w:right="1002" w:hanging="360"/>
        <w:jc w:val="left"/>
      </w:pPr>
      <w:r>
        <w:rPr/>
        <w:t>公司</w:t>
      </w:r>
      <w:r>
        <w:rPr>
          <w:rFonts w:ascii="宋体" w:hAnsi="宋体" w:cs="宋体" w:eastAsia="宋体" w:hint="default"/>
        </w:rPr>
        <w:t>2019</w:t>
      </w:r>
      <w:r>
        <w:rPr/>
        <w:t>年度合并营业收入为</w:t>
      </w:r>
      <w:r>
        <w:rPr>
          <w:spacing w:val="-4"/>
        </w:rPr>
        <w:t> </w:t>
      </w:r>
      <w:r>
        <w:rPr>
          <w:rFonts w:ascii="宋体" w:hAnsi="宋体" w:cs="宋体" w:eastAsia="宋体" w:hint="default"/>
        </w:rPr>
        <w:t>275,567.64</w:t>
      </w:r>
      <w:r>
        <w:rPr/>
        <w:t>万元。</w:t>
      </w:r>
      <w:r>
        <w:rPr>
          <w:spacing w:val="-100"/>
        </w:rPr>
        <w:t> </w:t>
      </w:r>
      <w:r>
        <w:rPr>
          <w:spacing w:val="-100"/>
        </w:rPr>
      </w:r>
      <w:r>
        <w:rPr>
          <w:spacing w:val="-1"/>
        </w:rPr>
        <w:t>由于收入是中电兴发公司的关键业绩指标之一，从而存在管理层为了达到特定目标或期望而操纵收入</w:t>
      </w:r>
    </w:p>
    <w:p>
      <w:pPr>
        <w:pStyle w:val="BodyText"/>
        <w:spacing w:line="348" w:lineRule="auto" w:before="34"/>
        <w:ind w:left="473" w:right="1824" w:hanging="360"/>
        <w:jc w:val="left"/>
      </w:pPr>
      <w:r>
        <w:rPr>
          <w:spacing w:val="-2"/>
        </w:rPr>
        <w:t>确认的固有风险，因此，我们将中电兴发公司主营业务收入的确认识别为关键审计事项。</w:t>
      </w:r>
      <w:r>
        <w:rPr>
          <w:spacing w:val="-26"/>
        </w:rPr>
        <w:t> </w:t>
      </w:r>
      <w:r>
        <w:rPr>
          <w:spacing w:val="-26"/>
        </w:rPr>
      </w:r>
      <w:r>
        <w:rPr>
          <w:rFonts w:ascii="宋体" w:hAnsi="宋体" w:cs="宋体" w:eastAsia="宋体" w:hint="default"/>
        </w:rPr>
        <w:t>2</w:t>
      </w:r>
      <w:r>
        <w:rPr/>
        <w:t>、审计应对</w:t>
      </w:r>
    </w:p>
    <w:p>
      <w:pPr>
        <w:pStyle w:val="BodyText"/>
        <w:spacing w:line="240" w:lineRule="auto" w:before="29"/>
        <w:ind w:left="473" w:right="1002"/>
        <w:jc w:val="left"/>
      </w:pPr>
      <w:r>
        <w:rPr/>
        <w:t>我们对于收入所实施的重要审计程序包括：</w:t>
      </w:r>
    </w:p>
    <w:p>
      <w:pPr>
        <w:pStyle w:val="BodyText"/>
        <w:spacing w:line="348" w:lineRule="auto" w:before="128"/>
        <w:ind w:right="1002" w:firstLine="360"/>
        <w:jc w:val="left"/>
      </w:pPr>
      <w:r>
        <w:rPr>
          <w:spacing w:val="-3"/>
        </w:rPr>
        <w:t>（</w:t>
      </w:r>
      <w:r>
        <w:rPr>
          <w:rFonts w:ascii="宋体" w:hAnsi="宋体" w:cs="宋体" w:eastAsia="宋体" w:hint="default"/>
          <w:spacing w:val="-3"/>
        </w:rPr>
        <w:t>1</w:t>
      </w:r>
      <w:r>
        <w:rPr>
          <w:spacing w:val="-3"/>
        </w:rPr>
        <w:t>）对中电兴发公司收入与收款业务的关键内部控制进行了解和测试，评估内控设计是否合理并得到</w:t>
      </w:r>
      <w:r>
        <w:rPr>
          <w:w w:val="100"/>
        </w:rPr>
        <w:t> </w:t>
      </w:r>
      <w:r>
        <w:rPr/>
        <w:t>有效执行；</w:t>
      </w:r>
    </w:p>
    <w:p>
      <w:pPr>
        <w:pStyle w:val="BodyText"/>
        <w:spacing w:line="240" w:lineRule="auto" w:before="29"/>
        <w:ind w:left="473" w:right="1002"/>
        <w:jc w:val="left"/>
      </w:pPr>
      <w:r>
        <w:rPr/>
        <w:t>（</w:t>
      </w:r>
      <w:r>
        <w:rPr>
          <w:rFonts w:ascii="宋体" w:hAnsi="宋体" w:cs="宋体" w:eastAsia="宋体" w:hint="default"/>
        </w:rPr>
        <w:t>2</w:t>
      </w:r>
      <w:r>
        <w:rPr/>
        <w:t>）对主要客户的交易额及期末应收账款余额进行函证；</w:t>
      </w:r>
    </w:p>
    <w:p>
      <w:pPr>
        <w:pStyle w:val="BodyText"/>
        <w:spacing w:line="240" w:lineRule="auto" w:before="128"/>
        <w:ind w:left="473" w:right="1002"/>
        <w:jc w:val="left"/>
      </w:pPr>
      <w:r>
        <w:rPr/>
        <w:t>（</w:t>
      </w:r>
      <w:r>
        <w:rPr>
          <w:rFonts w:ascii="宋体" w:hAnsi="宋体" w:cs="宋体" w:eastAsia="宋体" w:hint="default"/>
        </w:rPr>
        <w:t>3</w:t>
      </w:r>
      <w:r>
        <w:rPr/>
        <w:t>）检查主要收入的支持性文件，如：合同、安装调试单、发货单、验收报告等；</w:t>
      </w:r>
    </w:p>
    <w:p>
      <w:pPr>
        <w:pStyle w:val="BodyText"/>
        <w:spacing w:line="240" w:lineRule="auto" w:before="123"/>
        <w:ind w:left="473" w:right="1002"/>
        <w:jc w:val="left"/>
      </w:pPr>
      <w:r>
        <w:rPr/>
        <w:t>（</w:t>
      </w:r>
      <w:r>
        <w:rPr>
          <w:rFonts w:ascii="宋体" w:hAnsi="宋体" w:cs="宋体" w:eastAsia="宋体" w:hint="default"/>
        </w:rPr>
        <w:t>4</w:t>
      </w:r>
      <w:r>
        <w:rPr/>
        <w:t>）对毛利率进行分析性复核；</w:t>
      </w:r>
    </w:p>
    <w:p>
      <w:pPr>
        <w:pStyle w:val="BodyText"/>
        <w:spacing w:line="240" w:lineRule="auto" w:before="123"/>
        <w:ind w:left="473" w:right="1002"/>
        <w:jc w:val="left"/>
      </w:pPr>
      <w:r>
        <w:rPr/>
        <w:t>（</w:t>
      </w:r>
      <w:r>
        <w:rPr>
          <w:rFonts w:ascii="宋体" w:hAnsi="宋体" w:cs="宋体" w:eastAsia="宋体" w:hint="default"/>
        </w:rPr>
        <w:t>5</w:t>
      </w:r>
      <w:r>
        <w:rPr/>
        <w:t>）进行截止测试，确认收入是否记录于恰当的会计期间；</w:t>
      </w:r>
    </w:p>
    <w:p>
      <w:pPr>
        <w:pStyle w:val="BodyText"/>
        <w:spacing w:line="348" w:lineRule="auto" w:before="129"/>
        <w:ind w:right="1002" w:firstLine="360"/>
        <w:jc w:val="left"/>
      </w:pPr>
      <w:r>
        <w:rPr>
          <w:spacing w:val="-5"/>
        </w:rPr>
        <w:t>（</w:t>
      </w:r>
      <w:r>
        <w:rPr>
          <w:rFonts w:ascii="宋体" w:hAnsi="宋体" w:cs="宋体" w:eastAsia="宋体" w:hint="default"/>
          <w:spacing w:val="-5"/>
        </w:rPr>
        <w:t>6</w:t>
      </w:r>
      <w:r>
        <w:rPr>
          <w:spacing w:val="-5"/>
        </w:rPr>
        <w:t>）对按完工百分比法确认收入部分，首先了解和评价重大项目的预算总成本是否合理，是否有遗漏；</w:t>
      </w:r>
      <w:r>
        <w:rPr>
          <w:w w:val="100"/>
        </w:rPr>
        <w:t> </w:t>
      </w:r>
      <w:r>
        <w:rPr/>
        <w:t>不同年份间是否有重大异常变动；同时检查项目的合同等文件。</w:t>
      </w:r>
    </w:p>
    <w:p>
      <w:pPr>
        <w:pStyle w:val="BodyText"/>
        <w:spacing w:line="352" w:lineRule="auto" w:before="29"/>
        <w:ind w:left="473" w:right="1002"/>
        <w:jc w:val="left"/>
      </w:pPr>
      <w:r>
        <w:rPr/>
        <w:t>（</w:t>
      </w:r>
      <w:r>
        <w:rPr>
          <w:rFonts w:ascii="宋体" w:hAnsi="宋体" w:cs="宋体" w:eastAsia="宋体" w:hint="default"/>
        </w:rPr>
        <w:t>7</w:t>
      </w:r>
      <w:r>
        <w:rPr/>
        <w:t>）评估管理层对营业收入的财务报表披露是否恰当。</w:t>
      </w:r>
      <w:r>
        <w:rPr>
          <w:w w:val="100"/>
        </w:rPr>
        <w:t> </w:t>
      </w:r>
      <w:r>
        <w:rPr>
          <w:spacing w:val="-1"/>
        </w:rPr>
        <w:t>基于已执行的审计工作，我们认为，中电兴发公司主营业务收入的确认符合会计政策的规定，相关信</w:t>
      </w:r>
    </w:p>
    <w:p>
      <w:pPr>
        <w:pStyle w:val="BodyText"/>
        <w:spacing w:line="240" w:lineRule="auto" w:before="25"/>
        <w:ind w:right="1002"/>
        <w:jc w:val="left"/>
      </w:pPr>
      <w:r>
        <w:rPr/>
        <w:t>息在财务报表及财务报表附注中的列报和披露是适当的。</w:t>
      </w:r>
    </w:p>
    <w:p>
      <w:pPr>
        <w:pStyle w:val="BodyText"/>
        <w:spacing w:line="352" w:lineRule="auto" w:before="123"/>
        <w:ind w:left="473" w:right="6807"/>
        <w:jc w:val="left"/>
      </w:pPr>
      <w:r>
        <w:rPr>
          <w:spacing w:val="-1"/>
        </w:rPr>
        <w:t>（二）应收账款预期信用损失计提</w:t>
      </w:r>
      <w:r>
        <w:rPr>
          <w:spacing w:val="-87"/>
        </w:rPr>
        <w:t> </w:t>
      </w:r>
      <w:r>
        <w:rPr>
          <w:spacing w:val="-87"/>
        </w:rPr>
      </w:r>
      <w:r>
        <w:rPr>
          <w:rFonts w:ascii="宋体" w:hAnsi="宋体" w:cs="宋体" w:eastAsia="宋体" w:hint="default"/>
        </w:rPr>
        <w:t>1</w:t>
      </w:r>
      <w:r>
        <w:rPr>
          <w:rFonts w:ascii="Times New Roman" w:hAnsi="Times New Roman" w:cs="Times New Roman" w:eastAsia="Times New Roman" w:hint="default"/>
        </w:rPr>
        <w:t>.</w:t>
      </w:r>
      <w:r>
        <w:rPr/>
        <w:t>事项描述</w:t>
      </w:r>
    </w:p>
    <w:p>
      <w:pPr>
        <w:pStyle w:val="BodyText"/>
        <w:spacing w:line="350" w:lineRule="auto" w:before="0"/>
        <w:ind w:right="1130" w:firstLine="360"/>
        <w:jc w:val="both"/>
      </w:pPr>
      <w:r>
        <w:rPr>
          <w:spacing w:val="-1"/>
        </w:rPr>
        <w:t>本年度中电兴发公司与应收账款预期信用损失计提相关会计政策及账面金额信息请参阅合并财务报表</w:t>
      </w:r>
      <w:r>
        <w:rPr>
          <w:w w:val="100"/>
        </w:rPr>
        <w:t> </w:t>
      </w:r>
      <w:r>
        <w:rPr/>
        <w:t>附注四</w:t>
      </w:r>
      <w:r>
        <w:rPr>
          <w:rFonts w:ascii="宋体" w:hAnsi="宋体" w:cs="宋体" w:eastAsia="宋体" w:hint="default"/>
        </w:rPr>
        <w:t>/(</w:t>
      </w:r>
      <w:r>
        <w:rPr/>
        <w:t>十一</w:t>
      </w:r>
      <w:r>
        <w:rPr>
          <w:rFonts w:ascii="宋体" w:hAnsi="宋体" w:cs="宋体" w:eastAsia="宋体" w:hint="default"/>
        </w:rPr>
        <w:t>)</w:t>
      </w:r>
      <w:r>
        <w:rPr/>
        <w:t>及附注六</w:t>
      </w:r>
      <w:r>
        <w:rPr>
          <w:rFonts w:ascii="宋体" w:hAnsi="宋体" w:cs="宋体" w:eastAsia="宋体" w:hint="default"/>
        </w:rPr>
        <w:t>/</w:t>
      </w:r>
      <w:r>
        <w:rPr/>
        <w:t>注释</w:t>
      </w:r>
      <w:r>
        <w:rPr>
          <w:rFonts w:ascii="宋体" w:hAnsi="宋体" w:cs="宋体" w:eastAsia="宋体" w:hint="default"/>
        </w:rPr>
        <w:t>4</w:t>
      </w:r>
      <w:r>
        <w:rPr/>
        <w:t>、附注十五</w:t>
      </w:r>
      <w:r>
        <w:rPr>
          <w:rFonts w:ascii="宋体" w:hAnsi="宋体" w:cs="宋体" w:eastAsia="宋体" w:hint="default"/>
        </w:rPr>
        <w:t>/</w:t>
      </w:r>
      <w:r>
        <w:rPr/>
        <w:t>注释</w:t>
      </w:r>
      <w:r>
        <w:rPr>
          <w:rFonts w:ascii="宋体" w:hAnsi="宋体" w:cs="宋体" w:eastAsia="宋体" w:hint="default"/>
        </w:rPr>
        <w:t>1</w:t>
      </w: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日，中电兴发公司应收账款预期信</w:t>
      </w:r>
      <w:r>
        <w:rPr>
          <w:spacing w:val="-30"/>
        </w:rPr>
        <w:t> </w:t>
      </w:r>
      <w:r>
        <w:rPr>
          <w:spacing w:val="-30"/>
        </w:rPr>
      </w:r>
      <w:r>
        <w:rPr/>
        <w:t>用损失计提余额为</w:t>
      </w:r>
      <w:r>
        <w:rPr>
          <w:rFonts w:ascii="宋体" w:hAnsi="宋体" w:cs="宋体" w:eastAsia="宋体" w:hint="default"/>
        </w:rPr>
        <w:t>25,030.71</w:t>
      </w:r>
      <w:r>
        <w:rPr/>
        <w:t>万元。</w:t>
      </w:r>
    </w:p>
    <w:p>
      <w:pPr>
        <w:pStyle w:val="BodyText"/>
        <w:spacing w:line="350" w:lineRule="auto" w:before="27"/>
        <w:ind w:right="1125" w:firstLine="360"/>
        <w:jc w:val="both"/>
      </w:pPr>
      <w:r>
        <w:rPr>
          <w:spacing w:val="-1"/>
        </w:rPr>
        <w:t>根据新金融工具准则的相关规定，以预期信用损失为基础对应收账款进行减值会计处理并确认损失，</w:t>
      </w:r>
      <w:r>
        <w:rPr>
          <w:w w:val="100"/>
        </w:rPr>
        <w:t> </w:t>
      </w:r>
      <w:r>
        <w:rPr>
          <w:spacing w:val="-2"/>
        </w:rPr>
        <w:t>评估预期信用损失需进行大量判断，包括评估客户的历史还款记录、当前的经营情况和市场情况等。因为</w:t>
      </w:r>
      <w:r>
        <w:rPr>
          <w:spacing w:val="-33"/>
        </w:rPr>
        <w:t> </w:t>
      </w:r>
      <w:r>
        <w:rPr>
          <w:spacing w:val="-33"/>
        </w:rPr>
      </w:r>
      <w:r>
        <w:rPr>
          <w:spacing w:val="-2"/>
        </w:rPr>
        <w:t>预期信用风险评估较为复杂，需要管理层做出重大判断和假设，存在潜在错报风险，因此我们将中电兴发</w:t>
      </w:r>
      <w:r>
        <w:rPr>
          <w:spacing w:val="-33"/>
        </w:rPr>
        <w:t> </w:t>
      </w:r>
      <w:r>
        <w:rPr>
          <w:spacing w:val="-33"/>
        </w:rPr>
      </w:r>
      <w:r>
        <w:rPr/>
        <w:t>公司应收账款预期信用损失的计提识别为关键审计事项。</w:t>
      </w:r>
    </w:p>
    <w:p>
      <w:pPr>
        <w:pStyle w:val="BodyText"/>
        <w:spacing w:line="240" w:lineRule="auto" w:before="27"/>
        <w:ind w:left="473" w:right="1002"/>
        <w:jc w:val="left"/>
      </w:pPr>
      <w:r>
        <w:rPr>
          <w:rFonts w:ascii="宋体" w:hAnsi="宋体" w:cs="宋体" w:eastAsia="宋体" w:hint="default"/>
        </w:rPr>
        <w:t>2.</w:t>
      </w:r>
      <w:r>
        <w:rPr/>
        <w:t>我们针对应收账款预期信用损失的计提所实施的重要审计程序包括：</w:t>
      </w:r>
    </w:p>
    <w:p>
      <w:pPr>
        <w:pStyle w:val="BodyText"/>
        <w:spacing w:line="348" w:lineRule="auto" w:before="128"/>
        <w:ind w:right="1002" w:firstLine="360"/>
        <w:jc w:val="left"/>
      </w:pPr>
      <w:r>
        <w:rPr>
          <w:spacing w:val="-3"/>
        </w:rPr>
        <w:t>（</w:t>
      </w:r>
      <w:r>
        <w:rPr>
          <w:rFonts w:ascii="宋体" w:hAnsi="宋体" w:cs="宋体" w:eastAsia="宋体" w:hint="default"/>
          <w:spacing w:val="-3"/>
        </w:rPr>
        <w:t>1</w:t>
      </w:r>
      <w:r>
        <w:rPr>
          <w:spacing w:val="-3"/>
        </w:rPr>
        <w:t>）复核了管理层用来计算预期信用损失率的历史信用损失经验数据及关键假设的合理性，从而评价</w:t>
      </w:r>
      <w:r>
        <w:rPr>
          <w:w w:val="100"/>
        </w:rPr>
        <w:t> </w:t>
      </w:r>
      <w:r>
        <w:rPr/>
        <w:t>管理层对应收账款的信用风险评估和识别的合理性；</w:t>
      </w:r>
    </w:p>
    <w:p>
      <w:pPr>
        <w:pStyle w:val="BodyText"/>
        <w:spacing w:line="352" w:lineRule="auto" w:before="29"/>
        <w:ind w:right="1002" w:firstLine="360"/>
        <w:jc w:val="left"/>
      </w:pPr>
      <w:r>
        <w:rPr>
          <w:spacing w:val="-3"/>
        </w:rPr>
        <w:t>（</w:t>
      </w:r>
      <w:r>
        <w:rPr>
          <w:rFonts w:ascii="宋体" w:hAnsi="宋体" w:cs="宋体" w:eastAsia="宋体" w:hint="default"/>
          <w:spacing w:val="-3"/>
        </w:rPr>
        <w:t>2</w:t>
      </w:r>
      <w:r>
        <w:rPr>
          <w:spacing w:val="-3"/>
        </w:rPr>
        <w:t>）检查应收账款预期信用损失模型，复核管理层对预期信用损失的假设和计算过程，分析应收账款</w:t>
      </w:r>
      <w:r>
        <w:rPr>
          <w:w w:val="100"/>
        </w:rPr>
        <w:t> </w:t>
      </w:r>
      <w:r>
        <w:rPr/>
        <w:t>预期信用损失风险的计提依据是否充分合理，并重新计算计提金额是否准确；</w:t>
      </w:r>
    </w:p>
    <w:p>
      <w:pPr>
        <w:pStyle w:val="BodyText"/>
        <w:spacing w:line="348" w:lineRule="auto" w:before="25"/>
        <w:ind w:right="1002" w:firstLine="360"/>
        <w:jc w:val="left"/>
      </w:pPr>
      <w:r>
        <w:rPr>
          <w:spacing w:val="-3"/>
        </w:rPr>
        <w:t>（</w:t>
      </w:r>
      <w:r>
        <w:rPr>
          <w:rFonts w:ascii="宋体" w:hAnsi="宋体" w:cs="宋体" w:eastAsia="宋体" w:hint="default"/>
          <w:spacing w:val="-3"/>
        </w:rPr>
        <w:t>3</w:t>
      </w:r>
      <w:r>
        <w:rPr>
          <w:spacing w:val="-3"/>
        </w:rPr>
        <w:t>）对账龄较长的应收账款，通过企业征信系统查询客户征信记录，复核管理层对该类客户的信用风</w:t>
      </w:r>
      <w:r>
        <w:rPr>
          <w:w w:val="100"/>
        </w:rPr>
        <w:t> </w:t>
      </w:r>
      <w:r>
        <w:rPr/>
        <w:t>险评估是否恰当，检查管理层减值计提是否充分；</w:t>
      </w:r>
    </w:p>
    <w:p>
      <w:pPr>
        <w:pStyle w:val="BodyText"/>
        <w:spacing w:line="348" w:lineRule="auto" w:before="34"/>
        <w:ind w:left="478" w:right="1002" w:hanging="5"/>
        <w:jc w:val="left"/>
      </w:pPr>
      <w:r>
        <w:rPr/>
        <w:t>（</w:t>
      </w:r>
      <w:r>
        <w:rPr>
          <w:rFonts w:ascii="宋体" w:hAnsi="宋体" w:cs="宋体" w:eastAsia="宋体" w:hint="default"/>
        </w:rPr>
        <w:t>4</w:t>
      </w:r>
      <w:r>
        <w:rPr/>
        <w:t>）评估管理层对应收账款预期信用损失的财务报表披露是否恰当。</w:t>
      </w:r>
      <w:r>
        <w:rPr>
          <w:w w:val="100"/>
        </w:rPr>
        <w:t> </w:t>
      </w:r>
      <w:r>
        <w:rPr>
          <w:spacing w:val="-1"/>
        </w:rPr>
        <w:t>基于已执行的审计工作，我们认为，中电兴发公司管理层对本期末应收账款预期信用损失风险的会计</w:t>
      </w:r>
    </w:p>
    <w:p>
      <w:pPr>
        <w:spacing w:after="0" w:line="348"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240" w:lineRule="auto"/>
        <w:ind w:right="1002"/>
        <w:jc w:val="left"/>
      </w:pPr>
      <w:r>
        <w:rPr/>
        <w:t>估计是合理的，相关信息在财务报表及财务报表附注中的列报和披露是适当的。</w:t>
      </w:r>
    </w:p>
    <w:p>
      <w:pPr>
        <w:pStyle w:val="BodyText"/>
        <w:spacing w:line="240" w:lineRule="auto" w:before="123"/>
        <w:ind w:left="478" w:right="1002"/>
        <w:jc w:val="left"/>
      </w:pPr>
      <w:r>
        <w:rPr/>
        <w:t>（三）商誉减值测试事项</w:t>
      </w:r>
    </w:p>
    <w:p>
      <w:pPr>
        <w:pStyle w:val="BodyText"/>
        <w:spacing w:line="328" w:lineRule="auto" w:before="129"/>
        <w:ind w:left="478" w:right="1002"/>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事项描述</w:t>
      </w:r>
      <w:r>
        <w:rPr>
          <w:spacing w:val="-100"/>
        </w:rPr>
        <w:t> </w:t>
      </w:r>
      <w:r>
        <w:rPr>
          <w:spacing w:val="-3"/>
        </w:rPr>
        <w:t>中电兴发公司合并财务报表附注六注释</w:t>
      </w:r>
      <w:r>
        <w:rPr>
          <w:rFonts w:ascii="宋体" w:hAnsi="宋体" w:cs="宋体" w:eastAsia="宋体" w:hint="default"/>
          <w:spacing w:val="-3"/>
        </w:rPr>
        <w:t>19</w:t>
      </w:r>
      <w:r>
        <w:rPr>
          <w:spacing w:val="-3"/>
        </w:rPr>
        <w:t>所述，截至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日，合并报表商誉余额为</w:t>
      </w:r>
      <w:r>
        <w:rPr>
          <w:rFonts w:ascii="宋体" w:hAnsi="宋体" w:cs="宋体" w:eastAsia="宋体" w:hint="default"/>
          <w:spacing w:val="-3"/>
        </w:rPr>
        <w:t>158</w:t>
      </w:r>
      <w:r>
        <w:rPr>
          <w:rFonts w:ascii="Times New Roman" w:hAnsi="Times New Roman" w:cs="Times New Roman" w:eastAsia="Times New Roman" w:hint="default"/>
          <w:spacing w:val="-3"/>
        </w:rPr>
        <w:t>,574.59</w:t>
      </w:r>
    </w:p>
    <w:p>
      <w:pPr>
        <w:pStyle w:val="BodyText"/>
        <w:spacing w:line="350" w:lineRule="auto" w:before="21"/>
        <w:ind w:right="1125"/>
        <w:jc w:val="both"/>
      </w:pPr>
      <w:r>
        <w:rPr>
          <w:spacing w:val="-2"/>
        </w:rPr>
        <w:t>万元。中电兴发公司需每年按照包含商誉的相关资产组的预计未来现金流量及折现率计算现值，确定可收</w:t>
      </w:r>
      <w:r>
        <w:rPr>
          <w:spacing w:val="-33"/>
        </w:rPr>
        <w:t> </w:t>
      </w:r>
      <w:r>
        <w:rPr>
          <w:spacing w:val="-33"/>
        </w:rPr>
      </w:r>
      <w:r>
        <w:rPr>
          <w:spacing w:val="-2"/>
        </w:rPr>
        <w:t>回金额进行商誉减值测算。由于商誉的减值测试需要评估相关资产组预计未来现金流量的现值，涉及管理</w:t>
      </w:r>
      <w:r>
        <w:rPr>
          <w:spacing w:val="-33"/>
        </w:rPr>
        <w:t> </w:t>
      </w:r>
      <w:r>
        <w:rPr>
          <w:spacing w:val="-33"/>
        </w:rPr>
      </w:r>
      <w:r>
        <w:rPr/>
        <w:t>层的重大判断和估计，故将商誉的减值测试识别为关键审计事项。</w:t>
      </w:r>
    </w:p>
    <w:p>
      <w:pPr>
        <w:pStyle w:val="BodyText"/>
        <w:spacing w:line="352" w:lineRule="auto" w:before="27"/>
        <w:ind w:left="478" w:right="5300"/>
        <w:jc w:val="left"/>
      </w:pPr>
      <w:r>
        <w:rPr>
          <w:rFonts w:ascii="宋体" w:hAnsi="宋体" w:cs="宋体" w:eastAsia="宋体" w:hint="default"/>
        </w:rPr>
        <w:t>2.</w:t>
      </w:r>
      <w:r>
        <w:rPr/>
        <w:t>审计应对</w:t>
      </w:r>
      <w:r>
        <w:rPr>
          <w:spacing w:val="-99"/>
        </w:rPr>
        <w:t> </w:t>
      </w:r>
      <w:r>
        <w:rPr>
          <w:spacing w:val="-2"/>
        </w:rPr>
        <w:t>针对商誉减值测试，我们实施的审计程序主要包括：</w:t>
      </w:r>
    </w:p>
    <w:p>
      <w:pPr>
        <w:pStyle w:val="BodyText"/>
        <w:spacing w:line="348" w:lineRule="auto" w:before="25"/>
        <w:ind w:right="1126" w:firstLine="360"/>
        <w:jc w:val="both"/>
      </w:pPr>
      <w:r>
        <w:rPr>
          <w:spacing w:val="-3"/>
        </w:rPr>
        <w:t>（</w:t>
      </w:r>
      <w:r>
        <w:rPr>
          <w:rFonts w:ascii="宋体" w:hAnsi="宋体" w:cs="宋体" w:eastAsia="宋体" w:hint="default"/>
          <w:spacing w:val="-3"/>
        </w:rPr>
        <w:t>1</w:t>
      </w:r>
      <w:r>
        <w:rPr>
          <w:spacing w:val="-3"/>
        </w:rPr>
        <w:t>）与管理层讨论商誉减值测试过程中所使用的方法、关键评估的假设、参数的选择、预测未来收入</w:t>
      </w:r>
      <w:r>
        <w:rPr>
          <w:w w:val="100"/>
        </w:rPr>
        <w:t> </w:t>
      </w:r>
      <w:r>
        <w:rPr/>
        <w:t>及现金流折现率等的合理性；</w:t>
      </w:r>
    </w:p>
    <w:p>
      <w:pPr>
        <w:pStyle w:val="BodyText"/>
        <w:spacing w:line="348" w:lineRule="auto" w:before="34"/>
        <w:ind w:right="1126" w:firstLine="360"/>
        <w:jc w:val="both"/>
      </w:pPr>
      <w:r>
        <w:rPr>
          <w:spacing w:val="-3"/>
        </w:rPr>
        <w:t>（</w:t>
      </w:r>
      <w:r>
        <w:rPr>
          <w:rFonts w:ascii="宋体" w:hAnsi="宋体" w:cs="宋体" w:eastAsia="宋体" w:hint="default"/>
          <w:spacing w:val="-3"/>
        </w:rPr>
        <w:t>2</w:t>
      </w:r>
      <w:r>
        <w:rPr>
          <w:spacing w:val="-3"/>
        </w:rPr>
        <w:t>）复核资产组可收回金额预测的相关资料，评估可收回金额预测的模式、销售收入增长率、毛利率</w:t>
      </w:r>
      <w:r>
        <w:rPr>
          <w:w w:val="100"/>
        </w:rPr>
        <w:t> </w:t>
      </w:r>
      <w:r>
        <w:rPr/>
        <w:t>以及折现率等关键参数的选择是否合理；</w:t>
      </w:r>
    </w:p>
    <w:p>
      <w:pPr>
        <w:pStyle w:val="BodyText"/>
        <w:spacing w:line="240" w:lineRule="auto" w:before="29"/>
        <w:ind w:left="473" w:right="1002"/>
        <w:jc w:val="left"/>
      </w:pPr>
      <w:r>
        <w:rPr/>
        <w:t>（</w:t>
      </w:r>
      <w:r>
        <w:rPr>
          <w:rFonts w:ascii="宋体" w:hAnsi="宋体" w:cs="宋体" w:eastAsia="宋体" w:hint="default"/>
        </w:rPr>
        <w:t>3</w:t>
      </w:r>
      <w:r>
        <w:rPr/>
        <w:t>）评价由管理层聘请的外部评估机构的独立性、客观性、经验和资质；</w:t>
      </w:r>
    </w:p>
    <w:p>
      <w:pPr>
        <w:pStyle w:val="BodyText"/>
        <w:spacing w:line="348" w:lineRule="auto" w:before="128"/>
        <w:ind w:right="1126" w:firstLine="360"/>
        <w:jc w:val="both"/>
      </w:pPr>
      <w:r>
        <w:rPr>
          <w:spacing w:val="-3"/>
        </w:rPr>
        <w:t>（</w:t>
      </w:r>
      <w:r>
        <w:rPr>
          <w:rFonts w:ascii="宋体" w:hAnsi="宋体" w:cs="宋体" w:eastAsia="宋体" w:hint="default"/>
          <w:spacing w:val="-3"/>
        </w:rPr>
        <w:t>4</w:t>
      </w:r>
      <w:r>
        <w:rPr>
          <w:spacing w:val="-3"/>
        </w:rPr>
        <w:t>）将相关资产组本年的实际经营成果与前期对本年度的预测进行比较，以评价管理层对资产组可收</w:t>
      </w:r>
      <w:r>
        <w:rPr>
          <w:w w:val="100"/>
        </w:rPr>
        <w:t> </w:t>
      </w:r>
      <w:r>
        <w:rPr/>
        <w:t>回现金流量的预测的可靠性；</w:t>
      </w:r>
    </w:p>
    <w:p>
      <w:pPr>
        <w:pStyle w:val="BodyText"/>
        <w:spacing w:line="352" w:lineRule="auto" w:before="29"/>
        <w:ind w:right="1126" w:firstLine="360"/>
        <w:jc w:val="both"/>
      </w:pPr>
      <w:r>
        <w:rPr>
          <w:spacing w:val="-3"/>
        </w:rPr>
        <w:t>（</w:t>
      </w:r>
      <w:r>
        <w:rPr>
          <w:rFonts w:ascii="宋体" w:hAnsi="宋体" w:cs="宋体" w:eastAsia="宋体" w:hint="default"/>
          <w:spacing w:val="-3"/>
        </w:rPr>
        <w:t>5</w:t>
      </w:r>
      <w:r>
        <w:rPr>
          <w:spacing w:val="-3"/>
        </w:rPr>
        <w:t>）复核商誉减值测试相关资产组可收回金额的计算过程并与包括商誉在内的可辨认资产组的账面价</w:t>
      </w:r>
      <w:r>
        <w:rPr>
          <w:w w:val="100"/>
        </w:rPr>
        <w:t> </w:t>
      </w:r>
      <w:r>
        <w:rPr/>
        <w:t>值进行比较，判断是否需要计提商誉减值准备；</w:t>
      </w:r>
    </w:p>
    <w:p>
      <w:pPr>
        <w:pStyle w:val="BodyText"/>
        <w:spacing w:line="350" w:lineRule="auto" w:before="25"/>
        <w:ind w:left="473" w:right="1002"/>
        <w:jc w:val="left"/>
      </w:pPr>
      <w:r>
        <w:rPr/>
        <w:t>（</w:t>
      </w:r>
      <w:r>
        <w:rPr>
          <w:rFonts w:ascii="宋体" w:hAnsi="宋体" w:cs="宋体" w:eastAsia="宋体" w:hint="default"/>
        </w:rPr>
        <w:t>6</w:t>
      </w:r>
      <w:r>
        <w:rPr/>
        <w:t>）评估管理层对商誉减值的财务报表披露是否恰当。</w:t>
      </w:r>
      <w:r>
        <w:rPr>
          <w:w w:val="100"/>
        </w:rPr>
        <w:t> </w:t>
      </w:r>
      <w:r>
        <w:rPr/>
        <w:t>基于已执行的审计工作，我们认为，管理层对商誉确认和减值测试中的相关判断及估计是合理的。</w:t>
      </w:r>
      <w:r>
        <w:rPr>
          <w:w w:val="100"/>
        </w:rPr>
        <w:t> </w:t>
      </w:r>
      <w:r>
        <w:rPr>
          <w:rFonts w:ascii="宋体" w:hAnsi="宋体" w:cs="宋体" w:eastAsia="宋体" w:hint="default"/>
          <w:b/>
          <w:bCs/>
        </w:rPr>
        <w:t>四、其他信息</w:t>
      </w:r>
      <w:r>
        <w:rPr>
          <w:rFonts w:ascii="宋体" w:hAnsi="宋体" w:cs="宋体" w:eastAsia="宋体" w:hint="default"/>
          <w:b/>
          <w:bCs/>
          <w:spacing w:val="-104"/>
        </w:rPr>
        <w:t> </w:t>
      </w:r>
      <w:r>
        <w:rPr>
          <w:spacing w:val="-1"/>
        </w:rPr>
        <w:t>中电兴发公司管理层对其他信息负责。其他信息包括年度报告中涵盖的信息，但不包括财务报表和我</w:t>
      </w:r>
    </w:p>
    <w:p>
      <w:pPr>
        <w:pStyle w:val="BodyText"/>
        <w:spacing w:line="350" w:lineRule="auto" w:before="27"/>
        <w:ind w:left="473" w:right="1002" w:hanging="360"/>
        <w:jc w:val="left"/>
      </w:pPr>
      <w:r>
        <w:rPr/>
        <w:t>们的审计报告。</w:t>
      </w:r>
      <w:r>
        <w:rPr>
          <w:spacing w:val="-102"/>
        </w:rPr>
        <w:t> </w:t>
      </w:r>
      <w:r>
        <w:rPr>
          <w:spacing w:val="-102"/>
        </w:rPr>
      </w:r>
      <w:r>
        <w:rPr/>
        <w:t>我们对财务报表发表的审计意见不涵盖其他信息，我们也不对其他信息发表任何形式的鉴证结论。</w:t>
      </w:r>
      <w:r>
        <w:rPr>
          <w:w w:val="100"/>
        </w:rPr>
        <w:t> </w:t>
      </w:r>
      <w:r>
        <w:rPr>
          <w:spacing w:val="-1"/>
        </w:rPr>
        <w:t>结合我们对财务报表的审计，我们的责任是阅读其他信息，在此过程中，考虑其他信息是否与财务报</w:t>
      </w:r>
    </w:p>
    <w:p>
      <w:pPr>
        <w:pStyle w:val="BodyText"/>
        <w:spacing w:line="352" w:lineRule="auto" w:before="27"/>
        <w:ind w:left="473" w:right="1002" w:hanging="360"/>
        <w:jc w:val="left"/>
      </w:pPr>
      <w:r>
        <w:rPr/>
        <w:t>表或我们在审计过程中了解的情况存在重大不一致或者似乎存在重大错报。</w:t>
      </w:r>
      <w:r>
        <w:rPr>
          <w:w w:val="100"/>
        </w:rPr>
        <w:t> </w:t>
      </w:r>
      <w:r>
        <w:rPr>
          <w:spacing w:val="-1"/>
        </w:rPr>
        <w:t>基于我们已执行的工作，如果我们确定其他信息存在重大错报，我们应当报告该事实。在这方面，我</w:t>
      </w:r>
    </w:p>
    <w:p>
      <w:pPr>
        <w:spacing w:line="348" w:lineRule="auto" w:before="25"/>
        <w:ind w:left="473" w:right="6807" w:hanging="360"/>
        <w:jc w:val="left"/>
        <w:rPr>
          <w:rFonts w:ascii="宋体" w:hAnsi="宋体" w:cs="宋体" w:eastAsia="宋体" w:hint="default"/>
          <w:sz w:val="21"/>
          <w:szCs w:val="21"/>
        </w:rPr>
      </w:pPr>
      <w:r>
        <w:rPr>
          <w:rFonts w:ascii="宋体" w:hAnsi="宋体" w:cs="宋体" w:eastAsia="宋体" w:hint="default"/>
          <w:sz w:val="21"/>
          <w:szCs w:val="21"/>
        </w:rPr>
        <w:t>们无任何事项需要报告。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b/>
          <w:bCs/>
          <w:sz w:val="21"/>
          <w:szCs w:val="21"/>
        </w:rPr>
        <w:t>五、管理层和治理层对财务报表的责任</w:t>
      </w:r>
      <w:r>
        <w:rPr>
          <w:rFonts w:ascii="宋体" w:hAnsi="宋体" w:cs="宋体" w:eastAsia="宋体" w:hint="default"/>
          <w:sz w:val="21"/>
          <w:szCs w:val="21"/>
        </w:rPr>
      </w:r>
    </w:p>
    <w:p>
      <w:pPr>
        <w:pStyle w:val="BodyText"/>
        <w:spacing w:line="348" w:lineRule="auto" w:before="34"/>
        <w:ind w:right="1130" w:firstLine="360"/>
        <w:jc w:val="both"/>
      </w:pPr>
      <w:r>
        <w:rPr>
          <w:spacing w:val="-1"/>
        </w:rPr>
        <w:t>中电兴发公司管理层负责按照企业会计准则的规定编制财务报表，使其实现公允反映，并设计、执行</w:t>
      </w:r>
      <w:r>
        <w:rPr>
          <w:w w:val="100"/>
        </w:rPr>
        <w:t> </w:t>
      </w:r>
      <w:r>
        <w:rPr/>
        <w:t>和维护必要的内部控制，以使财务报表不存在由于舞弊或错误导致的重大错报。</w:t>
      </w:r>
    </w:p>
    <w:p>
      <w:pPr>
        <w:pStyle w:val="BodyText"/>
        <w:spacing w:line="350" w:lineRule="auto" w:before="29"/>
        <w:ind w:right="1128" w:firstLine="360"/>
        <w:jc w:val="both"/>
      </w:pPr>
      <w:r>
        <w:rPr>
          <w:spacing w:val="-1"/>
        </w:rPr>
        <w:t>在编制财务报表时，中电兴发公司管理层负责评估中电兴发公司的持续经营能力，披露与持续经营相</w:t>
      </w:r>
      <w:r>
        <w:rPr>
          <w:w w:val="100"/>
        </w:rPr>
        <w:t> </w:t>
      </w:r>
      <w:r>
        <w:rPr>
          <w:spacing w:val="-2"/>
          <w:w w:val="100"/>
        </w:rPr>
        <w:t>关的事项（如适用），并运用持续经营假设，除非管理层计划清算中电兴发公司、终止运营或别无其他现</w:t>
      </w:r>
      <w:r>
        <w:rPr>
          <w:spacing w:val="-99"/>
          <w:w w:val="100"/>
        </w:rPr>
        <w:t> </w:t>
      </w:r>
      <w:r>
        <w:rPr>
          <w:spacing w:val="-99"/>
          <w:w w:val="100"/>
        </w:rPr>
      </w:r>
      <w:r>
        <w:rPr/>
        <w:t>实的选择。</w:t>
      </w:r>
    </w:p>
    <w:p>
      <w:pPr>
        <w:spacing w:after="0" w:line="35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spacing w:line="348" w:lineRule="auto" w:before="36"/>
        <w:ind w:left="473" w:right="5730" w:firstLine="0"/>
        <w:jc w:val="left"/>
        <w:rPr>
          <w:rFonts w:ascii="宋体" w:hAnsi="宋体" w:cs="宋体" w:eastAsia="宋体" w:hint="default"/>
          <w:sz w:val="21"/>
          <w:szCs w:val="21"/>
        </w:rPr>
      </w:pPr>
      <w:r>
        <w:rPr>
          <w:rFonts w:ascii="宋体" w:hAnsi="宋体" w:cs="宋体" w:eastAsia="宋体" w:hint="default"/>
          <w:spacing w:val="-1"/>
          <w:sz w:val="21"/>
          <w:szCs w:val="21"/>
        </w:rPr>
        <w:t>治理层负责监督中电兴发公司的财务报告过程。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sz w:val="21"/>
          <w:szCs w:val="21"/>
        </w:rPr>
      </w:r>
    </w:p>
    <w:p>
      <w:pPr>
        <w:pStyle w:val="BodyText"/>
        <w:spacing w:line="350" w:lineRule="auto" w:before="34"/>
        <w:ind w:right="1125" w:firstLine="360"/>
        <w:jc w:val="both"/>
      </w:pPr>
      <w:r>
        <w:rPr>
          <w:spacing w:val="-1"/>
        </w:rPr>
        <w:t>我们的目标是对财务报表整体是否不存在由于舞弊或错误导致的重大错报获取合理保证，并出具包含</w:t>
      </w:r>
      <w:r>
        <w:rPr>
          <w:w w:val="100"/>
        </w:rPr>
        <w:t> </w:t>
      </w:r>
      <w:r>
        <w:rPr>
          <w:spacing w:val="-2"/>
        </w:rPr>
        <w:t>审计意见的审计报告。合理保证是高水平的保证，但并不能保证按照审计准则执行的审计在某一重大错报</w:t>
      </w:r>
      <w:r>
        <w:rPr>
          <w:spacing w:val="-33"/>
        </w:rPr>
        <w:t> </w:t>
      </w:r>
      <w:r>
        <w:rPr>
          <w:spacing w:val="-33"/>
        </w:rPr>
      </w:r>
      <w:r>
        <w:rPr>
          <w:spacing w:val="-2"/>
        </w:rPr>
        <w:t>存在时总能发现。错报可能由于舞弊或错误导致，如果合理预期错报单独或汇总起来可能影响财务报表使</w:t>
      </w:r>
      <w:r>
        <w:rPr>
          <w:spacing w:val="-33"/>
        </w:rPr>
        <w:t> </w:t>
      </w:r>
      <w:r>
        <w:rPr>
          <w:spacing w:val="-33"/>
        </w:rPr>
      </w:r>
      <w:r>
        <w:rPr/>
        <w:t>用者依据财务报表作出的经济决策，则通常认为错报是重大的。</w:t>
      </w:r>
    </w:p>
    <w:p>
      <w:pPr>
        <w:pStyle w:val="BodyText"/>
        <w:spacing w:line="348" w:lineRule="auto" w:before="27"/>
        <w:ind w:right="1130" w:firstLine="360"/>
        <w:jc w:val="both"/>
      </w:pPr>
      <w:r>
        <w:rPr>
          <w:spacing w:val="-1"/>
        </w:rPr>
        <w:t>在按照审计准则执行审计工作的过程中，我们运用职业判断，并保持职业怀疑。同时，我们也执行以</w:t>
      </w:r>
      <w:r>
        <w:rPr>
          <w:w w:val="100"/>
        </w:rPr>
        <w:t> </w:t>
      </w:r>
      <w:r>
        <w:rPr/>
        <w:t>下工作：</w:t>
      </w:r>
    </w:p>
    <w:p>
      <w:pPr>
        <w:pStyle w:val="BodyText"/>
        <w:spacing w:line="348" w:lineRule="auto" w:before="34"/>
        <w:ind w:left="473" w:right="1002"/>
        <w:jc w:val="left"/>
      </w:pPr>
      <w:r>
        <w:rPr>
          <w:rFonts w:ascii="宋体" w:hAnsi="宋体" w:cs="宋体" w:eastAsia="宋体" w:hint="default"/>
          <w:spacing w:val="-2"/>
        </w:rPr>
        <w:t>1</w:t>
      </w:r>
      <w:r>
        <w:rPr>
          <w:spacing w:val="-2"/>
        </w:rPr>
        <w:t>、识别和评估由于舞弊或错误导致的财务报表重大错报风险，设计和实施审计程序以应对这些风险，</w:t>
      </w:r>
      <w:r>
        <w:rPr>
          <w:spacing w:val="-17"/>
        </w:rPr>
        <w:t> </w:t>
      </w:r>
      <w:r>
        <w:rPr>
          <w:spacing w:val="-17"/>
        </w:rPr>
      </w:r>
      <w:r>
        <w:rPr>
          <w:spacing w:val="-3"/>
        </w:rPr>
        <w:t>并获取充分、适当的审计证据，作为发表审计意见的基础。由于舞弊可能涉及串通、伪造、故意遗漏、</w:t>
      </w:r>
      <w:r>
        <w:rPr>
          <w:spacing w:val="-36"/>
        </w:rPr>
        <w:t> </w:t>
      </w:r>
      <w:r>
        <w:rPr>
          <w:spacing w:val="-36"/>
        </w:rPr>
      </w:r>
      <w:r>
        <w:rPr/>
        <w:t>虚假陈述或凌驾于内部控制之上，未能发现由于舞弊导致的重大错报的风险高于未能发现由于错误导</w:t>
      </w:r>
      <w:r>
        <w:rPr>
          <w:spacing w:val="-68"/>
        </w:rPr>
        <w:t> </w:t>
      </w:r>
      <w:r>
        <w:rPr>
          <w:spacing w:val="-68"/>
        </w:rPr>
      </w:r>
      <w:r>
        <w:rPr/>
        <w:t>致的重大错报的风险。</w:t>
      </w:r>
      <w:r>
        <w:rPr>
          <w:w w:val="100"/>
        </w:rPr>
        <w:t> </w:t>
      </w:r>
      <w:r>
        <w:rPr>
          <w:rFonts w:ascii="宋体" w:hAnsi="宋体" w:cs="宋体" w:eastAsia="宋体" w:hint="default"/>
          <w:spacing w:val="-2"/>
        </w:rPr>
        <w:t>2</w:t>
      </w:r>
      <w:r>
        <w:rPr>
          <w:spacing w:val="-2"/>
        </w:rPr>
        <w:t>、了解与审计相关的内部控制，以设计恰当的审计程序</w:t>
      </w:r>
      <w:r>
        <w:rPr>
          <w:color w:val="0000CC"/>
          <w:spacing w:val="-2"/>
        </w:rPr>
        <w:t>，但目的并非对内部控制的有效性发表意见</w:t>
      </w:r>
      <w:r>
        <w:rPr>
          <w:spacing w:val="-2"/>
        </w:rPr>
        <w:t>。</w:t>
      </w:r>
    </w:p>
    <w:p>
      <w:pPr>
        <w:pStyle w:val="BodyText"/>
        <w:spacing w:line="240" w:lineRule="auto" w:before="29"/>
        <w:ind w:left="473" w:right="1002"/>
        <w:jc w:val="left"/>
      </w:pPr>
      <w:r>
        <w:rPr>
          <w:rFonts w:ascii="宋体" w:hAnsi="宋体" w:cs="宋体" w:eastAsia="宋体" w:hint="default"/>
        </w:rPr>
        <w:t>3</w:t>
      </w:r>
      <w:r>
        <w:rPr/>
        <w:t>、评价管理层选用会计政策的恰当性和作出会计估计及相关披露的合理性。</w:t>
      </w:r>
    </w:p>
    <w:p>
      <w:pPr>
        <w:pStyle w:val="BodyText"/>
        <w:spacing w:line="348" w:lineRule="auto" w:before="128"/>
        <w:ind w:left="473" w:right="1002"/>
        <w:jc w:val="left"/>
      </w:pPr>
      <w:r>
        <w:rPr>
          <w:rFonts w:ascii="宋体" w:hAnsi="宋体" w:cs="宋体" w:eastAsia="宋体" w:hint="default"/>
          <w:spacing w:val="-3"/>
        </w:rPr>
        <w:t>4</w:t>
      </w:r>
      <w:r>
        <w:rPr>
          <w:spacing w:val="-3"/>
        </w:rPr>
        <w:t>、对管理层使用持续经营假设的恰当性得出结论。同时，根据获取的审计证据，就可能导致对中电兴</w:t>
      </w:r>
      <w:r>
        <w:rPr>
          <w:spacing w:val="-37"/>
        </w:rPr>
        <w:t> </w:t>
      </w:r>
      <w:r>
        <w:rPr>
          <w:spacing w:val="-37"/>
        </w:rPr>
      </w:r>
      <w:r>
        <w:rPr/>
        <w:t>发公司持续经营能力产生重大疑虑的事项或情况是否存在重大不确定性得出结论。如果我们得出结论</w:t>
      </w:r>
      <w:r>
        <w:rPr>
          <w:spacing w:val="-68"/>
        </w:rPr>
        <w:t> </w:t>
      </w:r>
      <w:r>
        <w:rPr>
          <w:spacing w:val="-68"/>
        </w:rPr>
      </w:r>
      <w:r>
        <w:rPr>
          <w:spacing w:val="-3"/>
        </w:rPr>
        <w:t>认为存在重大不确定性，审计准则要求我们在审计报告中提请报告使用者注意财务报表中的相关披露；</w:t>
      </w:r>
      <w:r>
        <w:rPr>
          <w:spacing w:val="-39"/>
        </w:rPr>
        <w:t> </w:t>
      </w:r>
      <w:r>
        <w:rPr>
          <w:spacing w:val="-39"/>
        </w:rPr>
      </w:r>
      <w:r>
        <w:rPr>
          <w:spacing w:val="-3"/>
        </w:rPr>
        <w:t>如果披露不充分，我们应当发表非无保留意见。我们的结论基于截至审计报告日可获得的信息。然而，</w:t>
      </w:r>
      <w:r>
        <w:rPr>
          <w:spacing w:val="-36"/>
        </w:rPr>
        <w:t> </w:t>
      </w:r>
      <w:r>
        <w:rPr>
          <w:spacing w:val="-36"/>
        </w:rPr>
      </w:r>
      <w:r>
        <w:rPr/>
        <w:t>未来的事项或情况可能导致中电兴发公司不能持续经营。</w:t>
      </w:r>
      <w:r>
        <w:rPr>
          <w:w w:val="100"/>
        </w:rPr>
        <w:t> </w:t>
      </w:r>
      <w:r>
        <w:rPr>
          <w:rFonts w:ascii="宋体" w:hAnsi="宋体" w:cs="宋体" w:eastAsia="宋体" w:hint="default"/>
        </w:rPr>
        <w:t>5</w:t>
      </w:r>
      <w:r>
        <w:rPr/>
        <w:t>、评价财务报表的总体列报、结构和内容，并评价财务报表是否公允反映相关交易和事项。</w:t>
      </w:r>
    </w:p>
    <w:p>
      <w:pPr>
        <w:pStyle w:val="BodyText"/>
        <w:spacing w:line="348" w:lineRule="auto" w:before="34"/>
        <w:ind w:left="473" w:right="1002"/>
        <w:jc w:val="left"/>
      </w:pPr>
      <w:r>
        <w:rPr>
          <w:rFonts w:ascii="宋体" w:hAnsi="宋体" w:cs="宋体" w:eastAsia="宋体" w:hint="default"/>
          <w:spacing w:val="-5"/>
        </w:rPr>
        <w:t>6</w:t>
      </w:r>
      <w:r>
        <w:rPr>
          <w:spacing w:val="-5"/>
        </w:rPr>
        <w:t>、就中电兴发公司中实体或业务活动的财务信息获取充分、适当的审计证据，以对财务报表发表意见。</w:t>
      </w:r>
      <w:r>
        <w:rPr>
          <w:spacing w:val="-45"/>
        </w:rPr>
        <w:t> </w:t>
      </w:r>
      <w:r>
        <w:rPr>
          <w:spacing w:val="-45"/>
        </w:rPr>
      </w:r>
      <w:r>
        <w:rPr/>
        <w:t>我们负责指导、监督和执行集团审计。我们对审计意见承担全部责任。</w:t>
      </w:r>
      <w:r>
        <w:rPr>
          <w:spacing w:val="-103"/>
        </w:rPr>
        <w:t> </w:t>
      </w:r>
      <w:r>
        <w:rPr>
          <w:spacing w:val="-103"/>
        </w:rPr>
      </w:r>
      <w:r>
        <w:rPr/>
        <w:t>我们与治理层就计划的审计范围、时间安排和重大审计发现等事项进行沟通，包括沟通我们在审计中</w:t>
      </w:r>
    </w:p>
    <w:p>
      <w:pPr>
        <w:pStyle w:val="BodyText"/>
        <w:spacing w:line="348" w:lineRule="auto" w:before="34"/>
        <w:ind w:left="473" w:right="1002" w:hanging="360"/>
        <w:jc w:val="left"/>
      </w:pPr>
      <w:r>
        <w:rPr/>
        <w:t>识别出的值得关注的内部控制缺陷。</w:t>
      </w:r>
      <w:r>
        <w:rPr>
          <w:spacing w:val="-101"/>
        </w:rPr>
        <w:t> </w:t>
      </w:r>
      <w:r>
        <w:rPr>
          <w:spacing w:val="-101"/>
        </w:rPr>
      </w:r>
      <w:r>
        <w:rPr>
          <w:spacing w:val="-1"/>
        </w:rPr>
        <w:t>我们还就已遵守与独立性相关的职业道德要求向治理层提供声明，并与治理层沟通可能被合理认为影</w:t>
      </w:r>
    </w:p>
    <w:p>
      <w:pPr>
        <w:pStyle w:val="BodyText"/>
        <w:spacing w:line="352" w:lineRule="auto" w:before="29"/>
        <w:ind w:left="473" w:right="1002" w:hanging="360"/>
        <w:jc w:val="left"/>
      </w:pPr>
      <w:r>
        <w:rPr>
          <w:spacing w:val="-5"/>
          <w:w w:val="100"/>
        </w:rPr>
        <w:t>响我们独立性的所有关系和其他事项，以及相关的防范措施（如适用）。</w:t>
      </w:r>
      <w:r>
        <w:rPr>
          <w:spacing w:val="-87"/>
          <w:w w:val="100"/>
        </w:rPr>
        <w:t> </w:t>
      </w:r>
      <w:r>
        <w:rPr>
          <w:spacing w:val="-87"/>
          <w:w w:val="100"/>
        </w:rPr>
      </w:r>
      <w:r>
        <w:rPr>
          <w:spacing w:val="-1"/>
        </w:rPr>
        <w:t>从与治理层沟通过的事项中，我们确定哪些事项对本期财务报表审计最为重要，因而构成关键审计事</w:t>
      </w:r>
    </w:p>
    <w:p>
      <w:pPr>
        <w:pStyle w:val="BodyText"/>
        <w:spacing w:line="350" w:lineRule="auto" w:before="25"/>
        <w:ind w:right="1126"/>
        <w:jc w:val="both"/>
      </w:pPr>
      <w:r>
        <w:rPr>
          <w:spacing w:val="-2"/>
        </w:rPr>
        <w:t>项。我们在审计报告中描述这些事项，除非法律法规禁止公开披露这些事项，或在极少数情形下，如果合</w:t>
      </w:r>
      <w:r>
        <w:rPr>
          <w:spacing w:val="-33"/>
        </w:rPr>
        <w:t> </w:t>
      </w:r>
      <w:r>
        <w:rPr>
          <w:spacing w:val="-33"/>
        </w:rPr>
      </w:r>
      <w:r>
        <w:rPr>
          <w:spacing w:val="-2"/>
        </w:rPr>
        <w:t>理预期在审计报告中沟通某事项造成的负面后果超过在公众利益方面产生的益处，我们确定不应在审计报</w:t>
      </w:r>
      <w:r>
        <w:rPr>
          <w:spacing w:val="-33"/>
        </w:rPr>
        <w:t> </w:t>
      </w:r>
      <w:r>
        <w:rPr>
          <w:spacing w:val="-33"/>
        </w:rPr>
      </w:r>
      <w:r>
        <w:rPr/>
        <w:t>告中沟通该事项。</w:t>
      </w:r>
    </w:p>
    <w:p>
      <w:pPr>
        <w:spacing w:line="240" w:lineRule="auto" w:before="12"/>
        <w:rPr>
          <w:rFonts w:ascii="宋体" w:hAnsi="宋体" w:cs="宋体" w:eastAsia="宋体" w:hint="default"/>
          <w:sz w:val="15"/>
          <w:szCs w:val="15"/>
        </w:rPr>
      </w:pPr>
    </w:p>
    <w:p>
      <w:pPr>
        <w:pStyle w:val="Heading2"/>
        <w:spacing w:line="240" w:lineRule="auto"/>
        <w:ind w:right="1002"/>
        <w:jc w:val="left"/>
        <w:rPr>
          <w:b w:val="0"/>
          <w:bCs w:val="0"/>
        </w:rPr>
      </w:pPr>
      <w:bookmarkStart w:name="二、财务报表" w:id="162"/>
      <w:bookmarkEnd w:id="162"/>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pacing w:val="-3"/>
          <w:sz w:val="18"/>
          <w:szCs w:val="18"/>
        </w:rPr>
        <w:t>财务附注中报表的单位为：元</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1、合并资产负债表" w:id="163"/>
      <w:bookmarkEnd w:id="16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2" w:top="1100" w:bottom="1220" w:left="1020" w:right="0"/>
        </w:sectPr>
      </w:pPr>
    </w:p>
    <w:p>
      <w:pPr>
        <w:pStyle w:val="BodyText"/>
        <w:spacing w:line="240" w:lineRule="auto"/>
        <w:ind w:right="0"/>
        <w:jc w:val="left"/>
      </w:pPr>
      <w:r>
        <w:rPr/>
        <w:t>编制单位：安徽中电兴发与鑫龙科技股份有限公司</w:t>
      </w:r>
    </w:p>
    <w:p>
      <w:pPr>
        <w:pStyle w:val="BodyText"/>
        <w:spacing w:line="240" w:lineRule="auto" w:before="76"/>
        <w:ind w:left="0" w:right="0"/>
        <w:jc w:val="righ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0"/>
        <w:ind w:right="0"/>
        <w:jc w:val="left"/>
      </w:pPr>
      <w:r>
        <w:rPr/>
        <w:t>单位：元</w:t>
      </w:r>
    </w:p>
    <w:p>
      <w:pPr>
        <w:spacing w:after="0" w:line="240" w:lineRule="auto"/>
        <w:jc w:val="left"/>
        <w:sectPr>
          <w:type w:val="continuous"/>
          <w:pgSz w:w="11910" w:h="16840"/>
          <w:pgMar w:top="1100" w:bottom="1220" w:left="1020" w:right="0"/>
          <w:cols w:num="2" w:equalWidth="0">
            <w:col w:w="5804" w:space="2998"/>
            <w:col w:w="2088"/>
          </w:cols>
        </w:sectPr>
      </w:pP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734,151,196.22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786,236,356.85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805,906.85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28"/>
              <w:ind w:left="105" w:right="114" w:firstLine="422"/>
              <w:jc w:val="left"/>
              <w:rPr>
                <w:rFonts w:ascii="宋体" w:hAnsi="宋体" w:cs="宋体" w:eastAsia="宋体" w:hint="default"/>
                <w:sz w:val="21"/>
                <w:szCs w:val="21"/>
              </w:rPr>
            </w:pPr>
            <w:r>
              <w:rPr>
                <w:rFonts w:ascii="宋体" w:hAnsi="宋体" w:cs="宋体" w:eastAsia="宋体" w:hint="default"/>
                <w:spacing w:val="-1"/>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12,263,075.36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89,714,563.36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1,295,182,421.34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978,660,986.62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72,617,377.37</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19,773,560.87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37,624,449.56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pacing w:val="-3"/>
                <w:sz w:val="21"/>
                <w:szCs w:val="21"/>
              </w:rPr>
              <w:t>应收保费</w:t>
            </w:r>
            <w:r>
              <w:rPr>
                <w:rFonts w:ascii="宋体" w:hAnsi="宋体" w:cs="宋体" w:eastAsia="宋体" w:hint="default"/>
                <w:sz w:val="21"/>
                <w:szCs w:val="21"/>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105,720,602.37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123,865,514.97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62,105.56</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1,747,728,459.26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1,096,880,825.42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9,588,282.06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110,534,103.27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80,666,737.60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4,098,776,702.91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3,203,237,716.44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6,000,000.00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pacing w:val="-1"/>
                <w:sz w:val="21"/>
              </w:rPr>
              <w:t>143,304,478.50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pacing w:val="-1"/>
                <w:sz w:val="21"/>
              </w:rPr>
              <w:t>146,773,017.71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41,882,218.27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21,852,780.85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1,917,656.41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36"/>
              <w:jc w:val="right"/>
              <w:rPr>
                <w:rFonts w:ascii="宋体" w:hAnsi="宋体" w:cs="宋体" w:eastAsia="宋体" w:hint="default"/>
                <w:sz w:val="21"/>
                <w:szCs w:val="21"/>
              </w:rPr>
            </w:pPr>
            <w:r>
              <w:rPr>
                <w:rFonts w:ascii="宋体" w:hAnsi="宋体" w:cs="宋体" w:eastAsia="宋体" w:hint="default"/>
                <w:spacing w:val="-2"/>
                <w:sz w:val="21"/>
                <w:szCs w:val="21"/>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3,243,335.39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57,917,738.95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85,801,256.37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559,790,072.73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581,933,466.35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1,895,510.36</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525,444,611.05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582,556,870.84</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1,572,307,514.84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1,524,947,496.70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5,248,038.20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5,324,682.29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108,904,298.85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73,558,396.02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4,906,606.12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8,146,397.12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3,026,762,079.67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3,036,894,364.25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7,125,538,782.58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6,240,132,080.69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769,321,250.00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493,500,000.00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14" w:firstLine="422"/>
              <w:jc w:val="left"/>
              <w:rPr>
                <w:rFonts w:ascii="宋体" w:hAnsi="宋体" w:cs="宋体" w:eastAsia="宋体" w:hint="default"/>
                <w:sz w:val="21"/>
                <w:szCs w:val="21"/>
              </w:rPr>
            </w:pPr>
            <w:r>
              <w:rPr>
                <w:rFonts w:ascii="宋体" w:hAnsi="宋体" w:cs="宋体" w:eastAsia="宋体" w:hint="default"/>
                <w:spacing w:val="-1"/>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100,149,799.26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95,297,752.20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997,137,555.25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562,452,888.36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189,904,472.47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247,903,169.27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536"/>
              <w:jc w:val="right"/>
              <w:rPr>
                <w:rFonts w:ascii="宋体" w:hAnsi="宋体" w:cs="宋体" w:eastAsia="宋体" w:hint="default"/>
                <w:sz w:val="21"/>
                <w:szCs w:val="21"/>
              </w:rPr>
            </w:pPr>
            <w:r>
              <w:rPr>
                <w:rFonts w:ascii="宋体" w:hAnsi="宋体" w:cs="宋体" w:eastAsia="宋体" w:hint="default"/>
                <w:spacing w:val="-2"/>
                <w:sz w:val="21"/>
                <w:szCs w:val="21"/>
              </w:rPr>
              <w:t>卖出回购金融资产款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36"/>
              <w:jc w:val="right"/>
              <w:rPr>
                <w:rFonts w:ascii="宋体" w:hAnsi="宋体" w:cs="宋体" w:eastAsia="宋体" w:hint="default"/>
                <w:sz w:val="21"/>
                <w:szCs w:val="21"/>
              </w:rPr>
            </w:pPr>
            <w:r>
              <w:rPr>
                <w:rFonts w:ascii="宋体" w:hAnsi="宋体" w:cs="宋体" w:eastAsia="宋体" w:hint="default"/>
                <w:spacing w:val="-2"/>
                <w:sz w:val="21"/>
                <w:szCs w:val="21"/>
              </w:rPr>
              <w:t>吸收存款及同业存放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z w:val="21"/>
              </w:rPr>
              <w:t>34,439,305.18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z w:val="21"/>
              </w:rPr>
              <w:t>31,231,052.76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62,978,896.55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45,333,129.01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130,557,810.89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57,554,381.42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1,113,977.24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757,568.26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368"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27,000,000.00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14,000,000.00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2,311,489,089.60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1,547,272,373.02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112,000,000.00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90,000,000.00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368"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17,000,000.00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27,000,000.00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22,316,261.29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26,283,537.38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13,048,572.36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14,207,262.92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60,562,575.64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117,932,619.43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224,927,409.29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275,423,419.73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2,536,416,498.89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1,822,695,792.75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691,505,915.00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691,505,915.00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8"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2"/>
                <w:sz w:val="21"/>
              </w:rPr>
              <w:t>2,823,826,511.11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2,825,137,574.80</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150,033,637.57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150,033,637.57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52,453,384.03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52,516,251.69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954,996,454.96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782,617,386.60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4,372,748,627.53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4,201,743,490.52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216,373,656.16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215,692,797.42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4,589,122,283.69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4,417,436,287.94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7,125,538,782.58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6,240,132,080.69</w:t>
            </w:r>
          </w:p>
        </w:tc>
      </w:tr>
    </w:tbl>
    <w:p>
      <w:pPr>
        <w:spacing w:line="240" w:lineRule="auto" w:before="10"/>
        <w:rPr>
          <w:rFonts w:ascii="Times New Roman" w:hAnsi="Times New Roman" w:cs="Times New Roman" w:eastAsia="Times New Roman" w:hint="default"/>
          <w:sz w:val="21"/>
          <w:szCs w:val="21"/>
        </w:rPr>
      </w:pPr>
    </w:p>
    <w:p>
      <w:pPr>
        <w:pStyle w:val="BodyText"/>
        <w:tabs>
          <w:tab w:pos="4199" w:val="left" w:leader="none"/>
          <w:tab w:pos="9126" w:val="left" w:leader="none"/>
        </w:tabs>
        <w:spacing w:line="273" w:lineRule="auto"/>
        <w:ind w:right="1127"/>
        <w:jc w:val="left"/>
      </w:pPr>
      <w:r>
        <w:rPr>
          <w:spacing w:val="-3"/>
        </w:rPr>
        <w:t>法定代表人：瞿洪桂</w:t>
        <w:tab/>
      </w:r>
      <w:r>
        <w:rPr>
          <w:spacing w:val="-2"/>
        </w:rPr>
        <w:t>主管会计工作负责人：陶黎明</w:t>
        <w:tab/>
        <w:t>会计机</w:t>
      </w:r>
      <w:r>
        <w:rPr>
          <w:spacing w:val="-101"/>
        </w:rPr>
        <w:t> </w:t>
      </w:r>
      <w:r>
        <w:rPr>
          <w:spacing w:val="-101"/>
        </w:rPr>
      </w:r>
      <w:r>
        <w:rPr/>
        <w:t>构负责人：杨勇</w:t>
      </w:r>
    </w:p>
    <w:p>
      <w:pPr>
        <w:spacing w:line="240" w:lineRule="auto" w:before="13"/>
        <w:rPr>
          <w:rFonts w:ascii="宋体" w:hAnsi="宋体" w:cs="宋体" w:eastAsia="宋体" w:hint="default"/>
          <w:sz w:val="22"/>
          <w:szCs w:val="22"/>
        </w:rPr>
      </w:pPr>
    </w:p>
    <w:p>
      <w:pPr>
        <w:pStyle w:val="Heading5"/>
        <w:spacing w:line="240" w:lineRule="auto"/>
        <w:ind w:right="1002"/>
        <w:jc w:val="left"/>
        <w:rPr>
          <w:b w:val="0"/>
          <w:bCs w:val="0"/>
        </w:rPr>
      </w:pPr>
      <w:bookmarkStart w:name="2、母公司资产负债表" w:id="164"/>
      <w:bookmarkEnd w:id="16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left="0" w:right="1122"/>
        <w:jc w:val="right"/>
      </w:pPr>
      <w:r>
        <w:rPr/>
        <w:t>单位：元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117,045,741.92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81,201,904.97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14" w:firstLine="422"/>
              <w:jc w:val="left"/>
              <w:rPr>
                <w:rFonts w:ascii="宋体" w:hAnsi="宋体" w:cs="宋体" w:eastAsia="宋体" w:hint="default"/>
                <w:sz w:val="21"/>
                <w:szCs w:val="21"/>
              </w:rPr>
            </w:pPr>
            <w:r>
              <w:rPr>
                <w:rFonts w:ascii="宋体" w:hAnsi="宋体" w:cs="宋体" w:eastAsia="宋体" w:hint="default"/>
                <w:spacing w:val="-1"/>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11,972,324.27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50,662,637.08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439,049,732.05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438,904,635.47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58,689,634.30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59,519,357.84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13,049,804.58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247,746,650.68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35,734,931.07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269,912,845.72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354,301,655.63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2"/>
                <w:sz w:val="21"/>
              </w:rPr>
              <w:t>70,112.04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sz w:val="21"/>
              </w:rPr>
              <w:t>778,682.80</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1,204,006,398.82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974,634,251.60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3,569,161,649.00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3,627,454,998.00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3,243,335.39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47,076,783.33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50,976,801.57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200,797,766.84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218,206,728.67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1,895,510.36</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49,157,229.44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50,446,601.60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59,759,789.18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46,662,603.88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167,054.42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170,692.42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3,931,259,117.96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3,999,918,426.14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5,135,265,516.78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4,974,552,677.74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654,321,250.00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468,000,000.00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114" w:firstLine="422"/>
              <w:jc w:val="left"/>
              <w:rPr>
                <w:rFonts w:ascii="宋体" w:hAnsi="宋体" w:cs="宋体" w:eastAsia="宋体" w:hint="default"/>
                <w:sz w:val="21"/>
                <w:szCs w:val="21"/>
              </w:rPr>
            </w:pPr>
            <w:r>
              <w:rPr>
                <w:rFonts w:ascii="宋体" w:hAnsi="宋体" w:cs="宋体" w:eastAsia="宋体" w:hint="default"/>
                <w:spacing w:val="-1"/>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63,397,200.00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59,432,000.00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156,757,283.35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172,869,968.57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37,961,609.39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36,462,659.45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1022" w:header="906"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5,103,345.08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4,614,585.13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6,144,562.40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8,928,493.42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pacing w:val="-1"/>
                <w:sz w:val="21"/>
              </w:rPr>
              <w:t>519,531,401.92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pacing w:val="-1"/>
                <w:sz w:val="21"/>
              </w:rPr>
              <w:t>482,515,302.40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8"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5,000,000.00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1,448,216,652.14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1,232,823,008.97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75,000,000.00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90,000,000.00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8"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22,015,261.29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25,961,537.38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336,500.31</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97,351,761.60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115,961,537.38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1,545,568,413.74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1,348,784,546.35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691,505,915.00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691,505,915.00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73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8"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2,818,718,845.63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2,818,718,845.63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150,033,637.57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150,033,637.57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50,975,273.78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51,038,141.44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178,530,706.20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214,538,866.89</w:t>
            </w:r>
          </w:p>
        </w:tc>
      </w:tr>
    </w:tbl>
    <w:p>
      <w:pPr>
        <w:spacing w:after="0" w:line="240" w:lineRule="auto"/>
        <w:jc w:val="right"/>
        <w:rPr>
          <w:rFonts w:ascii="Times New Roman" w:hAnsi="Times New Roman" w:cs="Times New Roman" w:eastAsia="Times New Roman" w:hint="default"/>
          <w:sz w:val="21"/>
          <w:szCs w:val="21"/>
        </w:rPr>
        <w:sectPr>
          <w:footerReference w:type="default" r:id="rId19"/>
          <w:pgSz w:w="11910" w:h="16840"/>
          <w:pgMar w:footer="1022" w:header="906" w:top="1100" w:bottom="1220" w:left="1020" w:right="0"/>
          <w:pgNumType w:start="101"/>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3,589,697,103.04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3,625,768,131.39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5,135,265,516.78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4,974,552,677.74</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002"/>
        <w:jc w:val="left"/>
        <w:rPr>
          <w:b w:val="0"/>
          <w:bCs w:val="0"/>
        </w:rPr>
      </w:pPr>
      <w:bookmarkStart w:name="3、合并利润表" w:id="165"/>
      <w:bookmarkEnd w:id="16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5340"/>
        <w:gridCol w:w="2281"/>
        <w:gridCol w:w="1949"/>
      </w:tblGrid>
      <w:tr>
        <w:trPr>
          <w:trHeight w:val="398"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9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r>
      <w:tr>
        <w:trPr>
          <w:trHeight w:val="408"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2,755,676,412.10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2,455,958,521.31</w:t>
            </w: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2,755,676,412.10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2,455,958,521.31</w:t>
            </w: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5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7"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7"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2,411,768,622.53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2,215,270,035.24</w:t>
            </w: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1,815,273,030.54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1,713,831,630.34</w:t>
            </w: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7"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7"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57"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7" w:right="0"/>
              <w:jc w:val="left"/>
              <w:rPr>
                <w:rFonts w:ascii="宋体" w:hAnsi="宋体" w:cs="宋体" w:eastAsia="宋体" w:hint="default"/>
                <w:sz w:val="21"/>
                <w:szCs w:val="21"/>
              </w:rPr>
            </w:pPr>
            <w:r>
              <w:rPr>
                <w:rFonts w:ascii="宋体" w:hAnsi="宋体" w:cs="宋体" w:eastAsia="宋体" w:hint="default"/>
                <w:sz w:val="21"/>
                <w:szCs w:val="21"/>
              </w:rPr>
              <w:t>提取保险责任合同准备金净额</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7"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7"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57"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19,074,001.72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22,448,765.09</w:t>
            </w: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252,496,743.35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208,921,082.00</w:t>
            </w: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167,021,876.73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133,453,529.27</w:t>
            </w: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57"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134,950,645.63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123,579,819.32</w:t>
            </w: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5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22,952,324.56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13,035,209.22</w:t>
            </w: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8"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35,741,001.97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31,515,939.26</w:t>
            </w: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88"/>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10,138,796.59</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18,811,962.49</w:t>
            </w: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21,233,735.82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19,702,822.61</w:t>
            </w: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5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4,105,871.80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5"/>
              <w:jc w:val="right"/>
              <w:rPr>
                <w:rFonts w:ascii="Times New Roman" w:hAnsi="Times New Roman" w:cs="Times New Roman" w:eastAsia="Times New Roman" w:hint="default"/>
                <w:sz w:val="21"/>
                <w:szCs w:val="21"/>
              </w:rPr>
            </w:pPr>
            <w:r>
              <w:rPr>
                <w:rFonts w:ascii="Times New Roman"/>
                <w:sz w:val="21"/>
              </w:rPr>
              <w:t>3,193,968.56</w:t>
            </w: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465,187.42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-920,417.04</w:t>
            </w: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8"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以摊余成本计量的金融资产终止确认收益</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50" w:right="0"/>
              <w:jc w:val="left"/>
              <w:rPr>
                <w:rFonts w:ascii="宋体" w:hAnsi="宋体" w:cs="宋体" w:eastAsia="宋体" w:hint="default"/>
                <w:sz w:val="21"/>
                <w:szCs w:val="21"/>
              </w:rPr>
            </w:pPr>
            <w:r>
              <w:rPr>
                <w:rFonts w:ascii="宋体" w:hAnsi="宋体" w:cs="宋体" w:eastAsia="宋体" w:hint="default"/>
                <w:sz w:val="21"/>
                <w:szCs w:val="21"/>
              </w:rPr>
              <w:t>净敞口套期收益（损失以“－”号填列）</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公允价值变动收益（损失以“－”号填列）</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545,498.43</w:t>
            </w:r>
          </w:p>
        </w:tc>
        <w:tc>
          <w:tcPr>
            <w:tcW w:w="19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5340"/>
        <w:gridCol w:w="2281"/>
        <w:gridCol w:w="1949"/>
      </w:tblGrid>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-4,633,399.85</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-29,203,276.80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-43,662,567.71</w:t>
            </w: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950"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-349,105.85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5"/>
              <w:jc w:val="right"/>
              <w:rPr>
                <w:rFonts w:ascii="Times New Roman" w:hAnsi="Times New Roman" w:cs="Times New Roman" w:eastAsia="Times New Roman" w:hint="default"/>
                <w:sz w:val="21"/>
                <w:szCs w:val="21"/>
              </w:rPr>
            </w:pPr>
            <w:r>
              <w:rPr>
                <w:rFonts w:ascii="Times New Roman"/>
                <w:sz w:val="21"/>
              </w:rPr>
              <w:t>2,854,052.08</w:t>
            </w: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335,607,113.12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222,776,761.61</w:t>
            </w: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1,259,265.66</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635,080.84</w:t>
            </w: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2,202,093.21</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4,199,717.01</w:t>
            </w: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334,664,285.57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219,212,125.44</w:t>
            </w: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46,340,592.34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30,846,588.82</w:t>
            </w:r>
          </w:p>
        </w:tc>
      </w:tr>
      <w:tr>
        <w:trPr>
          <w:trHeight w:val="408"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288,323,693.23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188,365,536.62</w:t>
            </w:r>
          </w:p>
        </w:tc>
      </w:tr>
      <w:tr>
        <w:trPr>
          <w:trHeight w:val="396"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16"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持续经营净利润（净亏损以“－”号填列）</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288,323,693.23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188,365,536.62</w:t>
            </w:r>
          </w:p>
        </w:tc>
      </w:tr>
      <w:tr>
        <w:trPr>
          <w:trHeight w:val="409"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终止经营净利润（净亏损以“－”号填列）</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16"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归属于母公司所有者的净利润</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284,714,313.30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174,762,669.00</w:t>
            </w: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少数股东损益</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3,609,379.93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13,602,867.62</w:t>
            </w:r>
          </w:p>
        </w:tc>
      </w:tr>
      <w:tr>
        <w:trPr>
          <w:trHeight w:val="404"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归属母公司所有者的其他综合收益的税后净额</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其他权益工具投资公允价值变动</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企业自身信用风险公允价值变动</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其他债权投资公允价值变动</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可供出售金融资产公允价值变动损益</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金融资产重分类计入其他综合收益的金额</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持有至到期投资重分类为可供出售金融资</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其他债权投资信用减值准备</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现金流量套期储备</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外币财务报表折算差额</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5340"/>
        <w:gridCol w:w="2281"/>
        <w:gridCol w:w="1949"/>
      </w:tblGrid>
      <w:tr>
        <w:trPr>
          <w:trHeight w:val="403"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归属于少数股东的其他综合收益的税后净额</w:t>
            </w:r>
          </w:p>
        </w:tc>
        <w:tc>
          <w:tcPr>
            <w:tcW w:w="2281" w:type="dxa"/>
            <w:tcBorders>
              <w:top w:val="single" w:sz="4" w:space="0" w:color="000000"/>
              <w:left w:val="single" w:sz="4" w:space="0" w:color="000000"/>
              <w:bottom w:val="single" w:sz="4" w:space="0" w:color="000000"/>
              <w:right w:val="single" w:sz="4" w:space="0" w:color="000000"/>
            </w:tcBorders>
          </w:tcPr>
          <w:p>
            <w:pP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288,323,693.23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188,365,536.62</w:t>
            </w: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28"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284,714,313.30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174,762,669.00</w:t>
            </w:r>
          </w:p>
        </w:tc>
      </w:tr>
      <w:tr>
        <w:trPr>
          <w:trHeight w:val="408"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3,609,379.93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13,602,867.62</w:t>
            </w:r>
          </w:p>
        </w:tc>
      </w:tr>
      <w:tr>
        <w:trPr>
          <w:trHeight w:val="394"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105"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0.4258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sz w:val="21"/>
              </w:rPr>
              <w:t>0.2505</w:t>
            </w:r>
          </w:p>
        </w:tc>
      </w:tr>
      <w:tr>
        <w:trPr>
          <w:trHeight w:val="401" w:hRule="exact"/>
        </w:trPr>
        <w:tc>
          <w:tcPr>
            <w:tcW w:w="5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0.4258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5"/>
              <w:jc w:val="right"/>
              <w:rPr>
                <w:rFonts w:ascii="Times New Roman" w:hAnsi="Times New Roman" w:cs="Times New Roman" w:eastAsia="Times New Roman" w:hint="default"/>
                <w:sz w:val="21"/>
                <w:szCs w:val="21"/>
              </w:rPr>
            </w:pPr>
            <w:r>
              <w:rPr>
                <w:rFonts w:ascii="Times New Roman"/>
                <w:sz w:val="21"/>
              </w:rPr>
              <w:t>0.2505</w:t>
            </w:r>
          </w:p>
        </w:tc>
      </w:tr>
    </w:tbl>
    <w:p>
      <w:pPr>
        <w:pStyle w:val="BodyText"/>
        <w:spacing w:line="276" w:lineRule="auto" w:before="28"/>
        <w:ind w:right="1002"/>
        <w:jc w:val="left"/>
      </w:pPr>
      <w:r>
        <w:rPr>
          <w:spacing w:val="-4"/>
        </w:rPr>
        <w:t>本期发生同一控制下企业合并的，被合并方在合并前实现的净利润为：元，上期被合并方实现的净利润为：</w:t>
      </w:r>
      <w:r>
        <w:rPr>
          <w:spacing w:val="-48"/>
        </w:rPr>
        <w:t> </w:t>
      </w:r>
      <w:r>
        <w:rPr>
          <w:spacing w:val="-48"/>
        </w:rPr>
      </w:r>
      <w:r>
        <w:rPr/>
        <w:t>元。</w:t>
      </w:r>
    </w:p>
    <w:p>
      <w:pPr>
        <w:spacing w:line="240" w:lineRule="auto" w:before="2"/>
        <w:rPr>
          <w:rFonts w:ascii="宋体" w:hAnsi="宋体" w:cs="宋体" w:eastAsia="宋体" w:hint="default"/>
          <w:sz w:val="23"/>
          <w:szCs w:val="23"/>
        </w:rPr>
      </w:pPr>
    </w:p>
    <w:p>
      <w:pPr>
        <w:pStyle w:val="BodyText"/>
        <w:tabs>
          <w:tab w:pos="4199" w:val="left" w:leader="none"/>
          <w:tab w:pos="9126" w:val="left" w:leader="none"/>
        </w:tabs>
        <w:spacing w:line="273" w:lineRule="auto" w:before="0"/>
        <w:ind w:right="1127"/>
        <w:jc w:val="left"/>
      </w:pPr>
      <w:r>
        <w:rPr>
          <w:spacing w:val="-3"/>
        </w:rPr>
        <w:t>法定代表人：瞿洪桂</w:t>
        <w:tab/>
      </w:r>
      <w:r>
        <w:rPr>
          <w:spacing w:val="-2"/>
        </w:rPr>
        <w:t>主管会计工作负责人：陶黎明</w:t>
        <w:tab/>
        <w:t>会计机</w:t>
      </w:r>
      <w:r>
        <w:rPr>
          <w:spacing w:val="-101"/>
        </w:rPr>
        <w:t> </w:t>
      </w:r>
      <w:r>
        <w:rPr>
          <w:spacing w:val="-101"/>
        </w:rPr>
      </w:r>
      <w:r>
        <w:rPr/>
        <w:t>构负责人：杨勇</w:t>
      </w:r>
    </w:p>
    <w:p>
      <w:pPr>
        <w:spacing w:line="240" w:lineRule="auto" w:before="0"/>
        <w:rPr>
          <w:rFonts w:ascii="宋体" w:hAnsi="宋体" w:cs="宋体" w:eastAsia="宋体" w:hint="default"/>
          <w:sz w:val="23"/>
          <w:szCs w:val="23"/>
        </w:rPr>
      </w:pPr>
    </w:p>
    <w:p>
      <w:pPr>
        <w:pStyle w:val="Heading5"/>
        <w:spacing w:line="240" w:lineRule="auto"/>
        <w:ind w:right="1002"/>
        <w:jc w:val="left"/>
        <w:rPr>
          <w:b w:val="0"/>
          <w:bCs w:val="0"/>
        </w:rPr>
      </w:pPr>
      <w:bookmarkStart w:name="4、母公司利润表" w:id="166"/>
      <w:bookmarkEnd w:id="16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left="0" w:right="1122"/>
        <w:jc w:val="right"/>
      </w:pPr>
      <w:r>
        <w:rPr/>
        <w:t>单位：元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5296"/>
        <w:gridCol w:w="2247"/>
        <w:gridCol w:w="2026"/>
      </w:tblGrid>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7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r>
      <w:tr>
        <w:trPr>
          <w:trHeight w:val="399"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680,574,933.97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557,980,016.60</w:t>
            </w: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558,076,733.70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472,854,500.27</w:t>
            </w: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税金及附加</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10,901,008.91</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12,057,599.50</w:t>
            </w: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71,117,609.05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61,179,672.42</w:t>
            </w:r>
          </w:p>
        </w:tc>
      </w:tr>
      <w:tr>
        <w:trPr>
          <w:trHeight w:val="399"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36,910,531.71</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31,943,342.63</w:t>
            </w: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44,554,461.23</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36,013,623.04</w:t>
            </w: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22,945,719.48</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21,789,462.65</w:t>
            </w: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57" w:right="0"/>
              <w:jc w:val="left"/>
              <w:rPr>
                <w:rFonts w:ascii="宋体" w:hAnsi="宋体" w:cs="宋体" w:eastAsia="宋体" w:hint="default"/>
                <w:sz w:val="21"/>
                <w:szCs w:val="21"/>
              </w:rPr>
            </w:pPr>
            <w:r>
              <w:rPr>
                <w:rFonts w:ascii="宋体" w:hAnsi="宋体" w:cs="宋体" w:eastAsia="宋体" w:hint="default"/>
                <w:sz w:val="21"/>
                <w:szCs w:val="21"/>
              </w:rPr>
              <w:t>其中：利息费用</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27,396,609.17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31,048,669.66</w:t>
            </w:r>
          </w:p>
        </w:tc>
      </w:tr>
      <w:tr>
        <w:trPr>
          <w:trHeight w:val="399"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862"/>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4,806,764.73</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10,220,144.01</w:t>
            </w: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加：其他收益</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13,329,830.25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9,417,903.64</w:t>
            </w: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58,661,515.82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93,936,147.96</w:t>
            </w: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706,651.00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1,485,333.98</w:t>
            </w:r>
          </w:p>
        </w:tc>
      </w:tr>
      <w:tr>
        <w:trPr>
          <w:trHeight w:val="71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8" w:right="0"/>
              <w:jc w:val="left"/>
              <w:rPr>
                <w:rFonts w:ascii="宋体" w:hAnsi="宋体" w:cs="宋体" w:eastAsia="宋体" w:hint="default"/>
                <w:sz w:val="21"/>
                <w:szCs w:val="21"/>
              </w:rPr>
            </w:pPr>
            <w:r>
              <w:rPr>
                <w:rFonts w:ascii="宋体" w:hAnsi="宋体" w:cs="宋体" w:eastAsia="宋体" w:hint="default"/>
                <w:sz w:val="21"/>
                <w:szCs w:val="21"/>
              </w:rPr>
              <w:t>以摊余成本计量的金融资产终止确认收益</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净敞口套期收益（损失以“－”号填列）</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公允价值变动收益（损失以“－”号填列）</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539,591.58</w:t>
            </w: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7,347,282.38</w:t>
            </w: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50"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-13,995,205.01</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742,846.03</w:t>
            </w: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-349,105.85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2,854,052.08</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5296"/>
        <w:gridCol w:w="2247"/>
        <w:gridCol w:w="2026"/>
      </w:tblGrid>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1,602,779.06</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29,092,765.80</w:t>
            </w: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65,994.00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351,582.00</w:t>
            </w: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28"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2"/>
                <w:sz w:val="21"/>
              </w:rPr>
              <w:t>22,784.11</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5"/>
              <w:jc w:val="right"/>
              <w:rPr>
                <w:rFonts w:ascii="Times New Roman" w:hAnsi="Times New Roman" w:cs="Times New Roman" w:eastAsia="Times New Roman" w:hint="default"/>
                <w:sz w:val="21"/>
                <w:szCs w:val="21"/>
              </w:rPr>
            </w:pPr>
            <w:r>
              <w:rPr>
                <w:rFonts w:ascii="Times New Roman"/>
                <w:sz w:val="21"/>
              </w:rPr>
              <w:t>1,132,913.91</w:t>
            </w: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1,645,988.95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28,311,433.89</w:t>
            </w: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-11,026,670.17</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-12,042,683.59</w:t>
            </w: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12,672,659.12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40,354,117.48</w:t>
            </w: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37"/>
              <w:jc w:val="right"/>
              <w:rPr>
                <w:rFonts w:ascii="宋体" w:hAnsi="宋体" w:cs="宋体" w:eastAsia="宋体" w:hint="default"/>
                <w:sz w:val="21"/>
                <w:szCs w:val="21"/>
              </w:rPr>
            </w:pPr>
            <w:r>
              <w:rPr>
                <w:rFonts w:ascii="宋体" w:hAnsi="宋体" w:cs="宋体" w:eastAsia="宋体" w:hint="default"/>
                <w:spacing w:val="-2"/>
                <w:sz w:val="21"/>
                <w:szCs w:val="21"/>
              </w:rPr>
              <w:t>（一）持续经营净利润（净亏损以“－”号填列）</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12,672,659.12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40,354,117.48</w:t>
            </w: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37"/>
              <w:jc w:val="right"/>
              <w:rPr>
                <w:rFonts w:ascii="宋体" w:hAnsi="宋体" w:cs="宋体" w:eastAsia="宋体" w:hint="default"/>
                <w:sz w:val="21"/>
                <w:szCs w:val="21"/>
              </w:rPr>
            </w:pPr>
            <w:r>
              <w:rPr>
                <w:rFonts w:ascii="宋体" w:hAnsi="宋体" w:cs="宋体" w:eastAsia="宋体" w:hint="default"/>
                <w:spacing w:val="-2"/>
                <w:sz w:val="21"/>
                <w:szCs w:val="21"/>
              </w:rPr>
              <w:t>（二）终止经营净利润（净亏损以“－”号填列）</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（一）不能重分类进损益的其他综合收益</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重新计量设定受益计划变动额</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权益法下不能转损益的其他综合收益</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其他权益工具投资公允价值变动</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企业自身信用风险公允价值变动</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（二）将重分类进损益的其他综合收益</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权益法下可转损益的其他综合收益</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其他债权投资公允价值变动</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可供出售金融资产公允价值变动损益</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1"/>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金融资产重分类计入其他综合收益的金额</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持有至到期投资重分类为可供出售金融资</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产损益</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其他债权投资信用减值准备</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现金流量套期储备</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外币财务报表折算差额</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6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其他</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2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12,672,659.12</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40,354,117.48</w:t>
            </w:r>
          </w:p>
        </w:tc>
      </w:tr>
      <w:tr>
        <w:trPr>
          <w:trHeight w:val="401"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247"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5、合并现金流量表" w:id="167"/>
      <w:bookmarkEnd w:id="16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22"/>
        <w:jc w:val="right"/>
      </w:pPr>
      <w:r>
        <w:rPr/>
        <w:t>单位：元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302"/>
        <w:gridCol w:w="2795"/>
        <w:gridCol w:w="2472"/>
      </w:tblGrid>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8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4302"/>
        <w:gridCol w:w="2795"/>
        <w:gridCol w:w="2472"/>
      </w:tblGrid>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1,775,597,397.64</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2,295,907,532.44</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609"/>
              <w:jc w:val="right"/>
              <w:rPr>
                <w:rFonts w:ascii="宋体" w:hAnsi="宋体" w:cs="宋体" w:eastAsia="宋体" w:hint="default"/>
                <w:sz w:val="21"/>
                <w:szCs w:val="21"/>
              </w:rPr>
            </w:pPr>
            <w:r>
              <w:rPr>
                <w:rFonts w:ascii="宋体" w:hAnsi="宋体" w:cs="宋体" w:eastAsia="宋体" w:hint="default"/>
                <w:spacing w:val="-1"/>
                <w:sz w:val="21"/>
                <w:szCs w:val="21"/>
              </w:rPr>
              <w:t>客户存款和同业存放款项净增加额</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9"/>
              <w:jc w:val="right"/>
              <w:rPr>
                <w:rFonts w:ascii="宋体" w:hAnsi="宋体" w:cs="宋体" w:eastAsia="宋体" w:hint="default"/>
                <w:sz w:val="21"/>
                <w:szCs w:val="21"/>
              </w:rPr>
            </w:pPr>
            <w:r>
              <w:rPr>
                <w:rFonts w:ascii="宋体" w:hAnsi="宋体" w:cs="宋体" w:eastAsia="宋体" w:hint="default"/>
                <w:spacing w:val="-1"/>
                <w:sz w:val="21"/>
                <w:szCs w:val="21"/>
              </w:rPr>
              <w:t>向其他金融机构拆入资金净增加额</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代理买卖证券收到的现金净额</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4,320,839.06</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5,352,563.15</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67,102,540.80</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41,438,720.86</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spacing w:val="-1"/>
                <w:sz w:val="21"/>
              </w:rPr>
              <w:t>1,847,020,777.50</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2,342,698,816.45</w:t>
            </w:r>
          </w:p>
        </w:tc>
      </w:tr>
      <w:tr>
        <w:trPr>
          <w:trHeight w:val="404"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1,283,038,314.98</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1,956,997,154.09</w:t>
            </w: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609"/>
              <w:jc w:val="right"/>
              <w:rPr>
                <w:rFonts w:ascii="宋体" w:hAnsi="宋体" w:cs="宋体" w:eastAsia="宋体" w:hint="default"/>
                <w:sz w:val="21"/>
                <w:szCs w:val="21"/>
              </w:rPr>
            </w:pPr>
            <w:r>
              <w:rPr>
                <w:rFonts w:ascii="宋体" w:hAnsi="宋体" w:cs="宋体" w:eastAsia="宋体" w:hint="default"/>
                <w:spacing w:val="-1"/>
                <w:sz w:val="21"/>
                <w:szCs w:val="21"/>
              </w:rPr>
              <w:t>存放中央银行和同业款项净增加额</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拆出资金净增加额</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609"/>
              <w:jc w:val="right"/>
              <w:rPr>
                <w:rFonts w:ascii="宋体" w:hAnsi="宋体" w:cs="宋体" w:eastAsia="宋体" w:hint="default"/>
                <w:sz w:val="21"/>
                <w:szCs w:val="21"/>
              </w:rPr>
            </w:pPr>
            <w:r>
              <w:rPr>
                <w:rFonts w:ascii="宋体" w:hAnsi="宋体" w:cs="宋体" w:eastAsia="宋体" w:hint="default"/>
                <w:spacing w:val="-1"/>
                <w:sz w:val="21"/>
                <w:szCs w:val="21"/>
              </w:rPr>
              <w:t>支付给职工以及为职工支付的现金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spacing w:val="-1"/>
                <w:sz w:val="21"/>
              </w:rPr>
              <w:t>299,579,201.30</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245,610,827.37</w:t>
            </w:r>
          </w:p>
        </w:tc>
      </w:tr>
      <w:tr>
        <w:trPr>
          <w:trHeight w:val="404"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130,854,711.28</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138,947,673.42</w:t>
            </w: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478,586,940.96</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203,846,010.53</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2,192,059,168.52</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2,545,401,665.41</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spacing w:val="-1"/>
                <w:sz w:val="21"/>
              </w:rPr>
              <w:t>-345,038,391.02</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-202,702,848.96</w:t>
            </w:r>
          </w:p>
        </w:tc>
      </w:tr>
      <w:tr>
        <w:trPr>
          <w:trHeight w:val="404"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89,660,842.06</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219,350,000.00</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1,660,922.41</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pacing w:val="-1"/>
                <w:sz w:val="21"/>
              </w:rPr>
              <w:t>4,114,385.60</w:t>
            </w:r>
          </w:p>
        </w:tc>
      </w:tr>
      <w:tr>
        <w:trPr>
          <w:trHeight w:val="71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105" w:right="191" w:firstLine="422"/>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w:t>
            </w:r>
            <w:r>
              <w:rPr>
                <w:rFonts w:ascii="宋体" w:hAnsi="宋体" w:cs="宋体" w:eastAsia="宋体" w:hint="default"/>
                <w:w w:val="100"/>
                <w:sz w:val="21"/>
                <w:szCs w:val="21"/>
              </w:rPr>
              <w:t> </w:t>
            </w:r>
            <w:r>
              <w:rPr>
                <w:rFonts w:ascii="宋体" w:hAnsi="宋体" w:cs="宋体" w:eastAsia="宋体" w:hint="default"/>
                <w:sz w:val="21"/>
                <w:szCs w:val="21"/>
              </w:rPr>
              <w:t>产收回的现金净额</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1,214,552.22</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3,339,453.33</w:t>
            </w:r>
          </w:p>
        </w:tc>
      </w:tr>
      <w:tr>
        <w:trPr>
          <w:trHeight w:val="716"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9"/>
              <w:ind w:left="105" w:right="191" w:firstLine="422"/>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8,720,000.00</w:t>
            </w:r>
          </w:p>
        </w:tc>
        <w:tc>
          <w:tcPr>
            <w:tcW w:w="24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4302"/>
        <w:gridCol w:w="2795"/>
        <w:gridCol w:w="2472"/>
      </w:tblGrid>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101,256,316.69</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226,803,838.93</w:t>
            </w:r>
          </w:p>
        </w:tc>
      </w:tr>
      <w:tr>
        <w:trPr>
          <w:trHeight w:val="71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91" w:firstLine="422"/>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购建固定资产、无形资产和其他长期资</w:t>
            </w:r>
            <w:r>
              <w:rPr>
                <w:rFonts w:ascii="宋体" w:hAnsi="宋体" w:cs="宋体" w:eastAsia="宋体" w:hint="default"/>
                <w:w w:val="100"/>
                <w:sz w:val="21"/>
                <w:szCs w:val="21"/>
              </w:rPr>
              <w:t> </w:t>
            </w:r>
            <w:r>
              <w:rPr>
                <w:rFonts w:ascii="宋体" w:hAnsi="宋体" w:cs="宋体" w:eastAsia="宋体" w:hint="default"/>
                <w:sz w:val="21"/>
                <w:szCs w:val="21"/>
              </w:rPr>
              <w:t>产支付的现金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18,068,522.84</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17,037,988.36</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spacing w:val="-1"/>
                <w:sz w:val="21"/>
              </w:rPr>
              <w:t>120,364,250.00</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227,938,282.06</w:t>
            </w: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91" w:firstLine="422"/>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77,381,100.37</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1"/>
                <w:sz w:val="21"/>
              </w:rPr>
              <w:t>4,346,118.40</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8,720,000.00</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spacing w:val="-1"/>
                <w:sz w:val="21"/>
              </w:rPr>
              <w:t>215,813,873.21</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258,042,388.82</w:t>
            </w: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-114,557,556.52</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-31,238,549.89</w:t>
            </w: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1,600,000.00</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7,240,300.00</w:t>
            </w:r>
          </w:p>
        </w:tc>
      </w:tr>
      <w:tr>
        <w:trPr>
          <w:trHeight w:val="71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105" w:right="191" w:firstLine="422"/>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1,600,000.00</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7,240,300.00</w:t>
            </w: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908,321,250.00</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1,242,500,000.00</w:t>
            </w:r>
          </w:p>
        </w:tc>
      </w:tr>
      <w:tr>
        <w:trPr>
          <w:trHeight w:val="404"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795" w:type="dxa"/>
            <w:tcBorders>
              <w:top w:val="single" w:sz="4" w:space="0" w:color="000000"/>
              <w:left w:val="single" w:sz="4" w:space="0" w:color="000000"/>
              <w:bottom w:val="single" w:sz="4" w:space="0" w:color="000000"/>
              <w:right w:val="single" w:sz="4" w:space="0" w:color="000000"/>
            </w:tcBorders>
          </w:tcPr>
          <w:p>
            <w:pPr/>
          </w:p>
        </w:tc>
        <w:tc>
          <w:tcPr>
            <w:tcW w:w="247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909,921,250.00</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1,249,740,300.00</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spacing w:val="-1"/>
                <w:sz w:val="21"/>
              </w:rPr>
              <w:t>664,870,043.79</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1,168,197,221.25</w:t>
            </w: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72,568,025.17</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76,765,656.18</w:t>
            </w:r>
          </w:p>
        </w:tc>
      </w:tr>
      <w:tr>
        <w:trPr>
          <w:trHeight w:val="716"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91" w:firstLine="422"/>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w:t>
            </w:r>
            <w:r>
              <w:rPr>
                <w:rFonts w:ascii="宋体" w:hAnsi="宋体" w:cs="宋体" w:eastAsia="宋体" w:hint="default"/>
                <w:w w:val="100"/>
                <w:sz w:val="21"/>
                <w:szCs w:val="21"/>
              </w:rPr>
              <w:t> </w:t>
            </w:r>
            <w:r>
              <w:rPr>
                <w:rFonts w:ascii="宋体" w:hAnsi="宋体" w:cs="宋体" w:eastAsia="宋体" w:hint="default"/>
                <w:sz w:val="21"/>
                <w:szCs w:val="21"/>
              </w:rPr>
              <w:t>利润</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1,741,080.32</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10,160,062.24</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1,949,200.00</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240,060,973.58</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spacing w:val="-1"/>
                <w:sz w:val="21"/>
              </w:rPr>
              <w:t>739,387,268.96</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1,485,023,851.01</w:t>
            </w: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170,533,981.04</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-235,283,551.01</w:t>
            </w:r>
          </w:p>
        </w:tc>
      </w:tr>
      <w:tr>
        <w:trPr>
          <w:trHeight w:val="404"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-80,918.61</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-356,492.49</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-289,142,885.11</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-469,581,442.35</w:t>
            </w:r>
          </w:p>
        </w:tc>
      </w:tr>
      <w:tr>
        <w:trPr>
          <w:trHeight w:val="401"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spacing w:val="-1"/>
                <w:sz w:val="21"/>
              </w:rPr>
              <w:t>756,761,321.50</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1,226,342,763.85</w:t>
            </w:r>
          </w:p>
        </w:tc>
      </w:tr>
      <w:tr>
        <w:trPr>
          <w:trHeight w:val="403" w:hRule="exact"/>
        </w:trPr>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467,618,436.39</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756,761,321.50</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002"/>
        <w:jc w:val="left"/>
        <w:rPr>
          <w:b w:val="0"/>
          <w:bCs w:val="0"/>
        </w:rPr>
      </w:pPr>
      <w:bookmarkStart w:name="6、母公司现金流量表" w:id="168"/>
      <w:bookmarkEnd w:id="16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822"/>
        <w:gridCol w:w="3212"/>
        <w:gridCol w:w="2535"/>
      </w:tblGrid>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90" w:right="0"/>
              <w:jc w:val="left"/>
              <w:rPr>
                <w:rFonts w:ascii="Times New Roman" w:hAnsi="Times New Roman" w:cs="Times New Roman" w:eastAsia="Times New Roman" w:hint="default"/>
                <w:sz w:val="21"/>
                <w:szCs w:val="21"/>
              </w:rPr>
            </w:pPr>
            <w:r>
              <w:rPr>
                <w:rFonts w:ascii="Times New Roman"/>
                <w:sz w:val="21"/>
              </w:rPr>
              <w:t>641,064,849.05</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14" w:right="0"/>
              <w:jc w:val="left"/>
              <w:rPr>
                <w:rFonts w:ascii="Times New Roman" w:hAnsi="Times New Roman" w:cs="Times New Roman" w:eastAsia="Times New Roman" w:hint="default"/>
                <w:sz w:val="21"/>
                <w:szCs w:val="21"/>
              </w:rPr>
            </w:pPr>
            <w:r>
              <w:rPr>
                <w:rFonts w:ascii="Times New Roman"/>
                <w:sz w:val="21"/>
              </w:rPr>
              <w:t>576,103,761.46</w:t>
            </w:r>
          </w:p>
        </w:tc>
      </w:tr>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3212"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822"/>
        <w:gridCol w:w="3212"/>
        <w:gridCol w:w="2535"/>
      </w:tblGrid>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22,116,858.43</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30,154,264.98</w:t>
            </w: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663,181,707.48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606,258,026.44</w:t>
            </w: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28"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496,353,509.02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350,430,456.04</w:t>
            </w:r>
          </w:p>
        </w:tc>
      </w:tr>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51,756,968.12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45,425,125.22</w:t>
            </w:r>
          </w:p>
        </w:tc>
      </w:tr>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38,681,253.87</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37,335,970.51</w:t>
            </w: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266,006,802.52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74,758,161.94</w:t>
            </w: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852,798,533.53</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507,949,713.71</w:t>
            </w:r>
          </w:p>
        </w:tc>
      </w:tr>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-189,616,826.05</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98,308,312.73</w:t>
            </w:r>
          </w:p>
        </w:tc>
      </w:tr>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57,180,620.14</w:t>
            </w: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60,846,804.68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92,450,813.98</w:t>
            </w:r>
          </w:p>
        </w:tc>
      </w:tr>
      <w:tr>
        <w:trPr>
          <w:trHeight w:val="716"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9"/>
              <w:ind w:left="105" w:right="128" w:firstLine="422"/>
              <w:jc w:val="left"/>
              <w:rPr>
                <w:rFonts w:ascii="宋体" w:hAnsi="宋体" w:cs="宋体" w:eastAsia="宋体" w:hint="default"/>
                <w:sz w:val="21"/>
                <w:szCs w:val="21"/>
              </w:rPr>
            </w:pPr>
            <w:r>
              <w:rPr>
                <w:rFonts w:ascii="宋体" w:hAnsi="宋体" w:cs="宋体" w:eastAsia="宋体" w:hint="default"/>
                <w:spacing w:val="-1"/>
                <w:sz w:val="21"/>
                <w:szCs w:val="21"/>
              </w:rPr>
              <w:t>处置固定资产、无形资产和其他长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期资产收回的现金净额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2,127,476.44</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3,133,120.67</w:t>
            </w:r>
          </w:p>
        </w:tc>
      </w:tr>
      <w:tr>
        <w:trPr>
          <w:trHeight w:val="715"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29" w:firstLine="422"/>
              <w:jc w:val="left"/>
              <w:rPr>
                <w:rFonts w:ascii="宋体" w:hAnsi="宋体" w:cs="宋体" w:eastAsia="宋体" w:hint="default"/>
                <w:sz w:val="21"/>
                <w:szCs w:val="21"/>
              </w:rPr>
            </w:pPr>
            <w:r>
              <w:rPr>
                <w:rFonts w:ascii="宋体" w:hAnsi="宋体" w:cs="宋体" w:eastAsia="宋体" w:hint="default"/>
                <w:spacing w:val="-1"/>
                <w:sz w:val="21"/>
                <w:szCs w:val="21"/>
              </w:rPr>
              <w:t>处置子公司及其他营业单位收到的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120,154,901.26</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95,583,934.65</w:t>
            </w:r>
          </w:p>
        </w:tc>
      </w:tr>
      <w:tr>
        <w:trPr>
          <w:trHeight w:val="715"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129" w:firstLine="422"/>
              <w:jc w:val="left"/>
              <w:rPr>
                <w:rFonts w:ascii="宋体" w:hAnsi="宋体" w:cs="宋体" w:eastAsia="宋体" w:hint="default"/>
                <w:sz w:val="21"/>
                <w:szCs w:val="21"/>
              </w:rPr>
            </w:pPr>
            <w:r>
              <w:rPr>
                <w:rFonts w:ascii="宋体" w:hAnsi="宋体" w:cs="宋体" w:eastAsia="宋体" w:hint="default"/>
                <w:spacing w:val="-1"/>
                <w:sz w:val="21"/>
                <w:szCs w:val="21"/>
              </w:rPr>
              <w:t>购建固定资产、无形资产和其他长</w:t>
            </w:r>
            <w:r>
              <w:rPr>
                <w:rFonts w:ascii="宋体" w:hAnsi="宋体" w:cs="宋体" w:eastAsia="宋体" w:hint="default"/>
                <w:w w:val="100"/>
                <w:sz w:val="21"/>
                <w:szCs w:val="21"/>
              </w:rPr>
              <w:t> </w:t>
            </w:r>
            <w:r>
              <w:rPr>
                <w:rFonts w:ascii="宋体" w:hAnsi="宋体" w:cs="宋体" w:eastAsia="宋体" w:hint="default"/>
                <w:sz w:val="21"/>
                <w:szCs w:val="21"/>
              </w:rPr>
              <w:t>期资产支付的现金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2,040,289.94</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8,433,320.30</w:t>
            </w:r>
          </w:p>
        </w:tc>
      </w:tr>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19,900,000.00</w:t>
            </w:r>
          </w:p>
        </w:tc>
      </w:tr>
      <w:tr>
        <w:trPr>
          <w:trHeight w:val="71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29" w:firstLine="422"/>
              <w:jc w:val="left"/>
              <w:rPr>
                <w:rFonts w:ascii="宋体" w:hAnsi="宋体" w:cs="宋体" w:eastAsia="宋体" w:hint="default"/>
                <w:sz w:val="21"/>
                <w:szCs w:val="21"/>
              </w:rPr>
            </w:pPr>
            <w:r>
              <w:rPr>
                <w:rFonts w:ascii="宋体" w:hAnsi="宋体" w:cs="宋体" w:eastAsia="宋体" w:hint="default"/>
                <w:spacing w:val="-1"/>
                <w:sz w:val="21"/>
                <w:szCs w:val="21"/>
              </w:rPr>
              <w:t>取得子公司及其他营业单位支付的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2,040,289.94</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28,333,320.30</w:t>
            </w:r>
          </w:p>
        </w:tc>
      </w:tr>
      <w:tr>
        <w:trPr>
          <w:trHeight w:val="404"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pacing w:val="-3"/>
                <w:sz w:val="21"/>
              </w:rPr>
              <w:t>118,114,611.32</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67,250,614.35</w:t>
            </w: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744,321,250.00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1,217,000,000.00</w:t>
            </w:r>
          </w:p>
        </w:tc>
      </w:tr>
      <w:tr>
        <w:trPr>
          <w:trHeight w:val="404"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744,321,250.00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1,217,000,000.00</w:t>
            </w: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568,000,000.00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1,139,000,000.00</w:t>
            </w:r>
          </w:p>
        </w:tc>
      </w:tr>
      <w:tr>
        <w:trPr>
          <w:trHeight w:val="715"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129" w:firstLine="422"/>
              <w:jc w:val="left"/>
              <w:rPr>
                <w:rFonts w:ascii="宋体" w:hAnsi="宋体" w:cs="宋体" w:eastAsia="宋体" w:hint="default"/>
                <w:sz w:val="21"/>
                <w:szCs w:val="21"/>
              </w:rPr>
            </w:pPr>
            <w:r>
              <w:rPr>
                <w:rFonts w:ascii="宋体" w:hAnsi="宋体" w:cs="宋体" w:eastAsia="宋体" w:hint="default"/>
                <w:spacing w:val="-1"/>
                <w:sz w:val="21"/>
                <w:szCs w:val="21"/>
              </w:rPr>
              <w:t>分配股利、利润或偿付利息支付的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62,684,493.80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66,135,225.11</w:t>
            </w:r>
          </w:p>
        </w:tc>
      </w:tr>
      <w:tr>
        <w:trPr>
          <w:trHeight w:val="404"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240,060,973.58</w:t>
            </w:r>
          </w:p>
        </w:tc>
      </w:tr>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630,684,493.80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1,445,196,198.69</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328" w:type="dxa"/>
        <w:tblLayout w:type="fixed"/>
        <w:tblCellMar>
          <w:top w:w="0" w:type="dxa"/>
          <w:left w:w="0" w:type="dxa"/>
          <w:bottom w:w="0" w:type="dxa"/>
          <w:right w:w="0" w:type="dxa"/>
        </w:tblCellMar>
        <w:tblLook w:val="01E0"/>
      </w:tblPr>
      <w:tblGrid>
        <w:gridCol w:w="3822"/>
        <w:gridCol w:w="3212"/>
        <w:gridCol w:w="2535"/>
      </w:tblGrid>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113,636,756.20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-228,196,198.69</w:t>
            </w:r>
          </w:p>
        </w:tc>
      </w:tr>
      <w:tr>
        <w:trPr>
          <w:trHeight w:val="71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29"/>
              <w:jc w:val="left"/>
              <w:rPr>
                <w:rFonts w:ascii="宋体" w:hAnsi="宋体" w:cs="宋体" w:eastAsia="宋体" w:hint="default"/>
                <w:sz w:val="21"/>
                <w:szCs w:val="21"/>
              </w:rPr>
            </w:pPr>
            <w:r>
              <w:rPr>
                <w:rFonts w:ascii="宋体" w:hAnsi="宋体" w:cs="宋体" w:eastAsia="宋体" w:hint="default"/>
                <w:spacing w:val="-1"/>
                <w:sz w:val="21"/>
                <w:szCs w:val="21"/>
              </w:rPr>
              <w:t>四、汇率变动对现金及现金等价物的影</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响</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-83,410.07</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-380,901.34</w:t>
            </w:r>
          </w:p>
        </w:tc>
      </w:tr>
      <w:tr>
        <w:trPr>
          <w:trHeight w:val="401"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42,051,131.40</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-63,018,172.95</w:t>
            </w:r>
          </w:p>
        </w:tc>
      </w:tr>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66,478,120.38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129,496,293.33</w:t>
            </w:r>
          </w:p>
        </w:tc>
      </w:tr>
      <w:tr>
        <w:trPr>
          <w:trHeight w:val="403" w:hRule="exact"/>
        </w:trPr>
        <w:tc>
          <w:tcPr>
            <w:tcW w:w="3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108,529,251.78</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66,478,120.38</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left="333" w:right="4614"/>
        <w:jc w:val="left"/>
        <w:rPr>
          <w:b w:val="0"/>
          <w:bCs w:val="0"/>
        </w:rPr>
      </w:pPr>
      <w:bookmarkStart w:name="7、合并所有者权益变动表" w:id="169"/>
      <w:bookmarkEnd w:id="16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spacing w:before="46"/>
        <w:ind w:left="333" w:right="4614"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22"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13"/>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465"/>
        <w:gridCol w:w="494"/>
        <w:gridCol w:w="466"/>
        <w:gridCol w:w="466"/>
        <w:gridCol w:w="470"/>
        <w:gridCol w:w="581"/>
        <w:gridCol w:w="586"/>
        <w:gridCol w:w="581"/>
        <w:gridCol w:w="586"/>
        <w:gridCol w:w="586"/>
        <w:gridCol w:w="581"/>
        <w:gridCol w:w="586"/>
        <w:gridCol w:w="586"/>
        <w:gridCol w:w="581"/>
        <w:gridCol w:w="586"/>
        <w:gridCol w:w="716"/>
      </w:tblGrid>
      <w:tr>
        <w:trPr>
          <w:trHeight w:val="403" w:hRule="exact"/>
        </w:trPr>
        <w:tc>
          <w:tcPr>
            <w:tcW w:w="14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3"/>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845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r>
      <w:tr>
        <w:trPr>
          <w:trHeight w:val="399" w:hRule="exact"/>
        </w:trPr>
        <w:tc>
          <w:tcPr>
            <w:tcW w:w="1465" w:type="dxa"/>
            <w:vMerge/>
            <w:tcBorders>
              <w:left w:val="single" w:sz="4" w:space="0" w:color="000000"/>
              <w:right w:val="single" w:sz="4" w:space="0" w:color="000000"/>
            </w:tcBorders>
            <w:shd w:val="clear" w:color="auto" w:fill="D2D2D2"/>
          </w:tcPr>
          <w:p>
            <w:pPr/>
          </w:p>
        </w:tc>
        <w:tc>
          <w:tcPr>
            <w:tcW w:w="715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3"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73" w:lineRule="auto"/>
              <w:ind w:left="182" w:right="180"/>
              <w:jc w:val="both"/>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144" w:right="137"/>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r>
      <w:tr>
        <w:trPr>
          <w:trHeight w:val="715" w:hRule="exact"/>
        </w:trPr>
        <w:tc>
          <w:tcPr>
            <w:tcW w:w="1465"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6" w:lineRule="auto"/>
              <w:ind w:left="139" w:right="132"/>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585" w:right="166" w:hanging="418"/>
              <w:jc w:val="left"/>
              <w:rPr>
                <w:rFonts w:ascii="宋体" w:hAnsi="宋体" w:cs="宋体" w:eastAsia="宋体" w:hint="default"/>
                <w:sz w:val="21"/>
                <w:szCs w:val="21"/>
              </w:rPr>
            </w:pPr>
            <w:r>
              <w:rPr>
                <w:rFonts w:ascii="宋体" w:hAnsi="宋体" w:cs="宋体" w:eastAsia="宋体" w:hint="default"/>
                <w:sz w:val="21"/>
                <w:szCs w:val="21"/>
              </w:rPr>
              <w:t>其他权益工</w:t>
            </w:r>
            <w:r>
              <w:rPr>
                <w:rFonts w:ascii="宋体" w:hAnsi="宋体" w:cs="宋体" w:eastAsia="宋体" w:hint="default"/>
                <w:spacing w:val="-99"/>
                <w:sz w:val="21"/>
                <w:szCs w:val="21"/>
              </w:rPr>
              <w:t> </w:t>
            </w:r>
            <w:r>
              <w:rPr>
                <w:rFonts w:ascii="宋体" w:hAnsi="宋体" w:cs="宋体" w:eastAsia="宋体" w:hint="default"/>
                <w:sz w:val="21"/>
                <w:szCs w:val="21"/>
              </w:rPr>
              <w:t>具</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78" w:right="180"/>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2" w:right="47" w:hanging="77"/>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库</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77" w:right="180"/>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2" w:right="180"/>
              <w:jc w:val="both"/>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储</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2" w:right="180"/>
              <w:jc w:val="both"/>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w w:val="100"/>
                <w:sz w:val="21"/>
                <w:szCs w:val="21"/>
              </w:rPr>
              <w:t> </w:t>
            </w:r>
            <w:r>
              <w:rPr>
                <w:rFonts w:ascii="宋体" w:hAnsi="宋体" w:cs="宋体" w:eastAsia="宋体" w:hint="default"/>
                <w:sz w:val="21"/>
                <w:szCs w:val="21"/>
              </w:rPr>
              <w:t>余</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积</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77" w:right="180"/>
              <w:jc w:val="both"/>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风</w:t>
            </w:r>
            <w:r>
              <w:rPr>
                <w:rFonts w:ascii="宋体" w:hAnsi="宋体" w:cs="宋体" w:eastAsia="宋体" w:hint="default"/>
                <w:w w:val="100"/>
                <w:sz w:val="21"/>
                <w:szCs w:val="21"/>
              </w:rPr>
              <w:t> </w:t>
            </w: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82" w:right="182"/>
              <w:jc w:val="both"/>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分</w:t>
            </w:r>
            <w:r>
              <w:rPr>
                <w:rFonts w:ascii="宋体" w:hAnsi="宋体" w:cs="宋体" w:eastAsia="宋体" w:hint="default"/>
                <w:w w:val="100"/>
                <w:sz w:val="21"/>
                <w:szCs w:val="21"/>
              </w:rPr>
              <w:t> </w:t>
            </w:r>
            <w:r>
              <w:rPr>
                <w:rFonts w:ascii="宋体" w:hAnsi="宋体" w:cs="宋体" w:eastAsia="宋体" w:hint="default"/>
                <w:sz w:val="21"/>
                <w:szCs w:val="21"/>
              </w:rPr>
              <w:t>配</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6" w:lineRule="auto"/>
              <w:ind w:left="182" w:right="18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6" w:lineRule="auto"/>
              <w:ind w:left="177" w:right="18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586" w:type="dxa"/>
            <w:vMerge/>
            <w:tcBorders>
              <w:left w:val="single" w:sz="4" w:space="0" w:color="000000"/>
              <w:right w:val="single" w:sz="4" w:space="0" w:color="000000"/>
            </w:tcBorders>
            <w:shd w:val="clear" w:color="auto" w:fill="D2D2D2"/>
          </w:tcPr>
          <w:p>
            <w:pPr/>
          </w:p>
        </w:tc>
        <w:tc>
          <w:tcPr>
            <w:tcW w:w="716" w:type="dxa"/>
            <w:vMerge/>
            <w:tcBorders>
              <w:left w:val="single" w:sz="4" w:space="0" w:color="000000"/>
              <w:right w:val="single" w:sz="4" w:space="0" w:color="000000"/>
            </w:tcBorders>
            <w:shd w:val="clear" w:color="auto" w:fill="D2D2D2"/>
          </w:tcPr>
          <w:p>
            <w:pPr/>
          </w:p>
        </w:tc>
      </w:tr>
      <w:tr>
        <w:trPr>
          <w:trHeight w:val="1248" w:hRule="exact"/>
        </w:trPr>
        <w:tc>
          <w:tcPr>
            <w:tcW w:w="1465"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38"/>
              <w:ind w:left="119" w:right="123"/>
              <w:jc w:val="both"/>
              <w:rPr>
                <w:rFonts w:ascii="宋体" w:hAnsi="宋体" w:cs="宋体" w:eastAsia="宋体" w:hint="default"/>
                <w:sz w:val="21"/>
                <w:szCs w:val="21"/>
              </w:rPr>
            </w:pPr>
            <w:r>
              <w:rPr>
                <w:rFonts w:ascii="宋体" w:hAnsi="宋体" w:cs="宋体" w:eastAsia="宋体" w:hint="default"/>
                <w:sz w:val="21"/>
                <w:szCs w:val="21"/>
              </w:rPr>
              <w:t>优</w:t>
            </w:r>
            <w:r>
              <w:rPr>
                <w:rFonts w:ascii="宋体" w:hAnsi="宋体" w:cs="宋体" w:eastAsia="宋体" w:hint="default"/>
                <w:w w:val="100"/>
                <w:sz w:val="21"/>
                <w:szCs w:val="21"/>
              </w:rPr>
              <w:t> </w:t>
            </w: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38"/>
              <w:ind w:left="124" w:right="119"/>
              <w:jc w:val="both"/>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w w:val="100"/>
                <w:sz w:val="21"/>
                <w:szCs w:val="21"/>
              </w:rPr>
              <w:t> </w:t>
            </w: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24" w:right="12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716" w:type="dxa"/>
            <w:vMerge/>
            <w:tcBorders>
              <w:left w:val="single" w:sz="4" w:space="0" w:color="000000"/>
              <w:bottom w:val="single" w:sz="4" w:space="0" w:color="000000"/>
              <w:right w:val="single" w:sz="4" w:space="0" w:color="000000"/>
            </w:tcBorders>
            <w:shd w:val="clear" w:color="auto" w:fill="D2D2D2"/>
          </w:tcPr>
          <w:p>
            <w:pPr/>
          </w:p>
        </w:tc>
      </w:tr>
      <w:tr>
        <w:trPr>
          <w:trHeight w:val="1964"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3"/>
                <w:sz w:val="21"/>
                <w:szCs w:val="21"/>
              </w:rPr>
              <w:t>一、上年期末</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2" w:right="0"/>
              <w:jc w:val="center"/>
              <w:rPr>
                <w:rFonts w:ascii="Times New Roman" w:hAnsi="Times New Roman" w:cs="Times New Roman" w:eastAsia="Times New Roman" w:hint="default"/>
                <w:sz w:val="21"/>
                <w:szCs w:val="21"/>
              </w:rPr>
            </w:pPr>
            <w:r>
              <w:rPr>
                <w:rFonts w:ascii="Times New Roman"/>
                <w:sz w:val="21"/>
              </w:rPr>
              <w:t>69</w:t>
            </w:r>
          </w:p>
          <w:p>
            <w:pPr>
              <w:pStyle w:val="TableParagraph"/>
              <w:spacing w:line="240" w:lineRule="auto" w:before="65"/>
              <w:ind w:left="19" w:right="0"/>
              <w:jc w:val="center"/>
              <w:rPr>
                <w:rFonts w:ascii="Times New Roman" w:hAnsi="Times New Roman" w:cs="Times New Roman" w:eastAsia="Times New Roman" w:hint="default"/>
                <w:sz w:val="21"/>
                <w:szCs w:val="21"/>
              </w:rPr>
            </w:pPr>
            <w:r>
              <w:rPr>
                <w:rFonts w:ascii="Times New Roman"/>
                <w:sz w:val="21"/>
              </w:rPr>
              <w:t>1,5</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05,</w:t>
            </w:r>
          </w:p>
          <w:p>
            <w:pPr>
              <w:pStyle w:val="TableParagraph"/>
              <w:spacing w:line="240" w:lineRule="auto" w:before="71"/>
              <w:ind w:left="72" w:right="0"/>
              <w:jc w:val="center"/>
              <w:rPr>
                <w:rFonts w:ascii="Times New Roman" w:hAnsi="Times New Roman" w:cs="Times New Roman" w:eastAsia="Times New Roman" w:hint="default"/>
                <w:sz w:val="21"/>
                <w:szCs w:val="21"/>
              </w:rPr>
            </w:pPr>
            <w:r>
              <w:rPr>
                <w:rFonts w:ascii="Times New Roman"/>
                <w:sz w:val="21"/>
              </w:rPr>
              <w:t>91</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5.0</w:t>
            </w:r>
          </w:p>
          <w:p>
            <w:pPr>
              <w:pStyle w:val="TableParagraph"/>
              <w:spacing w:line="240" w:lineRule="auto" w:before="75"/>
              <w:ind w:left="177" w:right="0"/>
              <w:jc w:val="center"/>
              <w:rPr>
                <w:rFonts w:ascii="Times New Roman" w:hAnsi="Times New Roman" w:cs="Times New Roman" w:eastAsia="Times New Roman" w:hint="default"/>
                <w:sz w:val="21"/>
                <w:szCs w:val="21"/>
              </w:rPr>
            </w:pPr>
            <w:r>
              <w:rPr>
                <w:rFonts w:ascii="Times New Roman"/>
                <w:w w:val="100"/>
                <w:sz w:val="21"/>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6" w:right="0"/>
              <w:jc w:val="center"/>
              <w:rPr>
                <w:rFonts w:ascii="Times New Roman" w:hAnsi="Times New Roman" w:cs="Times New Roman" w:eastAsia="Times New Roman" w:hint="default"/>
                <w:sz w:val="21"/>
                <w:szCs w:val="21"/>
              </w:rPr>
            </w:pPr>
            <w:r>
              <w:rPr>
                <w:rFonts w:ascii="Times New Roman"/>
                <w:sz w:val="21"/>
              </w:rPr>
              <w:t>2,8</w:t>
            </w:r>
          </w:p>
          <w:p>
            <w:pPr>
              <w:pStyle w:val="TableParagraph"/>
              <w:spacing w:line="240" w:lineRule="auto" w:before="65"/>
              <w:ind w:left="96" w:right="0"/>
              <w:jc w:val="center"/>
              <w:rPr>
                <w:rFonts w:ascii="Times New Roman" w:hAnsi="Times New Roman" w:cs="Times New Roman" w:eastAsia="Times New Roman" w:hint="default"/>
                <w:sz w:val="21"/>
                <w:szCs w:val="21"/>
              </w:rPr>
            </w:pPr>
            <w:r>
              <w:rPr>
                <w:rFonts w:ascii="Times New Roman"/>
                <w:sz w:val="21"/>
              </w:rPr>
              <w:t>25,</w:t>
            </w:r>
          </w:p>
          <w:p>
            <w:pPr>
              <w:pStyle w:val="TableParagraph"/>
              <w:spacing w:line="240" w:lineRule="auto" w:before="70"/>
              <w:ind w:left="149" w:right="0"/>
              <w:jc w:val="left"/>
              <w:rPr>
                <w:rFonts w:ascii="Times New Roman" w:hAnsi="Times New Roman" w:cs="Times New Roman" w:eastAsia="Times New Roman" w:hint="default"/>
                <w:sz w:val="21"/>
                <w:szCs w:val="21"/>
              </w:rPr>
            </w:pPr>
            <w:r>
              <w:rPr>
                <w:rFonts w:ascii="Times New Roman"/>
                <w:sz w:val="21"/>
              </w:rPr>
              <w:t>137</w:t>
            </w:r>
          </w:p>
          <w:p>
            <w:pPr>
              <w:pStyle w:val="TableParagraph"/>
              <w:spacing w:line="240" w:lineRule="auto" w:before="71"/>
              <w:ind w:left="96" w:right="0"/>
              <w:jc w:val="center"/>
              <w:rPr>
                <w:rFonts w:ascii="Times New Roman" w:hAnsi="Times New Roman" w:cs="Times New Roman" w:eastAsia="Times New Roman" w:hint="default"/>
                <w:sz w:val="21"/>
                <w:szCs w:val="21"/>
              </w:rPr>
            </w:pPr>
            <w:r>
              <w:rPr>
                <w:rFonts w:ascii="Times New Roman"/>
                <w:sz w:val="21"/>
              </w:rPr>
              <w:t>,57</w:t>
            </w:r>
          </w:p>
          <w:p>
            <w:pPr>
              <w:pStyle w:val="TableParagraph"/>
              <w:spacing w:line="240" w:lineRule="auto" w:before="70"/>
              <w:ind w:left="96" w:right="0"/>
              <w:jc w:val="center"/>
              <w:rPr>
                <w:rFonts w:ascii="Times New Roman" w:hAnsi="Times New Roman" w:cs="Times New Roman" w:eastAsia="Times New Roman" w:hint="default"/>
                <w:sz w:val="21"/>
                <w:szCs w:val="21"/>
              </w:rPr>
            </w:pPr>
            <w:r>
              <w:rPr>
                <w:rFonts w:ascii="Times New Roman"/>
                <w:sz w:val="21"/>
              </w:rPr>
              <w:t>4.8</w:t>
            </w:r>
          </w:p>
          <w:p>
            <w:pPr>
              <w:pStyle w:val="TableParagraph"/>
              <w:spacing w:line="240" w:lineRule="auto" w:before="75"/>
              <w:ind w:left="255" w:right="0"/>
              <w:jc w:val="center"/>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033,</w:t>
            </w:r>
          </w:p>
          <w:p>
            <w:pPr>
              <w:pStyle w:val="TableParagraph"/>
              <w:spacing w:line="240" w:lineRule="auto" w:before="71"/>
              <w:ind w:left="4" w:right="0"/>
              <w:jc w:val="center"/>
              <w:rPr>
                <w:rFonts w:ascii="Times New Roman" w:hAnsi="Times New Roman" w:cs="Times New Roman" w:eastAsia="Times New Roman" w:hint="default"/>
                <w:sz w:val="21"/>
                <w:szCs w:val="21"/>
              </w:rPr>
            </w:pPr>
            <w:r>
              <w:rPr>
                <w:rFonts w:ascii="Times New Roman"/>
                <w:sz w:val="21"/>
              </w:rPr>
              <w:t>637.</w:t>
            </w:r>
          </w:p>
          <w:p>
            <w:pPr>
              <w:pStyle w:val="TableParagraph"/>
              <w:spacing w:line="240" w:lineRule="auto" w:before="75"/>
              <w:ind w:left="163" w:right="0"/>
              <w:jc w:val="center"/>
              <w:rPr>
                <w:rFonts w:ascii="Times New Roman" w:hAnsi="Times New Roman" w:cs="Times New Roman" w:eastAsia="Times New Roman" w:hint="default"/>
                <w:sz w:val="21"/>
                <w:szCs w:val="21"/>
              </w:rPr>
            </w:pPr>
            <w:r>
              <w:rPr>
                <w:rFonts w:ascii="Times New Roman"/>
                <w:sz w:val="21"/>
              </w:rPr>
              <w:t>57</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00" w:right="0"/>
              <w:jc w:val="center"/>
              <w:rPr>
                <w:rFonts w:ascii="Times New Roman" w:hAnsi="Times New Roman" w:cs="Times New Roman" w:eastAsia="Times New Roman" w:hint="default"/>
                <w:sz w:val="21"/>
                <w:szCs w:val="21"/>
              </w:rPr>
            </w:pPr>
            <w:r>
              <w:rPr>
                <w:rFonts w:ascii="Times New Roman"/>
                <w:sz w:val="21"/>
              </w:rPr>
              <w:t>52,</w:t>
            </w:r>
          </w:p>
          <w:p>
            <w:pPr>
              <w:pStyle w:val="TableParagraph"/>
              <w:spacing w:line="240" w:lineRule="auto" w:before="65"/>
              <w:ind w:left="153" w:right="0"/>
              <w:jc w:val="left"/>
              <w:rPr>
                <w:rFonts w:ascii="Times New Roman" w:hAnsi="Times New Roman" w:cs="Times New Roman" w:eastAsia="Times New Roman" w:hint="default"/>
                <w:sz w:val="21"/>
                <w:szCs w:val="21"/>
              </w:rPr>
            </w:pPr>
            <w:r>
              <w:rPr>
                <w:rFonts w:ascii="Times New Roman"/>
                <w:sz w:val="21"/>
              </w:rPr>
              <w:t>516</w:t>
            </w:r>
          </w:p>
          <w:p>
            <w:pPr>
              <w:pStyle w:val="TableParagraph"/>
              <w:spacing w:line="240" w:lineRule="auto" w:before="70"/>
              <w:ind w:left="100" w:right="0"/>
              <w:jc w:val="center"/>
              <w:rPr>
                <w:rFonts w:ascii="Times New Roman" w:hAnsi="Times New Roman" w:cs="Times New Roman" w:eastAsia="Times New Roman" w:hint="default"/>
                <w:sz w:val="21"/>
                <w:szCs w:val="21"/>
              </w:rPr>
            </w:pPr>
            <w:r>
              <w:rPr>
                <w:rFonts w:ascii="Times New Roman"/>
                <w:sz w:val="21"/>
              </w:rPr>
              <w:t>,25</w:t>
            </w:r>
          </w:p>
          <w:p>
            <w:pPr>
              <w:pStyle w:val="TableParagraph"/>
              <w:spacing w:line="240" w:lineRule="auto" w:before="71"/>
              <w:ind w:left="100" w:right="0"/>
              <w:jc w:val="center"/>
              <w:rPr>
                <w:rFonts w:ascii="Times New Roman" w:hAnsi="Times New Roman" w:cs="Times New Roman" w:eastAsia="Times New Roman" w:hint="default"/>
                <w:sz w:val="21"/>
                <w:szCs w:val="21"/>
              </w:rPr>
            </w:pPr>
            <w:r>
              <w:rPr>
                <w:rFonts w:ascii="Times New Roman"/>
                <w:sz w:val="21"/>
              </w:rPr>
              <w:t>1.6</w:t>
            </w:r>
          </w:p>
          <w:p>
            <w:pPr>
              <w:pStyle w:val="TableParagraph"/>
              <w:spacing w:line="240" w:lineRule="auto" w:before="75"/>
              <w:ind w:left="259" w:right="0"/>
              <w:jc w:val="center"/>
              <w:rPr>
                <w:rFonts w:ascii="Times New Roman" w:hAnsi="Times New Roman" w:cs="Times New Roman" w:eastAsia="Times New Roman" w:hint="default"/>
                <w:sz w:val="21"/>
                <w:szCs w:val="21"/>
              </w:rPr>
            </w:pPr>
            <w:r>
              <w:rPr>
                <w:rFonts w:ascii="Times New Roman"/>
                <w:w w:val="100"/>
                <w:sz w:val="21"/>
              </w:rPr>
              <w:t>9</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782,</w:t>
            </w:r>
          </w:p>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617,</w:t>
            </w:r>
          </w:p>
          <w:p>
            <w:pPr>
              <w:pStyle w:val="TableParagraph"/>
              <w:spacing w:line="240" w:lineRule="auto" w:before="71"/>
              <w:ind w:left="4" w:right="0"/>
              <w:jc w:val="center"/>
              <w:rPr>
                <w:rFonts w:ascii="Times New Roman" w:hAnsi="Times New Roman" w:cs="Times New Roman" w:eastAsia="Times New Roman" w:hint="default"/>
                <w:sz w:val="21"/>
                <w:szCs w:val="21"/>
              </w:rPr>
            </w:pPr>
            <w:r>
              <w:rPr>
                <w:rFonts w:ascii="Times New Roman"/>
                <w:sz w:val="21"/>
              </w:rPr>
              <w:t>386.</w:t>
            </w:r>
          </w:p>
          <w:p>
            <w:pPr>
              <w:pStyle w:val="TableParagraph"/>
              <w:spacing w:line="240" w:lineRule="auto" w:before="75"/>
              <w:ind w:left="162" w:right="0"/>
              <w:jc w:val="center"/>
              <w:rPr>
                <w:rFonts w:ascii="Times New Roman" w:hAnsi="Times New Roman" w:cs="Times New Roman" w:eastAsia="Times New Roman" w:hint="default"/>
                <w:sz w:val="21"/>
                <w:szCs w:val="21"/>
              </w:rPr>
            </w:pPr>
            <w:r>
              <w:rPr>
                <w:rFonts w:ascii="Times New Roman"/>
                <w:sz w:val="21"/>
              </w:rPr>
              <w:t>60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4,20</w:t>
            </w:r>
          </w:p>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1,74</w:t>
            </w:r>
          </w:p>
          <w:p>
            <w:pPr>
              <w:pStyle w:val="TableParagraph"/>
              <w:spacing w:line="240" w:lineRule="auto" w:before="71"/>
              <w:ind w:left="100" w:right="0"/>
              <w:jc w:val="left"/>
              <w:rPr>
                <w:rFonts w:ascii="Times New Roman" w:hAnsi="Times New Roman" w:cs="Times New Roman" w:eastAsia="Times New Roman" w:hint="default"/>
                <w:sz w:val="21"/>
                <w:szCs w:val="21"/>
              </w:rPr>
            </w:pPr>
            <w:r>
              <w:rPr>
                <w:rFonts w:ascii="Times New Roman"/>
                <w:sz w:val="21"/>
              </w:rPr>
              <w:t>3,49</w:t>
            </w:r>
          </w:p>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0.52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215,</w:t>
            </w:r>
          </w:p>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692,</w:t>
            </w:r>
          </w:p>
          <w:p>
            <w:pPr>
              <w:pStyle w:val="TableParagraph"/>
              <w:spacing w:line="240" w:lineRule="auto" w:before="71"/>
              <w:ind w:left="4" w:right="0"/>
              <w:jc w:val="center"/>
              <w:rPr>
                <w:rFonts w:ascii="Times New Roman" w:hAnsi="Times New Roman" w:cs="Times New Roman" w:eastAsia="Times New Roman" w:hint="default"/>
                <w:sz w:val="21"/>
                <w:szCs w:val="21"/>
              </w:rPr>
            </w:pPr>
            <w:r>
              <w:rPr>
                <w:rFonts w:ascii="Times New Roman"/>
                <w:sz w:val="21"/>
              </w:rPr>
              <w:t>797.</w:t>
            </w:r>
          </w:p>
          <w:p>
            <w:pPr>
              <w:pStyle w:val="TableParagraph"/>
              <w:spacing w:line="240" w:lineRule="auto" w:before="75"/>
              <w:ind w:left="163" w:right="0"/>
              <w:jc w:val="center"/>
              <w:rPr>
                <w:rFonts w:ascii="Times New Roman" w:hAnsi="Times New Roman" w:cs="Times New Roman" w:eastAsia="Times New Roman" w:hint="default"/>
                <w:sz w:val="21"/>
                <w:szCs w:val="21"/>
              </w:rPr>
            </w:pPr>
            <w:r>
              <w:rPr>
                <w:rFonts w:ascii="Times New Roman"/>
                <w:sz w:val="21"/>
              </w:rPr>
              <w:t>42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4,417</w:t>
            </w:r>
          </w:p>
          <w:p>
            <w:pPr>
              <w:pStyle w:val="TableParagraph"/>
              <w:spacing w:line="240" w:lineRule="auto" w:before="65"/>
              <w:ind w:left="187" w:right="0"/>
              <w:jc w:val="left"/>
              <w:rPr>
                <w:rFonts w:ascii="Times New Roman" w:hAnsi="Times New Roman" w:cs="Times New Roman" w:eastAsia="Times New Roman" w:hint="default"/>
                <w:sz w:val="21"/>
                <w:szCs w:val="21"/>
              </w:rPr>
            </w:pPr>
            <w:r>
              <w:rPr>
                <w:rFonts w:ascii="Times New Roman"/>
                <w:sz w:val="21"/>
              </w:rPr>
              <w:t>,436,</w:t>
            </w:r>
          </w:p>
          <w:p>
            <w:pPr>
              <w:pStyle w:val="TableParagraph"/>
              <w:spacing w:line="240" w:lineRule="auto" w:before="71"/>
              <w:ind w:left="134" w:right="0"/>
              <w:jc w:val="left"/>
              <w:rPr>
                <w:rFonts w:ascii="Times New Roman" w:hAnsi="Times New Roman" w:cs="Times New Roman" w:eastAsia="Times New Roman" w:hint="default"/>
                <w:sz w:val="21"/>
                <w:szCs w:val="21"/>
              </w:rPr>
            </w:pPr>
            <w:r>
              <w:rPr>
                <w:rFonts w:ascii="Times New Roman"/>
                <w:sz w:val="21"/>
              </w:rPr>
              <w:t>287.9</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w w:val="100"/>
                <w:sz w:val="21"/>
              </w:rPr>
              <w:t>4</w:t>
            </w:r>
          </w:p>
        </w:tc>
      </w:tr>
      <w:tr>
        <w:trPr>
          <w:trHeight w:val="1340"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0" w:right="99" w:firstLine="211"/>
              <w:jc w:val="left"/>
              <w:rPr>
                <w:rFonts w:ascii="宋体" w:hAnsi="宋体" w:cs="宋体" w:eastAsia="宋体" w:hint="default"/>
                <w:sz w:val="21"/>
                <w:szCs w:val="21"/>
              </w:rPr>
            </w:pPr>
            <w:r>
              <w:rPr>
                <w:rFonts w:ascii="宋体" w:hAnsi="宋体" w:cs="宋体" w:eastAsia="宋体" w:hint="default"/>
                <w:spacing w:val="-3"/>
                <w:sz w:val="21"/>
                <w:szCs w:val="21"/>
              </w:rPr>
              <w:t>加：会计政</w:t>
            </w:r>
            <w:r>
              <w:rPr>
                <w:rFonts w:ascii="宋体" w:hAnsi="宋体" w:cs="宋体" w:eastAsia="宋体" w:hint="default"/>
                <w:w w:val="100"/>
                <w:sz w:val="21"/>
                <w:szCs w:val="21"/>
              </w:rPr>
              <w:t> </w:t>
            </w:r>
            <w:r>
              <w:rPr>
                <w:rFonts w:ascii="宋体" w:hAnsi="宋体" w:cs="宋体" w:eastAsia="宋体" w:hint="default"/>
                <w:sz w:val="21"/>
                <w:szCs w:val="21"/>
              </w:rPr>
              <w:t>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1" w:right="0"/>
              <w:jc w:val="left"/>
              <w:rPr>
                <w:rFonts w:ascii="Times New Roman" w:hAnsi="Times New Roman" w:cs="Times New Roman" w:eastAsia="Times New Roman" w:hint="default"/>
                <w:sz w:val="21"/>
                <w:szCs w:val="21"/>
              </w:rPr>
            </w:pPr>
            <w:r>
              <w:rPr>
                <w:rFonts w:ascii="Times New Roman"/>
                <w:sz w:val="21"/>
              </w:rPr>
              <w:t>-93</w:t>
            </w:r>
          </w:p>
          <w:p>
            <w:pPr>
              <w:pStyle w:val="TableParagraph"/>
              <w:spacing w:line="240" w:lineRule="auto" w:before="65"/>
              <w:ind w:left="206" w:right="0"/>
              <w:jc w:val="left"/>
              <w:rPr>
                <w:rFonts w:ascii="Times New Roman" w:hAnsi="Times New Roman" w:cs="Times New Roman" w:eastAsia="Times New Roman" w:hint="default"/>
                <w:sz w:val="21"/>
                <w:szCs w:val="21"/>
              </w:rPr>
            </w:pPr>
            <w:r>
              <w:rPr>
                <w:rFonts w:ascii="Times New Roman"/>
                <w:sz w:val="21"/>
              </w:rPr>
              <w:t>7,3</w:t>
            </w:r>
          </w:p>
          <w:p>
            <w:pPr>
              <w:pStyle w:val="TableParagraph"/>
              <w:spacing w:line="240" w:lineRule="auto" w:before="71"/>
              <w:ind w:left="206" w:right="0"/>
              <w:jc w:val="left"/>
              <w:rPr>
                <w:rFonts w:ascii="Times New Roman" w:hAnsi="Times New Roman" w:cs="Times New Roman" w:eastAsia="Times New Roman" w:hint="default"/>
                <w:sz w:val="21"/>
                <w:szCs w:val="21"/>
              </w:rPr>
            </w:pPr>
            <w:r>
              <w:rPr>
                <w:rFonts w:ascii="Times New Roman"/>
                <w:sz w:val="21"/>
              </w:rPr>
              <w:t>89.</w:t>
            </w:r>
          </w:p>
          <w:p>
            <w:pPr>
              <w:pStyle w:val="TableParagraph"/>
              <w:spacing w:line="240" w:lineRule="auto" w:before="75"/>
              <w:ind w:left="259" w:right="0"/>
              <w:jc w:val="left"/>
              <w:rPr>
                <w:rFonts w:ascii="Times New Roman" w:hAnsi="Times New Roman" w:cs="Times New Roman" w:eastAsia="Times New Roman" w:hint="default"/>
                <w:sz w:val="21"/>
                <w:szCs w:val="21"/>
              </w:rPr>
            </w:pPr>
            <w:r>
              <w:rPr>
                <w:rFonts w:ascii="Times New Roman"/>
                <w:sz w:val="21"/>
              </w:rPr>
              <w:t>57</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 w:right="0"/>
              <w:jc w:val="center"/>
              <w:rPr>
                <w:rFonts w:ascii="Times New Roman" w:hAnsi="Times New Roman" w:cs="Times New Roman" w:eastAsia="Times New Roman" w:hint="default"/>
                <w:sz w:val="21"/>
                <w:szCs w:val="21"/>
              </w:rPr>
            </w:pPr>
            <w:r>
              <w:rPr>
                <w:rFonts w:ascii="Times New Roman"/>
                <w:sz w:val="21"/>
              </w:rPr>
              <w:t>-72,</w:t>
            </w:r>
          </w:p>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090,</w:t>
            </w:r>
          </w:p>
          <w:p>
            <w:pPr>
              <w:pStyle w:val="TableParagraph"/>
              <w:spacing w:line="240" w:lineRule="auto" w:before="71"/>
              <w:ind w:left="4" w:right="0"/>
              <w:jc w:val="center"/>
              <w:rPr>
                <w:rFonts w:ascii="Times New Roman" w:hAnsi="Times New Roman" w:cs="Times New Roman" w:eastAsia="Times New Roman" w:hint="default"/>
                <w:sz w:val="21"/>
                <w:szCs w:val="21"/>
              </w:rPr>
            </w:pPr>
            <w:r>
              <w:rPr>
                <w:rFonts w:ascii="Times New Roman"/>
                <w:sz w:val="21"/>
              </w:rPr>
              <w:t>931.</w:t>
            </w:r>
          </w:p>
          <w:p>
            <w:pPr>
              <w:pStyle w:val="TableParagraph"/>
              <w:spacing w:line="240" w:lineRule="auto" w:before="75"/>
              <w:ind w:left="162" w:right="0"/>
              <w:jc w:val="center"/>
              <w:rPr>
                <w:rFonts w:ascii="Times New Roman" w:hAnsi="Times New Roman" w:cs="Times New Roman" w:eastAsia="Times New Roman" w:hint="default"/>
                <w:sz w:val="21"/>
                <w:szCs w:val="21"/>
              </w:rPr>
            </w:pPr>
            <w:r>
              <w:rPr>
                <w:rFonts w:ascii="Times New Roman"/>
                <w:sz w:val="21"/>
              </w:rPr>
              <w:t>17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2" w:right="0"/>
              <w:jc w:val="center"/>
              <w:rPr>
                <w:rFonts w:ascii="Times New Roman" w:hAnsi="Times New Roman" w:cs="Times New Roman" w:eastAsia="Times New Roman" w:hint="default"/>
                <w:sz w:val="21"/>
                <w:szCs w:val="21"/>
              </w:rPr>
            </w:pPr>
            <w:r>
              <w:rPr>
                <w:rFonts w:ascii="Times New Roman"/>
                <w:sz w:val="21"/>
              </w:rPr>
              <w:t>-73,</w:t>
            </w:r>
          </w:p>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028,</w:t>
            </w:r>
          </w:p>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sz w:val="21"/>
              </w:rPr>
              <w:t>320.</w:t>
            </w:r>
          </w:p>
          <w:p>
            <w:pPr>
              <w:pStyle w:val="TableParagraph"/>
              <w:spacing w:line="240" w:lineRule="auto" w:before="75"/>
              <w:ind w:left="158" w:right="0"/>
              <w:jc w:val="center"/>
              <w:rPr>
                <w:rFonts w:ascii="Times New Roman" w:hAnsi="Times New Roman" w:cs="Times New Roman" w:eastAsia="Times New Roman" w:hint="default"/>
                <w:sz w:val="21"/>
                <w:szCs w:val="21"/>
              </w:rPr>
            </w:pPr>
            <w:r>
              <w:rPr>
                <w:rFonts w:ascii="Times New Roman"/>
                <w:sz w:val="21"/>
              </w:rPr>
              <w:t>74</w:t>
            </w: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-73,0</w:t>
            </w:r>
          </w:p>
          <w:p>
            <w:pPr>
              <w:pStyle w:val="TableParagraph"/>
              <w:spacing w:line="240" w:lineRule="auto" w:before="70"/>
              <w:ind w:left="37" w:right="0"/>
              <w:jc w:val="center"/>
              <w:rPr>
                <w:rFonts w:ascii="Times New Roman" w:hAnsi="Times New Roman" w:cs="Times New Roman" w:eastAsia="Times New Roman" w:hint="default"/>
                <w:sz w:val="21"/>
                <w:szCs w:val="21"/>
              </w:rPr>
            </w:pPr>
            <w:r>
              <w:rPr>
                <w:rFonts w:ascii="Times New Roman"/>
                <w:sz w:val="21"/>
              </w:rPr>
              <w:t>28,32</w:t>
            </w:r>
          </w:p>
          <w:p>
            <w:pPr>
              <w:pStyle w:val="TableParagraph"/>
              <w:spacing w:line="240" w:lineRule="auto" w:before="76"/>
              <w:ind w:left="133" w:right="0"/>
              <w:jc w:val="center"/>
              <w:rPr>
                <w:rFonts w:ascii="Times New Roman" w:hAnsi="Times New Roman" w:cs="Times New Roman" w:eastAsia="Times New Roman" w:hint="default"/>
                <w:sz w:val="21"/>
                <w:szCs w:val="21"/>
              </w:rPr>
            </w:pPr>
            <w:r>
              <w:rPr>
                <w:rFonts w:ascii="Times New Roman"/>
                <w:sz w:val="21"/>
              </w:rPr>
              <w:t>0.74</w:t>
            </w:r>
          </w:p>
        </w:tc>
      </w:tr>
      <w:tr>
        <w:trPr>
          <w:trHeight w:val="710"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296" w:firstLine="211"/>
              <w:jc w:val="left"/>
              <w:rPr>
                <w:rFonts w:ascii="宋体" w:hAnsi="宋体" w:cs="宋体" w:eastAsia="宋体" w:hint="default"/>
                <w:sz w:val="21"/>
                <w:szCs w:val="21"/>
              </w:rPr>
            </w:pPr>
            <w:r>
              <w:rPr>
                <w:rFonts w:ascii="宋体" w:hAnsi="宋体" w:cs="宋体" w:eastAsia="宋体" w:hint="default"/>
                <w:sz w:val="21"/>
                <w:szCs w:val="21"/>
              </w:rPr>
              <w:t>前期差错</w:t>
            </w:r>
            <w:r>
              <w:rPr>
                <w:rFonts w:ascii="宋体" w:hAnsi="宋体" w:cs="宋体" w:eastAsia="宋体" w:hint="default"/>
                <w:w w:val="100"/>
                <w:sz w:val="21"/>
                <w:szCs w:val="21"/>
              </w:rPr>
              <w:t> </w:t>
            </w:r>
            <w:r>
              <w:rPr>
                <w:rFonts w:ascii="宋体" w:hAnsi="宋体" w:cs="宋体" w:eastAsia="宋体" w:hint="default"/>
                <w:sz w:val="21"/>
                <w:szCs w:val="21"/>
              </w:rPr>
              <w:t>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0" w:right="296" w:firstLine="211"/>
              <w:jc w:val="left"/>
              <w:rPr>
                <w:rFonts w:ascii="宋体" w:hAnsi="宋体" w:cs="宋体" w:eastAsia="宋体" w:hint="default"/>
                <w:sz w:val="21"/>
                <w:szCs w:val="21"/>
              </w:rPr>
            </w:pPr>
            <w:r>
              <w:rPr>
                <w:rFonts w:ascii="宋体" w:hAnsi="宋体" w:cs="宋体" w:eastAsia="宋体" w:hint="default"/>
                <w:sz w:val="21"/>
                <w:szCs w:val="21"/>
              </w:rPr>
              <w:t>同一控制</w:t>
            </w:r>
            <w:r>
              <w:rPr>
                <w:rFonts w:ascii="宋体" w:hAnsi="宋体" w:cs="宋体" w:eastAsia="宋体" w:hint="default"/>
                <w:w w:val="100"/>
                <w:sz w:val="21"/>
                <w:szCs w:val="21"/>
              </w:rPr>
              <w:t> </w:t>
            </w:r>
            <w:r>
              <w:rPr>
                <w:rFonts w:ascii="宋体" w:hAnsi="宋体" w:cs="宋体" w:eastAsia="宋体" w:hint="default"/>
                <w:sz w:val="21"/>
                <w:szCs w:val="21"/>
              </w:rPr>
              <w:t>下企业合并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3"/>
                <w:sz w:val="21"/>
                <w:szCs w:val="21"/>
              </w:rPr>
              <w:t>二、本年期初</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2" w:right="0"/>
              <w:jc w:val="center"/>
              <w:rPr>
                <w:rFonts w:ascii="Times New Roman" w:hAnsi="Times New Roman" w:cs="Times New Roman" w:eastAsia="Times New Roman" w:hint="default"/>
                <w:sz w:val="21"/>
                <w:szCs w:val="21"/>
              </w:rPr>
            </w:pPr>
            <w:r>
              <w:rPr>
                <w:rFonts w:ascii="Times New Roman"/>
                <w:sz w:val="21"/>
              </w:rPr>
              <w:t>69</w:t>
            </w:r>
          </w:p>
          <w:p>
            <w:pPr>
              <w:pStyle w:val="TableParagraph"/>
              <w:spacing w:line="240" w:lineRule="auto" w:before="65"/>
              <w:ind w:left="19" w:right="0"/>
              <w:jc w:val="center"/>
              <w:rPr>
                <w:rFonts w:ascii="Times New Roman" w:hAnsi="Times New Roman" w:cs="Times New Roman" w:eastAsia="Times New Roman" w:hint="default"/>
                <w:sz w:val="21"/>
                <w:szCs w:val="21"/>
              </w:rPr>
            </w:pPr>
            <w:r>
              <w:rPr>
                <w:rFonts w:ascii="Times New Roman"/>
                <w:sz w:val="21"/>
              </w:rPr>
              <w:t>1,5</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05,</w:t>
            </w:r>
          </w:p>
          <w:p>
            <w:pPr>
              <w:pStyle w:val="TableParagraph"/>
              <w:spacing w:line="240" w:lineRule="auto" w:before="71"/>
              <w:ind w:left="72" w:right="0"/>
              <w:jc w:val="center"/>
              <w:rPr>
                <w:rFonts w:ascii="Times New Roman" w:hAnsi="Times New Roman" w:cs="Times New Roman" w:eastAsia="Times New Roman" w:hint="default"/>
                <w:sz w:val="21"/>
                <w:szCs w:val="21"/>
              </w:rPr>
            </w:pPr>
            <w:r>
              <w:rPr>
                <w:rFonts w:ascii="Times New Roman"/>
                <w:sz w:val="21"/>
              </w:rPr>
              <w:t>91</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5.0</w:t>
            </w:r>
          </w:p>
          <w:p>
            <w:pPr>
              <w:pStyle w:val="TableParagraph"/>
              <w:spacing w:line="240" w:lineRule="auto" w:before="75"/>
              <w:ind w:left="177" w:right="0"/>
              <w:jc w:val="center"/>
              <w:rPr>
                <w:rFonts w:ascii="Times New Roman" w:hAnsi="Times New Roman" w:cs="Times New Roman" w:eastAsia="Times New Roman" w:hint="default"/>
                <w:sz w:val="21"/>
                <w:szCs w:val="21"/>
              </w:rPr>
            </w:pPr>
            <w:r>
              <w:rPr>
                <w:rFonts w:ascii="Times New Roman"/>
                <w:w w:val="100"/>
                <w:sz w:val="21"/>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6" w:right="0"/>
              <w:jc w:val="center"/>
              <w:rPr>
                <w:rFonts w:ascii="Times New Roman" w:hAnsi="Times New Roman" w:cs="Times New Roman" w:eastAsia="Times New Roman" w:hint="default"/>
                <w:sz w:val="21"/>
                <w:szCs w:val="21"/>
              </w:rPr>
            </w:pPr>
            <w:r>
              <w:rPr>
                <w:rFonts w:ascii="Times New Roman"/>
                <w:sz w:val="21"/>
              </w:rPr>
              <w:t>2,8</w:t>
            </w:r>
          </w:p>
          <w:p>
            <w:pPr>
              <w:pStyle w:val="TableParagraph"/>
              <w:spacing w:line="240" w:lineRule="auto" w:before="65"/>
              <w:ind w:left="96" w:right="0"/>
              <w:jc w:val="center"/>
              <w:rPr>
                <w:rFonts w:ascii="Times New Roman" w:hAnsi="Times New Roman" w:cs="Times New Roman" w:eastAsia="Times New Roman" w:hint="default"/>
                <w:sz w:val="21"/>
                <w:szCs w:val="21"/>
              </w:rPr>
            </w:pPr>
            <w:r>
              <w:rPr>
                <w:rFonts w:ascii="Times New Roman"/>
                <w:sz w:val="21"/>
              </w:rPr>
              <w:t>25,</w:t>
            </w:r>
          </w:p>
          <w:p>
            <w:pPr>
              <w:pStyle w:val="TableParagraph"/>
              <w:spacing w:line="240" w:lineRule="auto" w:before="70"/>
              <w:ind w:left="149" w:right="0"/>
              <w:jc w:val="left"/>
              <w:rPr>
                <w:rFonts w:ascii="Times New Roman" w:hAnsi="Times New Roman" w:cs="Times New Roman" w:eastAsia="Times New Roman" w:hint="default"/>
                <w:sz w:val="21"/>
                <w:szCs w:val="21"/>
              </w:rPr>
            </w:pPr>
            <w:r>
              <w:rPr>
                <w:rFonts w:ascii="Times New Roman"/>
                <w:sz w:val="21"/>
              </w:rPr>
              <w:t>137</w:t>
            </w:r>
          </w:p>
          <w:p>
            <w:pPr>
              <w:pStyle w:val="TableParagraph"/>
              <w:spacing w:line="240" w:lineRule="auto" w:before="71"/>
              <w:ind w:left="96" w:right="0"/>
              <w:jc w:val="center"/>
              <w:rPr>
                <w:rFonts w:ascii="Times New Roman" w:hAnsi="Times New Roman" w:cs="Times New Roman" w:eastAsia="Times New Roman" w:hint="default"/>
                <w:sz w:val="21"/>
                <w:szCs w:val="21"/>
              </w:rPr>
            </w:pPr>
            <w:r>
              <w:rPr>
                <w:rFonts w:ascii="Times New Roman"/>
                <w:sz w:val="21"/>
              </w:rPr>
              <w:t>,57</w:t>
            </w:r>
          </w:p>
          <w:p>
            <w:pPr>
              <w:pStyle w:val="TableParagraph"/>
              <w:spacing w:line="240" w:lineRule="auto" w:before="70"/>
              <w:ind w:left="96" w:right="0"/>
              <w:jc w:val="center"/>
              <w:rPr>
                <w:rFonts w:ascii="Times New Roman" w:hAnsi="Times New Roman" w:cs="Times New Roman" w:eastAsia="Times New Roman" w:hint="default"/>
                <w:sz w:val="21"/>
                <w:szCs w:val="21"/>
              </w:rPr>
            </w:pPr>
            <w:r>
              <w:rPr>
                <w:rFonts w:ascii="Times New Roman"/>
                <w:sz w:val="21"/>
              </w:rPr>
              <w:t>4.8</w:t>
            </w:r>
          </w:p>
          <w:p>
            <w:pPr>
              <w:pStyle w:val="TableParagraph"/>
              <w:spacing w:line="240" w:lineRule="auto" w:before="75"/>
              <w:ind w:left="255" w:right="0"/>
              <w:jc w:val="center"/>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033,</w:t>
            </w:r>
          </w:p>
          <w:p>
            <w:pPr>
              <w:pStyle w:val="TableParagraph"/>
              <w:spacing w:line="240" w:lineRule="auto" w:before="71"/>
              <w:ind w:left="4" w:right="0"/>
              <w:jc w:val="center"/>
              <w:rPr>
                <w:rFonts w:ascii="Times New Roman" w:hAnsi="Times New Roman" w:cs="Times New Roman" w:eastAsia="Times New Roman" w:hint="default"/>
                <w:sz w:val="21"/>
                <w:szCs w:val="21"/>
              </w:rPr>
            </w:pPr>
            <w:r>
              <w:rPr>
                <w:rFonts w:ascii="Times New Roman"/>
                <w:sz w:val="21"/>
              </w:rPr>
              <w:t>637.</w:t>
            </w:r>
          </w:p>
          <w:p>
            <w:pPr>
              <w:pStyle w:val="TableParagraph"/>
              <w:spacing w:line="240" w:lineRule="auto" w:before="75"/>
              <w:ind w:left="163" w:right="0"/>
              <w:jc w:val="center"/>
              <w:rPr>
                <w:rFonts w:ascii="Times New Roman" w:hAnsi="Times New Roman" w:cs="Times New Roman" w:eastAsia="Times New Roman" w:hint="default"/>
                <w:sz w:val="21"/>
                <w:szCs w:val="21"/>
              </w:rPr>
            </w:pPr>
            <w:r>
              <w:rPr>
                <w:rFonts w:ascii="Times New Roman"/>
                <w:sz w:val="21"/>
              </w:rPr>
              <w:t>57</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0" w:right="0"/>
              <w:jc w:val="center"/>
              <w:rPr>
                <w:rFonts w:ascii="Times New Roman" w:hAnsi="Times New Roman" w:cs="Times New Roman" w:eastAsia="Times New Roman" w:hint="default"/>
                <w:sz w:val="21"/>
                <w:szCs w:val="21"/>
              </w:rPr>
            </w:pPr>
            <w:r>
              <w:rPr>
                <w:rFonts w:ascii="Times New Roman"/>
                <w:sz w:val="21"/>
              </w:rPr>
              <w:t>51,</w:t>
            </w:r>
          </w:p>
          <w:p>
            <w:pPr>
              <w:pStyle w:val="TableParagraph"/>
              <w:spacing w:line="240" w:lineRule="auto" w:before="70"/>
              <w:ind w:left="153" w:right="0"/>
              <w:jc w:val="left"/>
              <w:rPr>
                <w:rFonts w:ascii="Times New Roman" w:hAnsi="Times New Roman" w:cs="Times New Roman" w:eastAsia="Times New Roman" w:hint="default"/>
                <w:sz w:val="21"/>
                <w:szCs w:val="21"/>
              </w:rPr>
            </w:pPr>
            <w:r>
              <w:rPr>
                <w:rFonts w:ascii="Times New Roman"/>
                <w:sz w:val="21"/>
              </w:rPr>
              <w:t>578</w:t>
            </w:r>
          </w:p>
          <w:p>
            <w:pPr>
              <w:pStyle w:val="TableParagraph"/>
              <w:spacing w:line="240" w:lineRule="auto" w:before="71"/>
              <w:ind w:left="100" w:right="0"/>
              <w:jc w:val="center"/>
              <w:rPr>
                <w:rFonts w:ascii="Times New Roman" w:hAnsi="Times New Roman" w:cs="Times New Roman" w:eastAsia="Times New Roman" w:hint="default"/>
                <w:sz w:val="21"/>
                <w:szCs w:val="21"/>
              </w:rPr>
            </w:pPr>
            <w:r>
              <w:rPr>
                <w:rFonts w:ascii="Times New Roman"/>
                <w:sz w:val="21"/>
              </w:rPr>
              <w:t>,86</w:t>
            </w:r>
          </w:p>
          <w:p>
            <w:pPr>
              <w:pStyle w:val="TableParagraph"/>
              <w:spacing w:line="240" w:lineRule="auto" w:before="70"/>
              <w:ind w:left="100" w:right="0"/>
              <w:jc w:val="center"/>
              <w:rPr>
                <w:rFonts w:ascii="Times New Roman" w:hAnsi="Times New Roman" w:cs="Times New Roman" w:eastAsia="Times New Roman" w:hint="default"/>
                <w:sz w:val="21"/>
                <w:szCs w:val="21"/>
              </w:rPr>
            </w:pPr>
            <w:r>
              <w:rPr>
                <w:rFonts w:ascii="Times New Roman"/>
                <w:sz w:val="21"/>
              </w:rPr>
              <w:t>2.1</w:t>
            </w:r>
          </w:p>
          <w:p>
            <w:pPr>
              <w:pStyle w:val="TableParagraph"/>
              <w:spacing w:line="240" w:lineRule="auto" w:before="75"/>
              <w:ind w:left="259" w:right="0"/>
              <w:jc w:val="center"/>
              <w:rPr>
                <w:rFonts w:ascii="Times New Roman" w:hAnsi="Times New Roman" w:cs="Times New Roman" w:eastAsia="Times New Roman" w:hint="default"/>
                <w:sz w:val="21"/>
                <w:szCs w:val="21"/>
              </w:rPr>
            </w:pPr>
            <w:r>
              <w:rPr>
                <w:rFonts w:ascii="Times New Roman"/>
                <w:w w:val="100"/>
                <w:sz w:val="21"/>
              </w:rPr>
              <w:t>2</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710,</w:t>
            </w:r>
          </w:p>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526,</w:t>
            </w:r>
          </w:p>
          <w:p>
            <w:pPr>
              <w:pStyle w:val="TableParagraph"/>
              <w:spacing w:line="240" w:lineRule="auto" w:before="71"/>
              <w:ind w:left="4" w:right="0"/>
              <w:jc w:val="center"/>
              <w:rPr>
                <w:rFonts w:ascii="Times New Roman" w:hAnsi="Times New Roman" w:cs="Times New Roman" w:eastAsia="Times New Roman" w:hint="default"/>
                <w:sz w:val="21"/>
                <w:szCs w:val="21"/>
              </w:rPr>
            </w:pPr>
            <w:r>
              <w:rPr>
                <w:rFonts w:ascii="Times New Roman"/>
                <w:sz w:val="21"/>
              </w:rPr>
              <w:t>455.</w:t>
            </w:r>
          </w:p>
          <w:p>
            <w:pPr>
              <w:pStyle w:val="TableParagraph"/>
              <w:spacing w:line="240" w:lineRule="auto" w:before="75"/>
              <w:ind w:left="162" w:right="0"/>
              <w:jc w:val="center"/>
              <w:rPr>
                <w:rFonts w:ascii="Times New Roman" w:hAnsi="Times New Roman" w:cs="Times New Roman" w:eastAsia="Times New Roman" w:hint="default"/>
                <w:sz w:val="21"/>
                <w:szCs w:val="21"/>
              </w:rPr>
            </w:pPr>
            <w:r>
              <w:rPr>
                <w:rFonts w:ascii="Times New Roman"/>
                <w:sz w:val="21"/>
              </w:rPr>
              <w:t>43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4,12</w:t>
            </w:r>
          </w:p>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8,71</w:t>
            </w:r>
          </w:p>
          <w:p>
            <w:pPr>
              <w:pStyle w:val="TableParagraph"/>
              <w:spacing w:line="240" w:lineRule="auto" w:before="71"/>
              <w:ind w:left="100" w:right="0"/>
              <w:jc w:val="left"/>
              <w:rPr>
                <w:rFonts w:ascii="Times New Roman" w:hAnsi="Times New Roman" w:cs="Times New Roman" w:eastAsia="Times New Roman" w:hint="default"/>
                <w:sz w:val="21"/>
                <w:szCs w:val="21"/>
              </w:rPr>
            </w:pPr>
            <w:r>
              <w:rPr>
                <w:rFonts w:ascii="Times New Roman"/>
                <w:sz w:val="21"/>
              </w:rPr>
              <w:t>5,16</w:t>
            </w:r>
          </w:p>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9.78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215,</w:t>
            </w:r>
          </w:p>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692,</w:t>
            </w:r>
          </w:p>
          <w:p>
            <w:pPr>
              <w:pStyle w:val="TableParagraph"/>
              <w:spacing w:line="240" w:lineRule="auto" w:before="71"/>
              <w:ind w:left="4" w:right="0"/>
              <w:jc w:val="center"/>
              <w:rPr>
                <w:rFonts w:ascii="Times New Roman" w:hAnsi="Times New Roman" w:cs="Times New Roman" w:eastAsia="Times New Roman" w:hint="default"/>
                <w:sz w:val="21"/>
                <w:szCs w:val="21"/>
              </w:rPr>
            </w:pPr>
            <w:r>
              <w:rPr>
                <w:rFonts w:ascii="Times New Roman"/>
                <w:sz w:val="21"/>
              </w:rPr>
              <w:t>797.</w:t>
            </w:r>
          </w:p>
          <w:p>
            <w:pPr>
              <w:pStyle w:val="TableParagraph"/>
              <w:spacing w:line="240" w:lineRule="auto" w:before="75"/>
              <w:ind w:left="163" w:right="0"/>
              <w:jc w:val="center"/>
              <w:rPr>
                <w:rFonts w:ascii="Times New Roman" w:hAnsi="Times New Roman" w:cs="Times New Roman" w:eastAsia="Times New Roman" w:hint="default"/>
                <w:sz w:val="21"/>
                <w:szCs w:val="21"/>
              </w:rPr>
            </w:pPr>
            <w:r>
              <w:rPr>
                <w:rFonts w:ascii="Times New Roman"/>
                <w:sz w:val="21"/>
              </w:rPr>
              <w:t>42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4,344</w:t>
            </w:r>
          </w:p>
          <w:p>
            <w:pPr>
              <w:pStyle w:val="TableParagraph"/>
              <w:spacing w:line="240" w:lineRule="auto" w:before="65"/>
              <w:ind w:left="187" w:right="0"/>
              <w:jc w:val="left"/>
              <w:rPr>
                <w:rFonts w:ascii="Times New Roman" w:hAnsi="Times New Roman" w:cs="Times New Roman" w:eastAsia="Times New Roman" w:hint="default"/>
                <w:sz w:val="21"/>
                <w:szCs w:val="21"/>
              </w:rPr>
            </w:pPr>
            <w:r>
              <w:rPr>
                <w:rFonts w:ascii="Times New Roman"/>
                <w:sz w:val="21"/>
              </w:rPr>
              <w:t>,407,</w:t>
            </w:r>
          </w:p>
          <w:p>
            <w:pPr>
              <w:pStyle w:val="TableParagraph"/>
              <w:spacing w:line="240" w:lineRule="auto" w:before="71"/>
              <w:ind w:left="134" w:right="0"/>
              <w:jc w:val="left"/>
              <w:rPr>
                <w:rFonts w:ascii="Times New Roman" w:hAnsi="Times New Roman" w:cs="Times New Roman" w:eastAsia="Times New Roman" w:hint="default"/>
                <w:sz w:val="21"/>
                <w:szCs w:val="21"/>
              </w:rPr>
            </w:pPr>
            <w:r>
              <w:rPr>
                <w:rFonts w:ascii="Times New Roman"/>
                <w:sz w:val="21"/>
              </w:rPr>
              <w:t>967.2</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80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7" w:type="dxa"/>
        <w:tblLayout w:type="fixed"/>
        <w:tblCellMar>
          <w:top w:w="0" w:type="dxa"/>
          <w:left w:w="0" w:type="dxa"/>
          <w:bottom w:w="0" w:type="dxa"/>
          <w:right w:w="0" w:type="dxa"/>
        </w:tblCellMar>
        <w:tblLook w:val="01E0"/>
      </w:tblPr>
      <w:tblGrid>
        <w:gridCol w:w="1465"/>
        <w:gridCol w:w="494"/>
        <w:gridCol w:w="466"/>
        <w:gridCol w:w="466"/>
        <w:gridCol w:w="470"/>
        <w:gridCol w:w="581"/>
        <w:gridCol w:w="586"/>
        <w:gridCol w:w="581"/>
        <w:gridCol w:w="586"/>
        <w:gridCol w:w="586"/>
        <w:gridCol w:w="581"/>
        <w:gridCol w:w="586"/>
        <w:gridCol w:w="586"/>
        <w:gridCol w:w="581"/>
        <w:gridCol w:w="586"/>
        <w:gridCol w:w="716"/>
      </w:tblGrid>
      <w:tr>
        <w:trPr>
          <w:trHeight w:val="1340"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98"/>
              <w:jc w:val="both"/>
              <w:rPr>
                <w:rFonts w:ascii="宋体" w:hAnsi="宋体" w:cs="宋体" w:eastAsia="宋体" w:hint="default"/>
                <w:sz w:val="21"/>
                <w:szCs w:val="21"/>
              </w:rPr>
            </w:pPr>
            <w:r>
              <w:rPr>
                <w:rFonts w:ascii="宋体" w:hAnsi="宋体" w:cs="宋体" w:eastAsia="宋体" w:hint="default"/>
                <w:spacing w:val="-3"/>
                <w:sz w:val="21"/>
                <w:szCs w:val="21"/>
              </w:rPr>
              <w:t>三、本期增减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变动金额（减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少以“－”号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 w:right="0"/>
              <w:jc w:val="center"/>
              <w:rPr>
                <w:rFonts w:ascii="Times New Roman" w:hAnsi="Times New Roman" w:cs="Times New Roman" w:eastAsia="Times New Roman" w:hint="default"/>
                <w:sz w:val="21"/>
                <w:szCs w:val="21"/>
              </w:rPr>
            </w:pPr>
            <w:r>
              <w:rPr>
                <w:rFonts w:ascii="Times New Roman"/>
                <w:sz w:val="21"/>
              </w:rPr>
              <w:t>-1,3</w:t>
            </w:r>
          </w:p>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pacing w:val="-3"/>
                <w:sz w:val="21"/>
              </w:rPr>
              <w:t>11,0</w:t>
            </w:r>
          </w:p>
          <w:p>
            <w:pPr>
              <w:pStyle w:val="TableParagraph"/>
              <w:spacing w:line="240" w:lineRule="auto" w:before="70"/>
              <w:ind w:left="202" w:right="0"/>
              <w:jc w:val="left"/>
              <w:rPr>
                <w:rFonts w:ascii="Times New Roman" w:hAnsi="Times New Roman" w:cs="Times New Roman" w:eastAsia="Times New Roman" w:hint="default"/>
                <w:sz w:val="21"/>
                <w:szCs w:val="21"/>
              </w:rPr>
            </w:pPr>
            <w:r>
              <w:rPr>
                <w:rFonts w:ascii="Times New Roman"/>
                <w:sz w:val="21"/>
              </w:rPr>
              <w:t>63.</w:t>
            </w:r>
          </w:p>
          <w:p>
            <w:pPr>
              <w:pStyle w:val="TableParagraph"/>
              <w:spacing w:line="240" w:lineRule="auto" w:before="76"/>
              <w:ind w:left="149" w:right="0"/>
              <w:jc w:val="center"/>
              <w:rPr>
                <w:rFonts w:ascii="Times New Roman" w:hAnsi="Times New Roman" w:cs="Times New Roman" w:eastAsia="Times New Roman" w:hint="default"/>
                <w:sz w:val="21"/>
                <w:szCs w:val="21"/>
              </w:rPr>
            </w:pPr>
            <w:r>
              <w:rPr>
                <w:rFonts w:ascii="Times New Roman"/>
                <w:sz w:val="21"/>
              </w:rPr>
              <w:t>69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874</w:t>
            </w:r>
          </w:p>
          <w:p>
            <w:pPr>
              <w:pStyle w:val="TableParagraph"/>
              <w:spacing w:line="240" w:lineRule="auto" w:before="65"/>
              <w:ind w:left="100" w:right="0"/>
              <w:jc w:val="center"/>
              <w:rPr>
                <w:rFonts w:ascii="Times New Roman" w:hAnsi="Times New Roman" w:cs="Times New Roman" w:eastAsia="Times New Roman" w:hint="default"/>
                <w:sz w:val="21"/>
                <w:szCs w:val="21"/>
              </w:rPr>
            </w:pPr>
            <w:r>
              <w:rPr>
                <w:rFonts w:ascii="Times New Roman"/>
                <w:sz w:val="21"/>
              </w:rPr>
              <w:t>,52</w:t>
            </w:r>
          </w:p>
          <w:p>
            <w:pPr>
              <w:pStyle w:val="TableParagraph"/>
              <w:spacing w:line="240" w:lineRule="auto" w:before="70"/>
              <w:ind w:left="100" w:right="0"/>
              <w:jc w:val="center"/>
              <w:rPr>
                <w:rFonts w:ascii="Times New Roman" w:hAnsi="Times New Roman" w:cs="Times New Roman" w:eastAsia="Times New Roman" w:hint="default"/>
                <w:sz w:val="21"/>
                <w:szCs w:val="21"/>
              </w:rPr>
            </w:pPr>
            <w:r>
              <w:rPr>
                <w:rFonts w:ascii="Times New Roman"/>
                <w:sz w:val="21"/>
              </w:rPr>
              <w:t>1.9</w:t>
            </w:r>
          </w:p>
          <w:p>
            <w:pPr>
              <w:pStyle w:val="TableParagraph"/>
              <w:spacing w:line="240" w:lineRule="auto" w:before="76"/>
              <w:ind w:left="259" w:right="0"/>
              <w:jc w:val="center"/>
              <w:rPr>
                <w:rFonts w:ascii="Times New Roman" w:hAnsi="Times New Roman" w:cs="Times New Roman" w:eastAsia="Times New Roman" w:hint="default"/>
                <w:sz w:val="21"/>
                <w:szCs w:val="21"/>
              </w:rPr>
            </w:pPr>
            <w:r>
              <w:rPr>
                <w:rFonts w:ascii="Times New Roman"/>
                <w:w w:val="100"/>
                <w:sz w:val="21"/>
              </w:rPr>
              <w:t>1</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244,</w:t>
            </w:r>
          </w:p>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469,</w:t>
            </w:r>
          </w:p>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999.</w:t>
            </w:r>
          </w:p>
          <w:p>
            <w:pPr>
              <w:pStyle w:val="TableParagraph"/>
              <w:spacing w:line="240" w:lineRule="auto" w:before="76"/>
              <w:ind w:left="162" w:right="0"/>
              <w:jc w:val="center"/>
              <w:rPr>
                <w:rFonts w:ascii="Times New Roman" w:hAnsi="Times New Roman" w:cs="Times New Roman" w:eastAsia="Times New Roman" w:hint="default"/>
                <w:sz w:val="21"/>
                <w:szCs w:val="21"/>
              </w:rPr>
            </w:pPr>
            <w:r>
              <w:rPr>
                <w:rFonts w:ascii="Times New Roman"/>
                <w:sz w:val="21"/>
              </w:rPr>
              <w:t>53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244,</w:t>
            </w:r>
          </w:p>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033,</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457.</w:t>
            </w:r>
          </w:p>
          <w:p>
            <w:pPr>
              <w:pStyle w:val="TableParagraph"/>
              <w:spacing w:line="240" w:lineRule="auto" w:before="76"/>
              <w:ind w:left="158" w:right="0"/>
              <w:jc w:val="center"/>
              <w:rPr>
                <w:rFonts w:ascii="Times New Roman" w:hAnsi="Times New Roman" w:cs="Times New Roman" w:eastAsia="Times New Roman" w:hint="default"/>
                <w:sz w:val="21"/>
                <w:szCs w:val="21"/>
              </w:rPr>
            </w:pPr>
            <w:r>
              <w:rPr>
                <w:rFonts w:ascii="Times New Roman"/>
                <w:sz w:val="21"/>
              </w:rPr>
              <w:t>75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680,</w:t>
            </w:r>
          </w:p>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858.</w:t>
            </w:r>
          </w:p>
          <w:p>
            <w:pPr>
              <w:pStyle w:val="TableParagraph"/>
              <w:spacing w:line="240" w:lineRule="auto" w:before="75"/>
              <w:ind w:left="163" w:right="0"/>
              <w:jc w:val="center"/>
              <w:rPr>
                <w:rFonts w:ascii="Times New Roman" w:hAnsi="Times New Roman" w:cs="Times New Roman" w:eastAsia="Times New Roman" w:hint="default"/>
                <w:sz w:val="21"/>
                <w:szCs w:val="21"/>
              </w:rPr>
            </w:pPr>
            <w:r>
              <w:rPr>
                <w:rFonts w:ascii="Times New Roman"/>
                <w:sz w:val="21"/>
              </w:rPr>
              <w:t>74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37" w:right="0"/>
              <w:jc w:val="center"/>
              <w:rPr>
                <w:rFonts w:ascii="Times New Roman" w:hAnsi="Times New Roman" w:cs="Times New Roman" w:eastAsia="Times New Roman" w:hint="default"/>
                <w:sz w:val="21"/>
                <w:szCs w:val="21"/>
              </w:rPr>
            </w:pPr>
            <w:r>
              <w:rPr>
                <w:rFonts w:ascii="Times New Roman"/>
                <w:sz w:val="21"/>
              </w:rPr>
              <w:t>244,7</w:t>
            </w:r>
          </w:p>
          <w:p>
            <w:pPr>
              <w:pStyle w:val="TableParagraph"/>
              <w:spacing w:line="240" w:lineRule="auto" w:before="65"/>
              <w:ind w:left="37" w:right="0"/>
              <w:jc w:val="center"/>
              <w:rPr>
                <w:rFonts w:ascii="Times New Roman" w:hAnsi="Times New Roman" w:cs="Times New Roman" w:eastAsia="Times New Roman" w:hint="default"/>
                <w:sz w:val="21"/>
                <w:szCs w:val="21"/>
              </w:rPr>
            </w:pPr>
            <w:r>
              <w:rPr>
                <w:rFonts w:ascii="Times New Roman"/>
                <w:sz w:val="21"/>
              </w:rPr>
              <w:t>14,31</w:t>
            </w:r>
          </w:p>
          <w:p>
            <w:pPr>
              <w:pStyle w:val="TableParagraph"/>
              <w:spacing w:line="240" w:lineRule="auto" w:before="75"/>
              <w:ind w:left="133" w:right="0"/>
              <w:jc w:val="center"/>
              <w:rPr>
                <w:rFonts w:ascii="Times New Roman" w:hAnsi="Times New Roman" w:cs="Times New Roman" w:eastAsia="Times New Roman" w:hint="default"/>
                <w:sz w:val="21"/>
                <w:szCs w:val="21"/>
              </w:rPr>
            </w:pPr>
            <w:r>
              <w:rPr>
                <w:rFonts w:ascii="Times New Roman"/>
                <w:sz w:val="21"/>
              </w:rPr>
              <w:t>6.49</w:t>
            </w:r>
          </w:p>
        </w:tc>
      </w:tr>
      <w:tr>
        <w:trPr>
          <w:trHeight w:val="1334"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3"/>
                <w:sz w:val="21"/>
                <w:szCs w:val="21"/>
              </w:rPr>
              <w:t>（一）综合收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益总额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284,</w:t>
            </w:r>
          </w:p>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714,</w:t>
            </w:r>
          </w:p>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313.</w:t>
            </w:r>
          </w:p>
          <w:p>
            <w:pPr>
              <w:pStyle w:val="TableParagraph"/>
              <w:spacing w:line="240" w:lineRule="auto" w:before="75"/>
              <w:ind w:left="162" w:right="0"/>
              <w:jc w:val="center"/>
              <w:rPr>
                <w:rFonts w:ascii="Times New Roman" w:hAnsi="Times New Roman" w:cs="Times New Roman" w:eastAsia="Times New Roman" w:hint="default"/>
                <w:sz w:val="21"/>
                <w:szCs w:val="21"/>
              </w:rPr>
            </w:pPr>
            <w:r>
              <w:rPr>
                <w:rFonts w:ascii="Times New Roman"/>
                <w:sz w:val="21"/>
              </w:rPr>
              <w:t>30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284,</w:t>
            </w:r>
          </w:p>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714,</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313.</w:t>
            </w:r>
          </w:p>
          <w:p>
            <w:pPr>
              <w:pStyle w:val="TableParagraph"/>
              <w:spacing w:line="240" w:lineRule="auto" w:before="75"/>
              <w:ind w:left="158" w:right="0"/>
              <w:jc w:val="center"/>
              <w:rPr>
                <w:rFonts w:ascii="Times New Roman" w:hAnsi="Times New Roman" w:cs="Times New Roman" w:eastAsia="Times New Roman" w:hint="default"/>
                <w:sz w:val="21"/>
                <w:szCs w:val="21"/>
              </w:rPr>
            </w:pPr>
            <w:r>
              <w:rPr>
                <w:rFonts w:ascii="Times New Roman"/>
                <w:sz w:val="21"/>
              </w:rPr>
              <w:t>30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3,60</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9,37</w:t>
            </w:r>
          </w:p>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9.93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7" w:right="0"/>
              <w:jc w:val="center"/>
              <w:rPr>
                <w:rFonts w:ascii="Times New Roman" w:hAnsi="Times New Roman" w:cs="Times New Roman" w:eastAsia="Times New Roman" w:hint="default"/>
                <w:sz w:val="21"/>
                <w:szCs w:val="21"/>
              </w:rPr>
            </w:pPr>
            <w:r>
              <w:rPr>
                <w:rFonts w:ascii="Times New Roman"/>
                <w:sz w:val="21"/>
              </w:rPr>
              <w:t>288,3</w:t>
            </w:r>
          </w:p>
          <w:p>
            <w:pPr>
              <w:pStyle w:val="TableParagraph"/>
              <w:spacing w:line="240" w:lineRule="auto" w:before="70"/>
              <w:ind w:left="37" w:right="0"/>
              <w:jc w:val="center"/>
              <w:rPr>
                <w:rFonts w:ascii="Times New Roman" w:hAnsi="Times New Roman" w:cs="Times New Roman" w:eastAsia="Times New Roman" w:hint="default"/>
                <w:sz w:val="21"/>
                <w:szCs w:val="21"/>
              </w:rPr>
            </w:pPr>
            <w:r>
              <w:rPr>
                <w:rFonts w:ascii="Times New Roman"/>
                <w:sz w:val="21"/>
              </w:rPr>
              <w:t>23,69</w:t>
            </w:r>
          </w:p>
          <w:p>
            <w:pPr>
              <w:pStyle w:val="TableParagraph"/>
              <w:spacing w:line="240" w:lineRule="auto" w:before="75"/>
              <w:ind w:left="133" w:right="0"/>
              <w:jc w:val="center"/>
              <w:rPr>
                <w:rFonts w:ascii="Times New Roman" w:hAnsi="Times New Roman" w:cs="Times New Roman" w:eastAsia="Times New Roman" w:hint="default"/>
                <w:sz w:val="21"/>
                <w:szCs w:val="21"/>
              </w:rPr>
            </w:pPr>
            <w:r>
              <w:rPr>
                <w:rFonts w:ascii="Times New Roman"/>
                <w:sz w:val="21"/>
              </w:rPr>
              <w:t>3.23</w:t>
            </w:r>
          </w:p>
        </w:tc>
      </w:tr>
      <w:tr>
        <w:trPr>
          <w:trHeight w:val="1340"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3"/>
                <w:sz w:val="21"/>
                <w:szCs w:val="21"/>
              </w:rPr>
              <w:t>（二）所有者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投入和减少</w:t>
            </w:r>
            <w:r>
              <w:rPr>
                <w:rFonts w:ascii="宋体" w:hAnsi="宋体" w:cs="宋体" w:eastAsia="宋体" w:hint="default"/>
                <w:spacing w:val="-99"/>
                <w:sz w:val="21"/>
                <w:szCs w:val="21"/>
              </w:rPr>
              <w:t> </w:t>
            </w:r>
            <w:r>
              <w:rPr>
                <w:rFonts w:ascii="宋体" w:hAnsi="宋体" w:cs="宋体" w:eastAsia="宋体" w:hint="default"/>
                <w:sz w:val="21"/>
                <w:szCs w:val="21"/>
              </w:rPr>
              <w:t>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4" w:right="0"/>
              <w:jc w:val="center"/>
              <w:rPr>
                <w:rFonts w:ascii="Times New Roman" w:hAnsi="Times New Roman" w:cs="Times New Roman" w:eastAsia="Times New Roman" w:hint="default"/>
                <w:sz w:val="21"/>
                <w:szCs w:val="21"/>
              </w:rPr>
            </w:pPr>
            <w:r>
              <w:rPr>
                <w:rFonts w:ascii="Times New Roman"/>
                <w:sz w:val="21"/>
              </w:rPr>
              <w:t>-1,3</w:t>
            </w:r>
          </w:p>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pacing w:val="-3"/>
                <w:sz w:val="21"/>
              </w:rPr>
              <w:t>11,0</w:t>
            </w:r>
          </w:p>
          <w:p>
            <w:pPr>
              <w:pStyle w:val="TableParagraph"/>
              <w:spacing w:line="240" w:lineRule="auto" w:before="70"/>
              <w:ind w:left="202" w:right="0"/>
              <w:jc w:val="left"/>
              <w:rPr>
                <w:rFonts w:ascii="Times New Roman" w:hAnsi="Times New Roman" w:cs="Times New Roman" w:eastAsia="Times New Roman" w:hint="default"/>
                <w:sz w:val="21"/>
                <w:szCs w:val="21"/>
              </w:rPr>
            </w:pPr>
            <w:r>
              <w:rPr>
                <w:rFonts w:ascii="Times New Roman"/>
                <w:sz w:val="21"/>
              </w:rPr>
              <w:t>63.</w:t>
            </w:r>
          </w:p>
          <w:p>
            <w:pPr>
              <w:pStyle w:val="TableParagraph"/>
              <w:spacing w:line="240" w:lineRule="auto" w:before="75"/>
              <w:ind w:left="149" w:right="0"/>
              <w:jc w:val="center"/>
              <w:rPr>
                <w:rFonts w:ascii="Times New Roman" w:hAnsi="Times New Roman" w:cs="Times New Roman" w:eastAsia="Times New Roman" w:hint="default"/>
                <w:sz w:val="21"/>
                <w:szCs w:val="21"/>
              </w:rPr>
            </w:pPr>
            <w:r>
              <w:rPr>
                <w:rFonts w:ascii="Times New Roman"/>
                <w:sz w:val="21"/>
              </w:rPr>
              <w:t>69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39" w:right="0"/>
              <w:jc w:val="left"/>
              <w:rPr>
                <w:rFonts w:ascii="Times New Roman" w:hAnsi="Times New Roman" w:cs="Times New Roman" w:eastAsia="Times New Roman" w:hint="default"/>
                <w:sz w:val="21"/>
                <w:szCs w:val="21"/>
              </w:rPr>
            </w:pPr>
            <w:r>
              <w:rPr>
                <w:rFonts w:ascii="Times New Roman"/>
                <w:sz w:val="21"/>
              </w:rPr>
              <w:t>-1,3</w:t>
            </w:r>
          </w:p>
          <w:p>
            <w:pPr>
              <w:pStyle w:val="TableParagraph"/>
              <w:spacing w:line="240" w:lineRule="auto" w:before="65"/>
              <w:ind w:left="110" w:right="0"/>
              <w:jc w:val="left"/>
              <w:rPr>
                <w:rFonts w:ascii="Times New Roman" w:hAnsi="Times New Roman" w:cs="Times New Roman" w:eastAsia="Times New Roman" w:hint="default"/>
                <w:sz w:val="21"/>
                <w:szCs w:val="21"/>
              </w:rPr>
            </w:pPr>
            <w:r>
              <w:rPr>
                <w:rFonts w:ascii="Times New Roman"/>
                <w:spacing w:val="-3"/>
                <w:sz w:val="21"/>
              </w:rPr>
              <w:t>11,0</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63.6</w:t>
            </w:r>
          </w:p>
          <w:p>
            <w:pPr>
              <w:pStyle w:val="TableParagraph"/>
              <w:spacing w:line="240" w:lineRule="auto" w:before="75"/>
              <w:ind w:left="364" w:right="0"/>
              <w:jc w:val="left"/>
              <w:rPr>
                <w:rFonts w:ascii="Times New Roman" w:hAnsi="Times New Roman" w:cs="Times New Roman" w:eastAsia="Times New Roman" w:hint="default"/>
                <w:sz w:val="21"/>
                <w:szCs w:val="21"/>
              </w:rPr>
            </w:pPr>
            <w:r>
              <w:rPr>
                <w:rFonts w:ascii="Times New Roman"/>
                <w:w w:val="100"/>
                <w:sz w:val="21"/>
              </w:rPr>
              <w:t>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44" w:right="0"/>
              <w:jc w:val="left"/>
              <w:rPr>
                <w:rFonts w:ascii="Times New Roman" w:hAnsi="Times New Roman" w:cs="Times New Roman" w:eastAsia="Times New Roman" w:hint="default"/>
                <w:sz w:val="21"/>
                <w:szCs w:val="21"/>
              </w:rPr>
            </w:pPr>
            <w:r>
              <w:rPr>
                <w:rFonts w:ascii="Times New Roman"/>
                <w:sz w:val="21"/>
              </w:rPr>
              <w:t>-1,1</w:t>
            </w:r>
          </w:p>
          <w:p>
            <w:pPr>
              <w:pStyle w:val="TableParagraph"/>
              <w:spacing w:line="240" w:lineRule="auto" w:before="65"/>
              <w:ind w:left="105" w:right="0"/>
              <w:jc w:val="left"/>
              <w:rPr>
                <w:rFonts w:ascii="Times New Roman" w:hAnsi="Times New Roman" w:cs="Times New Roman" w:eastAsia="Times New Roman" w:hint="default"/>
                <w:sz w:val="21"/>
                <w:szCs w:val="21"/>
              </w:rPr>
            </w:pPr>
            <w:r>
              <w:rPr>
                <w:rFonts w:ascii="Times New Roman"/>
                <w:sz w:val="21"/>
              </w:rPr>
              <w:t>87,4</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40.8</w:t>
            </w:r>
          </w:p>
          <w:p>
            <w:pPr>
              <w:pStyle w:val="TableParagraph"/>
              <w:spacing w:line="240" w:lineRule="auto" w:before="75"/>
              <w:ind w:left="369" w:right="0"/>
              <w:jc w:val="left"/>
              <w:rPr>
                <w:rFonts w:ascii="Times New Roman" w:hAnsi="Times New Roman" w:cs="Times New Roman" w:eastAsia="Times New Roman" w:hint="default"/>
                <w:sz w:val="21"/>
                <w:szCs w:val="21"/>
              </w:rPr>
            </w:pPr>
            <w:r>
              <w:rPr>
                <w:rFonts w:ascii="Times New Roman"/>
                <w:w w:val="100"/>
                <w:sz w:val="21"/>
              </w:rPr>
              <w:t>7</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-2,49</w:t>
            </w:r>
          </w:p>
          <w:p>
            <w:pPr>
              <w:pStyle w:val="TableParagraph"/>
              <w:spacing w:line="240" w:lineRule="auto" w:before="65"/>
              <w:ind w:left="134" w:right="0"/>
              <w:jc w:val="left"/>
              <w:rPr>
                <w:rFonts w:ascii="Times New Roman" w:hAnsi="Times New Roman" w:cs="Times New Roman" w:eastAsia="Times New Roman" w:hint="default"/>
                <w:sz w:val="21"/>
                <w:szCs w:val="21"/>
              </w:rPr>
            </w:pPr>
            <w:r>
              <w:rPr>
                <w:rFonts w:ascii="Times New Roman"/>
                <w:sz w:val="21"/>
              </w:rPr>
              <w:t>8,504</w:t>
            </w:r>
          </w:p>
          <w:p>
            <w:pPr>
              <w:pStyle w:val="TableParagraph"/>
              <w:spacing w:line="240" w:lineRule="auto" w:before="75"/>
              <w:ind w:left="239" w:right="0"/>
              <w:jc w:val="center"/>
              <w:rPr>
                <w:rFonts w:ascii="Times New Roman" w:hAnsi="Times New Roman" w:cs="Times New Roman" w:eastAsia="Times New Roman" w:hint="default"/>
                <w:sz w:val="21"/>
                <w:szCs w:val="21"/>
              </w:rPr>
            </w:pPr>
            <w:r>
              <w:rPr>
                <w:rFonts w:ascii="Times New Roman"/>
                <w:sz w:val="21"/>
              </w:rPr>
              <w:t>.56</w:t>
            </w:r>
          </w:p>
        </w:tc>
      </w:tr>
      <w:tr>
        <w:trPr>
          <w:trHeight w:val="1340"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61" w:lineRule="auto"/>
              <w:ind w:left="100" w:right="19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r>
              <w:rPr>
                <w:rFonts w:ascii="宋体" w:hAnsi="宋体" w:cs="宋体" w:eastAsia="宋体" w:hint="default"/>
                <w:spacing w:val="-99"/>
                <w:sz w:val="21"/>
                <w:szCs w:val="21"/>
              </w:rPr>
              <w:t> </w:t>
            </w:r>
            <w:r>
              <w:rPr>
                <w:rFonts w:ascii="宋体" w:hAnsi="宋体" w:cs="宋体" w:eastAsia="宋体" w:hint="default"/>
                <w:sz w:val="21"/>
                <w:szCs w:val="21"/>
              </w:rPr>
              <w:t>入的普通股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4" w:right="0"/>
              <w:jc w:val="left"/>
              <w:rPr>
                <w:rFonts w:ascii="Times New Roman" w:hAnsi="Times New Roman" w:cs="Times New Roman" w:eastAsia="Times New Roman" w:hint="default"/>
                <w:sz w:val="21"/>
                <w:szCs w:val="21"/>
              </w:rPr>
            </w:pPr>
            <w:r>
              <w:rPr>
                <w:rFonts w:ascii="Times New Roman"/>
                <w:sz w:val="21"/>
              </w:rPr>
              <w:t>-2,4</w:t>
            </w:r>
          </w:p>
          <w:p>
            <w:pPr>
              <w:pStyle w:val="TableParagraph"/>
              <w:spacing w:line="240" w:lineRule="auto" w:before="71"/>
              <w:ind w:left="105" w:right="0"/>
              <w:jc w:val="left"/>
              <w:rPr>
                <w:rFonts w:ascii="Times New Roman" w:hAnsi="Times New Roman" w:cs="Times New Roman" w:eastAsia="Times New Roman" w:hint="default"/>
                <w:sz w:val="21"/>
                <w:szCs w:val="21"/>
              </w:rPr>
            </w:pPr>
            <w:r>
              <w:rPr>
                <w:rFonts w:ascii="Times New Roman"/>
                <w:sz w:val="21"/>
              </w:rPr>
              <w:t>98,5</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04.5</w:t>
            </w:r>
          </w:p>
          <w:p>
            <w:pPr>
              <w:pStyle w:val="TableParagraph"/>
              <w:spacing w:line="240" w:lineRule="auto" w:before="75"/>
              <w:ind w:left="369" w:right="0"/>
              <w:jc w:val="left"/>
              <w:rPr>
                <w:rFonts w:ascii="Times New Roman" w:hAnsi="Times New Roman" w:cs="Times New Roman" w:eastAsia="Times New Roman" w:hint="default"/>
                <w:sz w:val="21"/>
                <w:szCs w:val="21"/>
              </w:rPr>
            </w:pPr>
            <w:r>
              <w:rPr>
                <w:rFonts w:ascii="Times New Roman"/>
                <w:w w:val="100"/>
                <w:sz w:val="21"/>
              </w:rPr>
              <w:t>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-2,49</w:t>
            </w:r>
          </w:p>
          <w:p>
            <w:pPr>
              <w:pStyle w:val="TableParagraph"/>
              <w:spacing w:line="240" w:lineRule="auto" w:before="65"/>
              <w:ind w:left="134" w:right="0"/>
              <w:jc w:val="left"/>
              <w:rPr>
                <w:rFonts w:ascii="Times New Roman" w:hAnsi="Times New Roman" w:cs="Times New Roman" w:eastAsia="Times New Roman" w:hint="default"/>
                <w:sz w:val="21"/>
                <w:szCs w:val="21"/>
              </w:rPr>
            </w:pPr>
            <w:r>
              <w:rPr>
                <w:rFonts w:ascii="Times New Roman"/>
                <w:sz w:val="21"/>
              </w:rPr>
              <w:t>8,504</w:t>
            </w:r>
          </w:p>
          <w:p>
            <w:pPr>
              <w:pStyle w:val="TableParagraph"/>
              <w:spacing w:line="240" w:lineRule="auto" w:before="75"/>
              <w:ind w:left="239" w:right="0"/>
              <w:jc w:val="center"/>
              <w:rPr>
                <w:rFonts w:ascii="Times New Roman" w:hAnsi="Times New Roman" w:cs="Times New Roman" w:eastAsia="Times New Roman" w:hint="default"/>
                <w:sz w:val="21"/>
                <w:szCs w:val="21"/>
              </w:rPr>
            </w:pPr>
            <w:r>
              <w:rPr>
                <w:rFonts w:ascii="Times New Roman"/>
                <w:sz w:val="21"/>
              </w:rPr>
              <w:t>.56</w:t>
            </w:r>
          </w:p>
        </w:tc>
      </w:tr>
      <w:tr>
        <w:trPr>
          <w:trHeight w:val="1028"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00" w:right="19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w:t>
            </w:r>
            <w:r>
              <w:rPr>
                <w:rFonts w:ascii="宋体" w:hAnsi="宋体" w:cs="宋体" w:eastAsia="宋体" w:hint="default"/>
                <w:spacing w:val="-99"/>
                <w:sz w:val="21"/>
                <w:szCs w:val="21"/>
              </w:rPr>
              <w:t> </w:t>
            </w:r>
            <w:r>
              <w:rPr>
                <w:rFonts w:ascii="宋体" w:hAnsi="宋体" w:cs="宋体" w:eastAsia="宋体" w:hint="default"/>
                <w:sz w:val="21"/>
                <w:szCs w:val="21"/>
              </w:rPr>
              <w:t>工具持有者</w:t>
            </w:r>
            <w:r>
              <w:rPr>
                <w:rFonts w:ascii="宋体" w:hAnsi="宋体" w:cs="宋体" w:eastAsia="宋体" w:hint="default"/>
                <w:spacing w:val="-99"/>
                <w:sz w:val="21"/>
                <w:szCs w:val="21"/>
              </w:rPr>
              <w:t> </w:t>
            </w:r>
            <w:r>
              <w:rPr>
                <w:rFonts w:ascii="宋体" w:hAnsi="宋体" w:cs="宋体" w:eastAsia="宋体" w:hint="default"/>
                <w:sz w:val="21"/>
                <w:szCs w:val="21"/>
              </w:rPr>
              <w:t>投入资本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100" w:right="19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w:t>
            </w:r>
            <w:r>
              <w:rPr>
                <w:rFonts w:ascii="宋体" w:hAnsi="宋体" w:cs="宋体" w:eastAsia="宋体" w:hint="default"/>
                <w:spacing w:val="-99"/>
                <w:sz w:val="21"/>
                <w:szCs w:val="21"/>
              </w:rPr>
              <w:t> </w:t>
            </w:r>
            <w:r>
              <w:rPr>
                <w:rFonts w:ascii="宋体" w:hAnsi="宋体" w:cs="宋体" w:eastAsia="宋体" w:hint="default"/>
                <w:sz w:val="21"/>
                <w:szCs w:val="21"/>
              </w:rPr>
              <w:t>计入所有者</w:t>
            </w:r>
            <w:r>
              <w:rPr>
                <w:rFonts w:ascii="宋体" w:hAnsi="宋体" w:cs="宋体" w:eastAsia="宋体" w:hint="default"/>
                <w:spacing w:val="-99"/>
                <w:sz w:val="21"/>
                <w:szCs w:val="21"/>
              </w:rPr>
              <w:t> </w:t>
            </w:r>
            <w:r>
              <w:rPr>
                <w:rFonts w:ascii="宋体" w:hAnsi="宋体" w:cs="宋体" w:eastAsia="宋体" w:hint="default"/>
                <w:sz w:val="21"/>
                <w:szCs w:val="21"/>
              </w:rPr>
              <w:t>权益的金额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4" w:right="0"/>
              <w:jc w:val="center"/>
              <w:rPr>
                <w:rFonts w:ascii="Times New Roman" w:hAnsi="Times New Roman" w:cs="Times New Roman" w:eastAsia="Times New Roman" w:hint="default"/>
                <w:sz w:val="21"/>
                <w:szCs w:val="21"/>
              </w:rPr>
            </w:pPr>
            <w:r>
              <w:rPr>
                <w:rFonts w:ascii="Times New Roman"/>
                <w:sz w:val="21"/>
              </w:rPr>
              <w:t>-1,3</w:t>
            </w:r>
          </w:p>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spacing w:val="-3"/>
                <w:sz w:val="21"/>
              </w:rPr>
              <w:t>11,0</w:t>
            </w:r>
          </w:p>
          <w:p>
            <w:pPr>
              <w:pStyle w:val="TableParagraph"/>
              <w:spacing w:line="240" w:lineRule="auto" w:before="70"/>
              <w:ind w:left="202" w:right="0"/>
              <w:jc w:val="left"/>
              <w:rPr>
                <w:rFonts w:ascii="Times New Roman" w:hAnsi="Times New Roman" w:cs="Times New Roman" w:eastAsia="Times New Roman" w:hint="default"/>
                <w:sz w:val="21"/>
                <w:szCs w:val="21"/>
              </w:rPr>
            </w:pPr>
            <w:r>
              <w:rPr>
                <w:rFonts w:ascii="Times New Roman"/>
                <w:sz w:val="21"/>
              </w:rPr>
              <w:t>63.</w:t>
            </w:r>
          </w:p>
          <w:p>
            <w:pPr>
              <w:pStyle w:val="TableParagraph"/>
              <w:spacing w:line="240" w:lineRule="auto" w:before="75"/>
              <w:ind w:left="149" w:right="0"/>
              <w:jc w:val="center"/>
              <w:rPr>
                <w:rFonts w:ascii="Times New Roman" w:hAnsi="Times New Roman" w:cs="Times New Roman" w:eastAsia="Times New Roman" w:hint="default"/>
                <w:sz w:val="21"/>
                <w:szCs w:val="21"/>
              </w:rPr>
            </w:pPr>
            <w:r>
              <w:rPr>
                <w:rFonts w:ascii="Times New Roman"/>
                <w:sz w:val="21"/>
              </w:rPr>
              <w:t>69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39" w:right="0"/>
              <w:jc w:val="left"/>
              <w:rPr>
                <w:rFonts w:ascii="Times New Roman" w:hAnsi="Times New Roman" w:cs="Times New Roman" w:eastAsia="Times New Roman" w:hint="default"/>
                <w:sz w:val="21"/>
                <w:szCs w:val="21"/>
              </w:rPr>
            </w:pPr>
            <w:r>
              <w:rPr>
                <w:rFonts w:ascii="Times New Roman"/>
                <w:sz w:val="21"/>
              </w:rPr>
              <w:t>-1,3</w:t>
            </w:r>
          </w:p>
          <w:p>
            <w:pPr>
              <w:pStyle w:val="TableParagraph"/>
              <w:spacing w:line="240" w:lineRule="auto" w:before="66"/>
              <w:ind w:left="110" w:right="0"/>
              <w:jc w:val="left"/>
              <w:rPr>
                <w:rFonts w:ascii="Times New Roman" w:hAnsi="Times New Roman" w:cs="Times New Roman" w:eastAsia="Times New Roman" w:hint="default"/>
                <w:sz w:val="21"/>
                <w:szCs w:val="21"/>
              </w:rPr>
            </w:pPr>
            <w:r>
              <w:rPr>
                <w:rFonts w:ascii="Times New Roman"/>
                <w:spacing w:val="-3"/>
                <w:sz w:val="21"/>
              </w:rPr>
              <w:t>11,0</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63.6</w:t>
            </w:r>
          </w:p>
          <w:p>
            <w:pPr>
              <w:pStyle w:val="TableParagraph"/>
              <w:spacing w:line="240" w:lineRule="auto" w:before="75"/>
              <w:ind w:left="364" w:right="0"/>
              <w:jc w:val="left"/>
              <w:rPr>
                <w:rFonts w:ascii="Times New Roman" w:hAnsi="Times New Roman" w:cs="Times New Roman" w:eastAsia="Times New Roman" w:hint="default"/>
                <w:sz w:val="21"/>
                <w:szCs w:val="21"/>
              </w:rPr>
            </w:pPr>
            <w:r>
              <w:rPr>
                <w:rFonts w:ascii="Times New Roman"/>
                <w:w w:val="100"/>
                <w:sz w:val="21"/>
              </w:rPr>
              <w:t>9</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1,31</w:t>
            </w:r>
          </w:p>
          <w:p>
            <w:pPr>
              <w:pStyle w:val="TableParagraph"/>
              <w:spacing w:line="240" w:lineRule="auto" w:before="65"/>
              <w:ind w:left="105" w:right="0"/>
              <w:jc w:val="left"/>
              <w:rPr>
                <w:rFonts w:ascii="Times New Roman" w:hAnsi="Times New Roman" w:cs="Times New Roman" w:eastAsia="Times New Roman" w:hint="default"/>
                <w:sz w:val="21"/>
                <w:szCs w:val="21"/>
              </w:rPr>
            </w:pPr>
            <w:r>
              <w:rPr>
                <w:rFonts w:ascii="Times New Roman"/>
                <w:sz w:val="21"/>
              </w:rPr>
              <w:t>1,06</w:t>
            </w:r>
          </w:p>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3.69</w:t>
            </w: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8" w:lineRule="auto"/>
              <w:ind w:left="100" w:right="99"/>
              <w:jc w:val="left"/>
              <w:rPr>
                <w:rFonts w:ascii="宋体" w:hAnsi="宋体" w:cs="宋体" w:eastAsia="宋体" w:hint="default"/>
                <w:sz w:val="21"/>
                <w:szCs w:val="21"/>
              </w:rPr>
            </w:pPr>
            <w:r>
              <w:rPr>
                <w:rFonts w:ascii="宋体" w:hAnsi="宋体" w:cs="宋体" w:eastAsia="宋体" w:hint="default"/>
                <w:spacing w:val="-3"/>
                <w:sz w:val="21"/>
                <w:szCs w:val="21"/>
              </w:rPr>
              <w:t>（三）利润分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6"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40" w:lineRule="auto" w:before="70"/>
              <w:ind w:left="206" w:right="0"/>
              <w:jc w:val="left"/>
              <w:rPr>
                <w:rFonts w:ascii="Times New Roman" w:hAnsi="Times New Roman" w:cs="Times New Roman" w:eastAsia="Times New Roman" w:hint="default"/>
                <w:sz w:val="21"/>
                <w:szCs w:val="21"/>
              </w:rPr>
            </w:pPr>
            <w:r>
              <w:rPr>
                <w:rFonts w:ascii="Times New Roman"/>
                <w:sz w:val="21"/>
              </w:rPr>
              <w:t>67,</w:t>
            </w:r>
          </w:p>
          <w:p>
            <w:pPr>
              <w:pStyle w:val="TableParagraph"/>
              <w:spacing w:line="240" w:lineRule="auto" w:before="71"/>
              <w:ind w:left="153" w:right="0"/>
              <w:jc w:val="left"/>
              <w:rPr>
                <w:rFonts w:ascii="Times New Roman" w:hAnsi="Times New Roman" w:cs="Times New Roman" w:eastAsia="Times New Roman" w:hint="default"/>
                <w:sz w:val="21"/>
                <w:szCs w:val="21"/>
              </w:rPr>
            </w:pPr>
            <w:r>
              <w:rPr>
                <w:rFonts w:ascii="Times New Roman"/>
                <w:sz w:val="21"/>
              </w:rPr>
              <w:t>265</w:t>
            </w:r>
          </w:p>
          <w:p>
            <w:pPr>
              <w:pStyle w:val="TableParagraph"/>
              <w:spacing w:line="240" w:lineRule="auto" w:before="75"/>
              <w:ind w:left="206" w:right="0"/>
              <w:jc w:val="left"/>
              <w:rPr>
                <w:rFonts w:ascii="Times New Roman" w:hAnsi="Times New Roman" w:cs="Times New Roman" w:eastAsia="Times New Roman" w:hint="default"/>
                <w:sz w:val="21"/>
                <w:szCs w:val="21"/>
              </w:rPr>
            </w:pPr>
            <w:r>
              <w:rPr>
                <w:rFonts w:ascii="Times New Roman"/>
                <w:sz w:val="21"/>
              </w:rPr>
              <w:t>.91</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 w:right="0"/>
              <w:jc w:val="center"/>
              <w:rPr>
                <w:rFonts w:ascii="Times New Roman" w:hAnsi="Times New Roman" w:cs="Times New Roman" w:eastAsia="Times New Roman" w:hint="default"/>
                <w:sz w:val="21"/>
                <w:szCs w:val="21"/>
              </w:rPr>
            </w:pPr>
            <w:r>
              <w:rPr>
                <w:rFonts w:ascii="Times New Roman"/>
                <w:sz w:val="21"/>
              </w:rPr>
              <w:t>-36,</w:t>
            </w:r>
          </w:p>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709,</w:t>
            </w:r>
          </w:p>
          <w:p>
            <w:pPr>
              <w:pStyle w:val="TableParagraph"/>
              <w:spacing w:line="240" w:lineRule="auto" w:before="71"/>
              <w:ind w:left="4" w:right="0"/>
              <w:jc w:val="center"/>
              <w:rPr>
                <w:rFonts w:ascii="Times New Roman" w:hAnsi="Times New Roman" w:cs="Times New Roman" w:eastAsia="Times New Roman" w:hint="default"/>
                <w:sz w:val="21"/>
                <w:szCs w:val="21"/>
              </w:rPr>
            </w:pPr>
            <w:r>
              <w:rPr>
                <w:rFonts w:ascii="Times New Roman"/>
                <w:sz w:val="21"/>
              </w:rPr>
              <w:t>617.</w:t>
            </w:r>
          </w:p>
          <w:p>
            <w:pPr>
              <w:pStyle w:val="TableParagraph"/>
              <w:spacing w:line="240" w:lineRule="auto" w:before="75"/>
              <w:ind w:left="162" w:right="0"/>
              <w:jc w:val="center"/>
              <w:rPr>
                <w:rFonts w:ascii="Times New Roman" w:hAnsi="Times New Roman" w:cs="Times New Roman" w:eastAsia="Times New Roman" w:hint="default"/>
                <w:sz w:val="21"/>
                <w:szCs w:val="21"/>
              </w:rPr>
            </w:pPr>
            <w:r>
              <w:rPr>
                <w:rFonts w:ascii="Times New Roman"/>
                <w:sz w:val="21"/>
              </w:rPr>
              <w:t>77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2" w:right="0"/>
              <w:jc w:val="center"/>
              <w:rPr>
                <w:rFonts w:ascii="Times New Roman" w:hAnsi="Times New Roman" w:cs="Times New Roman" w:eastAsia="Times New Roman" w:hint="default"/>
                <w:sz w:val="21"/>
                <w:szCs w:val="21"/>
              </w:rPr>
            </w:pPr>
            <w:r>
              <w:rPr>
                <w:rFonts w:ascii="Times New Roman"/>
                <w:sz w:val="21"/>
              </w:rPr>
              <w:t>-35,</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z w:val="21"/>
              </w:rPr>
              <w:t>442,</w:t>
            </w:r>
          </w:p>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sz w:val="21"/>
              </w:rPr>
              <w:t>351.</w:t>
            </w:r>
          </w:p>
          <w:p>
            <w:pPr>
              <w:pStyle w:val="TableParagraph"/>
              <w:spacing w:line="240" w:lineRule="auto" w:before="75"/>
              <w:ind w:left="158" w:right="0"/>
              <w:jc w:val="center"/>
              <w:rPr>
                <w:rFonts w:ascii="Times New Roman" w:hAnsi="Times New Roman" w:cs="Times New Roman" w:eastAsia="Times New Roman" w:hint="default"/>
                <w:sz w:val="21"/>
                <w:szCs w:val="21"/>
              </w:rPr>
            </w:pPr>
            <w:r>
              <w:rPr>
                <w:rFonts w:ascii="Times New Roman"/>
                <w:sz w:val="21"/>
              </w:rPr>
              <w:t>86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4" w:right="0"/>
              <w:jc w:val="left"/>
              <w:rPr>
                <w:rFonts w:ascii="Times New Roman" w:hAnsi="Times New Roman" w:cs="Times New Roman" w:eastAsia="Times New Roman" w:hint="default"/>
                <w:sz w:val="21"/>
                <w:szCs w:val="21"/>
              </w:rPr>
            </w:pPr>
            <w:r>
              <w:rPr>
                <w:rFonts w:ascii="Times New Roman"/>
                <w:sz w:val="21"/>
              </w:rPr>
              <w:t>-1,7</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41,0</w:t>
            </w:r>
          </w:p>
          <w:p>
            <w:pPr>
              <w:pStyle w:val="TableParagraph"/>
              <w:spacing w:line="240" w:lineRule="auto" w:before="71"/>
              <w:ind w:left="105" w:right="0"/>
              <w:jc w:val="left"/>
              <w:rPr>
                <w:rFonts w:ascii="Times New Roman" w:hAnsi="Times New Roman" w:cs="Times New Roman" w:eastAsia="Times New Roman" w:hint="default"/>
                <w:sz w:val="21"/>
                <w:szCs w:val="21"/>
              </w:rPr>
            </w:pPr>
            <w:r>
              <w:rPr>
                <w:rFonts w:ascii="Times New Roman"/>
                <w:sz w:val="21"/>
              </w:rPr>
              <w:t>80.3</w:t>
            </w:r>
          </w:p>
          <w:p>
            <w:pPr>
              <w:pStyle w:val="TableParagraph"/>
              <w:spacing w:line="240" w:lineRule="auto" w:before="75"/>
              <w:ind w:left="369" w:right="0"/>
              <w:jc w:val="left"/>
              <w:rPr>
                <w:rFonts w:ascii="Times New Roman" w:hAnsi="Times New Roman" w:cs="Times New Roman" w:eastAsia="Times New Roman" w:hint="default"/>
                <w:sz w:val="21"/>
                <w:szCs w:val="21"/>
              </w:rPr>
            </w:pPr>
            <w:r>
              <w:rPr>
                <w:rFonts w:ascii="Times New Roman"/>
                <w:w w:val="100"/>
                <w:sz w:val="21"/>
              </w:rPr>
              <w:t>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-37,1</w:t>
            </w:r>
          </w:p>
          <w:p>
            <w:pPr>
              <w:pStyle w:val="TableParagraph"/>
              <w:spacing w:line="240" w:lineRule="auto" w:before="65"/>
              <w:ind w:left="37" w:right="0"/>
              <w:jc w:val="center"/>
              <w:rPr>
                <w:rFonts w:ascii="Times New Roman" w:hAnsi="Times New Roman" w:cs="Times New Roman" w:eastAsia="Times New Roman" w:hint="default"/>
                <w:sz w:val="21"/>
                <w:szCs w:val="21"/>
              </w:rPr>
            </w:pPr>
            <w:r>
              <w:rPr>
                <w:rFonts w:ascii="Times New Roman"/>
                <w:sz w:val="21"/>
              </w:rPr>
              <w:t>83,43</w:t>
            </w:r>
          </w:p>
          <w:p>
            <w:pPr>
              <w:pStyle w:val="TableParagraph"/>
              <w:spacing w:line="240" w:lineRule="auto" w:before="76"/>
              <w:ind w:left="133" w:right="0"/>
              <w:jc w:val="center"/>
              <w:rPr>
                <w:rFonts w:ascii="Times New Roman" w:hAnsi="Times New Roman" w:cs="Times New Roman" w:eastAsia="Times New Roman" w:hint="default"/>
                <w:sz w:val="21"/>
                <w:szCs w:val="21"/>
              </w:rPr>
            </w:pPr>
            <w:r>
              <w:rPr>
                <w:rFonts w:ascii="Times New Roman"/>
                <w:sz w:val="21"/>
              </w:rPr>
              <w:t>2.18</w:t>
            </w:r>
          </w:p>
        </w:tc>
      </w:tr>
      <w:tr>
        <w:trPr>
          <w:trHeight w:val="1340"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56" w:lineRule="auto"/>
              <w:ind w:left="100" w:right="19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r>
              <w:rPr>
                <w:rFonts w:ascii="宋体" w:hAnsi="宋体" w:cs="宋体" w:eastAsia="宋体" w:hint="default"/>
                <w:spacing w:val="-99"/>
                <w:sz w:val="21"/>
                <w:szCs w:val="21"/>
              </w:rPr>
              <w:t> </w:t>
            </w:r>
            <w:r>
              <w:rPr>
                <w:rFonts w:ascii="宋体" w:hAnsi="宋体" w:cs="宋体" w:eastAsia="宋体" w:hint="default"/>
                <w:sz w:val="21"/>
                <w:szCs w:val="21"/>
              </w:rPr>
              <w:t>公积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6"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40" w:lineRule="auto" w:before="65"/>
              <w:ind w:left="206" w:right="0"/>
              <w:jc w:val="left"/>
              <w:rPr>
                <w:rFonts w:ascii="Times New Roman" w:hAnsi="Times New Roman" w:cs="Times New Roman" w:eastAsia="Times New Roman" w:hint="default"/>
                <w:sz w:val="21"/>
                <w:szCs w:val="21"/>
              </w:rPr>
            </w:pPr>
            <w:r>
              <w:rPr>
                <w:rFonts w:ascii="Times New Roman"/>
                <w:sz w:val="21"/>
              </w:rPr>
              <w:t>67,</w:t>
            </w:r>
          </w:p>
          <w:p>
            <w:pPr>
              <w:pStyle w:val="TableParagraph"/>
              <w:spacing w:line="240" w:lineRule="auto" w:before="70"/>
              <w:ind w:left="153" w:right="0"/>
              <w:jc w:val="left"/>
              <w:rPr>
                <w:rFonts w:ascii="Times New Roman" w:hAnsi="Times New Roman" w:cs="Times New Roman" w:eastAsia="Times New Roman" w:hint="default"/>
                <w:sz w:val="21"/>
                <w:szCs w:val="21"/>
              </w:rPr>
            </w:pPr>
            <w:r>
              <w:rPr>
                <w:rFonts w:ascii="Times New Roman"/>
                <w:sz w:val="21"/>
              </w:rPr>
              <w:t>265</w:t>
            </w:r>
          </w:p>
          <w:p>
            <w:pPr>
              <w:pStyle w:val="TableParagraph"/>
              <w:spacing w:line="240" w:lineRule="auto" w:before="75"/>
              <w:ind w:left="206" w:right="0"/>
              <w:jc w:val="left"/>
              <w:rPr>
                <w:rFonts w:ascii="Times New Roman" w:hAnsi="Times New Roman" w:cs="Times New Roman" w:eastAsia="Times New Roman" w:hint="default"/>
                <w:sz w:val="21"/>
                <w:szCs w:val="21"/>
              </w:rPr>
            </w:pPr>
            <w:r>
              <w:rPr>
                <w:rFonts w:ascii="Times New Roman"/>
                <w:sz w:val="21"/>
              </w:rPr>
              <w:t>.91</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40" w:lineRule="auto" w:before="65"/>
              <w:ind w:left="105" w:right="0"/>
              <w:jc w:val="left"/>
              <w:rPr>
                <w:rFonts w:ascii="Times New Roman" w:hAnsi="Times New Roman" w:cs="Times New Roman" w:eastAsia="Times New Roman" w:hint="default"/>
                <w:sz w:val="21"/>
                <w:szCs w:val="21"/>
              </w:rPr>
            </w:pPr>
            <w:r>
              <w:rPr>
                <w:rFonts w:ascii="Times New Roman"/>
                <w:sz w:val="21"/>
              </w:rPr>
              <w:t>67,2</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65.9</w:t>
            </w:r>
          </w:p>
          <w:p>
            <w:pPr>
              <w:pStyle w:val="TableParagraph"/>
              <w:spacing w:line="240" w:lineRule="auto" w:before="75"/>
              <w:ind w:left="369" w:right="0"/>
              <w:jc w:val="left"/>
              <w:rPr>
                <w:rFonts w:ascii="Times New Roman" w:hAnsi="Times New Roman" w:cs="Times New Roman" w:eastAsia="Times New Roman" w:hint="default"/>
                <w:sz w:val="21"/>
                <w:szCs w:val="21"/>
              </w:rPr>
            </w:pPr>
            <w:r>
              <w:rPr>
                <w:rFonts w:ascii="Times New Roman"/>
                <w:w w:val="100"/>
                <w:sz w:val="21"/>
              </w:rPr>
              <w:t>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0" w:right="19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w:t>
            </w:r>
            <w:r>
              <w:rPr>
                <w:rFonts w:ascii="宋体" w:hAnsi="宋体" w:cs="宋体" w:eastAsia="宋体" w:hint="default"/>
                <w:spacing w:val="-99"/>
                <w:sz w:val="21"/>
                <w:szCs w:val="21"/>
              </w:rPr>
              <w:t> </w:t>
            </w:r>
            <w:r>
              <w:rPr>
                <w:rFonts w:ascii="宋体" w:hAnsi="宋体" w:cs="宋体" w:eastAsia="宋体" w:hint="default"/>
                <w:sz w:val="21"/>
                <w:szCs w:val="21"/>
              </w:rPr>
              <w:t>风险准备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6" w:lineRule="auto" w:before="17"/>
              <w:ind w:left="100" w:right="99"/>
              <w:jc w:val="left"/>
              <w:rPr>
                <w:rFonts w:ascii="宋体" w:hAnsi="宋体" w:cs="宋体" w:eastAsia="宋体" w:hint="default"/>
                <w:sz w:val="21"/>
                <w:szCs w:val="21"/>
              </w:rPr>
            </w:pPr>
            <w:r>
              <w:rPr>
                <w:rFonts w:ascii="宋体" w:hAnsi="宋体" w:cs="宋体" w:eastAsia="宋体" w:hint="default"/>
                <w:spacing w:val="-3"/>
                <w:sz w:val="21"/>
                <w:szCs w:val="21"/>
              </w:rPr>
              <w:t>（或股东）的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7" w:right="0"/>
              <w:jc w:val="center"/>
              <w:rPr>
                <w:rFonts w:ascii="Times New Roman" w:hAnsi="Times New Roman" w:cs="Times New Roman" w:eastAsia="Times New Roman" w:hint="default"/>
                <w:sz w:val="21"/>
                <w:szCs w:val="21"/>
              </w:rPr>
            </w:pPr>
            <w:r>
              <w:rPr>
                <w:rFonts w:ascii="Times New Roman"/>
                <w:sz w:val="21"/>
              </w:rPr>
              <w:t>-35,</w:t>
            </w:r>
          </w:p>
          <w:p>
            <w:pPr>
              <w:pStyle w:val="TableParagraph"/>
              <w:spacing w:line="240" w:lineRule="auto" w:before="65"/>
              <w:ind w:left="4" w:right="0"/>
              <w:jc w:val="center"/>
              <w:rPr>
                <w:rFonts w:ascii="Times New Roman" w:hAnsi="Times New Roman" w:cs="Times New Roman" w:eastAsia="Times New Roman" w:hint="default"/>
                <w:sz w:val="21"/>
                <w:szCs w:val="21"/>
              </w:rPr>
            </w:pPr>
            <w:r>
              <w:rPr>
                <w:rFonts w:ascii="Times New Roman"/>
                <w:sz w:val="21"/>
              </w:rPr>
              <w:t>442,</w:t>
            </w:r>
          </w:p>
          <w:p>
            <w:pPr>
              <w:pStyle w:val="TableParagraph"/>
              <w:spacing w:line="240" w:lineRule="auto" w:before="71"/>
              <w:ind w:left="4" w:right="0"/>
              <w:jc w:val="center"/>
              <w:rPr>
                <w:rFonts w:ascii="Times New Roman" w:hAnsi="Times New Roman" w:cs="Times New Roman" w:eastAsia="Times New Roman" w:hint="default"/>
                <w:sz w:val="21"/>
                <w:szCs w:val="21"/>
              </w:rPr>
            </w:pPr>
            <w:r>
              <w:rPr>
                <w:rFonts w:ascii="Times New Roman"/>
                <w:sz w:val="21"/>
              </w:rPr>
              <w:t>351.</w:t>
            </w:r>
          </w:p>
          <w:p>
            <w:pPr>
              <w:pStyle w:val="TableParagraph"/>
              <w:spacing w:line="240" w:lineRule="auto" w:before="75"/>
              <w:ind w:left="162" w:right="0"/>
              <w:jc w:val="center"/>
              <w:rPr>
                <w:rFonts w:ascii="Times New Roman" w:hAnsi="Times New Roman" w:cs="Times New Roman" w:eastAsia="Times New Roman" w:hint="default"/>
                <w:sz w:val="21"/>
                <w:szCs w:val="21"/>
              </w:rPr>
            </w:pPr>
            <w:r>
              <w:rPr>
                <w:rFonts w:ascii="Times New Roman"/>
                <w:sz w:val="21"/>
              </w:rPr>
              <w:t>86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42" w:right="0"/>
              <w:jc w:val="center"/>
              <w:rPr>
                <w:rFonts w:ascii="Times New Roman" w:hAnsi="Times New Roman" w:cs="Times New Roman" w:eastAsia="Times New Roman" w:hint="default"/>
                <w:sz w:val="21"/>
                <w:szCs w:val="21"/>
              </w:rPr>
            </w:pPr>
            <w:r>
              <w:rPr>
                <w:rFonts w:ascii="Times New Roman"/>
                <w:sz w:val="21"/>
              </w:rPr>
              <w:t>-35,</w:t>
            </w:r>
          </w:p>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442,</w:t>
            </w:r>
          </w:p>
          <w:p>
            <w:pPr>
              <w:pStyle w:val="TableParagraph"/>
              <w:spacing w:line="240" w:lineRule="auto" w:before="71"/>
              <w:ind w:right="0"/>
              <w:jc w:val="center"/>
              <w:rPr>
                <w:rFonts w:ascii="Times New Roman" w:hAnsi="Times New Roman" w:cs="Times New Roman" w:eastAsia="Times New Roman" w:hint="default"/>
                <w:sz w:val="21"/>
                <w:szCs w:val="21"/>
              </w:rPr>
            </w:pPr>
            <w:r>
              <w:rPr>
                <w:rFonts w:ascii="Times New Roman"/>
                <w:sz w:val="21"/>
              </w:rPr>
              <w:t>351.</w:t>
            </w:r>
          </w:p>
          <w:p>
            <w:pPr>
              <w:pStyle w:val="TableParagraph"/>
              <w:spacing w:line="240" w:lineRule="auto" w:before="75"/>
              <w:ind w:left="158" w:right="0"/>
              <w:jc w:val="center"/>
              <w:rPr>
                <w:rFonts w:ascii="Times New Roman" w:hAnsi="Times New Roman" w:cs="Times New Roman" w:eastAsia="Times New Roman" w:hint="default"/>
                <w:sz w:val="21"/>
                <w:szCs w:val="21"/>
              </w:rPr>
            </w:pPr>
            <w:r>
              <w:rPr>
                <w:rFonts w:ascii="Times New Roman"/>
                <w:sz w:val="21"/>
              </w:rPr>
              <w:t>86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44" w:right="0"/>
              <w:jc w:val="left"/>
              <w:rPr>
                <w:rFonts w:ascii="Times New Roman" w:hAnsi="Times New Roman" w:cs="Times New Roman" w:eastAsia="Times New Roman" w:hint="default"/>
                <w:sz w:val="21"/>
                <w:szCs w:val="21"/>
              </w:rPr>
            </w:pPr>
            <w:r>
              <w:rPr>
                <w:rFonts w:ascii="Times New Roman"/>
                <w:sz w:val="21"/>
              </w:rPr>
              <w:t>-1,7</w:t>
            </w:r>
          </w:p>
          <w:p>
            <w:pPr>
              <w:pStyle w:val="TableParagraph"/>
              <w:spacing w:line="240" w:lineRule="auto" w:before="65"/>
              <w:ind w:left="105" w:right="0"/>
              <w:jc w:val="left"/>
              <w:rPr>
                <w:rFonts w:ascii="Times New Roman" w:hAnsi="Times New Roman" w:cs="Times New Roman" w:eastAsia="Times New Roman" w:hint="default"/>
                <w:sz w:val="21"/>
                <w:szCs w:val="21"/>
              </w:rPr>
            </w:pPr>
            <w:r>
              <w:rPr>
                <w:rFonts w:ascii="Times New Roman"/>
                <w:sz w:val="21"/>
              </w:rPr>
              <w:t>41,0</w:t>
            </w:r>
          </w:p>
          <w:p>
            <w:pPr>
              <w:pStyle w:val="TableParagraph"/>
              <w:spacing w:line="240" w:lineRule="auto" w:before="71"/>
              <w:ind w:left="105" w:right="0"/>
              <w:jc w:val="left"/>
              <w:rPr>
                <w:rFonts w:ascii="Times New Roman" w:hAnsi="Times New Roman" w:cs="Times New Roman" w:eastAsia="Times New Roman" w:hint="default"/>
                <w:sz w:val="21"/>
                <w:szCs w:val="21"/>
              </w:rPr>
            </w:pPr>
            <w:r>
              <w:rPr>
                <w:rFonts w:ascii="Times New Roman"/>
                <w:sz w:val="21"/>
              </w:rPr>
              <w:t>80.3</w:t>
            </w:r>
          </w:p>
          <w:p>
            <w:pPr>
              <w:pStyle w:val="TableParagraph"/>
              <w:spacing w:line="240" w:lineRule="auto" w:before="75"/>
              <w:ind w:left="369" w:right="0"/>
              <w:jc w:val="left"/>
              <w:rPr>
                <w:rFonts w:ascii="Times New Roman" w:hAnsi="Times New Roman" w:cs="Times New Roman" w:eastAsia="Times New Roman" w:hint="default"/>
                <w:sz w:val="21"/>
                <w:szCs w:val="21"/>
              </w:rPr>
            </w:pPr>
            <w:r>
              <w:rPr>
                <w:rFonts w:ascii="Times New Roman"/>
                <w:w w:val="100"/>
                <w:sz w:val="21"/>
              </w:rPr>
              <w:t>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-37,1</w:t>
            </w:r>
          </w:p>
          <w:p>
            <w:pPr>
              <w:pStyle w:val="TableParagraph"/>
              <w:spacing w:line="240" w:lineRule="auto" w:before="66"/>
              <w:ind w:left="37" w:right="0"/>
              <w:jc w:val="center"/>
              <w:rPr>
                <w:rFonts w:ascii="Times New Roman" w:hAnsi="Times New Roman" w:cs="Times New Roman" w:eastAsia="Times New Roman" w:hint="default"/>
                <w:sz w:val="21"/>
                <w:szCs w:val="21"/>
              </w:rPr>
            </w:pPr>
            <w:r>
              <w:rPr>
                <w:rFonts w:ascii="Times New Roman"/>
                <w:sz w:val="21"/>
              </w:rPr>
              <w:t>83,43</w:t>
            </w:r>
          </w:p>
          <w:p>
            <w:pPr>
              <w:pStyle w:val="TableParagraph"/>
              <w:spacing w:line="240" w:lineRule="auto" w:before="75"/>
              <w:ind w:left="133" w:right="0"/>
              <w:jc w:val="center"/>
              <w:rPr>
                <w:rFonts w:ascii="Times New Roman" w:hAnsi="Times New Roman" w:cs="Times New Roman" w:eastAsia="Times New Roman" w:hint="default"/>
                <w:sz w:val="21"/>
                <w:szCs w:val="21"/>
              </w:rPr>
            </w:pPr>
            <w:r>
              <w:rPr>
                <w:rFonts w:ascii="Times New Roman"/>
                <w:sz w:val="21"/>
              </w:rPr>
              <w:t>2.18</w:t>
            </w:r>
          </w:p>
        </w:tc>
      </w:tr>
      <w:tr>
        <w:trPr>
          <w:trHeight w:val="403"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80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237" w:type="dxa"/>
        <w:tblLayout w:type="fixed"/>
        <w:tblCellMar>
          <w:top w:w="0" w:type="dxa"/>
          <w:left w:w="0" w:type="dxa"/>
          <w:bottom w:w="0" w:type="dxa"/>
          <w:right w:w="0" w:type="dxa"/>
        </w:tblCellMar>
        <w:tblLook w:val="01E0"/>
      </w:tblPr>
      <w:tblGrid>
        <w:gridCol w:w="1465"/>
        <w:gridCol w:w="494"/>
        <w:gridCol w:w="466"/>
        <w:gridCol w:w="466"/>
        <w:gridCol w:w="470"/>
        <w:gridCol w:w="581"/>
        <w:gridCol w:w="586"/>
        <w:gridCol w:w="581"/>
        <w:gridCol w:w="586"/>
        <w:gridCol w:w="586"/>
        <w:gridCol w:w="581"/>
        <w:gridCol w:w="586"/>
        <w:gridCol w:w="586"/>
        <w:gridCol w:w="581"/>
        <w:gridCol w:w="586"/>
        <w:gridCol w:w="716"/>
      </w:tblGrid>
      <w:tr>
        <w:trPr>
          <w:trHeight w:val="1027"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99"/>
              <w:jc w:val="left"/>
              <w:rPr>
                <w:rFonts w:ascii="宋体" w:hAnsi="宋体" w:cs="宋体" w:eastAsia="宋体" w:hint="default"/>
                <w:sz w:val="21"/>
                <w:szCs w:val="21"/>
              </w:rPr>
            </w:pPr>
            <w:r>
              <w:rPr>
                <w:rFonts w:ascii="宋体" w:hAnsi="宋体" w:cs="宋体" w:eastAsia="宋体" w:hint="default"/>
                <w:spacing w:val="-3"/>
                <w:sz w:val="21"/>
                <w:szCs w:val="21"/>
              </w:rPr>
              <w:t>（四）所有者</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权益内部结</w:t>
            </w:r>
            <w:r>
              <w:rPr>
                <w:rFonts w:ascii="宋体" w:hAnsi="宋体" w:cs="宋体" w:eastAsia="宋体" w:hint="default"/>
                <w:spacing w:val="-99"/>
                <w:sz w:val="21"/>
                <w:szCs w:val="21"/>
              </w:rPr>
              <w:t> </w:t>
            </w:r>
            <w:r>
              <w:rPr>
                <w:rFonts w:ascii="宋体" w:hAnsi="宋体" w:cs="宋体" w:eastAsia="宋体" w:hint="default"/>
                <w:sz w:val="21"/>
                <w:szCs w:val="21"/>
              </w:rPr>
              <w:t>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9"/>
              <w:ind w:left="100"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r>
              <w:rPr>
                <w:rFonts w:ascii="宋体" w:hAnsi="宋体" w:cs="宋体" w:eastAsia="宋体" w:hint="default"/>
                <w:spacing w:val="-99"/>
                <w:sz w:val="21"/>
                <w:szCs w:val="21"/>
              </w:rPr>
              <w:t> </w:t>
            </w:r>
            <w:r>
              <w:rPr>
                <w:rFonts w:ascii="宋体" w:hAnsi="宋体" w:cs="宋体" w:eastAsia="宋体" w:hint="default"/>
                <w:spacing w:val="-3"/>
                <w:sz w:val="21"/>
                <w:szCs w:val="21"/>
              </w:rPr>
              <w:t>转增资本（或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33"/>
              <w:ind w:left="100" w:right="9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r>
              <w:rPr>
                <w:rFonts w:ascii="宋体" w:hAnsi="宋体" w:cs="宋体" w:eastAsia="宋体" w:hint="default"/>
                <w:spacing w:val="-99"/>
                <w:sz w:val="21"/>
                <w:szCs w:val="21"/>
              </w:rPr>
              <w:t> </w:t>
            </w:r>
            <w:r>
              <w:rPr>
                <w:rFonts w:ascii="宋体" w:hAnsi="宋体" w:cs="宋体" w:eastAsia="宋体" w:hint="default"/>
                <w:spacing w:val="-3"/>
                <w:sz w:val="21"/>
                <w:szCs w:val="21"/>
              </w:rPr>
              <w:t>转增资本（或</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0" w:right="19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r>
              <w:rPr>
                <w:rFonts w:ascii="宋体" w:hAnsi="宋体" w:cs="宋体" w:eastAsia="宋体" w:hint="default"/>
                <w:spacing w:val="-99"/>
                <w:sz w:val="21"/>
                <w:szCs w:val="21"/>
              </w:rPr>
              <w:t> </w:t>
            </w:r>
            <w:r>
              <w:rPr>
                <w:rFonts w:ascii="宋体" w:hAnsi="宋体" w:cs="宋体" w:eastAsia="宋体" w:hint="default"/>
                <w:sz w:val="21"/>
                <w:szCs w:val="21"/>
              </w:rPr>
              <w:t>弥补亏损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00" w:right="19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w:t>
            </w:r>
            <w:r>
              <w:rPr>
                <w:rFonts w:ascii="宋体" w:hAnsi="宋体" w:cs="宋体" w:eastAsia="宋体" w:hint="default"/>
                <w:spacing w:val="-99"/>
                <w:sz w:val="21"/>
                <w:szCs w:val="21"/>
              </w:rPr>
              <w:t> </w:t>
            </w:r>
            <w:r>
              <w:rPr>
                <w:rFonts w:ascii="宋体" w:hAnsi="宋体" w:cs="宋体" w:eastAsia="宋体" w:hint="default"/>
                <w:sz w:val="21"/>
                <w:szCs w:val="21"/>
              </w:rPr>
              <w:t>计划变动额</w:t>
            </w:r>
            <w:r>
              <w:rPr>
                <w:rFonts w:ascii="宋体" w:hAnsi="宋体" w:cs="宋体" w:eastAsia="宋体" w:hint="default"/>
                <w:spacing w:val="-99"/>
                <w:sz w:val="21"/>
                <w:szCs w:val="21"/>
              </w:rPr>
              <w:t> </w:t>
            </w:r>
            <w:r>
              <w:rPr>
                <w:rFonts w:ascii="宋体" w:hAnsi="宋体" w:cs="宋体" w:eastAsia="宋体" w:hint="default"/>
                <w:sz w:val="21"/>
                <w:szCs w:val="21"/>
              </w:rPr>
              <w:t>结转留存收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100" w:right="19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．其他综合</w:t>
            </w:r>
            <w:r>
              <w:rPr>
                <w:rFonts w:ascii="宋体" w:hAnsi="宋体" w:cs="宋体" w:eastAsia="宋体" w:hint="default"/>
                <w:spacing w:val="-99"/>
                <w:sz w:val="21"/>
                <w:szCs w:val="21"/>
              </w:rPr>
              <w:t> </w:t>
            </w:r>
            <w:r>
              <w:rPr>
                <w:rFonts w:ascii="宋体" w:hAnsi="宋体" w:cs="宋体" w:eastAsia="宋体" w:hint="default"/>
                <w:sz w:val="21"/>
                <w:szCs w:val="21"/>
              </w:rPr>
              <w:t>收益结转留</w:t>
            </w:r>
            <w:r>
              <w:rPr>
                <w:rFonts w:ascii="宋体" w:hAnsi="宋体" w:cs="宋体" w:eastAsia="宋体" w:hint="default"/>
                <w:spacing w:val="-99"/>
                <w:sz w:val="21"/>
                <w:szCs w:val="21"/>
              </w:rPr>
              <w:t> </w:t>
            </w:r>
            <w:r>
              <w:rPr>
                <w:rFonts w:ascii="宋体" w:hAnsi="宋体" w:cs="宋体" w:eastAsia="宋体" w:hint="default"/>
                <w:sz w:val="21"/>
                <w:szCs w:val="21"/>
              </w:rPr>
              <w:t>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0" w:right="99"/>
              <w:jc w:val="left"/>
              <w:rPr>
                <w:rFonts w:ascii="宋体" w:hAnsi="宋体" w:cs="宋体" w:eastAsia="宋体" w:hint="default"/>
                <w:sz w:val="21"/>
                <w:szCs w:val="21"/>
              </w:rPr>
            </w:pPr>
            <w:r>
              <w:rPr>
                <w:rFonts w:ascii="宋体" w:hAnsi="宋体" w:cs="宋体" w:eastAsia="宋体" w:hint="default"/>
                <w:spacing w:val="-3"/>
                <w:sz w:val="21"/>
                <w:szCs w:val="21"/>
              </w:rPr>
              <w:t>（五）专项储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91" w:right="0"/>
              <w:jc w:val="left"/>
              <w:rPr>
                <w:rFonts w:ascii="Times New Roman" w:hAnsi="Times New Roman" w:cs="Times New Roman" w:eastAsia="Times New Roman" w:hint="default"/>
                <w:sz w:val="21"/>
                <w:szCs w:val="21"/>
              </w:rPr>
            </w:pPr>
            <w:r>
              <w:rPr>
                <w:rFonts w:ascii="Times New Roman"/>
                <w:sz w:val="21"/>
              </w:rPr>
              <w:t>-39</w:t>
            </w:r>
          </w:p>
          <w:p>
            <w:pPr>
              <w:pStyle w:val="TableParagraph"/>
              <w:spacing w:line="240" w:lineRule="auto" w:before="65"/>
              <w:ind w:left="206" w:right="0"/>
              <w:jc w:val="left"/>
              <w:rPr>
                <w:rFonts w:ascii="Times New Roman" w:hAnsi="Times New Roman" w:cs="Times New Roman" w:eastAsia="Times New Roman" w:hint="default"/>
                <w:sz w:val="21"/>
                <w:szCs w:val="21"/>
              </w:rPr>
            </w:pPr>
            <w:r>
              <w:rPr>
                <w:rFonts w:ascii="Times New Roman"/>
                <w:sz w:val="21"/>
              </w:rPr>
              <w:t>2,7</w:t>
            </w:r>
          </w:p>
          <w:p>
            <w:pPr>
              <w:pStyle w:val="TableParagraph"/>
              <w:spacing w:line="240" w:lineRule="auto" w:before="70"/>
              <w:ind w:left="206" w:right="0"/>
              <w:jc w:val="left"/>
              <w:rPr>
                <w:rFonts w:ascii="Times New Roman" w:hAnsi="Times New Roman" w:cs="Times New Roman" w:eastAsia="Times New Roman" w:hint="default"/>
                <w:sz w:val="21"/>
                <w:szCs w:val="21"/>
              </w:rPr>
            </w:pPr>
            <w:r>
              <w:rPr>
                <w:rFonts w:ascii="Times New Roman"/>
                <w:sz w:val="21"/>
              </w:rPr>
              <w:t>44.</w:t>
            </w:r>
          </w:p>
          <w:p>
            <w:pPr>
              <w:pStyle w:val="TableParagraph"/>
              <w:spacing w:line="240" w:lineRule="auto" w:before="75"/>
              <w:ind w:left="259" w:right="0"/>
              <w:jc w:val="left"/>
              <w:rPr>
                <w:rFonts w:ascii="Times New Roman" w:hAnsi="Times New Roman" w:cs="Times New Roman" w:eastAsia="Times New Roman" w:hint="default"/>
                <w:sz w:val="21"/>
                <w:szCs w:val="21"/>
              </w:rPr>
            </w:pPr>
            <w:r>
              <w:rPr>
                <w:rFonts w:ascii="Times New Roman"/>
                <w:sz w:val="21"/>
              </w:rPr>
              <w:t>00</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43" w:right="0"/>
              <w:jc w:val="left"/>
              <w:rPr>
                <w:rFonts w:ascii="Times New Roman" w:hAnsi="Times New Roman" w:cs="Times New Roman" w:eastAsia="Times New Roman" w:hint="default"/>
                <w:sz w:val="21"/>
                <w:szCs w:val="21"/>
              </w:rPr>
            </w:pPr>
            <w:r>
              <w:rPr>
                <w:rFonts w:ascii="Times New Roman"/>
                <w:sz w:val="21"/>
              </w:rPr>
              <w:t>-3,5</w:t>
            </w:r>
          </w:p>
          <w:p>
            <w:pPr>
              <w:pStyle w:val="TableParagraph"/>
              <w:spacing w:line="240" w:lineRule="auto" w:before="65"/>
              <w:ind w:left="105" w:right="0"/>
              <w:jc w:val="left"/>
              <w:rPr>
                <w:rFonts w:ascii="Times New Roman" w:hAnsi="Times New Roman" w:cs="Times New Roman" w:eastAsia="Times New Roman" w:hint="default"/>
                <w:sz w:val="21"/>
                <w:szCs w:val="21"/>
              </w:rPr>
            </w:pPr>
            <w:r>
              <w:rPr>
                <w:rFonts w:ascii="Times New Roman"/>
                <w:sz w:val="21"/>
              </w:rPr>
              <w:t>34,6</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96.0</w:t>
            </w:r>
          </w:p>
          <w:p>
            <w:pPr>
              <w:pStyle w:val="TableParagraph"/>
              <w:spacing w:line="240" w:lineRule="auto" w:before="75"/>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39" w:right="0"/>
              <w:jc w:val="left"/>
              <w:rPr>
                <w:rFonts w:ascii="Times New Roman" w:hAnsi="Times New Roman" w:cs="Times New Roman" w:eastAsia="Times New Roman" w:hint="default"/>
                <w:sz w:val="21"/>
                <w:szCs w:val="21"/>
              </w:rPr>
            </w:pPr>
            <w:r>
              <w:rPr>
                <w:rFonts w:ascii="Times New Roman"/>
                <w:sz w:val="21"/>
              </w:rPr>
              <w:t>-3,9</w:t>
            </w:r>
          </w:p>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27,4</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40.0</w:t>
            </w:r>
          </w:p>
          <w:p>
            <w:pPr>
              <w:pStyle w:val="TableParagraph"/>
              <w:spacing w:line="240" w:lineRule="auto" w:before="75"/>
              <w:ind w:left="364" w:right="0"/>
              <w:jc w:val="left"/>
              <w:rPr>
                <w:rFonts w:ascii="Times New Roman" w:hAnsi="Times New Roman" w:cs="Times New Roman" w:eastAsia="Times New Roman" w:hint="default"/>
                <w:sz w:val="21"/>
                <w:szCs w:val="21"/>
              </w:rPr>
            </w:pPr>
            <w:r>
              <w:rPr>
                <w:rFonts w:ascii="Times New Roman"/>
                <w:w w:val="100"/>
                <w:sz w:val="21"/>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71" w:right="0"/>
              <w:jc w:val="center"/>
              <w:rPr>
                <w:rFonts w:ascii="Times New Roman" w:hAnsi="Times New Roman" w:cs="Times New Roman" w:eastAsia="Times New Roman" w:hint="default"/>
                <w:sz w:val="21"/>
                <w:szCs w:val="21"/>
              </w:rPr>
            </w:pPr>
            <w:r>
              <w:rPr>
                <w:rFonts w:ascii="Times New Roman"/>
                <w:sz w:val="21"/>
              </w:rPr>
              <w:t>-3,92</w:t>
            </w:r>
          </w:p>
          <w:p>
            <w:pPr>
              <w:pStyle w:val="TableParagraph"/>
              <w:spacing w:line="240" w:lineRule="auto" w:before="65"/>
              <w:ind w:left="134" w:right="0"/>
              <w:jc w:val="left"/>
              <w:rPr>
                <w:rFonts w:ascii="Times New Roman" w:hAnsi="Times New Roman" w:cs="Times New Roman" w:eastAsia="Times New Roman" w:hint="default"/>
                <w:sz w:val="21"/>
                <w:szCs w:val="21"/>
              </w:rPr>
            </w:pPr>
            <w:r>
              <w:rPr>
                <w:rFonts w:ascii="Times New Roman"/>
                <w:sz w:val="21"/>
              </w:rPr>
              <w:t>7,440</w:t>
            </w:r>
          </w:p>
          <w:p>
            <w:pPr>
              <w:pStyle w:val="TableParagraph"/>
              <w:spacing w:line="240" w:lineRule="auto" w:before="75"/>
              <w:ind w:left="239" w:right="0"/>
              <w:jc w:val="center"/>
              <w:rPr>
                <w:rFonts w:ascii="Times New Roman" w:hAnsi="Times New Roman" w:cs="Times New Roman" w:eastAsia="Times New Roman" w:hint="default"/>
                <w:sz w:val="21"/>
                <w:szCs w:val="21"/>
              </w:rPr>
            </w:pPr>
            <w:r>
              <w:rPr>
                <w:rFonts w:ascii="Times New Roman"/>
                <w:sz w:val="21"/>
              </w:rPr>
              <w:t>.00</w:t>
            </w:r>
          </w:p>
        </w:tc>
      </w:tr>
      <w:tr>
        <w:trPr>
          <w:trHeight w:val="1964" w:hRule="exact"/>
        </w:trPr>
        <w:tc>
          <w:tcPr>
            <w:tcW w:w="14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6" w:lineRule="auto"/>
              <w:ind w:left="100" w:right="99"/>
              <w:jc w:val="left"/>
              <w:rPr>
                <w:rFonts w:ascii="宋体" w:hAnsi="宋体" w:cs="宋体" w:eastAsia="宋体" w:hint="default"/>
                <w:sz w:val="21"/>
                <w:szCs w:val="21"/>
              </w:rPr>
            </w:pPr>
            <w:r>
              <w:rPr>
                <w:rFonts w:ascii="宋体" w:hAnsi="宋体" w:cs="宋体" w:eastAsia="宋体" w:hint="default"/>
                <w:spacing w:val="-3"/>
                <w:sz w:val="21"/>
                <w:szCs w:val="21"/>
              </w:rPr>
              <w:t>四、本期期末</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2" w:right="0"/>
              <w:jc w:val="center"/>
              <w:rPr>
                <w:rFonts w:ascii="Times New Roman" w:hAnsi="Times New Roman" w:cs="Times New Roman" w:eastAsia="Times New Roman" w:hint="default"/>
                <w:sz w:val="21"/>
                <w:szCs w:val="21"/>
              </w:rPr>
            </w:pPr>
            <w:r>
              <w:rPr>
                <w:rFonts w:ascii="Times New Roman"/>
                <w:sz w:val="21"/>
              </w:rPr>
              <w:t>69</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1,5</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05,</w:t>
            </w:r>
          </w:p>
          <w:p>
            <w:pPr>
              <w:pStyle w:val="TableParagraph"/>
              <w:spacing w:line="240" w:lineRule="auto" w:before="70"/>
              <w:ind w:left="72" w:right="0"/>
              <w:jc w:val="center"/>
              <w:rPr>
                <w:rFonts w:ascii="Times New Roman" w:hAnsi="Times New Roman" w:cs="Times New Roman" w:eastAsia="Times New Roman" w:hint="default"/>
                <w:sz w:val="21"/>
                <w:szCs w:val="21"/>
              </w:rPr>
            </w:pPr>
            <w:r>
              <w:rPr>
                <w:rFonts w:ascii="Times New Roman"/>
                <w:sz w:val="21"/>
              </w:rPr>
              <w:t>91</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5.0</w:t>
            </w:r>
          </w:p>
          <w:p>
            <w:pPr>
              <w:pStyle w:val="TableParagraph"/>
              <w:spacing w:line="240" w:lineRule="auto" w:before="75"/>
              <w:ind w:left="177" w:right="0"/>
              <w:jc w:val="center"/>
              <w:rPr>
                <w:rFonts w:ascii="Times New Roman" w:hAnsi="Times New Roman" w:cs="Times New Roman" w:eastAsia="Times New Roman" w:hint="default"/>
                <w:sz w:val="21"/>
                <w:szCs w:val="21"/>
              </w:rPr>
            </w:pPr>
            <w:r>
              <w:rPr>
                <w:rFonts w:ascii="Times New Roman"/>
                <w:w w:val="100"/>
                <w:sz w:val="21"/>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2" w:right="0"/>
              <w:jc w:val="left"/>
              <w:rPr>
                <w:rFonts w:ascii="Times New Roman" w:hAnsi="Times New Roman" w:cs="Times New Roman" w:eastAsia="Times New Roman" w:hint="default"/>
                <w:sz w:val="21"/>
                <w:szCs w:val="21"/>
              </w:rPr>
            </w:pPr>
            <w:r>
              <w:rPr>
                <w:rFonts w:ascii="Times New Roman"/>
                <w:sz w:val="21"/>
              </w:rPr>
              <w:t>2,8</w:t>
            </w:r>
          </w:p>
          <w:p>
            <w:pPr>
              <w:pStyle w:val="TableParagraph"/>
              <w:spacing w:line="240" w:lineRule="auto" w:before="65"/>
              <w:ind w:left="202" w:right="0"/>
              <w:jc w:val="left"/>
              <w:rPr>
                <w:rFonts w:ascii="Times New Roman" w:hAnsi="Times New Roman" w:cs="Times New Roman" w:eastAsia="Times New Roman" w:hint="default"/>
                <w:sz w:val="21"/>
                <w:szCs w:val="21"/>
              </w:rPr>
            </w:pPr>
            <w:r>
              <w:rPr>
                <w:rFonts w:ascii="Times New Roman"/>
                <w:sz w:val="21"/>
              </w:rPr>
              <w:t>23,</w:t>
            </w:r>
          </w:p>
          <w:p>
            <w:pPr>
              <w:pStyle w:val="TableParagraph"/>
              <w:spacing w:line="240" w:lineRule="auto" w:before="70"/>
              <w:ind w:left="149" w:right="0"/>
              <w:jc w:val="left"/>
              <w:rPr>
                <w:rFonts w:ascii="Times New Roman" w:hAnsi="Times New Roman" w:cs="Times New Roman" w:eastAsia="Times New Roman" w:hint="default"/>
                <w:sz w:val="21"/>
                <w:szCs w:val="21"/>
              </w:rPr>
            </w:pPr>
            <w:r>
              <w:rPr>
                <w:rFonts w:ascii="Times New Roman"/>
                <w:sz w:val="21"/>
              </w:rPr>
              <w:t>826</w:t>
            </w:r>
          </w:p>
          <w:p>
            <w:pPr>
              <w:pStyle w:val="TableParagraph"/>
              <w:spacing w:line="240" w:lineRule="auto" w:before="70"/>
              <w:ind w:right="0"/>
              <w:jc w:val="center"/>
              <w:rPr>
                <w:rFonts w:ascii="Times New Roman" w:hAnsi="Times New Roman" w:cs="Times New Roman" w:eastAsia="Times New Roman" w:hint="default"/>
                <w:sz w:val="21"/>
                <w:szCs w:val="21"/>
              </w:rPr>
            </w:pPr>
            <w:r>
              <w:rPr>
                <w:rFonts w:ascii="Times New Roman"/>
                <w:spacing w:val="-3"/>
                <w:sz w:val="21"/>
              </w:rPr>
              <w:t>,511</w:t>
            </w:r>
          </w:p>
          <w:p>
            <w:pPr>
              <w:pStyle w:val="TableParagraph"/>
              <w:spacing w:line="240" w:lineRule="auto" w:before="75"/>
              <w:ind w:left="106" w:right="0"/>
              <w:jc w:val="center"/>
              <w:rPr>
                <w:rFonts w:ascii="Times New Roman" w:hAnsi="Times New Roman" w:cs="Times New Roman" w:eastAsia="Times New Roman" w:hint="default"/>
                <w:sz w:val="21"/>
                <w:szCs w:val="21"/>
              </w:rPr>
            </w:pPr>
            <w:r>
              <w:rPr>
                <w:rFonts w:ascii="Times New Roman"/>
                <w:spacing w:val="-4"/>
                <w:sz w:val="21"/>
              </w:rPr>
              <w:t>.11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4" w:right="0"/>
              <w:jc w:val="center"/>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033,</w:t>
            </w:r>
          </w:p>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637.</w:t>
            </w:r>
          </w:p>
          <w:p>
            <w:pPr>
              <w:pStyle w:val="TableParagraph"/>
              <w:spacing w:line="240" w:lineRule="auto" w:before="75"/>
              <w:ind w:left="163" w:right="0"/>
              <w:jc w:val="center"/>
              <w:rPr>
                <w:rFonts w:ascii="Times New Roman" w:hAnsi="Times New Roman" w:cs="Times New Roman" w:eastAsia="Times New Roman" w:hint="default"/>
                <w:sz w:val="21"/>
                <w:szCs w:val="21"/>
              </w:rPr>
            </w:pPr>
            <w:r>
              <w:rPr>
                <w:rFonts w:ascii="Times New Roman"/>
                <w:sz w:val="21"/>
              </w:rPr>
              <w:t>57</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0" w:right="0"/>
              <w:jc w:val="center"/>
              <w:rPr>
                <w:rFonts w:ascii="Times New Roman" w:hAnsi="Times New Roman" w:cs="Times New Roman" w:eastAsia="Times New Roman" w:hint="default"/>
                <w:sz w:val="21"/>
                <w:szCs w:val="21"/>
              </w:rPr>
            </w:pPr>
            <w:r>
              <w:rPr>
                <w:rFonts w:ascii="Times New Roman"/>
                <w:sz w:val="21"/>
              </w:rPr>
              <w:t>52,</w:t>
            </w:r>
          </w:p>
          <w:p>
            <w:pPr>
              <w:pStyle w:val="TableParagraph"/>
              <w:spacing w:line="240" w:lineRule="auto" w:before="65"/>
              <w:ind w:left="153" w:right="0"/>
              <w:jc w:val="left"/>
              <w:rPr>
                <w:rFonts w:ascii="Times New Roman" w:hAnsi="Times New Roman" w:cs="Times New Roman" w:eastAsia="Times New Roman" w:hint="default"/>
                <w:sz w:val="21"/>
                <w:szCs w:val="21"/>
              </w:rPr>
            </w:pPr>
            <w:r>
              <w:rPr>
                <w:rFonts w:ascii="Times New Roman"/>
                <w:sz w:val="21"/>
              </w:rPr>
              <w:t>453</w:t>
            </w:r>
          </w:p>
          <w:p>
            <w:pPr>
              <w:pStyle w:val="TableParagraph"/>
              <w:spacing w:line="240" w:lineRule="auto" w:before="70"/>
              <w:ind w:left="100" w:right="0"/>
              <w:jc w:val="center"/>
              <w:rPr>
                <w:rFonts w:ascii="Times New Roman" w:hAnsi="Times New Roman" w:cs="Times New Roman" w:eastAsia="Times New Roman" w:hint="default"/>
                <w:sz w:val="21"/>
                <w:szCs w:val="21"/>
              </w:rPr>
            </w:pPr>
            <w:r>
              <w:rPr>
                <w:rFonts w:ascii="Times New Roman"/>
                <w:sz w:val="21"/>
              </w:rPr>
              <w:t>,38</w:t>
            </w:r>
          </w:p>
          <w:p>
            <w:pPr>
              <w:pStyle w:val="TableParagraph"/>
              <w:spacing w:line="240" w:lineRule="auto" w:before="70"/>
              <w:ind w:left="100" w:right="0"/>
              <w:jc w:val="center"/>
              <w:rPr>
                <w:rFonts w:ascii="Times New Roman" w:hAnsi="Times New Roman" w:cs="Times New Roman" w:eastAsia="Times New Roman" w:hint="default"/>
                <w:sz w:val="21"/>
                <w:szCs w:val="21"/>
              </w:rPr>
            </w:pPr>
            <w:r>
              <w:rPr>
                <w:rFonts w:ascii="Times New Roman"/>
                <w:sz w:val="21"/>
              </w:rPr>
              <w:t>4.0</w:t>
            </w:r>
          </w:p>
          <w:p>
            <w:pPr>
              <w:pStyle w:val="TableParagraph"/>
              <w:spacing w:line="240" w:lineRule="auto" w:before="75"/>
              <w:ind w:left="259" w:right="0"/>
              <w:jc w:val="center"/>
              <w:rPr>
                <w:rFonts w:ascii="Times New Roman" w:hAnsi="Times New Roman" w:cs="Times New Roman" w:eastAsia="Times New Roman" w:hint="default"/>
                <w:sz w:val="21"/>
                <w:szCs w:val="21"/>
              </w:rPr>
            </w:pPr>
            <w:r>
              <w:rPr>
                <w:rFonts w:ascii="Times New Roman"/>
                <w:w w:val="100"/>
                <w:sz w:val="21"/>
              </w:rPr>
              <w:t>3</w:t>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4" w:right="0"/>
              <w:jc w:val="center"/>
              <w:rPr>
                <w:rFonts w:ascii="Times New Roman" w:hAnsi="Times New Roman" w:cs="Times New Roman" w:eastAsia="Times New Roman" w:hint="default"/>
                <w:sz w:val="21"/>
                <w:szCs w:val="21"/>
              </w:rPr>
            </w:pPr>
            <w:r>
              <w:rPr>
                <w:rFonts w:ascii="Times New Roman"/>
                <w:sz w:val="21"/>
              </w:rPr>
              <w:t>954,</w:t>
            </w:r>
          </w:p>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996,</w:t>
            </w:r>
          </w:p>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454.</w:t>
            </w:r>
          </w:p>
          <w:p>
            <w:pPr>
              <w:pStyle w:val="TableParagraph"/>
              <w:spacing w:line="240" w:lineRule="auto" w:before="75"/>
              <w:ind w:left="162" w:right="0"/>
              <w:jc w:val="center"/>
              <w:rPr>
                <w:rFonts w:ascii="Times New Roman" w:hAnsi="Times New Roman" w:cs="Times New Roman" w:eastAsia="Times New Roman" w:hint="default"/>
                <w:sz w:val="21"/>
                <w:szCs w:val="21"/>
              </w:rPr>
            </w:pPr>
            <w:r>
              <w:rPr>
                <w:rFonts w:ascii="Times New Roman"/>
                <w:sz w:val="21"/>
              </w:rPr>
              <w:t>96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00" w:right="0"/>
              <w:jc w:val="left"/>
              <w:rPr>
                <w:rFonts w:ascii="Times New Roman" w:hAnsi="Times New Roman" w:cs="Times New Roman" w:eastAsia="Times New Roman" w:hint="default"/>
                <w:sz w:val="21"/>
                <w:szCs w:val="21"/>
              </w:rPr>
            </w:pPr>
            <w:r>
              <w:rPr>
                <w:rFonts w:ascii="Times New Roman"/>
                <w:sz w:val="21"/>
              </w:rPr>
              <w:t>4,37</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2,74</w:t>
            </w:r>
          </w:p>
          <w:p>
            <w:pPr>
              <w:pStyle w:val="TableParagraph"/>
              <w:spacing w:line="240" w:lineRule="auto" w:before="70"/>
              <w:ind w:left="100" w:right="0"/>
              <w:jc w:val="left"/>
              <w:rPr>
                <w:rFonts w:ascii="Times New Roman" w:hAnsi="Times New Roman" w:cs="Times New Roman" w:eastAsia="Times New Roman" w:hint="default"/>
                <w:sz w:val="21"/>
                <w:szCs w:val="21"/>
              </w:rPr>
            </w:pPr>
            <w:r>
              <w:rPr>
                <w:rFonts w:ascii="Times New Roman"/>
                <w:sz w:val="21"/>
              </w:rPr>
              <w:t>8,62</w:t>
            </w:r>
          </w:p>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7.53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4" w:right="0"/>
              <w:jc w:val="center"/>
              <w:rPr>
                <w:rFonts w:ascii="Times New Roman" w:hAnsi="Times New Roman" w:cs="Times New Roman" w:eastAsia="Times New Roman" w:hint="default"/>
                <w:sz w:val="21"/>
                <w:szCs w:val="21"/>
              </w:rPr>
            </w:pPr>
            <w:r>
              <w:rPr>
                <w:rFonts w:ascii="Times New Roman"/>
                <w:sz w:val="21"/>
              </w:rPr>
              <w:t>216,</w:t>
            </w:r>
          </w:p>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373,</w:t>
            </w:r>
          </w:p>
          <w:p>
            <w:pPr>
              <w:pStyle w:val="TableParagraph"/>
              <w:spacing w:line="240" w:lineRule="auto" w:before="70"/>
              <w:ind w:left="4" w:right="0"/>
              <w:jc w:val="center"/>
              <w:rPr>
                <w:rFonts w:ascii="Times New Roman" w:hAnsi="Times New Roman" w:cs="Times New Roman" w:eastAsia="Times New Roman" w:hint="default"/>
                <w:sz w:val="21"/>
                <w:szCs w:val="21"/>
              </w:rPr>
            </w:pPr>
            <w:r>
              <w:rPr>
                <w:rFonts w:ascii="Times New Roman"/>
                <w:sz w:val="21"/>
              </w:rPr>
              <w:t>656.</w:t>
            </w:r>
          </w:p>
          <w:p>
            <w:pPr>
              <w:pStyle w:val="TableParagraph"/>
              <w:spacing w:line="240" w:lineRule="auto" w:before="75"/>
              <w:ind w:left="163" w:right="0"/>
              <w:jc w:val="center"/>
              <w:rPr>
                <w:rFonts w:ascii="Times New Roman" w:hAnsi="Times New Roman" w:cs="Times New Roman" w:eastAsia="Times New Roman" w:hint="default"/>
                <w:sz w:val="21"/>
                <w:szCs w:val="21"/>
              </w:rPr>
            </w:pPr>
            <w:r>
              <w:rPr>
                <w:rFonts w:ascii="Times New Roman"/>
                <w:sz w:val="21"/>
              </w:rPr>
              <w:t>16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34" w:right="0"/>
              <w:jc w:val="left"/>
              <w:rPr>
                <w:rFonts w:ascii="Times New Roman" w:hAnsi="Times New Roman" w:cs="Times New Roman" w:eastAsia="Times New Roman" w:hint="default"/>
                <w:sz w:val="21"/>
                <w:szCs w:val="21"/>
              </w:rPr>
            </w:pPr>
            <w:r>
              <w:rPr>
                <w:rFonts w:ascii="Times New Roman"/>
                <w:sz w:val="21"/>
              </w:rPr>
              <w:t>4,589</w:t>
            </w:r>
          </w:p>
          <w:p>
            <w:pPr>
              <w:pStyle w:val="TableParagraph"/>
              <w:spacing w:line="240" w:lineRule="auto" w:before="70"/>
              <w:ind w:left="187" w:right="0"/>
              <w:jc w:val="left"/>
              <w:rPr>
                <w:rFonts w:ascii="Times New Roman" w:hAnsi="Times New Roman" w:cs="Times New Roman" w:eastAsia="Times New Roman" w:hint="default"/>
                <w:sz w:val="21"/>
                <w:szCs w:val="21"/>
              </w:rPr>
            </w:pPr>
            <w:r>
              <w:rPr>
                <w:rFonts w:ascii="Times New Roman"/>
                <w:sz w:val="21"/>
              </w:rPr>
              <w:t>,122,</w:t>
            </w:r>
          </w:p>
          <w:p>
            <w:pPr>
              <w:pStyle w:val="TableParagraph"/>
              <w:spacing w:line="240" w:lineRule="auto" w:before="70"/>
              <w:ind w:left="134" w:right="0"/>
              <w:jc w:val="left"/>
              <w:rPr>
                <w:rFonts w:ascii="Times New Roman" w:hAnsi="Times New Roman" w:cs="Times New Roman" w:eastAsia="Times New Roman" w:hint="default"/>
                <w:sz w:val="21"/>
                <w:szCs w:val="21"/>
              </w:rPr>
            </w:pPr>
            <w:r>
              <w:rPr>
                <w:rFonts w:ascii="Times New Roman"/>
                <w:sz w:val="21"/>
              </w:rPr>
              <w:t>283.6</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w w:val="100"/>
                <w:sz w:val="21"/>
              </w:rPr>
              <w:t>9</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680" w:right="0"/>
        </w:sectPr>
      </w:pPr>
    </w:p>
    <w:p>
      <w:pPr>
        <w:pStyle w:val="BodyText"/>
        <w:spacing w:line="240" w:lineRule="auto" w:before="28"/>
        <w:ind w:left="453" w:right="-15"/>
        <w:jc w:val="left"/>
      </w:pPr>
      <w:r>
        <w:rPr/>
        <w:t>上期金额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13"/>
          <w:szCs w:val="13"/>
        </w:rPr>
      </w:pPr>
    </w:p>
    <w:p>
      <w:pPr>
        <w:spacing w:before="0"/>
        <w:ind w:left="4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680" w:right="0"/>
          <w:cols w:num="2" w:equalWidth="0">
            <w:col w:w="1299" w:space="7623"/>
            <w:col w:w="2308"/>
          </w:cols>
        </w:sectPr>
      </w:pPr>
    </w:p>
    <w:p>
      <w:pPr>
        <w:spacing w:line="240" w:lineRule="auto" w:before="8"/>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1426"/>
        <w:gridCol w:w="610"/>
        <w:gridCol w:w="1388"/>
        <w:gridCol w:w="577"/>
        <w:gridCol w:w="576"/>
        <w:gridCol w:w="576"/>
        <w:gridCol w:w="581"/>
        <w:gridCol w:w="576"/>
        <w:gridCol w:w="576"/>
        <w:gridCol w:w="591"/>
        <w:gridCol w:w="566"/>
        <w:gridCol w:w="735"/>
        <w:gridCol w:w="720"/>
        <w:gridCol w:w="826"/>
      </w:tblGrid>
      <w:tr>
        <w:trPr>
          <w:trHeight w:val="403" w:hRule="exact"/>
        </w:trPr>
        <w:tc>
          <w:tcPr>
            <w:tcW w:w="1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8898"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年年度</w:t>
            </w:r>
          </w:p>
        </w:tc>
      </w:tr>
      <w:tr>
        <w:trPr>
          <w:trHeight w:val="404" w:hRule="exact"/>
        </w:trPr>
        <w:tc>
          <w:tcPr>
            <w:tcW w:w="1426" w:type="dxa"/>
            <w:vMerge/>
            <w:tcBorders>
              <w:left w:val="single" w:sz="4" w:space="0" w:color="000000"/>
              <w:right w:val="single" w:sz="4" w:space="0" w:color="000000"/>
            </w:tcBorders>
            <w:shd w:val="clear" w:color="auto" w:fill="D2D2D2"/>
          </w:tcPr>
          <w:p>
            <w:pPr/>
          </w:p>
        </w:tc>
        <w:tc>
          <w:tcPr>
            <w:tcW w:w="735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76" w:lineRule="auto" w:before="71"/>
              <w:ind w:left="144" w:right="143"/>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91"/>
              <w:ind w:left="196" w:right="195"/>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p>
        </w:tc>
      </w:tr>
      <w:tr>
        <w:trPr>
          <w:trHeight w:val="710"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91" w:right="194"/>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81" w:right="161" w:hanging="423"/>
              <w:jc w:val="left"/>
              <w:rPr>
                <w:rFonts w:ascii="宋体" w:hAnsi="宋体" w:cs="宋体" w:eastAsia="宋体" w:hint="default"/>
                <w:sz w:val="21"/>
                <w:szCs w:val="21"/>
              </w:rPr>
            </w:pPr>
            <w:r>
              <w:rPr>
                <w:rFonts w:ascii="宋体" w:hAnsi="宋体" w:cs="宋体" w:eastAsia="宋体" w:hint="default"/>
                <w:sz w:val="21"/>
                <w:szCs w:val="21"/>
              </w:rPr>
              <w:t>其他权益工</w:t>
            </w:r>
            <w:r>
              <w:rPr>
                <w:rFonts w:ascii="宋体" w:hAnsi="宋体" w:cs="宋体" w:eastAsia="宋体" w:hint="default"/>
                <w:spacing w:val="-99"/>
                <w:sz w:val="21"/>
                <w:szCs w:val="21"/>
              </w:rPr>
              <w:t> </w:t>
            </w:r>
            <w:r>
              <w:rPr>
                <w:rFonts w:ascii="宋体" w:hAnsi="宋体" w:cs="宋体" w:eastAsia="宋体" w:hint="default"/>
                <w:sz w:val="21"/>
                <w:szCs w:val="21"/>
              </w:rPr>
              <w:t>具</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47"/>
              <w:ind w:left="177" w:right="176"/>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47"/>
              <w:ind w:left="177" w:right="36" w:hanging="72"/>
              <w:jc w:val="left"/>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库</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47"/>
              <w:ind w:left="177" w:right="17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47"/>
              <w:ind w:left="177" w:right="180"/>
              <w:jc w:val="left"/>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w w:val="100"/>
                <w:sz w:val="21"/>
                <w:szCs w:val="21"/>
              </w:rPr>
              <w:t> </w:t>
            </w:r>
            <w:r>
              <w:rPr>
                <w:rFonts w:ascii="宋体" w:hAnsi="宋体" w:cs="宋体" w:eastAsia="宋体" w:hint="default"/>
                <w:sz w:val="21"/>
                <w:szCs w:val="21"/>
              </w:rPr>
              <w:t>项</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47"/>
              <w:ind w:left="172" w:right="180"/>
              <w:jc w:val="left"/>
              <w:rPr>
                <w:rFonts w:ascii="宋体" w:hAnsi="宋体" w:cs="宋体" w:eastAsia="宋体" w:hint="default"/>
                <w:sz w:val="21"/>
                <w:szCs w:val="21"/>
              </w:rPr>
            </w:pPr>
            <w:r>
              <w:rPr>
                <w:rFonts w:ascii="宋体" w:hAnsi="宋体" w:cs="宋体" w:eastAsia="宋体" w:hint="default"/>
                <w:sz w:val="21"/>
                <w:szCs w:val="21"/>
              </w:rPr>
              <w:t>盈</w:t>
            </w:r>
            <w:r>
              <w:rPr>
                <w:rFonts w:ascii="宋体" w:hAnsi="宋体" w:cs="宋体" w:eastAsia="宋体" w:hint="default"/>
                <w:w w:val="100"/>
                <w:sz w:val="21"/>
                <w:szCs w:val="21"/>
              </w:rPr>
              <w:t> </w:t>
            </w:r>
            <w:r>
              <w:rPr>
                <w:rFonts w:ascii="宋体" w:hAnsi="宋体" w:cs="宋体" w:eastAsia="宋体" w:hint="default"/>
                <w:sz w:val="21"/>
                <w:szCs w:val="21"/>
              </w:rPr>
              <w:t>余</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47"/>
              <w:ind w:left="172" w:right="18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般</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47"/>
              <w:ind w:left="187" w:right="182"/>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分</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68" w:right="175"/>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20"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220" w:left="68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7" w:type="dxa"/>
        <w:tblLayout w:type="fixed"/>
        <w:tblCellMar>
          <w:top w:w="0" w:type="dxa"/>
          <w:left w:w="0" w:type="dxa"/>
          <w:bottom w:w="0" w:type="dxa"/>
          <w:right w:w="0" w:type="dxa"/>
        </w:tblCellMar>
        <w:tblLook w:val="01E0"/>
      </w:tblPr>
      <w:tblGrid>
        <w:gridCol w:w="1426"/>
        <w:gridCol w:w="610"/>
        <w:gridCol w:w="447"/>
        <w:gridCol w:w="451"/>
        <w:gridCol w:w="490"/>
        <w:gridCol w:w="577"/>
        <w:gridCol w:w="576"/>
        <w:gridCol w:w="576"/>
        <w:gridCol w:w="581"/>
        <w:gridCol w:w="576"/>
        <w:gridCol w:w="576"/>
        <w:gridCol w:w="591"/>
        <w:gridCol w:w="566"/>
        <w:gridCol w:w="735"/>
        <w:gridCol w:w="720"/>
        <w:gridCol w:w="826"/>
      </w:tblGrid>
      <w:tr>
        <w:trPr>
          <w:trHeight w:val="129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62"/>
              <w:ind w:left="110" w:right="113"/>
              <w:jc w:val="both"/>
              <w:rPr>
                <w:rFonts w:ascii="宋体" w:hAnsi="宋体" w:cs="宋体" w:eastAsia="宋体" w:hint="default"/>
                <w:sz w:val="21"/>
                <w:szCs w:val="21"/>
              </w:rPr>
            </w:pPr>
            <w:r>
              <w:rPr>
                <w:rFonts w:ascii="宋体" w:hAnsi="宋体" w:cs="宋体" w:eastAsia="宋体" w:hint="default"/>
                <w:sz w:val="21"/>
                <w:szCs w:val="21"/>
              </w:rPr>
              <w:t>优</w:t>
            </w:r>
            <w:r>
              <w:rPr>
                <w:rFonts w:ascii="宋体" w:hAnsi="宋体" w:cs="宋体" w:eastAsia="宋体" w:hint="default"/>
                <w:w w:val="100"/>
                <w:sz w:val="21"/>
                <w:szCs w:val="21"/>
              </w:rPr>
              <w:t> </w:t>
            </w: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62"/>
              <w:ind w:left="115" w:right="113"/>
              <w:jc w:val="both"/>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w w:val="100"/>
                <w:sz w:val="21"/>
                <w:szCs w:val="21"/>
              </w:rPr>
              <w:t> </w:t>
            </w: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73" w:lineRule="auto"/>
              <w:ind w:left="129" w:right="137"/>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77" w:right="0"/>
              <w:jc w:val="left"/>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40" w:lineRule="auto" w:before="42"/>
              <w:ind w:left="177" w:right="0"/>
              <w:jc w:val="left"/>
              <w:rPr>
                <w:rFonts w:ascii="宋体" w:hAnsi="宋体" w:cs="宋体" w:eastAsia="宋体" w:hint="default"/>
                <w:sz w:val="21"/>
                <w:szCs w:val="21"/>
              </w:rPr>
            </w:pPr>
            <w:r>
              <w:rPr>
                <w:rFonts w:ascii="宋体" w:hAnsi="宋体" w:cs="宋体" w:eastAsia="宋体" w:hint="default"/>
                <w:w w:val="100"/>
                <w:sz w:val="21"/>
                <w:szCs w:val="21"/>
              </w:rPr>
              <w:t>积</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77" w:right="0"/>
              <w:jc w:val="left"/>
              <w:rPr>
                <w:rFonts w:ascii="宋体" w:hAnsi="宋体" w:cs="宋体" w:eastAsia="宋体" w:hint="default"/>
                <w:sz w:val="21"/>
                <w:szCs w:val="21"/>
              </w:rPr>
            </w:pPr>
            <w:r>
              <w:rPr>
                <w:rFonts w:ascii="宋体" w:hAnsi="宋体" w:cs="宋体" w:eastAsia="宋体" w:hint="default"/>
                <w:w w:val="100"/>
                <w:sz w:val="21"/>
                <w:szCs w:val="21"/>
              </w:rPr>
              <w:t>存</w:t>
            </w:r>
          </w:p>
          <w:p>
            <w:pPr>
              <w:pStyle w:val="TableParagraph"/>
              <w:spacing w:line="240" w:lineRule="auto" w:before="42"/>
              <w:ind w:left="177" w:right="0"/>
              <w:jc w:val="left"/>
              <w:rPr>
                <w:rFonts w:ascii="宋体" w:hAnsi="宋体" w:cs="宋体" w:eastAsia="宋体" w:hint="default"/>
                <w:sz w:val="21"/>
                <w:szCs w:val="21"/>
              </w:rPr>
            </w:pPr>
            <w:r>
              <w:rPr>
                <w:rFonts w:ascii="宋体" w:hAnsi="宋体" w:cs="宋体" w:eastAsia="宋体" w:hint="default"/>
                <w:w w:val="100"/>
                <w:sz w:val="21"/>
                <w:szCs w:val="21"/>
              </w:rPr>
              <w:t>股</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综</w:t>
            </w:r>
          </w:p>
          <w:p>
            <w:pPr>
              <w:pStyle w:val="TableParagraph"/>
              <w:spacing w:line="276" w:lineRule="auto" w:before="37"/>
              <w:ind w:left="177" w:right="177"/>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77" w:right="0"/>
              <w:jc w:val="left"/>
              <w:rPr>
                <w:rFonts w:ascii="宋体" w:hAnsi="宋体" w:cs="宋体" w:eastAsia="宋体" w:hint="default"/>
                <w:sz w:val="21"/>
                <w:szCs w:val="21"/>
              </w:rPr>
            </w:pPr>
            <w:r>
              <w:rPr>
                <w:rFonts w:ascii="宋体" w:hAnsi="宋体" w:cs="宋体" w:eastAsia="宋体" w:hint="default"/>
                <w:w w:val="100"/>
                <w:sz w:val="21"/>
                <w:szCs w:val="21"/>
              </w:rPr>
              <w:t>储</w:t>
            </w:r>
          </w:p>
          <w:p>
            <w:pPr>
              <w:pStyle w:val="TableParagraph"/>
              <w:spacing w:line="240" w:lineRule="auto" w:before="42"/>
              <w:ind w:left="177" w:right="0"/>
              <w:jc w:val="left"/>
              <w:rPr>
                <w:rFonts w:ascii="宋体" w:hAnsi="宋体" w:cs="宋体" w:eastAsia="宋体" w:hint="default"/>
                <w:sz w:val="21"/>
                <w:szCs w:val="21"/>
              </w:rPr>
            </w:pPr>
            <w:r>
              <w:rPr>
                <w:rFonts w:ascii="宋体" w:hAnsi="宋体" w:cs="宋体" w:eastAsia="宋体" w:hint="default"/>
                <w:w w:val="100"/>
                <w:sz w:val="21"/>
                <w:szCs w:val="21"/>
              </w:rPr>
              <w:t>备</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72" w:right="0"/>
              <w:jc w:val="left"/>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40" w:lineRule="auto" w:before="42"/>
              <w:ind w:left="172" w:right="0"/>
              <w:jc w:val="left"/>
              <w:rPr>
                <w:rFonts w:ascii="宋体" w:hAnsi="宋体" w:cs="宋体" w:eastAsia="宋体" w:hint="default"/>
                <w:sz w:val="21"/>
                <w:szCs w:val="21"/>
              </w:rPr>
            </w:pPr>
            <w:r>
              <w:rPr>
                <w:rFonts w:ascii="宋体" w:hAnsi="宋体" w:cs="宋体" w:eastAsia="宋体" w:hint="default"/>
                <w:w w:val="100"/>
                <w:sz w:val="21"/>
                <w:szCs w:val="21"/>
              </w:rPr>
              <w:t>积</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风</w:t>
            </w:r>
          </w:p>
          <w:p>
            <w:pPr>
              <w:pStyle w:val="TableParagraph"/>
              <w:spacing w:line="276" w:lineRule="auto" w:before="37"/>
              <w:ind w:left="172" w:right="180"/>
              <w:jc w:val="both"/>
              <w:rPr>
                <w:rFonts w:ascii="宋体" w:hAnsi="宋体" w:cs="宋体" w:eastAsia="宋体" w:hint="default"/>
                <w:sz w:val="21"/>
                <w:szCs w:val="21"/>
              </w:rPr>
            </w:pPr>
            <w:r>
              <w:rPr>
                <w:rFonts w:ascii="宋体" w:hAnsi="宋体" w:cs="宋体" w:eastAsia="宋体" w:hint="default"/>
                <w:sz w:val="21"/>
                <w:szCs w:val="21"/>
              </w:rPr>
              <w:t>险</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87" w:right="0"/>
              <w:jc w:val="left"/>
              <w:rPr>
                <w:rFonts w:ascii="宋体" w:hAnsi="宋体" w:cs="宋体" w:eastAsia="宋体" w:hint="default"/>
                <w:sz w:val="21"/>
                <w:szCs w:val="21"/>
              </w:rPr>
            </w:pPr>
            <w:r>
              <w:rPr>
                <w:rFonts w:ascii="宋体" w:hAnsi="宋体" w:cs="宋体" w:eastAsia="宋体" w:hint="default"/>
                <w:w w:val="100"/>
                <w:sz w:val="21"/>
                <w:szCs w:val="21"/>
              </w:rPr>
              <w:t>配</w:t>
            </w:r>
          </w:p>
          <w:p>
            <w:pPr>
              <w:pStyle w:val="TableParagraph"/>
              <w:spacing w:line="276" w:lineRule="auto" w:before="37"/>
              <w:ind w:left="187" w:right="182"/>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
              <w:jc w:val="center"/>
              <w:rPr>
                <w:rFonts w:ascii="宋体" w:hAnsi="宋体" w:cs="宋体" w:eastAsia="宋体" w:hint="default"/>
                <w:sz w:val="21"/>
                <w:szCs w:val="21"/>
              </w:rPr>
            </w:pPr>
            <w:r>
              <w:rPr>
                <w:rFonts w:ascii="宋体" w:hAnsi="宋体" w:cs="宋体" w:eastAsia="宋体" w:hint="default"/>
                <w:w w:val="100"/>
                <w:sz w:val="21"/>
                <w:szCs w:val="21"/>
              </w:rPr>
              <w:t>计</w:t>
            </w:r>
          </w:p>
        </w:tc>
      </w:tr>
      <w:tr>
        <w:trPr>
          <w:trHeight w:val="196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76" w:lineRule="auto"/>
              <w:ind w:left="100" w:right="99"/>
              <w:jc w:val="left"/>
              <w:rPr>
                <w:rFonts w:ascii="宋体" w:hAnsi="宋体" w:cs="宋体" w:eastAsia="宋体" w:hint="default"/>
                <w:sz w:val="21"/>
                <w:szCs w:val="21"/>
              </w:rPr>
            </w:pPr>
            <w:r>
              <w:rPr>
                <w:rFonts w:ascii="宋体" w:hAnsi="宋体" w:cs="宋体" w:eastAsia="宋体" w:hint="default"/>
                <w:spacing w:val="-9"/>
                <w:sz w:val="21"/>
                <w:szCs w:val="21"/>
              </w:rPr>
              <w:t>一、上年期末</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余额</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9" w:right="0"/>
              <w:jc w:val="center"/>
              <w:rPr>
                <w:rFonts w:ascii="Times New Roman" w:hAnsi="Times New Roman" w:cs="Times New Roman" w:eastAsia="Times New Roman" w:hint="default"/>
                <w:sz w:val="21"/>
                <w:szCs w:val="21"/>
              </w:rPr>
            </w:pPr>
            <w:r>
              <w:rPr>
                <w:rFonts w:ascii="Times New Roman"/>
                <w:sz w:val="21"/>
              </w:rPr>
              <w:t>703,</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960,</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660.</w:t>
            </w:r>
          </w:p>
          <w:p>
            <w:pPr>
              <w:pStyle w:val="TableParagraph"/>
              <w:spacing w:line="240" w:lineRule="auto" w:before="75"/>
              <w:ind w:left="177" w:right="0"/>
              <w:jc w:val="center"/>
              <w:rPr>
                <w:rFonts w:ascii="Times New Roman" w:hAnsi="Times New Roman" w:cs="Times New Roman" w:eastAsia="Times New Roman" w:hint="default"/>
                <w:sz w:val="21"/>
                <w:szCs w:val="21"/>
              </w:rPr>
            </w:pPr>
            <w:r>
              <w:rPr>
                <w:rFonts w:ascii="Times New Roman"/>
                <w:sz w:val="21"/>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center"/>
              <w:rPr>
                <w:rFonts w:ascii="Times New Roman" w:hAnsi="Times New Roman" w:cs="Times New Roman" w:eastAsia="Times New Roman" w:hint="default"/>
                <w:sz w:val="21"/>
                <w:szCs w:val="21"/>
              </w:rPr>
            </w:pPr>
            <w:r>
              <w:rPr>
                <w:rFonts w:ascii="Times New Roman"/>
                <w:sz w:val="21"/>
              </w:rPr>
              <w:t>2,9</w:t>
            </w:r>
          </w:p>
          <w:p>
            <w:pPr>
              <w:pStyle w:val="TableParagraph"/>
              <w:spacing w:line="240" w:lineRule="auto" w:before="70"/>
              <w:ind w:left="101" w:right="0"/>
              <w:jc w:val="center"/>
              <w:rPr>
                <w:rFonts w:ascii="Times New Roman" w:hAnsi="Times New Roman" w:cs="Times New Roman" w:eastAsia="Times New Roman" w:hint="default"/>
                <w:sz w:val="21"/>
                <w:szCs w:val="21"/>
              </w:rPr>
            </w:pPr>
            <w:r>
              <w:rPr>
                <w:rFonts w:ascii="Times New Roman"/>
                <w:sz w:val="21"/>
              </w:rPr>
              <w:t>02,</w:t>
            </w:r>
          </w:p>
          <w:p>
            <w:pPr>
              <w:pStyle w:val="TableParagraph"/>
              <w:spacing w:line="240" w:lineRule="auto" w:before="70"/>
              <w:ind w:left="148" w:right="0"/>
              <w:jc w:val="left"/>
              <w:rPr>
                <w:rFonts w:ascii="Times New Roman" w:hAnsi="Times New Roman" w:cs="Times New Roman" w:eastAsia="Times New Roman" w:hint="default"/>
                <w:sz w:val="21"/>
                <w:szCs w:val="21"/>
              </w:rPr>
            </w:pPr>
            <w:r>
              <w:rPr>
                <w:rFonts w:ascii="Times New Roman"/>
                <w:sz w:val="21"/>
              </w:rPr>
              <w:t>710</w:t>
            </w:r>
          </w:p>
          <w:p>
            <w:pPr>
              <w:pStyle w:val="TableParagraph"/>
              <w:spacing w:line="240" w:lineRule="auto" w:before="70"/>
              <w:ind w:left="101" w:right="0"/>
              <w:jc w:val="center"/>
              <w:rPr>
                <w:rFonts w:ascii="Times New Roman" w:hAnsi="Times New Roman" w:cs="Times New Roman" w:eastAsia="Times New Roman" w:hint="default"/>
                <w:sz w:val="21"/>
                <w:szCs w:val="21"/>
              </w:rPr>
            </w:pPr>
            <w:r>
              <w:rPr>
                <w:rFonts w:ascii="Times New Roman"/>
                <w:sz w:val="21"/>
              </w:rPr>
              <w:t>,16</w:t>
            </w:r>
          </w:p>
          <w:p>
            <w:pPr>
              <w:pStyle w:val="TableParagraph"/>
              <w:spacing w:line="240" w:lineRule="auto" w:before="71"/>
              <w:ind w:left="101" w:right="0"/>
              <w:jc w:val="center"/>
              <w:rPr>
                <w:rFonts w:ascii="Times New Roman" w:hAnsi="Times New Roman" w:cs="Times New Roman" w:eastAsia="Times New Roman" w:hint="default"/>
                <w:sz w:val="21"/>
                <w:szCs w:val="21"/>
              </w:rPr>
            </w:pPr>
            <w:r>
              <w:rPr>
                <w:rFonts w:ascii="Times New Roman"/>
                <w:sz w:val="21"/>
              </w:rPr>
              <w:t>5.8</w:t>
            </w:r>
          </w:p>
          <w:p>
            <w:pPr>
              <w:pStyle w:val="TableParagraph"/>
              <w:spacing w:line="240" w:lineRule="auto" w:before="75"/>
              <w:ind w:left="259" w:right="0"/>
              <w:jc w:val="center"/>
              <w:rPr>
                <w:rFonts w:ascii="Times New Roman" w:hAnsi="Times New Roman" w:cs="Times New Roman" w:eastAsia="Times New Roman" w:hint="default"/>
                <w:sz w:val="21"/>
                <w:szCs w:val="21"/>
              </w:rPr>
            </w:pPr>
            <w:r>
              <w:rPr>
                <w:rFonts w:ascii="Times New Roman"/>
                <w:w w:val="100"/>
                <w:sz w:val="21"/>
              </w:rPr>
              <w:t>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0" w:right="0"/>
              <w:jc w:val="center"/>
              <w:rPr>
                <w:rFonts w:ascii="Times New Roman" w:hAnsi="Times New Roman" w:cs="Times New Roman" w:eastAsia="Times New Roman" w:hint="default"/>
                <w:sz w:val="21"/>
                <w:szCs w:val="21"/>
              </w:rPr>
            </w:pPr>
            <w:r>
              <w:rPr>
                <w:rFonts w:ascii="Times New Roman"/>
                <w:sz w:val="21"/>
              </w:rPr>
              <w:t>48,</w:t>
            </w:r>
          </w:p>
          <w:p>
            <w:pPr>
              <w:pStyle w:val="TableParagraph"/>
              <w:spacing w:line="240" w:lineRule="auto" w:before="65"/>
              <w:ind w:left="143" w:right="0"/>
              <w:jc w:val="left"/>
              <w:rPr>
                <w:rFonts w:ascii="Times New Roman" w:hAnsi="Times New Roman" w:cs="Times New Roman" w:eastAsia="Times New Roman" w:hint="default"/>
                <w:sz w:val="21"/>
                <w:szCs w:val="21"/>
              </w:rPr>
            </w:pPr>
            <w:r>
              <w:rPr>
                <w:rFonts w:ascii="Times New Roman"/>
                <w:sz w:val="21"/>
              </w:rPr>
              <w:t>480</w:t>
            </w:r>
          </w:p>
          <w:p>
            <w:pPr>
              <w:pStyle w:val="TableParagraph"/>
              <w:spacing w:line="240" w:lineRule="auto" w:before="70"/>
              <w:ind w:left="90" w:right="0"/>
              <w:jc w:val="center"/>
              <w:rPr>
                <w:rFonts w:ascii="Times New Roman" w:hAnsi="Times New Roman" w:cs="Times New Roman" w:eastAsia="Times New Roman" w:hint="default"/>
                <w:sz w:val="21"/>
                <w:szCs w:val="21"/>
              </w:rPr>
            </w:pPr>
            <w:r>
              <w:rPr>
                <w:rFonts w:ascii="Times New Roman"/>
                <w:sz w:val="21"/>
              </w:rPr>
              <w:t>,83</w:t>
            </w:r>
          </w:p>
          <w:p>
            <w:pPr>
              <w:pStyle w:val="TableParagraph"/>
              <w:spacing w:line="240" w:lineRule="auto" w:before="70"/>
              <w:ind w:left="90" w:right="0"/>
              <w:jc w:val="center"/>
              <w:rPr>
                <w:rFonts w:ascii="Times New Roman" w:hAnsi="Times New Roman" w:cs="Times New Roman" w:eastAsia="Times New Roman" w:hint="default"/>
                <w:sz w:val="21"/>
                <w:szCs w:val="21"/>
              </w:rPr>
            </w:pPr>
            <w:r>
              <w:rPr>
                <w:rFonts w:ascii="Times New Roman"/>
                <w:sz w:val="21"/>
              </w:rPr>
              <w:t>9.9</w:t>
            </w:r>
          </w:p>
          <w:p>
            <w:pPr>
              <w:pStyle w:val="TableParagraph"/>
              <w:spacing w:line="240" w:lineRule="auto" w:before="75"/>
              <w:ind w:left="249" w:right="0"/>
              <w:jc w:val="center"/>
              <w:rPr>
                <w:rFonts w:ascii="Times New Roman" w:hAnsi="Times New Roman" w:cs="Times New Roman" w:eastAsia="Times New Roman" w:hint="default"/>
                <w:sz w:val="21"/>
                <w:szCs w:val="21"/>
              </w:rPr>
            </w:pPr>
            <w:r>
              <w:rPr>
                <w:rFonts w:ascii="Times New Roman"/>
                <w:w w:val="100"/>
                <w:sz w:val="21"/>
              </w:rPr>
              <w:t>4</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9" w:right="0"/>
              <w:jc w:val="center"/>
              <w:rPr>
                <w:rFonts w:ascii="Times New Roman" w:hAnsi="Times New Roman" w:cs="Times New Roman" w:eastAsia="Times New Roman" w:hint="default"/>
                <w:sz w:val="21"/>
                <w:szCs w:val="21"/>
              </w:rPr>
            </w:pPr>
            <w:r>
              <w:rPr>
                <w:rFonts w:ascii="Times New Roman"/>
                <w:sz w:val="21"/>
              </w:rPr>
              <w:t>647,</w:t>
            </w:r>
          </w:p>
          <w:p>
            <w:pPr>
              <w:pStyle w:val="TableParagraph"/>
              <w:spacing w:line="240" w:lineRule="auto" w:before="70"/>
              <w:ind w:left="9" w:right="0"/>
              <w:jc w:val="center"/>
              <w:rPr>
                <w:rFonts w:ascii="Times New Roman" w:hAnsi="Times New Roman" w:cs="Times New Roman" w:eastAsia="Times New Roman" w:hint="default"/>
                <w:sz w:val="21"/>
                <w:szCs w:val="21"/>
              </w:rPr>
            </w:pPr>
            <w:r>
              <w:rPr>
                <w:rFonts w:ascii="Times New Roman"/>
                <w:sz w:val="21"/>
              </w:rPr>
              <w:t>085,</w:t>
            </w:r>
          </w:p>
          <w:p>
            <w:pPr>
              <w:pStyle w:val="TableParagraph"/>
              <w:spacing w:line="240" w:lineRule="auto" w:before="70"/>
              <w:ind w:left="9" w:right="0"/>
              <w:jc w:val="center"/>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75"/>
              <w:ind w:left="167" w:right="0"/>
              <w:jc w:val="center"/>
              <w:rPr>
                <w:rFonts w:ascii="Times New Roman" w:hAnsi="Times New Roman" w:cs="Times New Roman" w:eastAsia="Times New Roman" w:hint="default"/>
                <w:sz w:val="21"/>
                <w:szCs w:val="21"/>
              </w:rPr>
            </w:pPr>
            <w:r>
              <w:rPr>
                <w:rFonts w:ascii="Times New Roman"/>
                <w:sz w:val="21"/>
              </w:rPr>
              <w:t>91</w:t>
            </w: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48" w:right="0"/>
              <w:jc w:val="left"/>
              <w:rPr>
                <w:rFonts w:ascii="Times New Roman" w:hAnsi="Times New Roman" w:cs="Times New Roman" w:eastAsia="Times New Roman" w:hint="default"/>
                <w:sz w:val="21"/>
                <w:szCs w:val="21"/>
              </w:rPr>
            </w:pPr>
            <w:r>
              <w:rPr>
                <w:rFonts w:ascii="Times New Roman"/>
                <w:sz w:val="21"/>
              </w:rPr>
              <w:t>4,302</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,236,</w:t>
            </w:r>
          </w:p>
          <w:p>
            <w:pPr>
              <w:pStyle w:val="TableParagraph"/>
              <w:spacing w:line="240" w:lineRule="auto" w:before="70"/>
              <w:ind w:left="148" w:right="0"/>
              <w:jc w:val="left"/>
              <w:rPr>
                <w:rFonts w:ascii="Times New Roman" w:hAnsi="Times New Roman" w:cs="Times New Roman" w:eastAsia="Times New Roman" w:hint="default"/>
                <w:sz w:val="21"/>
                <w:szCs w:val="21"/>
              </w:rPr>
            </w:pPr>
            <w:r>
              <w:rPr>
                <w:rFonts w:ascii="Times New Roman"/>
                <w:sz w:val="21"/>
              </w:rPr>
              <w:t>816.6</w:t>
            </w:r>
          </w:p>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100"/>
                <w:sz w:val="21"/>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171,5</w:t>
            </w:r>
          </w:p>
          <w:p>
            <w:pPr>
              <w:pStyle w:val="TableParagraph"/>
              <w:spacing w:line="240" w:lineRule="auto" w:before="65"/>
              <w:ind w:left="33" w:right="0"/>
              <w:jc w:val="center"/>
              <w:rPr>
                <w:rFonts w:ascii="Times New Roman" w:hAnsi="Times New Roman" w:cs="Times New Roman" w:eastAsia="Times New Roman" w:hint="default"/>
                <w:sz w:val="21"/>
                <w:szCs w:val="21"/>
              </w:rPr>
            </w:pPr>
            <w:r>
              <w:rPr>
                <w:rFonts w:ascii="Times New Roman"/>
                <w:sz w:val="21"/>
              </w:rPr>
              <w:t>85,08</w:t>
            </w:r>
          </w:p>
          <w:p>
            <w:pPr>
              <w:pStyle w:val="TableParagraph"/>
              <w:spacing w:line="240" w:lineRule="auto" w:before="75"/>
              <w:ind w:left="129" w:right="0"/>
              <w:jc w:val="center"/>
              <w:rPr>
                <w:rFonts w:ascii="Times New Roman" w:hAnsi="Times New Roman" w:cs="Times New Roman" w:eastAsia="Times New Roman" w:hint="default"/>
                <w:sz w:val="21"/>
                <w:szCs w:val="21"/>
              </w:rPr>
            </w:pPr>
            <w:r>
              <w:rPr>
                <w:rFonts w:ascii="Times New Roman"/>
                <w:sz w:val="21"/>
              </w:rPr>
              <w:t>4.92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left="85" w:right="0"/>
              <w:jc w:val="center"/>
              <w:rPr>
                <w:rFonts w:ascii="Times New Roman" w:hAnsi="Times New Roman" w:cs="Times New Roman" w:eastAsia="Times New Roman" w:hint="default"/>
                <w:sz w:val="21"/>
                <w:szCs w:val="21"/>
              </w:rPr>
            </w:pPr>
            <w:r>
              <w:rPr>
                <w:rFonts w:ascii="Times New Roman"/>
                <w:sz w:val="21"/>
              </w:rPr>
              <w:t>4,473,</w:t>
            </w:r>
          </w:p>
          <w:p>
            <w:pPr>
              <w:pStyle w:val="TableParagraph"/>
              <w:spacing w:line="240" w:lineRule="auto" w:before="65"/>
              <w:ind w:left="134" w:right="0"/>
              <w:jc w:val="left"/>
              <w:rPr>
                <w:rFonts w:ascii="Times New Roman" w:hAnsi="Times New Roman" w:cs="Times New Roman" w:eastAsia="Times New Roman" w:hint="default"/>
                <w:sz w:val="21"/>
                <w:szCs w:val="21"/>
              </w:rPr>
            </w:pPr>
            <w:r>
              <w:rPr>
                <w:rFonts w:ascii="Times New Roman"/>
                <w:sz w:val="21"/>
              </w:rPr>
              <w:t>821,90</w:t>
            </w:r>
          </w:p>
          <w:p>
            <w:pPr>
              <w:pStyle w:val="TableParagraph"/>
              <w:spacing w:line="240" w:lineRule="auto" w:before="75"/>
              <w:ind w:left="234" w:right="0"/>
              <w:jc w:val="center"/>
              <w:rPr>
                <w:rFonts w:ascii="Times New Roman" w:hAnsi="Times New Roman" w:cs="Times New Roman" w:eastAsia="Times New Roman" w:hint="default"/>
                <w:sz w:val="21"/>
                <w:szCs w:val="21"/>
              </w:rPr>
            </w:pPr>
            <w:r>
              <w:rPr>
                <w:rFonts w:ascii="Times New Roman"/>
                <w:sz w:val="21"/>
              </w:rPr>
              <w:t>1.58</w:t>
            </w: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0" w:right="99" w:firstLine="211"/>
              <w:jc w:val="left"/>
              <w:rPr>
                <w:rFonts w:ascii="宋体" w:hAnsi="宋体" w:cs="宋体" w:eastAsia="宋体" w:hint="default"/>
                <w:sz w:val="21"/>
                <w:szCs w:val="21"/>
              </w:rPr>
            </w:pPr>
            <w:r>
              <w:rPr>
                <w:rFonts w:ascii="宋体" w:hAnsi="宋体" w:cs="宋体" w:eastAsia="宋体" w:hint="default"/>
                <w:spacing w:val="-11"/>
                <w:sz w:val="21"/>
                <w:szCs w:val="21"/>
              </w:rPr>
              <w:t>加：会计政</w:t>
            </w:r>
            <w:r>
              <w:rPr>
                <w:rFonts w:ascii="宋体" w:hAnsi="宋体" w:cs="宋体" w:eastAsia="宋体" w:hint="default"/>
                <w:w w:val="100"/>
                <w:sz w:val="21"/>
                <w:szCs w:val="21"/>
              </w:rPr>
              <w:t> </w:t>
            </w:r>
            <w:r>
              <w:rPr>
                <w:rFonts w:ascii="宋体" w:hAnsi="宋体" w:cs="宋体" w:eastAsia="宋体" w:hint="default"/>
                <w:sz w:val="21"/>
                <w:szCs w:val="21"/>
              </w:rPr>
              <w:t>策变更</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257" w:firstLine="211"/>
              <w:jc w:val="left"/>
              <w:rPr>
                <w:rFonts w:ascii="宋体" w:hAnsi="宋体" w:cs="宋体" w:eastAsia="宋体" w:hint="default"/>
                <w:sz w:val="21"/>
                <w:szCs w:val="21"/>
              </w:rPr>
            </w:pPr>
            <w:r>
              <w:rPr>
                <w:rFonts w:ascii="宋体" w:hAnsi="宋体" w:cs="宋体" w:eastAsia="宋体" w:hint="default"/>
                <w:sz w:val="21"/>
                <w:szCs w:val="21"/>
              </w:rPr>
              <w:t>前期差错</w:t>
            </w:r>
            <w:r>
              <w:rPr>
                <w:rFonts w:ascii="宋体" w:hAnsi="宋体" w:cs="宋体" w:eastAsia="宋体" w:hint="default"/>
                <w:w w:val="100"/>
                <w:sz w:val="21"/>
                <w:szCs w:val="21"/>
              </w:rPr>
              <w:t> </w:t>
            </w:r>
            <w:r>
              <w:rPr>
                <w:rFonts w:ascii="宋体" w:hAnsi="宋体" w:cs="宋体" w:eastAsia="宋体" w:hint="default"/>
                <w:sz w:val="21"/>
                <w:szCs w:val="21"/>
              </w:rPr>
              <w:t>更正</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257" w:firstLine="211"/>
              <w:jc w:val="left"/>
              <w:rPr>
                <w:rFonts w:ascii="宋体" w:hAnsi="宋体" w:cs="宋体" w:eastAsia="宋体" w:hint="default"/>
                <w:sz w:val="21"/>
                <w:szCs w:val="21"/>
              </w:rPr>
            </w:pPr>
            <w:r>
              <w:rPr>
                <w:rFonts w:ascii="宋体" w:hAnsi="宋体" w:cs="宋体" w:eastAsia="宋体" w:hint="default"/>
                <w:sz w:val="21"/>
                <w:szCs w:val="21"/>
              </w:rPr>
              <w:t>同一控制</w:t>
            </w:r>
            <w:r>
              <w:rPr>
                <w:rFonts w:ascii="宋体" w:hAnsi="宋体" w:cs="宋体" w:eastAsia="宋体" w:hint="default"/>
                <w:w w:val="100"/>
                <w:sz w:val="21"/>
                <w:szCs w:val="21"/>
              </w:rPr>
              <w:t> </w:t>
            </w:r>
            <w:r>
              <w:rPr>
                <w:rFonts w:ascii="宋体" w:hAnsi="宋体" w:cs="宋体" w:eastAsia="宋体" w:hint="default"/>
                <w:sz w:val="21"/>
                <w:szCs w:val="21"/>
              </w:rPr>
              <w:t>下企业合并</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6" w:lineRule="auto"/>
              <w:ind w:left="100" w:right="99"/>
              <w:jc w:val="left"/>
              <w:rPr>
                <w:rFonts w:ascii="宋体" w:hAnsi="宋体" w:cs="宋体" w:eastAsia="宋体" w:hint="default"/>
                <w:sz w:val="21"/>
                <w:szCs w:val="21"/>
              </w:rPr>
            </w:pPr>
            <w:r>
              <w:rPr>
                <w:rFonts w:ascii="宋体" w:hAnsi="宋体" w:cs="宋体" w:eastAsia="宋体" w:hint="default"/>
                <w:spacing w:val="-9"/>
                <w:sz w:val="21"/>
                <w:szCs w:val="21"/>
              </w:rPr>
              <w:t>二、本年期初</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余额</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9" w:right="0"/>
              <w:jc w:val="center"/>
              <w:rPr>
                <w:rFonts w:ascii="Times New Roman" w:hAnsi="Times New Roman" w:cs="Times New Roman" w:eastAsia="Times New Roman" w:hint="default"/>
                <w:sz w:val="21"/>
                <w:szCs w:val="21"/>
              </w:rPr>
            </w:pPr>
            <w:r>
              <w:rPr>
                <w:rFonts w:ascii="Times New Roman"/>
                <w:sz w:val="21"/>
              </w:rPr>
              <w:t>703,</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960,</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660.</w:t>
            </w:r>
          </w:p>
          <w:p>
            <w:pPr>
              <w:pStyle w:val="TableParagraph"/>
              <w:spacing w:line="240" w:lineRule="auto" w:before="75"/>
              <w:ind w:left="177" w:right="0"/>
              <w:jc w:val="center"/>
              <w:rPr>
                <w:rFonts w:ascii="Times New Roman" w:hAnsi="Times New Roman" w:cs="Times New Roman" w:eastAsia="Times New Roman" w:hint="default"/>
                <w:sz w:val="21"/>
                <w:szCs w:val="21"/>
              </w:rPr>
            </w:pPr>
            <w:r>
              <w:rPr>
                <w:rFonts w:ascii="Times New Roman"/>
                <w:sz w:val="21"/>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1" w:right="0"/>
              <w:jc w:val="center"/>
              <w:rPr>
                <w:rFonts w:ascii="Times New Roman" w:hAnsi="Times New Roman" w:cs="Times New Roman" w:eastAsia="Times New Roman" w:hint="default"/>
                <w:sz w:val="21"/>
                <w:szCs w:val="21"/>
              </w:rPr>
            </w:pPr>
            <w:r>
              <w:rPr>
                <w:rFonts w:ascii="Times New Roman"/>
                <w:sz w:val="21"/>
              </w:rPr>
              <w:t>2,9</w:t>
            </w:r>
          </w:p>
          <w:p>
            <w:pPr>
              <w:pStyle w:val="TableParagraph"/>
              <w:spacing w:line="240" w:lineRule="auto" w:before="71"/>
              <w:ind w:left="101" w:right="0"/>
              <w:jc w:val="center"/>
              <w:rPr>
                <w:rFonts w:ascii="Times New Roman" w:hAnsi="Times New Roman" w:cs="Times New Roman" w:eastAsia="Times New Roman" w:hint="default"/>
                <w:sz w:val="21"/>
                <w:szCs w:val="21"/>
              </w:rPr>
            </w:pPr>
            <w:r>
              <w:rPr>
                <w:rFonts w:ascii="Times New Roman"/>
                <w:sz w:val="21"/>
              </w:rPr>
              <w:t>02,</w:t>
            </w:r>
          </w:p>
          <w:p>
            <w:pPr>
              <w:pStyle w:val="TableParagraph"/>
              <w:spacing w:line="240" w:lineRule="auto" w:before="70"/>
              <w:ind w:left="148" w:right="0"/>
              <w:jc w:val="left"/>
              <w:rPr>
                <w:rFonts w:ascii="Times New Roman" w:hAnsi="Times New Roman" w:cs="Times New Roman" w:eastAsia="Times New Roman" w:hint="default"/>
                <w:sz w:val="21"/>
                <w:szCs w:val="21"/>
              </w:rPr>
            </w:pPr>
            <w:r>
              <w:rPr>
                <w:rFonts w:ascii="Times New Roman"/>
                <w:sz w:val="21"/>
              </w:rPr>
              <w:t>710</w:t>
            </w:r>
          </w:p>
          <w:p>
            <w:pPr>
              <w:pStyle w:val="TableParagraph"/>
              <w:spacing w:line="240" w:lineRule="auto" w:before="70"/>
              <w:ind w:left="101" w:right="0"/>
              <w:jc w:val="center"/>
              <w:rPr>
                <w:rFonts w:ascii="Times New Roman" w:hAnsi="Times New Roman" w:cs="Times New Roman" w:eastAsia="Times New Roman" w:hint="default"/>
                <w:sz w:val="21"/>
                <w:szCs w:val="21"/>
              </w:rPr>
            </w:pPr>
            <w:r>
              <w:rPr>
                <w:rFonts w:ascii="Times New Roman"/>
                <w:sz w:val="21"/>
              </w:rPr>
              <w:t>,16</w:t>
            </w:r>
          </w:p>
          <w:p>
            <w:pPr>
              <w:pStyle w:val="TableParagraph"/>
              <w:spacing w:line="240" w:lineRule="auto" w:before="70"/>
              <w:ind w:left="101" w:right="0"/>
              <w:jc w:val="center"/>
              <w:rPr>
                <w:rFonts w:ascii="Times New Roman" w:hAnsi="Times New Roman" w:cs="Times New Roman" w:eastAsia="Times New Roman" w:hint="default"/>
                <w:sz w:val="21"/>
                <w:szCs w:val="21"/>
              </w:rPr>
            </w:pPr>
            <w:r>
              <w:rPr>
                <w:rFonts w:ascii="Times New Roman"/>
                <w:sz w:val="21"/>
              </w:rPr>
              <w:t>5.8</w:t>
            </w:r>
          </w:p>
          <w:p>
            <w:pPr>
              <w:pStyle w:val="TableParagraph"/>
              <w:spacing w:line="240" w:lineRule="auto" w:before="75"/>
              <w:ind w:left="259" w:right="0"/>
              <w:jc w:val="center"/>
              <w:rPr>
                <w:rFonts w:ascii="Times New Roman" w:hAnsi="Times New Roman" w:cs="Times New Roman" w:eastAsia="Times New Roman" w:hint="default"/>
                <w:sz w:val="21"/>
                <w:szCs w:val="21"/>
              </w:rPr>
            </w:pPr>
            <w:r>
              <w:rPr>
                <w:rFonts w:ascii="Times New Roman"/>
                <w:w w:val="100"/>
                <w:sz w:val="21"/>
              </w:rPr>
              <w:t>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0" w:right="0"/>
              <w:jc w:val="center"/>
              <w:rPr>
                <w:rFonts w:ascii="Times New Roman" w:hAnsi="Times New Roman" w:cs="Times New Roman" w:eastAsia="Times New Roman" w:hint="default"/>
                <w:sz w:val="21"/>
                <w:szCs w:val="21"/>
              </w:rPr>
            </w:pPr>
            <w:r>
              <w:rPr>
                <w:rFonts w:ascii="Times New Roman"/>
                <w:sz w:val="21"/>
              </w:rPr>
              <w:t>48,</w:t>
            </w:r>
          </w:p>
          <w:p>
            <w:pPr>
              <w:pStyle w:val="TableParagraph"/>
              <w:spacing w:line="240" w:lineRule="auto" w:before="65"/>
              <w:ind w:left="143" w:right="0"/>
              <w:jc w:val="left"/>
              <w:rPr>
                <w:rFonts w:ascii="Times New Roman" w:hAnsi="Times New Roman" w:cs="Times New Roman" w:eastAsia="Times New Roman" w:hint="default"/>
                <w:sz w:val="21"/>
                <w:szCs w:val="21"/>
              </w:rPr>
            </w:pPr>
            <w:r>
              <w:rPr>
                <w:rFonts w:ascii="Times New Roman"/>
                <w:sz w:val="21"/>
              </w:rPr>
              <w:t>480</w:t>
            </w:r>
          </w:p>
          <w:p>
            <w:pPr>
              <w:pStyle w:val="TableParagraph"/>
              <w:spacing w:line="240" w:lineRule="auto" w:before="70"/>
              <w:ind w:left="90" w:right="0"/>
              <w:jc w:val="center"/>
              <w:rPr>
                <w:rFonts w:ascii="Times New Roman" w:hAnsi="Times New Roman" w:cs="Times New Roman" w:eastAsia="Times New Roman" w:hint="default"/>
                <w:sz w:val="21"/>
                <w:szCs w:val="21"/>
              </w:rPr>
            </w:pPr>
            <w:r>
              <w:rPr>
                <w:rFonts w:ascii="Times New Roman"/>
                <w:sz w:val="21"/>
              </w:rPr>
              <w:t>,83</w:t>
            </w:r>
          </w:p>
          <w:p>
            <w:pPr>
              <w:pStyle w:val="TableParagraph"/>
              <w:spacing w:line="240" w:lineRule="auto" w:before="70"/>
              <w:ind w:left="90" w:right="0"/>
              <w:jc w:val="center"/>
              <w:rPr>
                <w:rFonts w:ascii="Times New Roman" w:hAnsi="Times New Roman" w:cs="Times New Roman" w:eastAsia="Times New Roman" w:hint="default"/>
                <w:sz w:val="21"/>
                <w:szCs w:val="21"/>
              </w:rPr>
            </w:pPr>
            <w:r>
              <w:rPr>
                <w:rFonts w:ascii="Times New Roman"/>
                <w:sz w:val="21"/>
              </w:rPr>
              <w:t>9.9</w:t>
            </w:r>
          </w:p>
          <w:p>
            <w:pPr>
              <w:pStyle w:val="TableParagraph"/>
              <w:spacing w:line="240" w:lineRule="auto" w:before="75"/>
              <w:ind w:left="249" w:right="0"/>
              <w:jc w:val="center"/>
              <w:rPr>
                <w:rFonts w:ascii="Times New Roman" w:hAnsi="Times New Roman" w:cs="Times New Roman" w:eastAsia="Times New Roman" w:hint="default"/>
                <w:sz w:val="21"/>
                <w:szCs w:val="21"/>
              </w:rPr>
            </w:pPr>
            <w:r>
              <w:rPr>
                <w:rFonts w:ascii="Times New Roman"/>
                <w:w w:val="100"/>
                <w:sz w:val="21"/>
              </w:rPr>
              <w:t>4</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9" w:right="0"/>
              <w:jc w:val="center"/>
              <w:rPr>
                <w:rFonts w:ascii="Times New Roman" w:hAnsi="Times New Roman" w:cs="Times New Roman" w:eastAsia="Times New Roman" w:hint="default"/>
                <w:sz w:val="21"/>
                <w:szCs w:val="21"/>
              </w:rPr>
            </w:pPr>
            <w:r>
              <w:rPr>
                <w:rFonts w:ascii="Times New Roman"/>
                <w:sz w:val="21"/>
              </w:rPr>
              <w:t>647,</w:t>
            </w:r>
          </w:p>
          <w:p>
            <w:pPr>
              <w:pStyle w:val="TableParagraph"/>
              <w:spacing w:line="240" w:lineRule="auto" w:before="70"/>
              <w:ind w:left="9" w:right="0"/>
              <w:jc w:val="center"/>
              <w:rPr>
                <w:rFonts w:ascii="Times New Roman" w:hAnsi="Times New Roman" w:cs="Times New Roman" w:eastAsia="Times New Roman" w:hint="default"/>
                <w:sz w:val="21"/>
                <w:szCs w:val="21"/>
              </w:rPr>
            </w:pPr>
            <w:r>
              <w:rPr>
                <w:rFonts w:ascii="Times New Roman"/>
                <w:sz w:val="21"/>
              </w:rPr>
              <w:t>085,</w:t>
            </w:r>
          </w:p>
          <w:p>
            <w:pPr>
              <w:pStyle w:val="TableParagraph"/>
              <w:spacing w:line="240" w:lineRule="auto" w:before="70"/>
              <w:ind w:left="9" w:right="0"/>
              <w:jc w:val="center"/>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75"/>
              <w:ind w:left="167" w:right="0"/>
              <w:jc w:val="center"/>
              <w:rPr>
                <w:rFonts w:ascii="Times New Roman" w:hAnsi="Times New Roman" w:cs="Times New Roman" w:eastAsia="Times New Roman" w:hint="default"/>
                <w:sz w:val="21"/>
                <w:szCs w:val="21"/>
              </w:rPr>
            </w:pPr>
            <w:r>
              <w:rPr>
                <w:rFonts w:ascii="Times New Roman"/>
                <w:sz w:val="21"/>
              </w:rPr>
              <w:t>91</w:t>
            </w: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48" w:right="0"/>
              <w:jc w:val="left"/>
              <w:rPr>
                <w:rFonts w:ascii="Times New Roman" w:hAnsi="Times New Roman" w:cs="Times New Roman" w:eastAsia="Times New Roman" w:hint="default"/>
                <w:sz w:val="21"/>
                <w:szCs w:val="21"/>
              </w:rPr>
            </w:pPr>
            <w:r>
              <w:rPr>
                <w:rFonts w:ascii="Times New Roman"/>
                <w:sz w:val="21"/>
              </w:rPr>
              <w:t>4,302</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,236,</w:t>
            </w:r>
          </w:p>
          <w:p>
            <w:pPr>
              <w:pStyle w:val="TableParagraph"/>
              <w:spacing w:line="240" w:lineRule="auto" w:before="70"/>
              <w:ind w:left="148" w:right="0"/>
              <w:jc w:val="left"/>
              <w:rPr>
                <w:rFonts w:ascii="Times New Roman" w:hAnsi="Times New Roman" w:cs="Times New Roman" w:eastAsia="Times New Roman" w:hint="default"/>
                <w:sz w:val="21"/>
                <w:szCs w:val="21"/>
              </w:rPr>
            </w:pPr>
            <w:r>
              <w:rPr>
                <w:rFonts w:ascii="Times New Roman"/>
                <w:sz w:val="21"/>
              </w:rPr>
              <w:t>816.6</w:t>
            </w:r>
          </w:p>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100"/>
                <w:sz w:val="21"/>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171,5</w:t>
            </w:r>
          </w:p>
          <w:p>
            <w:pPr>
              <w:pStyle w:val="TableParagraph"/>
              <w:spacing w:line="240" w:lineRule="auto" w:before="65"/>
              <w:ind w:left="33" w:right="0"/>
              <w:jc w:val="center"/>
              <w:rPr>
                <w:rFonts w:ascii="Times New Roman" w:hAnsi="Times New Roman" w:cs="Times New Roman" w:eastAsia="Times New Roman" w:hint="default"/>
                <w:sz w:val="21"/>
                <w:szCs w:val="21"/>
              </w:rPr>
            </w:pPr>
            <w:r>
              <w:rPr>
                <w:rFonts w:ascii="Times New Roman"/>
                <w:sz w:val="21"/>
              </w:rPr>
              <w:t>85,08</w:t>
            </w:r>
          </w:p>
          <w:p>
            <w:pPr>
              <w:pStyle w:val="TableParagraph"/>
              <w:spacing w:line="240" w:lineRule="auto" w:before="75"/>
              <w:ind w:left="129" w:right="0"/>
              <w:jc w:val="center"/>
              <w:rPr>
                <w:rFonts w:ascii="Times New Roman" w:hAnsi="Times New Roman" w:cs="Times New Roman" w:eastAsia="Times New Roman" w:hint="default"/>
                <w:sz w:val="21"/>
                <w:szCs w:val="21"/>
              </w:rPr>
            </w:pPr>
            <w:r>
              <w:rPr>
                <w:rFonts w:ascii="Times New Roman"/>
                <w:sz w:val="21"/>
              </w:rPr>
              <w:t>4.92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85" w:right="0"/>
              <w:jc w:val="center"/>
              <w:rPr>
                <w:rFonts w:ascii="Times New Roman" w:hAnsi="Times New Roman" w:cs="Times New Roman" w:eastAsia="Times New Roman" w:hint="default"/>
                <w:sz w:val="21"/>
                <w:szCs w:val="21"/>
              </w:rPr>
            </w:pPr>
            <w:r>
              <w:rPr>
                <w:rFonts w:ascii="Times New Roman"/>
                <w:sz w:val="21"/>
              </w:rPr>
              <w:t>4,473,</w:t>
            </w:r>
          </w:p>
          <w:p>
            <w:pPr>
              <w:pStyle w:val="TableParagraph"/>
              <w:spacing w:line="240" w:lineRule="auto" w:before="65"/>
              <w:ind w:left="134" w:right="0"/>
              <w:jc w:val="left"/>
              <w:rPr>
                <w:rFonts w:ascii="Times New Roman" w:hAnsi="Times New Roman" w:cs="Times New Roman" w:eastAsia="Times New Roman" w:hint="default"/>
                <w:sz w:val="21"/>
                <w:szCs w:val="21"/>
              </w:rPr>
            </w:pPr>
            <w:r>
              <w:rPr>
                <w:rFonts w:ascii="Times New Roman"/>
                <w:sz w:val="21"/>
              </w:rPr>
              <w:t>821,90</w:t>
            </w:r>
          </w:p>
          <w:p>
            <w:pPr>
              <w:pStyle w:val="TableParagraph"/>
              <w:spacing w:line="240" w:lineRule="auto" w:before="75"/>
              <w:ind w:left="234" w:right="0"/>
              <w:jc w:val="center"/>
              <w:rPr>
                <w:rFonts w:ascii="Times New Roman" w:hAnsi="Times New Roman" w:cs="Times New Roman" w:eastAsia="Times New Roman" w:hint="default"/>
                <w:sz w:val="21"/>
                <w:szCs w:val="21"/>
              </w:rPr>
            </w:pPr>
            <w:r>
              <w:rPr>
                <w:rFonts w:ascii="Times New Roman"/>
                <w:sz w:val="21"/>
              </w:rPr>
              <w:t>1.58</w:t>
            </w:r>
          </w:p>
        </w:tc>
      </w:tr>
      <w:tr>
        <w:trPr>
          <w:trHeight w:val="165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pacing w:val="-9"/>
                <w:sz w:val="21"/>
                <w:szCs w:val="21"/>
              </w:rPr>
              <w:t>三、本期增减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9"/>
                <w:sz w:val="21"/>
                <w:szCs w:val="21"/>
              </w:rPr>
              <w:t>变动金额（减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9"/>
                <w:sz w:val="21"/>
                <w:szCs w:val="21"/>
              </w:rPr>
              <w:t>少以“－”号</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填列）</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-12,</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454,</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745.</w:t>
            </w:r>
          </w:p>
          <w:p>
            <w:pPr>
              <w:pStyle w:val="TableParagraph"/>
              <w:spacing w:line="240" w:lineRule="auto" w:before="75"/>
              <w:ind w:left="177" w:right="0"/>
              <w:jc w:val="center"/>
              <w:rPr>
                <w:rFonts w:ascii="Times New Roman" w:hAnsi="Times New Roman" w:cs="Times New Roman" w:eastAsia="Times New Roman" w:hint="default"/>
                <w:sz w:val="21"/>
                <w:szCs w:val="21"/>
              </w:rPr>
            </w:pPr>
            <w:r>
              <w:rPr>
                <w:rFonts w:ascii="Times New Roman"/>
                <w:sz w:val="21"/>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34" w:right="0"/>
              <w:jc w:val="left"/>
              <w:rPr>
                <w:rFonts w:ascii="Times New Roman" w:hAnsi="Times New Roman" w:cs="Times New Roman" w:eastAsia="Times New Roman" w:hint="default"/>
                <w:sz w:val="21"/>
                <w:szCs w:val="21"/>
              </w:rPr>
            </w:pPr>
            <w:r>
              <w:rPr>
                <w:rFonts w:ascii="Times New Roman"/>
                <w:sz w:val="21"/>
              </w:rPr>
              <w:t>-77,</w:t>
            </w:r>
          </w:p>
          <w:p>
            <w:pPr>
              <w:pStyle w:val="TableParagraph"/>
              <w:spacing w:line="240" w:lineRule="auto" w:before="65"/>
              <w:ind w:left="148" w:right="0"/>
              <w:jc w:val="left"/>
              <w:rPr>
                <w:rFonts w:ascii="Times New Roman" w:hAnsi="Times New Roman" w:cs="Times New Roman" w:eastAsia="Times New Roman" w:hint="default"/>
                <w:sz w:val="21"/>
                <w:szCs w:val="21"/>
              </w:rPr>
            </w:pPr>
            <w:r>
              <w:rPr>
                <w:rFonts w:ascii="Times New Roman"/>
                <w:sz w:val="21"/>
              </w:rPr>
              <w:t>572</w:t>
            </w:r>
          </w:p>
          <w:p>
            <w:pPr>
              <w:pStyle w:val="TableParagraph"/>
              <w:spacing w:line="240" w:lineRule="auto" w:before="70"/>
              <w:ind w:left="101" w:right="0"/>
              <w:jc w:val="center"/>
              <w:rPr>
                <w:rFonts w:ascii="Times New Roman" w:hAnsi="Times New Roman" w:cs="Times New Roman" w:eastAsia="Times New Roman" w:hint="default"/>
                <w:sz w:val="21"/>
                <w:szCs w:val="21"/>
              </w:rPr>
            </w:pPr>
            <w:r>
              <w:rPr>
                <w:rFonts w:ascii="Times New Roman"/>
                <w:sz w:val="21"/>
              </w:rPr>
              <w:t>,59</w:t>
            </w:r>
          </w:p>
          <w:p>
            <w:pPr>
              <w:pStyle w:val="TableParagraph"/>
              <w:spacing w:line="240" w:lineRule="auto" w:before="70"/>
              <w:ind w:left="101" w:right="0"/>
              <w:jc w:val="center"/>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75"/>
              <w:ind w:left="259" w:right="0"/>
              <w:jc w:val="center"/>
              <w:rPr>
                <w:rFonts w:ascii="Times New Roman" w:hAnsi="Times New Roman" w:cs="Times New Roman" w:eastAsia="Times New Roman" w:hint="default"/>
                <w:sz w:val="21"/>
                <w:szCs w:val="21"/>
              </w:rPr>
            </w:pPr>
            <w:r>
              <w:rPr>
                <w:rFonts w:ascii="Times New Roman"/>
                <w:w w:val="100"/>
                <w:sz w:val="21"/>
              </w:rPr>
              <w:t>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8" w:right="0"/>
              <w:jc w:val="center"/>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65"/>
              <w:ind w:left="201" w:right="0"/>
              <w:jc w:val="left"/>
              <w:rPr>
                <w:rFonts w:ascii="Times New Roman" w:hAnsi="Times New Roman" w:cs="Times New Roman" w:eastAsia="Times New Roman" w:hint="default"/>
                <w:sz w:val="21"/>
                <w:szCs w:val="21"/>
              </w:rPr>
            </w:pPr>
            <w:r>
              <w:rPr>
                <w:rFonts w:ascii="Times New Roman"/>
                <w:sz w:val="21"/>
              </w:rPr>
              <w:t>,03</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3,6</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37.</w:t>
            </w:r>
          </w:p>
          <w:p>
            <w:pPr>
              <w:pStyle w:val="TableParagraph"/>
              <w:spacing w:line="240" w:lineRule="auto" w:before="75"/>
              <w:ind w:left="153" w:right="0"/>
              <w:jc w:val="center"/>
              <w:rPr>
                <w:rFonts w:ascii="Times New Roman" w:hAnsi="Times New Roman" w:cs="Times New Roman" w:eastAsia="Times New Roman" w:hint="default"/>
                <w:sz w:val="21"/>
                <w:szCs w:val="21"/>
              </w:rPr>
            </w:pPr>
            <w:r>
              <w:rPr>
                <w:rFonts w:ascii="Times New Roman"/>
                <w:sz w:val="21"/>
              </w:rPr>
              <w:t>57</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4,0</w:t>
            </w:r>
          </w:p>
          <w:p>
            <w:pPr>
              <w:pStyle w:val="TableParagraph"/>
              <w:spacing w:line="240" w:lineRule="auto" w:before="70"/>
              <w:ind w:left="196" w:right="0"/>
              <w:jc w:val="left"/>
              <w:rPr>
                <w:rFonts w:ascii="Times New Roman" w:hAnsi="Times New Roman" w:cs="Times New Roman" w:eastAsia="Times New Roman" w:hint="default"/>
                <w:sz w:val="21"/>
                <w:szCs w:val="21"/>
              </w:rPr>
            </w:pPr>
            <w:r>
              <w:rPr>
                <w:rFonts w:ascii="Times New Roman"/>
                <w:sz w:val="21"/>
              </w:rPr>
              <w:t>35,</w:t>
            </w:r>
          </w:p>
          <w:p>
            <w:pPr>
              <w:pStyle w:val="TableParagraph"/>
              <w:spacing w:line="240" w:lineRule="auto" w:before="70"/>
              <w:ind w:right="3"/>
              <w:jc w:val="center"/>
              <w:rPr>
                <w:rFonts w:ascii="Times New Roman" w:hAnsi="Times New Roman" w:cs="Times New Roman" w:eastAsia="Times New Roman" w:hint="default"/>
                <w:sz w:val="21"/>
                <w:szCs w:val="21"/>
              </w:rPr>
            </w:pPr>
            <w:r>
              <w:rPr>
                <w:rFonts w:ascii="Times New Roman"/>
                <w:spacing w:val="-3"/>
                <w:sz w:val="21"/>
              </w:rPr>
              <w:t>411.</w:t>
            </w:r>
          </w:p>
          <w:p>
            <w:pPr>
              <w:pStyle w:val="TableParagraph"/>
              <w:spacing w:line="240" w:lineRule="auto" w:before="75"/>
              <w:ind w:left="143" w:right="0"/>
              <w:jc w:val="center"/>
              <w:rPr>
                <w:rFonts w:ascii="Times New Roman" w:hAnsi="Times New Roman" w:cs="Times New Roman" w:eastAsia="Times New Roman" w:hint="default"/>
                <w:sz w:val="21"/>
                <w:szCs w:val="21"/>
              </w:rPr>
            </w:pPr>
            <w:r>
              <w:rPr>
                <w:rFonts w:ascii="Times New Roman"/>
                <w:sz w:val="21"/>
              </w:rPr>
              <w:t>75</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135,</w:t>
            </w:r>
          </w:p>
          <w:p>
            <w:pPr>
              <w:pStyle w:val="TableParagraph"/>
              <w:spacing w:line="240" w:lineRule="auto" w:before="70"/>
              <w:ind w:left="9" w:right="0"/>
              <w:jc w:val="center"/>
              <w:rPr>
                <w:rFonts w:ascii="Times New Roman" w:hAnsi="Times New Roman" w:cs="Times New Roman" w:eastAsia="Times New Roman" w:hint="default"/>
                <w:sz w:val="21"/>
                <w:szCs w:val="21"/>
              </w:rPr>
            </w:pPr>
            <w:r>
              <w:rPr>
                <w:rFonts w:ascii="Times New Roman"/>
                <w:sz w:val="21"/>
              </w:rPr>
              <w:t>532,</w:t>
            </w:r>
          </w:p>
          <w:p>
            <w:pPr>
              <w:pStyle w:val="TableParagraph"/>
              <w:spacing w:line="240" w:lineRule="auto" w:before="70"/>
              <w:ind w:left="9" w:right="0"/>
              <w:jc w:val="center"/>
              <w:rPr>
                <w:rFonts w:ascii="Times New Roman" w:hAnsi="Times New Roman" w:cs="Times New Roman" w:eastAsia="Times New Roman" w:hint="default"/>
                <w:sz w:val="21"/>
                <w:szCs w:val="21"/>
              </w:rPr>
            </w:pPr>
            <w:r>
              <w:rPr>
                <w:rFonts w:ascii="Times New Roman"/>
                <w:sz w:val="21"/>
              </w:rPr>
              <w:t>235.</w:t>
            </w:r>
          </w:p>
          <w:p>
            <w:pPr>
              <w:pStyle w:val="TableParagraph"/>
              <w:spacing w:line="240" w:lineRule="auto" w:before="75"/>
              <w:ind w:left="167" w:right="0"/>
              <w:jc w:val="center"/>
              <w:rPr>
                <w:rFonts w:ascii="Times New Roman" w:hAnsi="Times New Roman" w:cs="Times New Roman" w:eastAsia="Times New Roman" w:hint="default"/>
                <w:sz w:val="21"/>
                <w:szCs w:val="21"/>
              </w:rPr>
            </w:pPr>
            <w:r>
              <w:rPr>
                <w:rFonts w:ascii="Times New Roman"/>
                <w:sz w:val="21"/>
              </w:rPr>
              <w:t>69</w:t>
            </w: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82" w:right="0"/>
              <w:jc w:val="left"/>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65"/>
              <w:ind w:left="148" w:right="0"/>
              <w:jc w:val="left"/>
              <w:rPr>
                <w:rFonts w:ascii="Times New Roman" w:hAnsi="Times New Roman" w:cs="Times New Roman" w:eastAsia="Times New Roman" w:hint="default"/>
                <w:sz w:val="21"/>
                <w:szCs w:val="21"/>
              </w:rPr>
            </w:pPr>
            <w:r>
              <w:rPr>
                <w:rFonts w:ascii="Times New Roman"/>
                <w:sz w:val="21"/>
              </w:rPr>
              <w:t>493,3</w:t>
            </w:r>
          </w:p>
          <w:p>
            <w:pPr>
              <w:pStyle w:val="TableParagraph"/>
              <w:spacing w:line="240" w:lineRule="auto" w:before="75"/>
              <w:ind w:left="148" w:right="0"/>
              <w:jc w:val="left"/>
              <w:rPr>
                <w:rFonts w:ascii="Times New Roman" w:hAnsi="Times New Roman" w:cs="Times New Roman" w:eastAsia="Times New Roman" w:hint="default"/>
                <w:sz w:val="21"/>
                <w:szCs w:val="21"/>
              </w:rPr>
            </w:pPr>
            <w:r>
              <w:rPr>
                <w:rFonts w:ascii="Times New Roman"/>
                <w:sz w:val="21"/>
              </w:rPr>
              <w:t>26.14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34" w:right="0"/>
              <w:jc w:val="left"/>
              <w:rPr>
                <w:rFonts w:ascii="Times New Roman" w:hAnsi="Times New Roman" w:cs="Times New Roman" w:eastAsia="Times New Roman" w:hint="default"/>
                <w:sz w:val="21"/>
                <w:szCs w:val="21"/>
              </w:rPr>
            </w:pPr>
            <w:r>
              <w:rPr>
                <w:rFonts w:ascii="Times New Roman"/>
                <w:sz w:val="21"/>
              </w:rPr>
              <w:t>44,10</w:t>
            </w:r>
          </w:p>
          <w:p>
            <w:pPr>
              <w:pStyle w:val="TableParagraph"/>
              <w:spacing w:line="240" w:lineRule="auto" w:before="65"/>
              <w:ind w:left="134" w:right="0"/>
              <w:jc w:val="left"/>
              <w:rPr>
                <w:rFonts w:ascii="Times New Roman" w:hAnsi="Times New Roman" w:cs="Times New Roman" w:eastAsia="Times New Roman" w:hint="default"/>
                <w:sz w:val="21"/>
                <w:szCs w:val="21"/>
              </w:rPr>
            </w:pPr>
            <w:r>
              <w:rPr>
                <w:rFonts w:ascii="Times New Roman"/>
                <w:sz w:val="21"/>
              </w:rPr>
              <w:t>7,712</w:t>
            </w:r>
          </w:p>
          <w:p>
            <w:pPr>
              <w:pStyle w:val="TableParagraph"/>
              <w:spacing w:line="240" w:lineRule="auto" w:before="75"/>
              <w:ind w:left="340" w:right="0"/>
              <w:jc w:val="left"/>
              <w:rPr>
                <w:rFonts w:ascii="Times New Roman" w:hAnsi="Times New Roman" w:cs="Times New Roman" w:eastAsia="Times New Roman" w:hint="default"/>
                <w:sz w:val="21"/>
                <w:szCs w:val="21"/>
              </w:rPr>
            </w:pPr>
            <w:r>
              <w:rPr>
                <w:rFonts w:ascii="Times New Roman"/>
                <w:sz w:val="21"/>
              </w:rPr>
              <w:t>.50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68" w:right="0"/>
              <w:jc w:val="left"/>
              <w:rPr>
                <w:rFonts w:ascii="Times New Roman" w:hAnsi="Times New Roman" w:cs="Times New Roman" w:eastAsia="Times New Roman" w:hint="default"/>
                <w:sz w:val="21"/>
                <w:szCs w:val="21"/>
              </w:rPr>
            </w:pPr>
            <w:r>
              <w:rPr>
                <w:rFonts w:ascii="Times New Roman"/>
                <w:sz w:val="21"/>
              </w:rPr>
              <w:t>-56,38</w:t>
            </w:r>
          </w:p>
          <w:p>
            <w:pPr>
              <w:pStyle w:val="TableParagraph"/>
              <w:spacing w:line="240" w:lineRule="auto" w:before="65"/>
              <w:ind w:left="187" w:right="0"/>
              <w:jc w:val="left"/>
              <w:rPr>
                <w:rFonts w:ascii="Times New Roman" w:hAnsi="Times New Roman" w:cs="Times New Roman" w:eastAsia="Times New Roman" w:hint="default"/>
                <w:sz w:val="21"/>
                <w:szCs w:val="21"/>
              </w:rPr>
            </w:pPr>
            <w:r>
              <w:rPr>
                <w:rFonts w:ascii="Times New Roman"/>
                <w:sz w:val="21"/>
              </w:rPr>
              <w:t>5,613.</w:t>
            </w:r>
          </w:p>
          <w:p>
            <w:pPr>
              <w:pStyle w:val="TableParagraph"/>
              <w:spacing w:line="240" w:lineRule="auto" w:before="75"/>
              <w:ind w:left="499" w:right="0"/>
              <w:jc w:val="left"/>
              <w:rPr>
                <w:rFonts w:ascii="Times New Roman" w:hAnsi="Times New Roman" w:cs="Times New Roman" w:eastAsia="Times New Roman" w:hint="default"/>
                <w:sz w:val="21"/>
                <w:szCs w:val="21"/>
              </w:rPr>
            </w:pPr>
            <w:r>
              <w:rPr>
                <w:rFonts w:ascii="Times New Roman"/>
                <w:sz w:val="21"/>
              </w:rPr>
              <w:t>64</w:t>
            </w:r>
          </w:p>
        </w:tc>
      </w:tr>
      <w:tr>
        <w:trPr>
          <w:trHeight w:val="133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9"/>
                <w:sz w:val="21"/>
                <w:szCs w:val="21"/>
              </w:rPr>
              <w:t>（一）综合收</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益总额</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9" w:right="0"/>
              <w:jc w:val="center"/>
              <w:rPr>
                <w:rFonts w:ascii="Times New Roman" w:hAnsi="Times New Roman" w:cs="Times New Roman" w:eastAsia="Times New Roman" w:hint="default"/>
                <w:sz w:val="21"/>
                <w:szCs w:val="21"/>
              </w:rPr>
            </w:pPr>
            <w:r>
              <w:rPr>
                <w:rFonts w:ascii="Times New Roman"/>
                <w:sz w:val="21"/>
              </w:rPr>
              <w:t>174,</w:t>
            </w:r>
          </w:p>
          <w:p>
            <w:pPr>
              <w:pStyle w:val="TableParagraph"/>
              <w:spacing w:line="240" w:lineRule="auto" w:before="65"/>
              <w:ind w:left="9" w:right="0"/>
              <w:jc w:val="center"/>
              <w:rPr>
                <w:rFonts w:ascii="Times New Roman" w:hAnsi="Times New Roman" w:cs="Times New Roman" w:eastAsia="Times New Roman" w:hint="default"/>
                <w:sz w:val="21"/>
                <w:szCs w:val="21"/>
              </w:rPr>
            </w:pPr>
            <w:r>
              <w:rPr>
                <w:rFonts w:ascii="Times New Roman"/>
                <w:sz w:val="21"/>
              </w:rPr>
              <w:t>762,</w:t>
            </w:r>
          </w:p>
          <w:p>
            <w:pPr>
              <w:pStyle w:val="TableParagraph"/>
              <w:spacing w:line="240" w:lineRule="auto" w:before="70"/>
              <w:ind w:left="9" w:right="0"/>
              <w:jc w:val="center"/>
              <w:rPr>
                <w:rFonts w:ascii="Times New Roman" w:hAnsi="Times New Roman" w:cs="Times New Roman" w:eastAsia="Times New Roman" w:hint="default"/>
                <w:sz w:val="21"/>
                <w:szCs w:val="21"/>
              </w:rPr>
            </w:pPr>
            <w:r>
              <w:rPr>
                <w:rFonts w:ascii="Times New Roman"/>
                <w:sz w:val="21"/>
              </w:rPr>
              <w:t>669.</w:t>
            </w:r>
          </w:p>
          <w:p>
            <w:pPr>
              <w:pStyle w:val="TableParagraph"/>
              <w:spacing w:line="240" w:lineRule="auto" w:before="75"/>
              <w:ind w:left="167" w:right="0"/>
              <w:jc w:val="center"/>
              <w:rPr>
                <w:rFonts w:ascii="Times New Roman" w:hAnsi="Times New Roman" w:cs="Times New Roman" w:eastAsia="Times New Roman" w:hint="default"/>
                <w:sz w:val="21"/>
                <w:szCs w:val="21"/>
              </w:rPr>
            </w:pPr>
            <w:r>
              <w:rPr>
                <w:rFonts w:ascii="Times New Roman"/>
                <w:sz w:val="21"/>
              </w:rPr>
              <w:t>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7" w:right="0"/>
              <w:jc w:val="center"/>
              <w:rPr>
                <w:rFonts w:ascii="Times New Roman" w:hAnsi="Times New Roman" w:cs="Times New Roman" w:eastAsia="Times New Roman" w:hint="default"/>
                <w:sz w:val="21"/>
                <w:szCs w:val="21"/>
              </w:rPr>
            </w:pPr>
            <w:r>
              <w:rPr>
                <w:rFonts w:ascii="Times New Roman"/>
                <w:sz w:val="21"/>
              </w:rPr>
              <w:t>174,7</w:t>
            </w:r>
          </w:p>
          <w:p>
            <w:pPr>
              <w:pStyle w:val="TableParagraph"/>
              <w:spacing w:line="240" w:lineRule="auto" w:before="70"/>
              <w:ind w:left="47" w:right="0"/>
              <w:jc w:val="center"/>
              <w:rPr>
                <w:rFonts w:ascii="Times New Roman" w:hAnsi="Times New Roman" w:cs="Times New Roman" w:eastAsia="Times New Roman" w:hint="default"/>
                <w:sz w:val="21"/>
                <w:szCs w:val="21"/>
              </w:rPr>
            </w:pPr>
            <w:r>
              <w:rPr>
                <w:rFonts w:ascii="Times New Roman"/>
                <w:sz w:val="21"/>
              </w:rPr>
              <w:t>62,66</w:t>
            </w:r>
          </w:p>
          <w:p>
            <w:pPr>
              <w:pStyle w:val="TableParagraph"/>
              <w:spacing w:line="240" w:lineRule="auto" w:before="75"/>
              <w:ind w:left="143" w:right="0"/>
              <w:jc w:val="center"/>
              <w:rPr>
                <w:rFonts w:ascii="Times New Roman" w:hAnsi="Times New Roman" w:cs="Times New Roman" w:eastAsia="Times New Roman" w:hint="default"/>
                <w:sz w:val="21"/>
                <w:szCs w:val="21"/>
              </w:rPr>
            </w:pPr>
            <w:r>
              <w:rPr>
                <w:rFonts w:ascii="Times New Roman"/>
                <w:sz w:val="21"/>
              </w:rPr>
              <w:t>9.00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13,60</w:t>
            </w:r>
          </w:p>
          <w:p>
            <w:pPr>
              <w:pStyle w:val="TableParagraph"/>
              <w:spacing w:line="240" w:lineRule="auto" w:before="70"/>
              <w:ind w:left="134" w:right="0"/>
              <w:jc w:val="left"/>
              <w:rPr>
                <w:rFonts w:ascii="Times New Roman" w:hAnsi="Times New Roman" w:cs="Times New Roman" w:eastAsia="Times New Roman" w:hint="default"/>
                <w:sz w:val="21"/>
                <w:szCs w:val="21"/>
              </w:rPr>
            </w:pPr>
            <w:r>
              <w:rPr>
                <w:rFonts w:ascii="Times New Roman"/>
                <w:sz w:val="21"/>
              </w:rPr>
              <w:t>2,867</w:t>
            </w:r>
          </w:p>
          <w:p>
            <w:pPr>
              <w:pStyle w:val="TableParagraph"/>
              <w:spacing w:line="240" w:lineRule="auto" w:before="75"/>
              <w:ind w:left="340" w:right="0"/>
              <w:jc w:val="left"/>
              <w:rPr>
                <w:rFonts w:ascii="Times New Roman" w:hAnsi="Times New Roman" w:cs="Times New Roman" w:eastAsia="Times New Roman" w:hint="default"/>
                <w:sz w:val="21"/>
                <w:szCs w:val="21"/>
              </w:rPr>
            </w:pPr>
            <w:r>
              <w:rPr>
                <w:rFonts w:ascii="Times New Roman"/>
                <w:sz w:val="21"/>
              </w:rPr>
              <w:t>.62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188,36</w:t>
            </w:r>
          </w:p>
          <w:p>
            <w:pPr>
              <w:pStyle w:val="TableParagraph"/>
              <w:spacing w:line="240" w:lineRule="auto" w:before="70"/>
              <w:ind w:left="187" w:right="0"/>
              <w:jc w:val="left"/>
              <w:rPr>
                <w:rFonts w:ascii="Times New Roman" w:hAnsi="Times New Roman" w:cs="Times New Roman" w:eastAsia="Times New Roman" w:hint="default"/>
                <w:sz w:val="21"/>
                <w:szCs w:val="21"/>
              </w:rPr>
            </w:pPr>
            <w:r>
              <w:rPr>
                <w:rFonts w:ascii="Times New Roman"/>
                <w:sz w:val="21"/>
              </w:rPr>
              <w:t>5,536.</w:t>
            </w:r>
          </w:p>
          <w:p>
            <w:pPr>
              <w:pStyle w:val="TableParagraph"/>
              <w:spacing w:line="240" w:lineRule="auto" w:before="75"/>
              <w:ind w:left="499" w:right="0"/>
              <w:jc w:val="left"/>
              <w:rPr>
                <w:rFonts w:ascii="Times New Roman" w:hAnsi="Times New Roman" w:cs="Times New Roman" w:eastAsia="Times New Roman" w:hint="default"/>
                <w:sz w:val="21"/>
                <w:szCs w:val="21"/>
              </w:rPr>
            </w:pPr>
            <w:r>
              <w:rPr>
                <w:rFonts w:ascii="Times New Roman"/>
                <w:sz w:val="21"/>
              </w:rPr>
              <w:t>62</w:t>
            </w:r>
          </w:p>
        </w:tc>
      </w:tr>
      <w:tr>
        <w:trPr>
          <w:trHeight w:val="165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9"/>
                <w:sz w:val="21"/>
                <w:szCs w:val="21"/>
              </w:rPr>
              <w:t>（二）所有者</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投入和减少</w:t>
            </w:r>
            <w:r>
              <w:rPr>
                <w:rFonts w:ascii="宋体" w:hAnsi="宋体" w:cs="宋体" w:eastAsia="宋体" w:hint="default"/>
                <w:spacing w:val="-99"/>
                <w:sz w:val="21"/>
                <w:szCs w:val="21"/>
              </w:rPr>
              <w:t> </w:t>
            </w:r>
            <w:r>
              <w:rPr>
                <w:rFonts w:ascii="宋体" w:hAnsi="宋体" w:cs="宋体" w:eastAsia="宋体" w:hint="default"/>
                <w:sz w:val="21"/>
                <w:szCs w:val="21"/>
              </w:rPr>
              <w:t>资本</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62" w:right="0"/>
              <w:jc w:val="center"/>
              <w:rPr>
                <w:rFonts w:ascii="Times New Roman" w:hAnsi="Times New Roman" w:cs="Times New Roman" w:eastAsia="Times New Roman" w:hint="default"/>
                <w:sz w:val="21"/>
                <w:szCs w:val="21"/>
              </w:rPr>
            </w:pPr>
            <w:r>
              <w:rPr>
                <w:rFonts w:ascii="Times New Roman"/>
                <w:sz w:val="21"/>
              </w:rPr>
              <w:t>-12,</w:t>
            </w:r>
          </w:p>
          <w:p>
            <w:pPr>
              <w:pStyle w:val="TableParagraph"/>
              <w:spacing w:line="240" w:lineRule="auto" w:before="65"/>
              <w:ind w:left="19" w:right="0"/>
              <w:jc w:val="center"/>
              <w:rPr>
                <w:rFonts w:ascii="Times New Roman" w:hAnsi="Times New Roman" w:cs="Times New Roman" w:eastAsia="Times New Roman" w:hint="default"/>
                <w:sz w:val="21"/>
                <w:szCs w:val="21"/>
              </w:rPr>
            </w:pPr>
            <w:r>
              <w:rPr>
                <w:rFonts w:ascii="Times New Roman"/>
                <w:sz w:val="21"/>
              </w:rPr>
              <w:t>454,</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745.</w:t>
            </w:r>
          </w:p>
          <w:p>
            <w:pPr>
              <w:pStyle w:val="TableParagraph"/>
              <w:spacing w:line="240" w:lineRule="auto" w:before="75"/>
              <w:ind w:left="177" w:right="0"/>
              <w:jc w:val="center"/>
              <w:rPr>
                <w:rFonts w:ascii="Times New Roman" w:hAnsi="Times New Roman" w:cs="Times New Roman" w:eastAsia="Times New Roman" w:hint="default"/>
                <w:sz w:val="21"/>
                <w:szCs w:val="21"/>
              </w:rPr>
            </w:pPr>
            <w:r>
              <w:rPr>
                <w:rFonts w:ascii="Times New Roman"/>
                <w:sz w:val="21"/>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4" w:right="0"/>
              <w:jc w:val="left"/>
              <w:rPr>
                <w:rFonts w:ascii="Times New Roman" w:hAnsi="Times New Roman" w:cs="Times New Roman" w:eastAsia="Times New Roman" w:hint="default"/>
                <w:sz w:val="21"/>
                <w:szCs w:val="21"/>
              </w:rPr>
            </w:pPr>
            <w:r>
              <w:rPr>
                <w:rFonts w:ascii="Times New Roman"/>
                <w:sz w:val="21"/>
              </w:rPr>
              <w:t>-77,</w:t>
            </w:r>
          </w:p>
          <w:p>
            <w:pPr>
              <w:pStyle w:val="TableParagraph"/>
              <w:spacing w:line="240" w:lineRule="auto" w:before="71"/>
              <w:ind w:left="148" w:right="0"/>
              <w:jc w:val="left"/>
              <w:rPr>
                <w:rFonts w:ascii="Times New Roman" w:hAnsi="Times New Roman" w:cs="Times New Roman" w:eastAsia="Times New Roman" w:hint="default"/>
                <w:sz w:val="21"/>
                <w:szCs w:val="21"/>
              </w:rPr>
            </w:pPr>
            <w:r>
              <w:rPr>
                <w:rFonts w:ascii="Times New Roman"/>
                <w:sz w:val="21"/>
              </w:rPr>
              <w:t>572</w:t>
            </w:r>
          </w:p>
          <w:p>
            <w:pPr>
              <w:pStyle w:val="TableParagraph"/>
              <w:spacing w:line="240" w:lineRule="auto" w:before="70"/>
              <w:ind w:left="101" w:right="0"/>
              <w:jc w:val="center"/>
              <w:rPr>
                <w:rFonts w:ascii="Times New Roman" w:hAnsi="Times New Roman" w:cs="Times New Roman" w:eastAsia="Times New Roman" w:hint="default"/>
                <w:sz w:val="21"/>
                <w:szCs w:val="21"/>
              </w:rPr>
            </w:pPr>
            <w:r>
              <w:rPr>
                <w:rFonts w:ascii="Times New Roman"/>
                <w:sz w:val="21"/>
              </w:rPr>
              <w:t>,59</w:t>
            </w:r>
          </w:p>
          <w:p>
            <w:pPr>
              <w:pStyle w:val="TableParagraph"/>
              <w:spacing w:line="240" w:lineRule="auto" w:before="70"/>
              <w:ind w:left="101" w:right="0"/>
              <w:jc w:val="center"/>
              <w:rPr>
                <w:rFonts w:ascii="Times New Roman" w:hAnsi="Times New Roman" w:cs="Times New Roman" w:eastAsia="Times New Roman" w:hint="default"/>
                <w:sz w:val="21"/>
                <w:szCs w:val="21"/>
              </w:rPr>
            </w:pPr>
            <w:r>
              <w:rPr>
                <w:rFonts w:ascii="Times New Roman"/>
                <w:sz w:val="21"/>
              </w:rPr>
              <w:t>1.0</w:t>
            </w:r>
          </w:p>
          <w:p>
            <w:pPr>
              <w:pStyle w:val="TableParagraph"/>
              <w:spacing w:line="240" w:lineRule="auto" w:before="75"/>
              <w:ind w:left="259" w:right="0"/>
              <w:jc w:val="center"/>
              <w:rPr>
                <w:rFonts w:ascii="Times New Roman" w:hAnsi="Times New Roman" w:cs="Times New Roman" w:eastAsia="Times New Roman" w:hint="default"/>
                <w:sz w:val="21"/>
                <w:szCs w:val="21"/>
              </w:rPr>
            </w:pPr>
            <w:r>
              <w:rPr>
                <w:rFonts w:ascii="Times New Roman"/>
                <w:w w:val="100"/>
                <w:sz w:val="21"/>
              </w:rPr>
              <w:t>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 w:right="0"/>
              <w:jc w:val="center"/>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71"/>
              <w:ind w:left="201" w:right="0"/>
              <w:jc w:val="left"/>
              <w:rPr>
                <w:rFonts w:ascii="Times New Roman" w:hAnsi="Times New Roman" w:cs="Times New Roman" w:eastAsia="Times New Roman" w:hint="default"/>
                <w:sz w:val="21"/>
                <w:szCs w:val="21"/>
              </w:rPr>
            </w:pPr>
            <w:r>
              <w:rPr>
                <w:rFonts w:ascii="Times New Roman"/>
                <w:sz w:val="21"/>
              </w:rPr>
              <w:t>,03</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3,6</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37.</w:t>
            </w:r>
          </w:p>
          <w:p>
            <w:pPr>
              <w:pStyle w:val="TableParagraph"/>
              <w:spacing w:line="240" w:lineRule="auto" w:before="75"/>
              <w:ind w:left="153" w:right="0"/>
              <w:jc w:val="center"/>
              <w:rPr>
                <w:rFonts w:ascii="Times New Roman" w:hAnsi="Times New Roman" w:cs="Times New Roman" w:eastAsia="Times New Roman" w:hint="default"/>
                <w:sz w:val="21"/>
                <w:szCs w:val="21"/>
              </w:rPr>
            </w:pPr>
            <w:r>
              <w:rPr>
                <w:rFonts w:ascii="Times New Roman"/>
                <w:sz w:val="21"/>
              </w:rPr>
              <w:t>57</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82" w:right="0"/>
              <w:jc w:val="left"/>
              <w:rPr>
                <w:rFonts w:ascii="Times New Roman" w:hAnsi="Times New Roman" w:cs="Times New Roman" w:eastAsia="Times New Roman" w:hint="default"/>
                <w:sz w:val="21"/>
                <w:szCs w:val="21"/>
              </w:rPr>
            </w:pPr>
            <w:r>
              <w:rPr>
                <w:rFonts w:ascii="Times New Roman"/>
                <w:sz w:val="21"/>
              </w:rPr>
              <w:t>-240,</w:t>
            </w:r>
          </w:p>
          <w:p>
            <w:pPr>
              <w:pStyle w:val="TableParagraph"/>
              <w:spacing w:line="240" w:lineRule="auto" w:before="70"/>
              <w:ind w:left="148" w:right="0"/>
              <w:jc w:val="left"/>
              <w:rPr>
                <w:rFonts w:ascii="Times New Roman" w:hAnsi="Times New Roman" w:cs="Times New Roman" w:eastAsia="Times New Roman" w:hint="default"/>
                <w:sz w:val="21"/>
                <w:szCs w:val="21"/>
              </w:rPr>
            </w:pPr>
            <w:r>
              <w:rPr>
                <w:rFonts w:ascii="Times New Roman"/>
                <w:sz w:val="21"/>
              </w:rPr>
              <w:t>060,9</w:t>
            </w:r>
          </w:p>
          <w:p>
            <w:pPr>
              <w:pStyle w:val="TableParagraph"/>
              <w:spacing w:line="240" w:lineRule="auto" w:before="75"/>
              <w:ind w:left="148" w:right="0"/>
              <w:jc w:val="left"/>
              <w:rPr>
                <w:rFonts w:ascii="Times New Roman" w:hAnsi="Times New Roman" w:cs="Times New Roman" w:eastAsia="Times New Roman" w:hint="default"/>
                <w:sz w:val="21"/>
                <w:szCs w:val="21"/>
              </w:rPr>
            </w:pPr>
            <w:r>
              <w:rPr>
                <w:rFonts w:ascii="Times New Roman"/>
                <w:sz w:val="21"/>
              </w:rPr>
              <w:t>73.58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34" w:right="0"/>
              <w:jc w:val="left"/>
              <w:rPr>
                <w:rFonts w:ascii="Times New Roman" w:hAnsi="Times New Roman" w:cs="Times New Roman" w:eastAsia="Times New Roman" w:hint="default"/>
                <w:sz w:val="21"/>
                <w:szCs w:val="21"/>
              </w:rPr>
            </w:pPr>
            <w:r>
              <w:rPr>
                <w:rFonts w:ascii="Times New Roman"/>
                <w:sz w:val="21"/>
              </w:rPr>
              <w:t>40,66</w:t>
            </w:r>
          </w:p>
          <w:p>
            <w:pPr>
              <w:pStyle w:val="TableParagraph"/>
              <w:spacing w:line="240" w:lineRule="auto" w:before="70"/>
              <w:ind w:left="134" w:right="0"/>
              <w:jc w:val="left"/>
              <w:rPr>
                <w:rFonts w:ascii="Times New Roman" w:hAnsi="Times New Roman" w:cs="Times New Roman" w:eastAsia="Times New Roman" w:hint="default"/>
                <w:sz w:val="21"/>
                <w:szCs w:val="21"/>
              </w:rPr>
            </w:pPr>
            <w:r>
              <w:rPr>
                <w:rFonts w:ascii="Times New Roman"/>
                <w:sz w:val="21"/>
              </w:rPr>
              <w:t>4,907</w:t>
            </w:r>
          </w:p>
          <w:p>
            <w:pPr>
              <w:pStyle w:val="TableParagraph"/>
              <w:spacing w:line="240" w:lineRule="auto" w:before="75"/>
              <w:ind w:left="340" w:right="0"/>
              <w:jc w:val="left"/>
              <w:rPr>
                <w:rFonts w:ascii="Times New Roman" w:hAnsi="Times New Roman" w:cs="Times New Roman" w:eastAsia="Times New Roman" w:hint="default"/>
                <w:sz w:val="21"/>
                <w:szCs w:val="21"/>
              </w:rPr>
            </w:pPr>
            <w:r>
              <w:rPr>
                <w:rFonts w:ascii="Times New Roman"/>
                <w:sz w:val="21"/>
              </w:rPr>
              <w:t>.12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68" w:right="0"/>
              <w:jc w:val="left"/>
              <w:rPr>
                <w:rFonts w:ascii="Times New Roman" w:hAnsi="Times New Roman" w:cs="Times New Roman" w:eastAsia="Times New Roman" w:hint="default"/>
                <w:sz w:val="21"/>
                <w:szCs w:val="21"/>
              </w:rPr>
            </w:pPr>
            <w:r>
              <w:rPr>
                <w:rFonts w:ascii="Times New Roman"/>
                <w:sz w:val="21"/>
              </w:rPr>
              <w:t>-199,3</w:t>
            </w:r>
          </w:p>
          <w:p>
            <w:pPr>
              <w:pStyle w:val="TableParagraph"/>
              <w:spacing w:line="240" w:lineRule="auto" w:before="70"/>
              <w:ind w:left="134" w:right="0"/>
              <w:jc w:val="left"/>
              <w:rPr>
                <w:rFonts w:ascii="Times New Roman" w:hAnsi="Times New Roman" w:cs="Times New Roman" w:eastAsia="Times New Roman" w:hint="default"/>
                <w:sz w:val="21"/>
                <w:szCs w:val="21"/>
              </w:rPr>
            </w:pPr>
            <w:r>
              <w:rPr>
                <w:rFonts w:ascii="Times New Roman"/>
                <w:sz w:val="21"/>
              </w:rPr>
              <w:t>96,066</w:t>
            </w:r>
          </w:p>
          <w:p>
            <w:pPr>
              <w:pStyle w:val="TableParagraph"/>
              <w:spacing w:line="240" w:lineRule="auto" w:before="75"/>
              <w:ind w:left="447" w:right="0"/>
              <w:jc w:val="left"/>
              <w:rPr>
                <w:rFonts w:ascii="Times New Roman" w:hAnsi="Times New Roman" w:cs="Times New Roman" w:eastAsia="Times New Roman" w:hint="default"/>
                <w:sz w:val="21"/>
                <w:szCs w:val="21"/>
              </w:rPr>
            </w:pPr>
            <w:r>
              <w:rPr>
                <w:rFonts w:ascii="Times New Roman"/>
                <w:sz w:val="21"/>
              </w:rPr>
              <w:t>.46</w:t>
            </w:r>
          </w:p>
        </w:tc>
      </w:tr>
      <w:tr>
        <w:trPr>
          <w:trHeight w:val="1340"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61" w:lineRule="auto"/>
              <w:ind w:left="100" w:right="15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r>
              <w:rPr>
                <w:rFonts w:ascii="宋体" w:hAnsi="宋体" w:cs="宋体" w:eastAsia="宋体" w:hint="default"/>
                <w:spacing w:val="-99"/>
                <w:sz w:val="21"/>
                <w:szCs w:val="21"/>
              </w:rPr>
              <w:t> </w:t>
            </w:r>
            <w:r>
              <w:rPr>
                <w:rFonts w:ascii="宋体" w:hAnsi="宋体" w:cs="宋体" w:eastAsia="宋体" w:hint="default"/>
                <w:sz w:val="21"/>
                <w:szCs w:val="21"/>
              </w:rPr>
              <w:t>入的普通股</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 w:right="0"/>
              <w:jc w:val="center"/>
              <w:rPr>
                <w:rFonts w:ascii="Times New Roman" w:hAnsi="Times New Roman" w:cs="Times New Roman" w:eastAsia="Times New Roman" w:hint="default"/>
                <w:sz w:val="21"/>
                <w:szCs w:val="21"/>
              </w:rPr>
            </w:pPr>
            <w:r>
              <w:rPr>
                <w:rFonts w:ascii="Times New Roman"/>
                <w:sz w:val="21"/>
              </w:rPr>
              <w:t>-12,</w:t>
            </w:r>
          </w:p>
          <w:p>
            <w:pPr>
              <w:pStyle w:val="TableParagraph"/>
              <w:spacing w:line="240" w:lineRule="auto" w:before="71"/>
              <w:ind w:left="19" w:right="0"/>
              <w:jc w:val="center"/>
              <w:rPr>
                <w:rFonts w:ascii="Times New Roman" w:hAnsi="Times New Roman" w:cs="Times New Roman" w:eastAsia="Times New Roman" w:hint="default"/>
                <w:sz w:val="21"/>
                <w:szCs w:val="21"/>
              </w:rPr>
            </w:pPr>
            <w:r>
              <w:rPr>
                <w:rFonts w:ascii="Times New Roman"/>
                <w:sz w:val="21"/>
              </w:rPr>
              <w:t>454,</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745.</w:t>
            </w:r>
          </w:p>
          <w:p>
            <w:pPr>
              <w:pStyle w:val="TableParagraph"/>
              <w:spacing w:line="240" w:lineRule="auto" w:before="75"/>
              <w:ind w:left="177" w:right="0"/>
              <w:jc w:val="center"/>
              <w:rPr>
                <w:rFonts w:ascii="Times New Roman" w:hAnsi="Times New Roman" w:cs="Times New Roman" w:eastAsia="Times New Roman" w:hint="default"/>
                <w:sz w:val="21"/>
                <w:szCs w:val="21"/>
              </w:rPr>
            </w:pPr>
            <w:r>
              <w:rPr>
                <w:rFonts w:ascii="Times New Roman"/>
                <w:sz w:val="21"/>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21"/>
                <w:szCs w:val="21"/>
              </w:rPr>
            </w:pPr>
            <w:r>
              <w:rPr>
                <w:rFonts w:ascii="Times New Roman"/>
                <w:sz w:val="21"/>
              </w:rPr>
              <w:t>-77,</w:t>
            </w:r>
          </w:p>
          <w:p>
            <w:pPr>
              <w:pStyle w:val="TableParagraph"/>
              <w:spacing w:line="240" w:lineRule="auto" w:before="71"/>
              <w:ind w:left="148" w:right="0"/>
              <w:jc w:val="left"/>
              <w:rPr>
                <w:rFonts w:ascii="Times New Roman" w:hAnsi="Times New Roman" w:cs="Times New Roman" w:eastAsia="Times New Roman" w:hint="default"/>
                <w:sz w:val="21"/>
                <w:szCs w:val="21"/>
              </w:rPr>
            </w:pPr>
            <w:r>
              <w:rPr>
                <w:rFonts w:ascii="Times New Roman"/>
                <w:sz w:val="21"/>
              </w:rPr>
              <w:t>572</w:t>
            </w:r>
          </w:p>
          <w:p>
            <w:pPr>
              <w:pStyle w:val="TableParagraph"/>
              <w:spacing w:line="240" w:lineRule="auto" w:before="70"/>
              <w:ind w:left="202" w:right="0"/>
              <w:jc w:val="left"/>
              <w:rPr>
                <w:rFonts w:ascii="Times New Roman" w:hAnsi="Times New Roman" w:cs="Times New Roman" w:eastAsia="Times New Roman" w:hint="default"/>
                <w:sz w:val="21"/>
                <w:szCs w:val="21"/>
              </w:rPr>
            </w:pPr>
            <w:r>
              <w:rPr>
                <w:rFonts w:ascii="Times New Roman"/>
                <w:sz w:val="21"/>
              </w:rPr>
              <w:t>,59</w:t>
            </w:r>
          </w:p>
          <w:p>
            <w:pPr>
              <w:pStyle w:val="TableParagraph"/>
              <w:spacing w:line="240" w:lineRule="auto" w:before="70"/>
              <w:ind w:left="202" w:right="0"/>
              <w:jc w:val="left"/>
              <w:rPr>
                <w:rFonts w:ascii="Times New Roman" w:hAnsi="Times New Roman" w:cs="Times New Roman" w:eastAsia="Times New Roman" w:hint="default"/>
                <w:sz w:val="21"/>
                <w:szCs w:val="21"/>
              </w:rPr>
            </w:pPr>
            <w:r>
              <w:rPr>
                <w:rFonts w:ascii="Times New Roman"/>
                <w:sz w:val="21"/>
              </w:rPr>
              <w:t>1.0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71"/>
              <w:ind w:left="201" w:right="0"/>
              <w:jc w:val="left"/>
              <w:rPr>
                <w:rFonts w:ascii="Times New Roman" w:hAnsi="Times New Roman" w:cs="Times New Roman" w:eastAsia="Times New Roman" w:hint="default"/>
                <w:sz w:val="21"/>
                <w:szCs w:val="21"/>
              </w:rPr>
            </w:pPr>
            <w:r>
              <w:rPr>
                <w:rFonts w:ascii="Times New Roman"/>
                <w:sz w:val="21"/>
              </w:rPr>
              <w:t>,03</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3,6</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37.</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-240,</w:t>
            </w:r>
          </w:p>
          <w:p>
            <w:pPr>
              <w:pStyle w:val="TableParagraph"/>
              <w:spacing w:line="240" w:lineRule="auto" w:before="66"/>
              <w:ind w:left="148" w:right="0"/>
              <w:jc w:val="left"/>
              <w:rPr>
                <w:rFonts w:ascii="Times New Roman" w:hAnsi="Times New Roman" w:cs="Times New Roman" w:eastAsia="Times New Roman" w:hint="default"/>
                <w:sz w:val="21"/>
                <w:szCs w:val="21"/>
              </w:rPr>
            </w:pPr>
            <w:r>
              <w:rPr>
                <w:rFonts w:ascii="Times New Roman"/>
                <w:sz w:val="21"/>
              </w:rPr>
              <w:t>060,9</w:t>
            </w:r>
          </w:p>
          <w:p>
            <w:pPr>
              <w:pStyle w:val="TableParagraph"/>
              <w:spacing w:line="240" w:lineRule="auto" w:before="75"/>
              <w:ind w:left="148" w:right="0"/>
              <w:jc w:val="left"/>
              <w:rPr>
                <w:rFonts w:ascii="Times New Roman" w:hAnsi="Times New Roman" w:cs="Times New Roman" w:eastAsia="Times New Roman" w:hint="default"/>
                <w:sz w:val="21"/>
                <w:szCs w:val="21"/>
              </w:rPr>
            </w:pPr>
            <w:r>
              <w:rPr>
                <w:rFonts w:ascii="Times New Roman"/>
                <w:sz w:val="21"/>
              </w:rPr>
              <w:t>73.58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34" w:right="0"/>
              <w:jc w:val="left"/>
              <w:rPr>
                <w:rFonts w:ascii="Times New Roman" w:hAnsi="Times New Roman" w:cs="Times New Roman" w:eastAsia="Times New Roman" w:hint="default"/>
                <w:sz w:val="21"/>
                <w:szCs w:val="21"/>
              </w:rPr>
            </w:pPr>
            <w:r>
              <w:rPr>
                <w:rFonts w:ascii="Times New Roman"/>
                <w:sz w:val="21"/>
              </w:rPr>
              <w:t>40,66</w:t>
            </w:r>
          </w:p>
          <w:p>
            <w:pPr>
              <w:pStyle w:val="TableParagraph"/>
              <w:spacing w:line="240" w:lineRule="auto" w:before="66"/>
              <w:ind w:left="134" w:right="0"/>
              <w:jc w:val="left"/>
              <w:rPr>
                <w:rFonts w:ascii="Times New Roman" w:hAnsi="Times New Roman" w:cs="Times New Roman" w:eastAsia="Times New Roman" w:hint="default"/>
                <w:sz w:val="21"/>
                <w:szCs w:val="21"/>
              </w:rPr>
            </w:pPr>
            <w:r>
              <w:rPr>
                <w:rFonts w:ascii="Times New Roman"/>
                <w:sz w:val="21"/>
              </w:rPr>
              <w:t>4,907</w:t>
            </w:r>
          </w:p>
          <w:p>
            <w:pPr>
              <w:pStyle w:val="TableParagraph"/>
              <w:spacing w:line="240" w:lineRule="auto" w:before="75"/>
              <w:ind w:left="340" w:right="0"/>
              <w:jc w:val="left"/>
              <w:rPr>
                <w:rFonts w:ascii="Times New Roman" w:hAnsi="Times New Roman" w:cs="Times New Roman" w:eastAsia="Times New Roman" w:hint="default"/>
                <w:sz w:val="21"/>
                <w:szCs w:val="21"/>
              </w:rPr>
            </w:pPr>
            <w:r>
              <w:rPr>
                <w:rFonts w:ascii="Times New Roman"/>
                <w:sz w:val="21"/>
              </w:rPr>
              <w:t>.12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-199,3</w:t>
            </w:r>
          </w:p>
          <w:p>
            <w:pPr>
              <w:pStyle w:val="TableParagraph"/>
              <w:spacing w:line="240" w:lineRule="auto" w:before="66"/>
              <w:ind w:left="134" w:right="0"/>
              <w:jc w:val="left"/>
              <w:rPr>
                <w:rFonts w:ascii="Times New Roman" w:hAnsi="Times New Roman" w:cs="Times New Roman" w:eastAsia="Times New Roman" w:hint="default"/>
                <w:sz w:val="21"/>
                <w:szCs w:val="21"/>
              </w:rPr>
            </w:pPr>
            <w:r>
              <w:rPr>
                <w:rFonts w:ascii="Times New Roman"/>
                <w:sz w:val="21"/>
              </w:rPr>
              <w:t>96,066</w:t>
            </w:r>
          </w:p>
          <w:p>
            <w:pPr>
              <w:pStyle w:val="TableParagraph"/>
              <w:spacing w:line="240" w:lineRule="auto" w:before="75"/>
              <w:ind w:left="447" w:right="0"/>
              <w:jc w:val="left"/>
              <w:rPr>
                <w:rFonts w:ascii="Times New Roman" w:hAnsi="Times New Roman" w:cs="Times New Roman" w:eastAsia="Times New Roman" w:hint="default"/>
                <w:sz w:val="21"/>
                <w:szCs w:val="21"/>
              </w:rPr>
            </w:pPr>
            <w:r>
              <w:rPr>
                <w:rFonts w:ascii="Times New Roman"/>
                <w:sz w:val="21"/>
              </w:rPr>
              <w:t>.46</w:t>
            </w:r>
          </w:p>
        </w:tc>
      </w:tr>
    </w:tbl>
    <w:p>
      <w:pPr>
        <w:spacing w:after="0" w:line="240" w:lineRule="auto"/>
        <w:jc w:val="left"/>
        <w:rPr>
          <w:rFonts w:ascii="Times New Roman" w:hAnsi="Times New Roman" w:cs="Times New Roman" w:eastAsia="Times New Roman" w:hint="default"/>
          <w:sz w:val="21"/>
          <w:szCs w:val="21"/>
        </w:rPr>
        <w:sectPr>
          <w:pgSz w:w="11910" w:h="16840"/>
          <w:pgMar w:header="906" w:footer="1022" w:top="1100" w:bottom="1220" w:left="68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7" w:type="dxa"/>
        <w:tblLayout w:type="fixed"/>
        <w:tblCellMar>
          <w:top w:w="0" w:type="dxa"/>
          <w:left w:w="0" w:type="dxa"/>
          <w:bottom w:w="0" w:type="dxa"/>
          <w:right w:w="0" w:type="dxa"/>
        </w:tblCellMar>
        <w:tblLook w:val="01E0"/>
      </w:tblPr>
      <w:tblGrid>
        <w:gridCol w:w="1426"/>
        <w:gridCol w:w="610"/>
        <w:gridCol w:w="447"/>
        <w:gridCol w:w="451"/>
        <w:gridCol w:w="490"/>
        <w:gridCol w:w="577"/>
        <w:gridCol w:w="576"/>
        <w:gridCol w:w="576"/>
        <w:gridCol w:w="581"/>
        <w:gridCol w:w="576"/>
        <w:gridCol w:w="576"/>
        <w:gridCol w:w="591"/>
        <w:gridCol w:w="566"/>
        <w:gridCol w:w="735"/>
        <w:gridCol w:w="720"/>
        <w:gridCol w:w="826"/>
      </w:tblGrid>
      <w:tr>
        <w:trPr>
          <w:trHeight w:val="360"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360" w:right="0"/>
              <w:jc w:val="left"/>
              <w:rPr>
                <w:rFonts w:ascii="Times New Roman" w:hAnsi="Times New Roman" w:cs="Times New Roman" w:eastAsia="Times New Roman" w:hint="default"/>
                <w:sz w:val="21"/>
                <w:szCs w:val="21"/>
              </w:rPr>
            </w:pPr>
            <w:r>
              <w:rPr>
                <w:rFonts w:ascii="Times New Roman"/>
                <w:w w:val="100"/>
                <w:sz w:val="21"/>
              </w:rPr>
              <w:t>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54" w:right="0"/>
              <w:jc w:val="left"/>
              <w:rPr>
                <w:rFonts w:ascii="Times New Roman" w:hAnsi="Times New Roman" w:cs="Times New Roman" w:eastAsia="Times New Roman" w:hint="default"/>
                <w:sz w:val="21"/>
                <w:szCs w:val="21"/>
              </w:rPr>
            </w:pPr>
            <w:r>
              <w:rPr>
                <w:rFonts w:ascii="Times New Roman"/>
                <w:sz w:val="21"/>
              </w:rPr>
              <w:t>57</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00" w:right="15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．其他权益</w:t>
            </w:r>
            <w:r>
              <w:rPr>
                <w:rFonts w:ascii="宋体" w:hAnsi="宋体" w:cs="宋体" w:eastAsia="宋体" w:hint="default"/>
                <w:spacing w:val="-99"/>
                <w:sz w:val="21"/>
                <w:szCs w:val="21"/>
              </w:rPr>
              <w:t> </w:t>
            </w:r>
            <w:r>
              <w:rPr>
                <w:rFonts w:ascii="宋体" w:hAnsi="宋体" w:cs="宋体" w:eastAsia="宋体" w:hint="default"/>
                <w:sz w:val="21"/>
                <w:szCs w:val="21"/>
              </w:rPr>
              <w:t>工具持有者</w:t>
            </w:r>
            <w:r>
              <w:rPr>
                <w:rFonts w:ascii="宋体" w:hAnsi="宋体" w:cs="宋体" w:eastAsia="宋体" w:hint="default"/>
                <w:spacing w:val="-99"/>
                <w:sz w:val="21"/>
                <w:szCs w:val="21"/>
              </w:rPr>
              <w:t> </w:t>
            </w:r>
            <w:r>
              <w:rPr>
                <w:rFonts w:ascii="宋体" w:hAnsi="宋体" w:cs="宋体" w:eastAsia="宋体" w:hint="default"/>
                <w:sz w:val="21"/>
                <w:szCs w:val="21"/>
              </w:rPr>
              <w:t>投入资本</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00" w:right="15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．股份支付</w:t>
            </w:r>
            <w:r>
              <w:rPr>
                <w:rFonts w:ascii="宋体" w:hAnsi="宋体" w:cs="宋体" w:eastAsia="宋体" w:hint="default"/>
                <w:spacing w:val="-99"/>
                <w:sz w:val="21"/>
                <w:szCs w:val="21"/>
              </w:rPr>
              <w:t> </w:t>
            </w:r>
            <w:r>
              <w:rPr>
                <w:rFonts w:ascii="宋体" w:hAnsi="宋体" w:cs="宋体" w:eastAsia="宋体" w:hint="default"/>
                <w:sz w:val="21"/>
                <w:szCs w:val="21"/>
              </w:rPr>
              <w:t>计入所有者</w:t>
            </w:r>
            <w:r>
              <w:rPr>
                <w:rFonts w:ascii="宋体" w:hAnsi="宋体" w:cs="宋体" w:eastAsia="宋体" w:hint="default"/>
                <w:spacing w:val="-99"/>
                <w:sz w:val="21"/>
                <w:szCs w:val="21"/>
              </w:rPr>
              <w:t> </w:t>
            </w:r>
            <w:r>
              <w:rPr>
                <w:rFonts w:ascii="宋体" w:hAnsi="宋体" w:cs="宋体" w:eastAsia="宋体" w:hint="default"/>
                <w:sz w:val="21"/>
                <w:szCs w:val="21"/>
              </w:rPr>
              <w:t>权益的金额</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133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100" w:right="99"/>
              <w:jc w:val="left"/>
              <w:rPr>
                <w:rFonts w:ascii="宋体" w:hAnsi="宋体" w:cs="宋体" w:eastAsia="宋体" w:hint="default"/>
                <w:sz w:val="21"/>
                <w:szCs w:val="21"/>
              </w:rPr>
            </w:pPr>
            <w:r>
              <w:rPr>
                <w:rFonts w:ascii="宋体" w:hAnsi="宋体" w:cs="宋体" w:eastAsia="宋体" w:hint="default"/>
                <w:spacing w:val="-9"/>
                <w:sz w:val="21"/>
                <w:szCs w:val="21"/>
              </w:rPr>
              <w:t>（三）利润分</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配</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6" w:right="0"/>
              <w:jc w:val="left"/>
              <w:rPr>
                <w:rFonts w:ascii="Times New Roman" w:hAnsi="Times New Roman" w:cs="Times New Roman" w:eastAsia="Times New Roman" w:hint="default"/>
                <w:sz w:val="21"/>
                <w:szCs w:val="21"/>
              </w:rPr>
            </w:pPr>
            <w:r>
              <w:rPr>
                <w:rFonts w:ascii="Times New Roman"/>
                <w:sz w:val="21"/>
              </w:rPr>
              <w:t>4,0</w:t>
            </w:r>
          </w:p>
          <w:p>
            <w:pPr>
              <w:pStyle w:val="TableParagraph"/>
              <w:spacing w:line="240" w:lineRule="auto" w:before="65"/>
              <w:ind w:left="196" w:right="0"/>
              <w:jc w:val="left"/>
              <w:rPr>
                <w:rFonts w:ascii="Times New Roman" w:hAnsi="Times New Roman" w:cs="Times New Roman" w:eastAsia="Times New Roman" w:hint="default"/>
                <w:sz w:val="21"/>
                <w:szCs w:val="21"/>
              </w:rPr>
            </w:pPr>
            <w:r>
              <w:rPr>
                <w:rFonts w:ascii="Times New Roman"/>
                <w:sz w:val="21"/>
              </w:rPr>
              <w:t>35,</w:t>
            </w:r>
          </w:p>
          <w:p>
            <w:pPr>
              <w:pStyle w:val="TableParagraph"/>
              <w:spacing w:line="240" w:lineRule="auto" w:before="70"/>
              <w:ind w:right="3"/>
              <w:jc w:val="center"/>
              <w:rPr>
                <w:rFonts w:ascii="Times New Roman" w:hAnsi="Times New Roman" w:cs="Times New Roman" w:eastAsia="Times New Roman" w:hint="default"/>
                <w:sz w:val="21"/>
                <w:szCs w:val="21"/>
              </w:rPr>
            </w:pPr>
            <w:r>
              <w:rPr>
                <w:rFonts w:ascii="Times New Roman"/>
                <w:spacing w:val="-3"/>
                <w:sz w:val="21"/>
              </w:rPr>
              <w:t>411.</w:t>
            </w:r>
          </w:p>
          <w:p>
            <w:pPr>
              <w:pStyle w:val="TableParagraph"/>
              <w:spacing w:line="240" w:lineRule="auto" w:before="75"/>
              <w:ind w:left="143" w:right="0"/>
              <w:jc w:val="center"/>
              <w:rPr>
                <w:rFonts w:ascii="Times New Roman" w:hAnsi="Times New Roman" w:cs="Times New Roman" w:eastAsia="Times New Roman" w:hint="default"/>
                <w:sz w:val="21"/>
                <w:szCs w:val="21"/>
              </w:rPr>
            </w:pPr>
            <w:r>
              <w:rPr>
                <w:rFonts w:ascii="Times New Roman"/>
                <w:sz w:val="21"/>
              </w:rPr>
              <w:t>75</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2" w:right="0"/>
              <w:jc w:val="center"/>
              <w:rPr>
                <w:rFonts w:ascii="Times New Roman" w:hAnsi="Times New Roman" w:cs="Times New Roman" w:eastAsia="Times New Roman" w:hint="default"/>
                <w:sz w:val="21"/>
                <w:szCs w:val="21"/>
              </w:rPr>
            </w:pPr>
            <w:r>
              <w:rPr>
                <w:rFonts w:ascii="Times New Roman"/>
                <w:sz w:val="21"/>
              </w:rPr>
              <w:t>-39,</w:t>
            </w:r>
          </w:p>
          <w:p>
            <w:pPr>
              <w:pStyle w:val="TableParagraph"/>
              <w:spacing w:line="240" w:lineRule="auto" w:before="65"/>
              <w:ind w:left="9" w:right="0"/>
              <w:jc w:val="center"/>
              <w:rPr>
                <w:rFonts w:ascii="Times New Roman" w:hAnsi="Times New Roman" w:cs="Times New Roman" w:eastAsia="Times New Roman" w:hint="default"/>
                <w:sz w:val="21"/>
                <w:szCs w:val="21"/>
              </w:rPr>
            </w:pPr>
            <w:r>
              <w:rPr>
                <w:rFonts w:ascii="Times New Roman"/>
                <w:sz w:val="21"/>
              </w:rPr>
              <w:t>230,</w:t>
            </w:r>
          </w:p>
          <w:p>
            <w:pPr>
              <w:pStyle w:val="TableParagraph"/>
              <w:spacing w:line="240" w:lineRule="auto" w:before="70"/>
              <w:ind w:left="9" w:right="0"/>
              <w:jc w:val="center"/>
              <w:rPr>
                <w:rFonts w:ascii="Times New Roman" w:hAnsi="Times New Roman" w:cs="Times New Roman" w:eastAsia="Times New Roman" w:hint="default"/>
                <w:sz w:val="21"/>
                <w:szCs w:val="21"/>
              </w:rPr>
            </w:pPr>
            <w:r>
              <w:rPr>
                <w:rFonts w:ascii="Times New Roman"/>
                <w:sz w:val="21"/>
              </w:rPr>
              <w:t>433.</w:t>
            </w:r>
          </w:p>
          <w:p>
            <w:pPr>
              <w:pStyle w:val="TableParagraph"/>
              <w:spacing w:line="240" w:lineRule="auto" w:before="75"/>
              <w:ind w:left="167" w:right="0"/>
              <w:jc w:val="center"/>
              <w:rPr>
                <w:rFonts w:ascii="Times New Roman" w:hAnsi="Times New Roman" w:cs="Times New Roman" w:eastAsia="Times New Roman" w:hint="default"/>
                <w:sz w:val="21"/>
                <w:szCs w:val="21"/>
              </w:rPr>
            </w:pPr>
            <w:r>
              <w:rPr>
                <w:rFonts w:ascii="Times New Roman"/>
                <w:sz w:val="21"/>
              </w:rPr>
              <w:t>31</w:t>
            </w: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-35,1</w:t>
            </w:r>
          </w:p>
          <w:p>
            <w:pPr>
              <w:pStyle w:val="TableParagraph"/>
              <w:spacing w:line="240" w:lineRule="auto" w:before="70"/>
              <w:ind w:left="47" w:right="0"/>
              <w:jc w:val="center"/>
              <w:rPr>
                <w:rFonts w:ascii="Times New Roman" w:hAnsi="Times New Roman" w:cs="Times New Roman" w:eastAsia="Times New Roman" w:hint="default"/>
                <w:sz w:val="21"/>
                <w:szCs w:val="21"/>
              </w:rPr>
            </w:pPr>
            <w:r>
              <w:rPr>
                <w:rFonts w:ascii="Times New Roman"/>
                <w:sz w:val="21"/>
              </w:rPr>
              <w:t>95,02</w:t>
            </w:r>
          </w:p>
          <w:p>
            <w:pPr>
              <w:pStyle w:val="TableParagraph"/>
              <w:spacing w:line="240" w:lineRule="auto" w:before="75"/>
              <w:ind w:left="143" w:right="0"/>
              <w:jc w:val="center"/>
              <w:rPr>
                <w:rFonts w:ascii="Times New Roman" w:hAnsi="Times New Roman" w:cs="Times New Roman" w:eastAsia="Times New Roman" w:hint="default"/>
                <w:sz w:val="21"/>
                <w:szCs w:val="21"/>
              </w:rPr>
            </w:pPr>
            <w:r>
              <w:rPr>
                <w:rFonts w:ascii="Times New Roman"/>
                <w:sz w:val="21"/>
              </w:rPr>
              <w:t>1.56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-10,1</w:t>
            </w:r>
          </w:p>
          <w:p>
            <w:pPr>
              <w:pStyle w:val="TableParagraph"/>
              <w:spacing w:line="240" w:lineRule="auto" w:before="70"/>
              <w:ind w:left="33" w:right="0"/>
              <w:jc w:val="center"/>
              <w:rPr>
                <w:rFonts w:ascii="Times New Roman" w:hAnsi="Times New Roman" w:cs="Times New Roman" w:eastAsia="Times New Roman" w:hint="default"/>
                <w:sz w:val="21"/>
                <w:szCs w:val="21"/>
              </w:rPr>
            </w:pPr>
            <w:r>
              <w:rPr>
                <w:rFonts w:ascii="Times New Roman"/>
                <w:sz w:val="21"/>
              </w:rPr>
              <w:t>60,06</w:t>
            </w:r>
          </w:p>
          <w:p>
            <w:pPr>
              <w:pStyle w:val="TableParagraph"/>
              <w:spacing w:line="240" w:lineRule="auto" w:before="75"/>
              <w:ind w:left="129" w:right="0"/>
              <w:jc w:val="center"/>
              <w:rPr>
                <w:rFonts w:ascii="Times New Roman" w:hAnsi="Times New Roman" w:cs="Times New Roman" w:eastAsia="Times New Roman" w:hint="default"/>
                <w:sz w:val="21"/>
                <w:szCs w:val="21"/>
              </w:rPr>
            </w:pPr>
            <w:r>
              <w:rPr>
                <w:rFonts w:ascii="Times New Roman"/>
                <w:sz w:val="21"/>
              </w:rPr>
              <w:t>2.24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-45,35</w:t>
            </w:r>
          </w:p>
          <w:p>
            <w:pPr>
              <w:pStyle w:val="TableParagraph"/>
              <w:spacing w:line="240" w:lineRule="auto" w:before="70"/>
              <w:ind w:left="187" w:right="0"/>
              <w:jc w:val="left"/>
              <w:rPr>
                <w:rFonts w:ascii="Times New Roman" w:hAnsi="Times New Roman" w:cs="Times New Roman" w:eastAsia="Times New Roman" w:hint="default"/>
                <w:sz w:val="21"/>
                <w:szCs w:val="21"/>
              </w:rPr>
            </w:pPr>
            <w:r>
              <w:rPr>
                <w:rFonts w:ascii="Times New Roman"/>
                <w:sz w:val="21"/>
              </w:rPr>
              <w:t>5,083.</w:t>
            </w:r>
          </w:p>
          <w:p>
            <w:pPr>
              <w:pStyle w:val="TableParagraph"/>
              <w:spacing w:line="240" w:lineRule="auto" w:before="75"/>
              <w:ind w:left="499" w:right="0"/>
              <w:jc w:val="left"/>
              <w:rPr>
                <w:rFonts w:ascii="Times New Roman" w:hAnsi="Times New Roman" w:cs="Times New Roman" w:eastAsia="Times New Roman" w:hint="default"/>
                <w:sz w:val="21"/>
                <w:szCs w:val="21"/>
              </w:rPr>
            </w:pPr>
            <w:r>
              <w:rPr>
                <w:rFonts w:ascii="Times New Roman"/>
                <w:sz w:val="21"/>
              </w:rPr>
              <w:t>80</w:t>
            </w:r>
          </w:p>
        </w:tc>
      </w:tr>
      <w:tr>
        <w:trPr>
          <w:trHeight w:val="1340"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61" w:lineRule="auto"/>
              <w:ind w:left="100" w:right="15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r>
              <w:rPr>
                <w:rFonts w:ascii="宋体" w:hAnsi="宋体" w:cs="宋体" w:eastAsia="宋体" w:hint="default"/>
                <w:spacing w:val="-99"/>
                <w:sz w:val="21"/>
                <w:szCs w:val="21"/>
              </w:rPr>
              <w:t> </w:t>
            </w:r>
            <w:r>
              <w:rPr>
                <w:rFonts w:ascii="宋体" w:hAnsi="宋体" w:cs="宋体" w:eastAsia="宋体" w:hint="default"/>
                <w:sz w:val="21"/>
                <w:szCs w:val="21"/>
              </w:rPr>
              <w:t>公积</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6" w:right="0"/>
              <w:jc w:val="left"/>
              <w:rPr>
                <w:rFonts w:ascii="Times New Roman" w:hAnsi="Times New Roman" w:cs="Times New Roman" w:eastAsia="Times New Roman" w:hint="default"/>
                <w:sz w:val="21"/>
                <w:szCs w:val="21"/>
              </w:rPr>
            </w:pPr>
            <w:r>
              <w:rPr>
                <w:rFonts w:ascii="Times New Roman"/>
                <w:sz w:val="21"/>
              </w:rPr>
              <w:t>4,0</w:t>
            </w:r>
          </w:p>
          <w:p>
            <w:pPr>
              <w:pStyle w:val="TableParagraph"/>
              <w:spacing w:line="240" w:lineRule="auto" w:before="71"/>
              <w:ind w:left="196" w:right="0"/>
              <w:jc w:val="left"/>
              <w:rPr>
                <w:rFonts w:ascii="Times New Roman" w:hAnsi="Times New Roman" w:cs="Times New Roman" w:eastAsia="Times New Roman" w:hint="default"/>
                <w:sz w:val="21"/>
                <w:szCs w:val="21"/>
              </w:rPr>
            </w:pPr>
            <w:r>
              <w:rPr>
                <w:rFonts w:ascii="Times New Roman"/>
                <w:sz w:val="21"/>
              </w:rPr>
              <w:t>35,</w:t>
            </w:r>
          </w:p>
          <w:p>
            <w:pPr>
              <w:pStyle w:val="TableParagraph"/>
              <w:spacing w:line="240" w:lineRule="auto" w:before="70"/>
              <w:ind w:right="3"/>
              <w:jc w:val="center"/>
              <w:rPr>
                <w:rFonts w:ascii="Times New Roman" w:hAnsi="Times New Roman" w:cs="Times New Roman" w:eastAsia="Times New Roman" w:hint="default"/>
                <w:sz w:val="21"/>
                <w:szCs w:val="21"/>
              </w:rPr>
            </w:pPr>
            <w:r>
              <w:rPr>
                <w:rFonts w:ascii="Times New Roman"/>
                <w:spacing w:val="-3"/>
                <w:sz w:val="21"/>
              </w:rPr>
              <w:t>411.</w:t>
            </w:r>
          </w:p>
          <w:p>
            <w:pPr>
              <w:pStyle w:val="TableParagraph"/>
              <w:spacing w:line="240" w:lineRule="auto" w:before="75"/>
              <w:ind w:left="143" w:right="0"/>
              <w:jc w:val="center"/>
              <w:rPr>
                <w:rFonts w:ascii="Times New Roman" w:hAnsi="Times New Roman" w:cs="Times New Roman" w:eastAsia="Times New Roman" w:hint="default"/>
                <w:sz w:val="21"/>
                <w:szCs w:val="21"/>
              </w:rPr>
            </w:pPr>
            <w:r>
              <w:rPr>
                <w:rFonts w:ascii="Times New Roman"/>
                <w:sz w:val="21"/>
              </w:rPr>
              <w:t>75</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8" w:right="0"/>
              <w:jc w:val="left"/>
              <w:rPr>
                <w:rFonts w:ascii="Times New Roman" w:hAnsi="Times New Roman" w:cs="Times New Roman" w:eastAsia="Times New Roman" w:hint="default"/>
                <w:sz w:val="21"/>
                <w:szCs w:val="21"/>
              </w:rPr>
            </w:pPr>
            <w:r>
              <w:rPr>
                <w:rFonts w:ascii="Times New Roman"/>
                <w:sz w:val="21"/>
              </w:rPr>
              <w:t>-4,0</w:t>
            </w:r>
          </w:p>
          <w:p>
            <w:pPr>
              <w:pStyle w:val="TableParagraph"/>
              <w:spacing w:line="240" w:lineRule="auto" w:before="71"/>
              <w:ind w:left="110" w:right="0"/>
              <w:jc w:val="left"/>
              <w:rPr>
                <w:rFonts w:ascii="Times New Roman" w:hAnsi="Times New Roman" w:cs="Times New Roman" w:eastAsia="Times New Roman" w:hint="default"/>
                <w:sz w:val="21"/>
                <w:szCs w:val="21"/>
              </w:rPr>
            </w:pPr>
            <w:r>
              <w:rPr>
                <w:rFonts w:ascii="Times New Roman"/>
                <w:sz w:val="21"/>
              </w:rPr>
              <w:t>35,4</w:t>
            </w:r>
          </w:p>
          <w:p>
            <w:pPr>
              <w:pStyle w:val="TableParagraph"/>
              <w:spacing w:line="240" w:lineRule="auto" w:before="70"/>
              <w:ind w:left="120" w:right="0"/>
              <w:jc w:val="left"/>
              <w:rPr>
                <w:rFonts w:ascii="Times New Roman" w:hAnsi="Times New Roman" w:cs="Times New Roman" w:eastAsia="Times New Roman" w:hint="default"/>
                <w:sz w:val="21"/>
                <w:szCs w:val="21"/>
              </w:rPr>
            </w:pPr>
            <w:r>
              <w:rPr>
                <w:rFonts w:ascii="Times New Roman"/>
                <w:spacing w:val="-3"/>
                <w:sz w:val="21"/>
              </w:rPr>
              <w:t>11.7</w:t>
            </w:r>
          </w:p>
          <w:p>
            <w:pPr>
              <w:pStyle w:val="TableParagraph"/>
              <w:spacing w:line="240" w:lineRule="auto" w:before="75"/>
              <w:ind w:left="374" w:right="0"/>
              <w:jc w:val="left"/>
              <w:rPr>
                <w:rFonts w:ascii="Times New Roman" w:hAnsi="Times New Roman" w:cs="Times New Roman" w:eastAsia="Times New Roman" w:hint="default"/>
                <w:sz w:val="21"/>
                <w:szCs w:val="21"/>
              </w:rPr>
            </w:pPr>
            <w:r>
              <w:rPr>
                <w:rFonts w:ascii="Times New Roman"/>
                <w:w w:val="100"/>
                <w:sz w:val="21"/>
              </w:rPr>
              <w:t>5</w:t>
            </w: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0" w:right="15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w:t>
            </w:r>
            <w:r>
              <w:rPr>
                <w:rFonts w:ascii="宋体" w:hAnsi="宋体" w:cs="宋体" w:eastAsia="宋体" w:hint="default"/>
                <w:spacing w:val="-99"/>
                <w:sz w:val="21"/>
                <w:szCs w:val="21"/>
              </w:rPr>
              <w:t> </w:t>
            </w:r>
            <w:r>
              <w:rPr>
                <w:rFonts w:ascii="宋体" w:hAnsi="宋体" w:cs="宋体" w:eastAsia="宋体" w:hint="default"/>
                <w:sz w:val="21"/>
                <w:szCs w:val="21"/>
              </w:rPr>
              <w:t>风险准备</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6" w:lineRule="auto" w:before="21"/>
              <w:ind w:left="100" w:right="99"/>
              <w:jc w:val="left"/>
              <w:rPr>
                <w:rFonts w:ascii="宋体" w:hAnsi="宋体" w:cs="宋体" w:eastAsia="宋体" w:hint="default"/>
                <w:sz w:val="21"/>
                <w:szCs w:val="21"/>
              </w:rPr>
            </w:pPr>
            <w:r>
              <w:rPr>
                <w:rFonts w:ascii="宋体" w:hAnsi="宋体" w:cs="宋体" w:eastAsia="宋体" w:hint="default"/>
                <w:spacing w:val="-9"/>
                <w:sz w:val="21"/>
                <w:szCs w:val="21"/>
              </w:rPr>
              <w:t>（或股东）的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分配</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2" w:right="0"/>
              <w:jc w:val="center"/>
              <w:rPr>
                <w:rFonts w:ascii="Times New Roman" w:hAnsi="Times New Roman" w:cs="Times New Roman" w:eastAsia="Times New Roman" w:hint="default"/>
                <w:sz w:val="21"/>
                <w:szCs w:val="21"/>
              </w:rPr>
            </w:pPr>
            <w:r>
              <w:rPr>
                <w:rFonts w:ascii="Times New Roman"/>
                <w:sz w:val="21"/>
              </w:rPr>
              <w:t>-35,</w:t>
            </w:r>
          </w:p>
          <w:p>
            <w:pPr>
              <w:pStyle w:val="TableParagraph"/>
              <w:spacing w:line="240" w:lineRule="auto" w:before="65"/>
              <w:ind w:left="9" w:right="0"/>
              <w:jc w:val="center"/>
              <w:rPr>
                <w:rFonts w:ascii="Times New Roman" w:hAnsi="Times New Roman" w:cs="Times New Roman" w:eastAsia="Times New Roman" w:hint="default"/>
                <w:sz w:val="21"/>
                <w:szCs w:val="21"/>
              </w:rPr>
            </w:pPr>
            <w:r>
              <w:rPr>
                <w:rFonts w:ascii="Times New Roman"/>
                <w:sz w:val="21"/>
              </w:rPr>
              <w:t>195,</w:t>
            </w:r>
          </w:p>
          <w:p>
            <w:pPr>
              <w:pStyle w:val="TableParagraph"/>
              <w:spacing w:line="240" w:lineRule="auto" w:before="70"/>
              <w:ind w:left="9" w:right="0"/>
              <w:jc w:val="center"/>
              <w:rPr>
                <w:rFonts w:ascii="Times New Roman" w:hAnsi="Times New Roman" w:cs="Times New Roman" w:eastAsia="Times New Roman" w:hint="default"/>
                <w:sz w:val="21"/>
                <w:szCs w:val="21"/>
              </w:rPr>
            </w:pPr>
            <w:r>
              <w:rPr>
                <w:rFonts w:ascii="Times New Roman"/>
                <w:sz w:val="21"/>
              </w:rPr>
              <w:t>021.</w:t>
            </w:r>
          </w:p>
          <w:p>
            <w:pPr>
              <w:pStyle w:val="TableParagraph"/>
              <w:spacing w:line="240" w:lineRule="auto" w:before="75"/>
              <w:ind w:left="167" w:right="0"/>
              <w:jc w:val="center"/>
              <w:rPr>
                <w:rFonts w:ascii="Times New Roman" w:hAnsi="Times New Roman" w:cs="Times New Roman" w:eastAsia="Times New Roman" w:hint="default"/>
                <w:sz w:val="21"/>
                <w:szCs w:val="21"/>
              </w:rPr>
            </w:pPr>
            <w:r>
              <w:rPr>
                <w:rFonts w:ascii="Times New Roman"/>
                <w:sz w:val="21"/>
              </w:rPr>
              <w:t>56</w:t>
            </w: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-35,1</w:t>
            </w:r>
          </w:p>
          <w:p>
            <w:pPr>
              <w:pStyle w:val="TableParagraph"/>
              <w:spacing w:line="240" w:lineRule="auto" w:before="70"/>
              <w:ind w:left="47" w:right="0"/>
              <w:jc w:val="center"/>
              <w:rPr>
                <w:rFonts w:ascii="Times New Roman" w:hAnsi="Times New Roman" w:cs="Times New Roman" w:eastAsia="Times New Roman" w:hint="default"/>
                <w:sz w:val="21"/>
                <w:szCs w:val="21"/>
              </w:rPr>
            </w:pPr>
            <w:r>
              <w:rPr>
                <w:rFonts w:ascii="Times New Roman"/>
                <w:sz w:val="21"/>
              </w:rPr>
              <w:t>95,02</w:t>
            </w:r>
          </w:p>
          <w:p>
            <w:pPr>
              <w:pStyle w:val="TableParagraph"/>
              <w:spacing w:line="240" w:lineRule="auto" w:before="75"/>
              <w:ind w:left="143" w:right="0"/>
              <w:jc w:val="center"/>
              <w:rPr>
                <w:rFonts w:ascii="Times New Roman" w:hAnsi="Times New Roman" w:cs="Times New Roman" w:eastAsia="Times New Roman" w:hint="default"/>
                <w:sz w:val="21"/>
                <w:szCs w:val="21"/>
              </w:rPr>
            </w:pPr>
            <w:r>
              <w:rPr>
                <w:rFonts w:ascii="Times New Roman"/>
                <w:sz w:val="21"/>
              </w:rPr>
              <w:t>1.56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-10,1</w:t>
            </w:r>
          </w:p>
          <w:p>
            <w:pPr>
              <w:pStyle w:val="TableParagraph"/>
              <w:spacing w:line="240" w:lineRule="auto" w:before="70"/>
              <w:ind w:left="33" w:right="0"/>
              <w:jc w:val="center"/>
              <w:rPr>
                <w:rFonts w:ascii="Times New Roman" w:hAnsi="Times New Roman" w:cs="Times New Roman" w:eastAsia="Times New Roman" w:hint="default"/>
                <w:sz w:val="21"/>
                <w:szCs w:val="21"/>
              </w:rPr>
            </w:pPr>
            <w:r>
              <w:rPr>
                <w:rFonts w:ascii="Times New Roman"/>
                <w:sz w:val="21"/>
              </w:rPr>
              <w:t>60,06</w:t>
            </w:r>
          </w:p>
          <w:p>
            <w:pPr>
              <w:pStyle w:val="TableParagraph"/>
              <w:spacing w:line="240" w:lineRule="auto" w:before="75"/>
              <w:ind w:left="129" w:right="0"/>
              <w:jc w:val="center"/>
              <w:rPr>
                <w:rFonts w:ascii="Times New Roman" w:hAnsi="Times New Roman" w:cs="Times New Roman" w:eastAsia="Times New Roman" w:hint="default"/>
                <w:sz w:val="21"/>
                <w:szCs w:val="21"/>
              </w:rPr>
            </w:pPr>
            <w:r>
              <w:rPr>
                <w:rFonts w:ascii="Times New Roman"/>
                <w:sz w:val="21"/>
              </w:rPr>
              <w:t>2.24</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-45,35</w:t>
            </w:r>
          </w:p>
          <w:p>
            <w:pPr>
              <w:pStyle w:val="TableParagraph"/>
              <w:spacing w:line="240" w:lineRule="auto" w:before="70"/>
              <w:ind w:left="187" w:right="0"/>
              <w:jc w:val="left"/>
              <w:rPr>
                <w:rFonts w:ascii="Times New Roman" w:hAnsi="Times New Roman" w:cs="Times New Roman" w:eastAsia="Times New Roman" w:hint="default"/>
                <w:sz w:val="21"/>
                <w:szCs w:val="21"/>
              </w:rPr>
            </w:pPr>
            <w:r>
              <w:rPr>
                <w:rFonts w:ascii="Times New Roman"/>
                <w:sz w:val="21"/>
              </w:rPr>
              <w:t>5,083.</w:t>
            </w:r>
          </w:p>
          <w:p>
            <w:pPr>
              <w:pStyle w:val="TableParagraph"/>
              <w:spacing w:line="240" w:lineRule="auto" w:before="75"/>
              <w:ind w:left="499" w:right="0"/>
              <w:jc w:val="left"/>
              <w:rPr>
                <w:rFonts w:ascii="Times New Roman" w:hAnsi="Times New Roman" w:cs="Times New Roman" w:eastAsia="Times New Roman" w:hint="default"/>
                <w:sz w:val="21"/>
                <w:szCs w:val="21"/>
              </w:rPr>
            </w:pPr>
            <w:r>
              <w:rPr>
                <w:rFonts w:ascii="Times New Roman"/>
                <w:sz w:val="21"/>
              </w:rPr>
              <w:t>80</w:t>
            </w:r>
          </w:p>
        </w:tc>
      </w:tr>
      <w:tr>
        <w:trPr>
          <w:trHeight w:val="399"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0" w:right="99"/>
              <w:jc w:val="left"/>
              <w:rPr>
                <w:rFonts w:ascii="宋体" w:hAnsi="宋体" w:cs="宋体" w:eastAsia="宋体" w:hint="default"/>
                <w:sz w:val="21"/>
                <w:szCs w:val="21"/>
              </w:rPr>
            </w:pPr>
            <w:r>
              <w:rPr>
                <w:rFonts w:ascii="宋体" w:hAnsi="宋体" w:cs="宋体" w:eastAsia="宋体" w:hint="default"/>
                <w:spacing w:val="-9"/>
                <w:sz w:val="21"/>
                <w:szCs w:val="21"/>
              </w:rPr>
              <w:t>（四）所有者</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权益内部结</w:t>
            </w:r>
            <w:r>
              <w:rPr>
                <w:rFonts w:ascii="宋体" w:hAnsi="宋体" w:cs="宋体" w:eastAsia="宋体" w:hint="default"/>
                <w:spacing w:val="-99"/>
                <w:sz w:val="21"/>
                <w:szCs w:val="21"/>
              </w:rPr>
              <w:t> </w:t>
            </w:r>
            <w:r>
              <w:rPr>
                <w:rFonts w:ascii="宋体" w:hAnsi="宋体" w:cs="宋体" w:eastAsia="宋体" w:hint="default"/>
                <w:sz w:val="21"/>
                <w:szCs w:val="21"/>
              </w:rPr>
              <w:t>转</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00" w:right="99"/>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r>
              <w:rPr>
                <w:rFonts w:ascii="宋体" w:hAnsi="宋体" w:cs="宋体" w:eastAsia="宋体" w:hint="default"/>
                <w:spacing w:val="-99"/>
                <w:sz w:val="21"/>
                <w:szCs w:val="21"/>
              </w:rPr>
              <w:t> </w:t>
            </w:r>
            <w:r>
              <w:rPr>
                <w:rFonts w:ascii="宋体" w:hAnsi="宋体" w:cs="宋体" w:eastAsia="宋体" w:hint="default"/>
                <w:spacing w:val="-9"/>
                <w:sz w:val="21"/>
                <w:szCs w:val="21"/>
              </w:rPr>
              <w:t>转增资本（或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股本）</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100" w:right="99"/>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r>
              <w:rPr>
                <w:rFonts w:ascii="宋体" w:hAnsi="宋体" w:cs="宋体" w:eastAsia="宋体" w:hint="default"/>
                <w:spacing w:val="-99"/>
                <w:sz w:val="21"/>
                <w:szCs w:val="21"/>
              </w:rPr>
              <w:t> </w:t>
            </w:r>
            <w:r>
              <w:rPr>
                <w:rFonts w:ascii="宋体" w:hAnsi="宋体" w:cs="宋体" w:eastAsia="宋体" w:hint="default"/>
                <w:spacing w:val="-9"/>
                <w:sz w:val="21"/>
                <w:szCs w:val="21"/>
              </w:rPr>
              <w:t>转增资本（或</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股本）</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0" w:right="15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r>
              <w:rPr>
                <w:rFonts w:ascii="宋体" w:hAnsi="宋体" w:cs="宋体" w:eastAsia="宋体" w:hint="default"/>
                <w:spacing w:val="-99"/>
                <w:sz w:val="21"/>
                <w:szCs w:val="21"/>
              </w:rPr>
              <w:t> </w:t>
            </w:r>
            <w:r>
              <w:rPr>
                <w:rFonts w:ascii="宋体" w:hAnsi="宋体" w:cs="宋体" w:eastAsia="宋体" w:hint="default"/>
                <w:sz w:val="21"/>
                <w:szCs w:val="21"/>
              </w:rPr>
              <w:t>弥补亏损</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00" w:right="152"/>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．设定受益</w:t>
            </w:r>
            <w:r>
              <w:rPr>
                <w:rFonts w:ascii="宋体" w:hAnsi="宋体" w:cs="宋体" w:eastAsia="宋体" w:hint="default"/>
                <w:spacing w:val="-99"/>
                <w:sz w:val="21"/>
                <w:szCs w:val="21"/>
              </w:rPr>
              <w:t> </w:t>
            </w:r>
            <w:r>
              <w:rPr>
                <w:rFonts w:ascii="宋体" w:hAnsi="宋体" w:cs="宋体" w:eastAsia="宋体" w:hint="default"/>
                <w:sz w:val="21"/>
                <w:szCs w:val="21"/>
              </w:rPr>
              <w:t>计划变动额</w:t>
            </w:r>
            <w:r>
              <w:rPr>
                <w:rFonts w:ascii="宋体" w:hAnsi="宋体" w:cs="宋体" w:eastAsia="宋体" w:hint="default"/>
                <w:spacing w:val="-99"/>
                <w:sz w:val="21"/>
                <w:szCs w:val="21"/>
              </w:rPr>
              <w:t> </w:t>
            </w:r>
            <w:r>
              <w:rPr>
                <w:rFonts w:ascii="宋体" w:hAnsi="宋体" w:cs="宋体" w:eastAsia="宋体" w:hint="default"/>
                <w:sz w:val="21"/>
                <w:szCs w:val="21"/>
              </w:rPr>
              <w:t>结转留存收</w:t>
            </w:r>
            <w:r>
              <w:rPr>
                <w:rFonts w:ascii="宋体" w:hAnsi="宋体" w:cs="宋体" w:eastAsia="宋体" w:hint="default"/>
                <w:spacing w:val="-99"/>
                <w:sz w:val="21"/>
                <w:szCs w:val="21"/>
              </w:rPr>
              <w:t> </w:t>
            </w:r>
            <w:r>
              <w:rPr>
                <w:rFonts w:ascii="宋体" w:hAnsi="宋体" w:cs="宋体" w:eastAsia="宋体" w:hint="default"/>
                <w:sz w:val="21"/>
                <w:szCs w:val="21"/>
              </w:rPr>
              <w:t>益</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67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0" w:right="152"/>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．其他综合</w:t>
            </w:r>
            <w:r>
              <w:rPr>
                <w:rFonts w:ascii="宋体" w:hAnsi="宋体" w:cs="宋体" w:eastAsia="宋体" w:hint="default"/>
                <w:spacing w:val="-99"/>
                <w:sz w:val="21"/>
                <w:szCs w:val="21"/>
              </w:rPr>
              <w:t> </w:t>
            </w:r>
            <w:r>
              <w:rPr>
                <w:rFonts w:ascii="宋体" w:hAnsi="宋体" w:cs="宋体" w:eastAsia="宋体" w:hint="default"/>
                <w:sz w:val="21"/>
                <w:szCs w:val="21"/>
              </w:rPr>
              <w:t>收益结转留</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68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17" w:type="dxa"/>
        <w:tblLayout w:type="fixed"/>
        <w:tblCellMar>
          <w:top w:w="0" w:type="dxa"/>
          <w:left w:w="0" w:type="dxa"/>
          <w:bottom w:w="0" w:type="dxa"/>
          <w:right w:w="0" w:type="dxa"/>
        </w:tblCellMar>
        <w:tblLook w:val="01E0"/>
      </w:tblPr>
      <w:tblGrid>
        <w:gridCol w:w="1426"/>
        <w:gridCol w:w="610"/>
        <w:gridCol w:w="447"/>
        <w:gridCol w:w="451"/>
        <w:gridCol w:w="490"/>
        <w:gridCol w:w="577"/>
        <w:gridCol w:w="576"/>
        <w:gridCol w:w="576"/>
        <w:gridCol w:w="581"/>
        <w:gridCol w:w="576"/>
        <w:gridCol w:w="576"/>
        <w:gridCol w:w="591"/>
        <w:gridCol w:w="566"/>
        <w:gridCol w:w="735"/>
        <w:gridCol w:w="720"/>
        <w:gridCol w:w="826"/>
      </w:tblGrid>
      <w:tr>
        <w:trPr>
          <w:trHeight w:val="360"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存收益</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28"/>
              <w:ind w:left="100" w:right="99"/>
              <w:jc w:val="left"/>
              <w:rPr>
                <w:rFonts w:ascii="宋体" w:hAnsi="宋体" w:cs="宋体" w:eastAsia="宋体" w:hint="default"/>
                <w:sz w:val="21"/>
                <w:szCs w:val="21"/>
              </w:rPr>
            </w:pPr>
            <w:r>
              <w:rPr>
                <w:rFonts w:ascii="宋体" w:hAnsi="宋体" w:cs="宋体" w:eastAsia="宋体" w:hint="default"/>
                <w:spacing w:val="-9"/>
                <w:sz w:val="21"/>
                <w:szCs w:val="21"/>
              </w:rPr>
              <w:t>（五）专项储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备</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1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76" w:lineRule="auto"/>
              <w:ind w:left="100" w:right="99"/>
              <w:jc w:val="left"/>
              <w:rPr>
                <w:rFonts w:ascii="宋体" w:hAnsi="宋体" w:cs="宋体" w:eastAsia="宋体" w:hint="default"/>
                <w:sz w:val="21"/>
                <w:szCs w:val="21"/>
              </w:rPr>
            </w:pPr>
            <w:r>
              <w:rPr>
                <w:rFonts w:ascii="宋体" w:hAnsi="宋体" w:cs="宋体" w:eastAsia="宋体" w:hint="default"/>
                <w:spacing w:val="-9"/>
                <w:sz w:val="21"/>
                <w:szCs w:val="21"/>
              </w:rPr>
              <w:t>四、本期期末</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余额</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9" w:right="0"/>
              <w:jc w:val="center"/>
              <w:rPr>
                <w:rFonts w:ascii="Times New Roman" w:hAnsi="Times New Roman" w:cs="Times New Roman" w:eastAsia="Times New Roman" w:hint="default"/>
                <w:sz w:val="21"/>
                <w:szCs w:val="21"/>
              </w:rPr>
            </w:pPr>
            <w:r>
              <w:rPr>
                <w:rFonts w:ascii="Times New Roman"/>
                <w:sz w:val="21"/>
              </w:rPr>
              <w:t>691,</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505,</w:t>
            </w:r>
          </w:p>
          <w:p>
            <w:pPr>
              <w:pStyle w:val="TableParagraph"/>
              <w:spacing w:line="240" w:lineRule="auto" w:before="70"/>
              <w:ind w:left="19" w:right="0"/>
              <w:jc w:val="center"/>
              <w:rPr>
                <w:rFonts w:ascii="Times New Roman" w:hAnsi="Times New Roman" w:cs="Times New Roman" w:eastAsia="Times New Roman" w:hint="default"/>
                <w:sz w:val="21"/>
                <w:szCs w:val="21"/>
              </w:rPr>
            </w:pPr>
            <w:r>
              <w:rPr>
                <w:rFonts w:ascii="Times New Roman"/>
                <w:sz w:val="21"/>
              </w:rPr>
              <w:t>915.</w:t>
            </w:r>
          </w:p>
          <w:p>
            <w:pPr>
              <w:pStyle w:val="TableParagraph"/>
              <w:spacing w:line="240" w:lineRule="auto" w:before="75"/>
              <w:ind w:left="177" w:right="0"/>
              <w:jc w:val="center"/>
              <w:rPr>
                <w:rFonts w:ascii="Times New Roman" w:hAnsi="Times New Roman" w:cs="Times New Roman" w:eastAsia="Times New Roman" w:hint="default"/>
                <w:sz w:val="21"/>
                <w:szCs w:val="21"/>
              </w:rPr>
            </w:pPr>
            <w:r>
              <w:rPr>
                <w:rFonts w:ascii="Times New Roman"/>
                <w:sz w:val="21"/>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1" w:right="0"/>
              <w:jc w:val="center"/>
              <w:rPr>
                <w:rFonts w:ascii="Times New Roman" w:hAnsi="Times New Roman" w:cs="Times New Roman" w:eastAsia="Times New Roman" w:hint="default"/>
                <w:sz w:val="21"/>
                <w:szCs w:val="21"/>
              </w:rPr>
            </w:pPr>
            <w:r>
              <w:rPr>
                <w:rFonts w:ascii="Times New Roman"/>
                <w:sz w:val="21"/>
              </w:rPr>
              <w:t>2,8</w:t>
            </w:r>
          </w:p>
          <w:p>
            <w:pPr>
              <w:pStyle w:val="TableParagraph"/>
              <w:spacing w:line="240" w:lineRule="auto" w:before="70"/>
              <w:ind w:left="101" w:right="0"/>
              <w:jc w:val="center"/>
              <w:rPr>
                <w:rFonts w:ascii="Times New Roman" w:hAnsi="Times New Roman" w:cs="Times New Roman" w:eastAsia="Times New Roman" w:hint="default"/>
                <w:sz w:val="21"/>
                <w:szCs w:val="21"/>
              </w:rPr>
            </w:pPr>
            <w:r>
              <w:rPr>
                <w:rFonts w:ascii="Times New Roman"/>
                <w:sz w:val="21"/>
              </w:rPr>
              <w:t>25,</w:t>
            </w:r>
          </w:p>
          <w:p>
            <w:pPr>
              <w:pStyle w:val="TableParagraph"/>
              <w:spacing w:line="240" w:lineRule="auto" w:before="70"/>
              <w:ind w:left="148" w:right="0"/>
              <w:jc w:val="left"/>
              <w:rPr>
                <w:rFonts w:ascii="Times New Roman" w:hAnsi="Times New Roman" w:cs="Times New Roman" w:eastAsia="Times New Roman" w:hint="default"/>
                <w:sz w:val="21"/>
                <w:szCs w:val="21"/>
              </w:rPr>
            </w:pPr>
            <w:r>
              <w:rPr>
                <w:rFonts w:ascii="Times New Roman"/>
                <w:sz w:val="21"/>
              </w:rPr>
              <w:t>137</w:t>
            </w:r>
          </w:p>
          <w:p>
            <w:pPr>
              <w:pStyle w:val="TableParagraph"/>
              <w:spacing w:line="240" w:lineRule="auto" w:before="70"/>
              <w:ind w:left="101" w:right="0"/>
              <w:jc w:val="center"/>
              <w:rPr>
                <w:rFonts w:ascii="Times New Roman" w:hAnsi="Times New Roman" w:cs="Times New Roman" w:eastAsia="Times New Roman" w:hint="default"/>
                <w:sz w:val="21"/>
                <w:szCs w:val="21"/>
              </w:rPr>
            </w:pPr>
            <w:r>
              <w:rPr>
                <w:rFonts w:ascii="Times New Roman"/>
                <w:sz w:val="21"/>
              </w:rPr>
              <w:t>,57</w:t>
            </w:r>
          </w:p>
          <w:p>
            <w:pPr>
              <w:pStyle w:val="TableParagraph"/>
              <w:spacing w:line="240" w:lineRule="auto" w:before="70"/>
              <w:ind w:left="101" w:right="0"/>
              <w:jc w:val="center"/>
              <w:rPr>
                <w:rFonts w:ascii="Times New Roman" w:hAnsi="Times New Roman" w:cs="Times New Roman" w:eastAsia="Times New Roman" w:hint="default"/>
                <w:sz w:val="21"/>
                <w:szCs w:val="21"/>
              </w:rPr>
            </w:pPr>
            <w:r>
              <w:rPr>
                <w:rFonts w:ascii="Times New Roman"/>
                <w:sz w:val="21"/>
              </w:rPr>
              <w:t>4.8</w:t>
            </w:r>
          </w:p>
          <w:p>
            <w:pPr>
              <w:pStyle w:val="TableParagraph"/>
              <w:spacing w:line="240" w:lineRule="auto" w:before="76"/>
              <w:ind w:left="259" w:right="0"/>
              <w:jc w:val="center"/>
              <w:rPr>
                <w:rFonts w:ascii="Times New Roman" w:hAnsi="Times New Roman" w:cs="Times New Roman" w:eastAsia="Times New Roman" w:hint="default"/>
                <w:sz w:val="21"/>
                <w:szCs w:val="21"/>
              </w:rPr>
            </w:pPr>
            <w:r>
              <w:rPr>
                <w:rFonts w:ascii="Times New Roman"/>
                <w:w w:val="100"/>
                <w:sz w:val="21"/>
              </w:rPr>
              <w:t>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65"/>
              <w:ind w:left="201" w:right="0"/>
              <w:jc w:val="left"/>
              <w:rPr>
                <w:rFonts w:ascii="Times New Roman" w:hAnsi="Times New Roman" w:cs="Times New Roman" w:eastAsia="Times New Roman" w:hint="default"/>
                <w:sz w:val="21"/>
                <w:szCs w:val="21"/>
              </w:rPr>
            </w:pPr>
            <w:r>
              <w:rPr>
                <w:rFonts w:ascii="Times New Roman"/>
                <w:sz w:val="21"/>
              </w:rPr>
              <w:t>,03</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3,6</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37.</w:t>
            </w:r>
          </w:p>
          <w:p>
            <w:pPr>
              <w:pStyle w:val="TableParagraph"/>
              <w:spacing w:line="240" w:lineRule="auto" w:before="75"/>
              <w:ind w:left="153" w:right="0"/>
              <w:jc w:val="center"/>
              <w:rPr>
                <w:rFonts w:ascii="Times New Roman" w:hAnsi="Times New Roman" w:cs="Times New Roman" w:eastAsia="Times New Roman" w:hint="default"/>
                <w:sz w:val="21"/>
                <w:szCs w:val="21"/>
              </w:rPr>
            </w:pPr>
            <w:r>
              <w:rPr>
                <w:rFonts w:ascii="Times New Roman"/>
                <w:sz w:val="21"/>
              </w:rPr>
              <w:t>57</w:t>
            </w: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90" w:right="0"/>
              <w:jc w:val="center"/>
              <w:rPr>
                <w:rFonts w:ascii="Times New Roman" w:hAnsi="Times New Roman" w:cs="Times New Roman" w:eastAsia="Times New Roman" w:hint="default"/>
                <w:sz w:val="21"/>
                <w:szCs w:val="21"/>
              </w:rPr>
            </w:pPr>
            <w:r>
              <w:rPr>
                <w:rFonts w:ascii="Times New Roman"/>
                <w:sz w:val="21"/>
              </w:rPr>
              <w:t>52,</w:t>
            </w:r>
          </w:p>
          <w:p>
            <w:pPr>
              <w:pStyle w:val="TableParagraph"/>
              <w:spacing w:line="240" w:lineRule="auto" w:before="65"/>
              <w:ind w:left="143" w:right="0"/>
              <w:jc w:val="left"/>
              <w:rPr>
                <w:rFonts w:ascii="Times New Roman" w:hAnsi="Times New Roman" w:cs="Times New Roman" w:eastAsia="Times New Roman" w:hint="default"/>
                <w:sz w:val="21"/>
                <w:szCs w:val="21"/>
              </w:rPr>
            </w:pPr>
            <w:r>
              <w:rPr>
                <w:rFonts w:ascii="Times New Roman"/>
                <w:sz w:val="21"/>
              </w:rPr>
              <w:t>516</w:t>
            </w:r>
          </w:p>
          <w:p>
            <w:pPr>
              <w:pStyle w:val="TableParagraph"/>
              <w:spacing w:line="240" w:lineRule="auto" w:before="70"/>
              <w:ind w:left="90" w:right="0"/>
              <w:jc w:val="center"/>
              <w:rPr>
                <w:rFonts w:ascii="Times New Roman" w:hAnsi="Times New Roman" w:cs="Times New Roman" w:eastAsia="Times New Roman" w:hint="default"/>
                <w:sz w:val="21"/>
                <w:szCs w:val="21"/>
              </w:rPr>
            </w:pPr>
            <w:r>
              <w:rPr>
                <w:rFonts w:ascii="Times New Roman"/>
                <w:sz w:val="21"/>
              </w:rPr>
              <w:t>,25</w:t>
            </w:r>
          </w:p>
          <w:p>
            <w:pPr>
              <w:pStyle w:val="TableParagraph"/>
              <w:spacing w:line="240" w:lineRule="auto" w:before="70"/>
              <w:ind w:left="90" w:right="0"/>
              <w:jc w:val="center"/>
              <w:rPr>
                <w:rFonts w:ascii="Times New Roman" w:hAnsi="Times New Roman" w:cs="Times New Roman" w:eastAsia="Times New Roman" w:hint="default"/>
                <w:sz w:val="21"/>
                <w:szCs w:val="21"/>
              </w:rPr>
            </w:pPr>
            <w:r>
              <w:rPr>
                <w:rFonts w:ascii="Times New Roman"/>
                <w:sz w:val="21"/>
              </w:rPr>
              <w:t>1.6</w:t>
            </w:r>
          </w:p>
          <w:p>
            <w:pPr>
              <w:pStyle w:val="TableParagraph"/>
              <w:spacing w:line="240" w:lineRule="auto" w:before="75"/>
              <w:ind w:left="249" w:right="0"/>
              <w:jc w:val="center"/>
              <w:rPr>
                <w:rFonts w:ascii="Times New Roman" w:hAnsi="Times New Roman" w:cs="Times New Roman" w:eastAsia="Times New Roman" w:hint="default"/>
                <w:sz w:val="21"/>
                <w:szCs w:val="21"/>
              </w:rPr>
            </w:pPr>
            <w:r>
              <w:rPr>
                <w:rFonts w:ascii="Times New Roman"/>
                <w:w w:val="100"/>
                <w:sz w:val="21"/>
              </w:rPr>
              <w:t>9</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9" w:right="0"/>
              <w:jc w:val="center"/>
              <w:rPr>
                <w:rFonts w:ascii="Times New Roman" w:hAnsi="Times New Roman" w:cs="Times New Roman" w:eastAsia="Times New Roman" w:hint="default"/>
                <w:sz w:val="21"/>
                <w:szCs w:val="21"/>
              </w:rPr>
            </w:pPr>
            <w:r>
              <w:rPr>
                <w:rFonts w:ascii="Times New Roman"/>
                <w:sz w:val="21"/>
              </w:rPr>
              <w:t>782,</w:t>
            </w:r>
          </w:p>
          <w:p>
            <w:pPr>
              <w:pStyle w:val="TableParagraph"/>
              <w:spacing w:line="240" w:lineRule="auto" w:before="70"/>
              <w:ind w:left="9" w:right="0"/>
              <w:jc w:val="center"/>
              <w:rPr>
                <w:rFonts w:ascii="Times New Roman" w:hAnsi="Times New Roman" w:cs="Times New Roman" w:eastAsia="Times New Roman" w:hint="default"/>
                <w:sz w:val="21"/>
                <w:szCs w:val="21"/>
              </w:rPr>
            </w:pPr>
            <w:r>
              <w:rPr>
                <w:rFonts w:ascii="Times New Roman"/>
                <w:sz w:val="21"/>
              </w:rPr>
              <w:t>617,</w:t>
            </w:r>
          </w:p>
          <w:p>
            <w:pPr>
              <w:pStyle w:val="TableParagraph"/>
              <w:spacing w:line="240" w:lineRule="auto" w:before="70"/>
              <w:ind w:left="9" w:right="0"/>
              <w:jc w:val="center"/>
              <w:rPr>
                <w:rFonts w:ascii="Times New Roman" w:hAnsi="Times New Roman" w:cs="Times New Roman" w:eastAsia="Times New Roman" w:hint="default"/>
                <w:sz w:val="21"/>
                <w:szCs w:val="21"/>
              </w:rPr>
            </w:pPr>
            <w:r>
              <w:rPr>
                <w:rFonts w:ascii="Times New Roman"/>
                <w:sz w:val="21"/>
              </w:rPr>
              <w:t>386.</w:t>
            </w:r>
          </w:p>
          <w:p>
            <w:pPr>
              <w:pStyle w:val="TableParagraph"/>
              <w:spacing w:line="240" w:lineRule="auto" w:before="75"/>
              <w:ind w:left="167" w:right="0"/>
              <w:jc w:val="center"/>
              <w:rPr>
                <w:rFonts w:ascii="Times New Roman" w:hAnsi="Times New Roman" w:cs="Times New Roman" w:eastAsia="Times New Roman" w:hint="default"/>
                <w:sz w:val="21"/>
                <w:szCs w:val="21"/>
              </w:rPr>
            </w:pPr>
            <w:r>
              <w:rPr>
                <w:rFonts w:ascii="Times New Roman"/>
                <w:sz w:val="21"/>
              </w:rPr>
              <w:t>60</w:t>
            </w:r>
          </w:p>
        </w:tc>
        <w:tc>
          <w:tcPr>
            <w:tcW w:w="56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left="148" w:right="0"/>
              <w:jc w:val="left"/>
              <w:rPr>
                <w:rFonts w:ascii="Times New Roman" w:hAnsi="Times New Roman" w:cs="Times New Roman" w:eastAsia="Times New Roman" w:hint="default"/>
                <w:sz w:val="21"/>
                <w:szCs w:val="21"/>
              </w:rPr>
            </w:pPr>
            <w:r>
              <w:rPr>
                <w:rFonts w:ascii="Times New Roman"/>
                <w:sz w:val="21"/>
              </w:rPr>
              <w:t>4,201</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,743,</w:t>
            </w:r>
          </w:p>
          <w:p>
            <w:pPr>
              <w:pStyle w:val="TableParagraph"/>
              <w:spacing w:line="240" w:lineRule="auto" w:before="70"/>
              <w:ind w:left="148" w:right="0"/>
              <w:jc w:val="left"/>
              <w:rPr>
                <w:rFonts w:ascii="Times New Roman" w:hAnsi="Times New Roman" w:cs="Times New Roman" w:eastAsia="Times New Roman" w:hint="default"/>
                <w:sz w:val="21"/>
                <w:szCs w:val="21"/>
              </w:rPr>
            </w:pPr>
            <w:r>
              <w:rPr>
                <w:rFonts w:ascii="Times New Roman"/>
                <w:sz w:val="21"/>
              </w:rPr>
              <w:t>490.5</w:t>
            </w:r>
          </w:p>
          <w:p>
            <w:pPr>
              <w:pStyle w:val="TableParagraph"/>
              <w:spacing w:line="240" w:lineRule="auto" w:before="75"/>
              <w:ind w:right="105"/>
              <w:jc w:val="right"/>
              <w:rPr>
                <w:rFonts w:ascii="Times New Roman" w:hAnsi="Times New Roman" w:cs="Times New Roman" w:eastAsia="Times New Roman" w:hint="default"/>
                <w:sz w:val="21"/>
                <w:szCs w:val="21"/>
              </w:rPr>
            </w:pPr>
            <w:r>
              <w:rPr>
                <w:rFonts w:ascii="Times New Roman"/>
                <w:w w:val="100"/>
                <w:sz w:val="21"/>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33" w:right="0"/>
              <w:jc w:val="center"/>
              <w:rPr>
                <w:rFonts w:ascii="Times New Roman" w:hAnsi="Times New Roman" w:cs="Times New Roman" w:eastAsia="Times New Roman" w:hint="default"/>
                <w:sz w:val="21"/>
                <w:szCs w:val="21"/>
              </w:rPr>
            </w:pPr>
            <w:r>
              <w:rPr>
                <w:rFonts w:ascii="Times New Roman"/>
                <w:sz w:val="21"/>
              </w:rPr>
              <w:t>215,6</w:t>
            </w:r>
          </w:p>
          <w:p>
            <w:pPr>
              <w:pStyle w:val="TableParagraph"/>
              <w:spacing w:line="240" w:lineRule="auto" w:before="65"/>
              <w:ind w:left="33" w:right="0"/>
              <w:jc w:val="center"/>
              <w:rPr>
                <w:rFonts w:ascii="Times New Roman" w:hAnsi="Times New Roman" w:cs="Times New Roman" w:eastAsia="Times New Roman" w:hint="default"/>
                <w:sz w:val="21"/>
                <w:szCs w:val="21"/>
              </w:rPr>
            </w:pPr>
            <w:r>
              <w:rPr>
                <w:rFonts w:ascii="Times New Roman"/>
                <w:sz w:val="21"/>
              </w:rPr>
              <w:t>92,79</w:t>
            </w:r>
          </w:p>
          <w:p>
            <w:pPr>
              <w:pStyle w:val="TableParagraph"/>
              <w:spacing w:line="240" w:lineRule="auto" w:before="75"/>
              <w:ind w:left="129" w:right="0"/>
              <w:jc w:val="center"/>
              <w:rPr>
                <w:rFonts w:ascii="Times New Roman" w:hAnsi="Times New Roman" w:cs="Times New Roman" w:eastAsia="Times New Roman" w:hint="default"/>
                <w:sz w:val="21"/>
                <w:szCs w:val="21"/>
              </w:rPr>
            </w:pPr>
            <w:r>
              <w:rPr>
                <w:rFonts w:ascii="Times New Roman"/>
                <w:sz w:val="21"/>
              </w:rPr>
              <w:t>7.42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85" w:right="0"/>
              <w:jc w:val="center"/>
              <w:rPr>
                <w:rFonts w:ascii="Times New Roman" w:hAnsi="Times New Roman" w:cs="Times New Roman" w:eastAsia="Times New Roman" w:hint="default"/>
                <w:sz w:val="21"/>
                <w:szCs w:val="21"/>
              </w:rPr>
            </w:pPr>
            <w:r>
              <w:rPr>
                <w:rFonts w:ascii="Times New Roman"/>
                <w:sz w:val="21"/>
              </w:rPr>
              <w:t>4,417,</w:t>
            </w:r>
          </w:p>
          <w:p>
            <w:pPr>
              <w:pStyle w:val="TableParagraph"/>
              <w:spacing w:line="240" w:lineRule="auto" w:before="65"/>
              <w:ind w:left="134" w:right="0"/>
              <w:jc w:val="left"/>
              <w:rPr>
                <w:rFonts w:ascii="Times New Roman" w:hAnsi="Times New Roman" w:cs="Times New Roman" w:eastAsia="Times New Roman" w:hint="default"/>
                <w:sz w:val="21"/>
                <w:szCs w:val="21"/>
              </w:rPr>
            </w:pPr>
            <w:r>
              <w:rPr>
                <w:rFonts w:ascii="Times New Roman"/>
                <w:sz w:val="21"/>
              </w:rPr>
              <w:t>436,28</w:t>
            </w:r>
          </w:p>
          <w:p>
            <w:pPr>
              <w:pStyle w:val="TableParagraph"/>
              <w:spacing w:line="240" w:lineRule="auto" w:before="75"/>
              <w:ind w:left="234" w:right="0"/>
              <w:jc w:val="center"/>
              <w:rPr>
                <w:rFonts w:ascii="Times New Roman" w:hAnsi="Times New Roman" w:cs="Times New Roman" w:eastAsia="Times New Roman" w:hint="default"/>
                <w:sz w:val="21"/>
                <w:szCs w:val="21"/>
              </w:rPr>
            </w:pPr>
            <w:r>
              <w:rPr>
                <w:rFonts w:ascii="Times New Roman"/>
                <w:sz w:val="21"/>
              </w:rPr>
              <w:t>7.94</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left="453" w:right="0"/>
        <w:jc w:val="left"/>
        <w:rPr>
          <w:b w:val="0"/>
          <w:bCs w:val="0"/>
        </w:rPr>
      </w:pPr>
      <w:bookmarkStart w:name="8、母公司所有者权益变动表" w:id="170"/>
      <w:bookmarkEnd w:id="17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453" w:right="0"/>
        <w:jc w:val="left"/>
      </w:pPr>
      <w:r>
        <w:rPr/>
        <w:t>本期金额</w:t>
      </w:r>
    </w:p>
    <w:p>
      <w:pPr>
        <w:pStyle w:val="BodyText"/>
        <w:spacing w:line="240" w:lineRule="auto" w:before="80"/>
        <w:ind w:left="0" w:right="1122"/>
        <w:jc w:val="right"/>
      </w:pPr>
      <w:r>
        <w:rPr/>
        <w:t>单位：元</w:t>
      </w:r>
    </w:p>
    <w:p>
      <w:pPr>
        <w:spacing w:line="240" w:lineRule="auto" w:before="7"/>
        <w:rPr>
          <w:rFonts w:ascii="宋体" w:hAnsi="宋体" w:cs="宋体" w:eastAsia="宋体" w:hint="default"/>
          <w:sz w:val="6"/>
          <w:szCs w:val="6"/>
        </w:rPr>
      </w:pPr>
    </w:p>
    <w:tbl>
      <w:tblPr>
        <w:tblW w:w="0" w:type="auto"/>
        <w:jc w:val="left"/>
        <w:tblInd w:w="4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869"/>
        <w:gridCol w:w="720"/>
        <w:gridCol w:w="812"/>
      </w:tblGrid>
      <w:tr>
        <w:trPr>
          <w:trHeight w:val="398"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4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w:t>
            </w:r>
          </w:p>
        </w:tc>
      </w:tr>
      <w:tr>
        <w:trPr>
          <w:trHeight w:val="406"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206" w:right="199"/>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8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74"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143" w:right="146"/>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49" w:right="143"/>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库存</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48" w:right="147"/>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143" w:right="146"/>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148" w:right="142"/>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220" w:right="108" w:hanging="106"/>
              <w:jc w:val="left"/>
              <w:rPr>
                <w:rFonts w:ascii="宋体" w:hAnsi="宋体" w:cs="宋体" w:eastAsia="宋体" w:hint="default"/>
                <w:sz w:val="21"/>
                <w:szCs w:val="21"/>
              </w:rPr>
            </w:pPr>
            <w:r>
              <w:rPr>
                <w:rFonts w:ascii="宋体" w:hAnsi="宋体" w:cs="宋体" w:eastAsia="宋体" w:hint="default"/>
                <w:sz w:val="21"/>
                <w:szCs w:val="21"/>
              </w:rPr>
              <w:t>未分配</w:t>
            </w:r>
            <w:r>
              <w:rPr>
                <w:rFonts w:ascii="宋体" w:hAnsi="宋体" w:cs="宋体" w:eastAsia="宋体" w:hint="default"/>
                <w:spacing w:val="-102"/>
                <w:sz w:val="21"/>
                <w:szCs w:val="21"/>
              </w:rPr>
              <w:t> </w:t>
            </w:r>
            <w:r>
              <w:rPr>
                <w:rFonts w:ascii="宋体" w:hAnsi="宋体" w:cs="宋体" w:eastAsia="宋体" w:hint="default"/>
                <w:sz w:val="21"/>
                <w:szCs w:val="21"/>
              </w:rPr>
              <w:t>利润</w:t>
            </w: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81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192" w:right="185"/>
              <w:jc w:val="both"/>
              <w:rPr>
                <w:rFonts w:ascii="宋体" w:hAnsi="宋体" w:cs="宋体" w:eastAsia="宋体" w:hint="default"/>
                <w:sz w:val="21"/>
                <w:szCs w:val="21"/>
              </w:rPr>
            </w:pPr>
            <w:r>
              <w:rPr>
                <w:rFonts w:ascii="宋体" w:hAnsi="宋体" w:cs="宋体" w:eastAsia="宋体" w:hint="default"/>
                <w:sz w:val="21"/>
                <w:szCs w:val="21"/>
              </w:rPr>
              <w:t>所有</w:t>
            </w:r>
            <w:r>
              <w:rPr>
                <w:rFonts w:ascii="宋体" w:hAnsi="宋体" w:cs="宋体" w:eastAsia="宋体" w:hint="default"/>
                <w:spacing w:val="-103"/>
                <w:sz w:val="21"/>
                <w:szCs w:val="21"/>
              </w:rPr>
              <w:t> </w:t>
            </w:r>
            <w:r>
              <w:rPr>
                <w:rFonts w:ascii="宋体" w:hAnsi="宋体" w:cs="宋体" w:eastAsia="宋体" w:hint="default"/>
                <w:sz w:val="21"/>
                <w:szCs w:val="21"/>
              </w:rPr>
              <w:t>者权</w:t>
            </w:r>
            <w:r>
              <w:rPr>
                <w:rFonts w:ascii="宋体" w:hAnsi="宋体" w:cs="宋体" w:eastAsia="宋体" w:hint="default"/>
                <w:spacing w:val="-103"/>
                <w:sz w:val="21"/>
                <w:szCs w:val="21"/>
              </w:rPr>
              <w:t> </w:t>
            </w:r>
            <w:r>
              <w:rPr>
                <w:rFonts w:ascii="宋体" w:hAnsi="宋体" w:cs="宋体" w:eastAsia="宋体" w:hint="default"/>
                <w:sz w:val="21"/>
                <w:szCs w:val="21"/>
              </w:rPr>
              <w:t>益合</w:t>
            </w:r>
            <w:r>
              <w:rPr>
                <w:rFonts w:ascii="宋体" w:hAnsi="宋体" w:cs="宋体" w:eastAsia="宋体" w:hint="default"/>
                <w:spacing w:val="-103"/>
                <w:sz w:val="21"/>
                <w:szCs w:val="21"/>
              </w:rPr>
              <w:t> </w:t>
            </w:r>
            <w:r>
              <w:rPr>
                <w:rFonts w:ascii="宋体" w:hAnsi="宋体" w:cs="宋体" w:eastAsia="宋体" w:hint="default"/>
                <w:sz w:val="21"/>
                <w:szCs w:val="21"/>
              </w:rPr>
              <w:t>计</w:t>
            </w:r>
          </w:p>
        </w:tc>
      </w:tr>
      <w:tr>
        <w:trPr>
          <w:trHeight w:val="1025"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192" w:right="191"/>
              <w:jc w:val="both"/>
              <w:rPr>
                <w:rFonts w:ascii="宋体" w:hAnsi="宋体" w:cs="宋体" w:eastAsia="宋体" w:hint="default"/>
                <w:sz w:val="21"/>
                <w:szCs w:val="21"/>
              </w:rPr>
            </w:pPr>
            <w:r>
              <w:rPr>
                <w:rFonts w:ascii="宋体" w:hAnsi="宋体" w:cs="宋体" w:eastAsia="宋体" w:hint="default"/>
                <w:sz w:val="21"/>
                <w:szCs w:val="21"/>
              </w:rPr>
              <w:t>优</w:t>
            </w:r>
            <w:r>
              <w:rPr>
                <w:rFonts w:ascii="宋体" w:hAnsi="宋体" w:cs="宋体" w:eastAsia="宋体" w:hint="default"/>
                <w:w w:val="100"/>
                <w:sz w:val="21"/>
                <w:szCs w:val="21"/>
              </w:rPr>
              <w:t> </w:t>
            </w: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187" w:right="194"/>
              <w:jc w:val="both"/>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w w:val="100"/>
                <w:sz w:val="21"/>
                <w:szCs w:val="21"/>
              </w:rPr>
              <w:t> </w:t>
            </w: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87" w:right="194"/>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6" w:lineRule="auto"/>
              <w:ind w:left="105" w:right="132"/>
              <w:jc w:val="left"/>
              <w:rPr>
                <w:rFonts w:ascii="宋体" w:hAnsi="宋体" w:cs="宋体" w:eastAsia="宋体" w:hint="default"/>
                <w:sz w:val="21"/>
                <w:szCs w:val="21"/>
              </w:rPr>
            </w:pPr>
            <w:r>
              <w:rPr>
                <w:rFonts w:ascii="宋体" w:hAnsi="宋体" w:cs="宋体" w:eastAsia="宋体" w:hint="default"/>
                <w:sz w:val="21"/>
                <w:szCs w:val="21"/>
              </w:rPr>
              <w:t>一、上年期</w:t>
            </w:r>
            <w:r>
              <w:rPr>
                <w:rFonts w:ascii="宋体" w:hAnsi="宋体" w:cs="宋体" w:eastAsia="宋体" w:hint="default"/>
                <w:spacing w:val="-99"/>
                <w:sz w:val="21"/>
                <w:szCs w:val="21"/>
              </w:rPr>
              <w:t> </w:t>
            </w:r>
            <w:r>
              <w:rPr>
                <w:rFonts w:ascii="宋体" w:hAnsi="宋体" w:cs="宋体" w:eastAsia="宋体" w:hint="default"/>
                <w:sz w:val="21"/>
                <w:szCs w:val="21"/>
              </w:rPr>
              <w:t>末余额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 w:right="0"/>
              <w:jc w:val="center"/>
              <w:rPr>
                <w:rFonts w:ascii="Times New Roman" w:hAnsi="Times New Roman" w:cs="Times New Roman" w:eastAsia="Times New Roman" w:hint="default"/>
                <w:sz w:val="21"/>
                <w:szCs w:val="21"/>
              </w:rPr>
            </w:pPr>
            <w:r>
              <w:rPr>
                <w:rFonts w:ascii="Times New Roman"/>
                <w:sz w:val="21"/>
              </w:rPr>
              <w:t>691,</w:t>
            </w:r>
          </w:p>
          <w:p>
            <w:pPr>
              <w:pStyle w:val="TableParagraph"/>
              <w:spacing w:line="240" w:lineRule="auto" w:before="70"/>
              <w:ind w:left="48" w:right="0"/>
              <w:jc w:val="center"/>
              <w:rPr>
                <w:rFonts w:ascii="Times New Roman" w:hAnsi="Times New Roman" w:cs="Times New Roman" w:eastAsia="Times New Roman" w:hint="default"/>
                <w:sz w:val="21"/>
                <w:szCs w:val="21"/>
              </w:rPr>
            </w:pPr>
            <w:r>
              <w:rPr>
                <w:rFonts w:ascii="Times New Roman"/>
                <w:sz w:val="21"/>
              </w:rPr>
              <w:t>505,</w:t>
            </w:r>
          </w:p>
          <w:p>
            <w:pPr>
              <w:pStyle w:val="TableParagraph"/>
              <w:spacing w:line="240" w:lineRule="auto" w:before="70"/>
              <w:ind w:left="48" w:right="0"/>
              <w:jc w:val="center"/>
              <w:rPr>
                <w:rFonts w:ascii="Times New Roman" w:hAnsi="Times New Roman" w:cs="Times New Roman" w:eastAsia="Times New Roman" w:hint="default"/>
                <w:sz w:val="21"/>
                <w:szCs w:val="21"/>
              </w:rPr>
            </w:pPr>
            <w:r>
              <w:rPr>
                <w:rFonts w:ascii="Times New Roman"/>
                <w:sz w:val="21"/>
              </w:rPr>
              <w:t>915.</w:t>
            </w:r>
          </w:p>
          <w:p>
            <w:pPr>
              <w:pStyle w:val="TableParagraph"/>
              <w:spacing w:line="240" w:lineRule="auto" w:before="75"/>
              <w:ind w:left="206" w:right="0"/>
              <w:jc w:val="center"/>
              <w:rPr>
                <w:rFonts w:ascii="Times New Roman" w:hAnsi="Times New Roman" w:cs="Times New Roman" w:eastAsia="Times New Roman" w:hint="default"/>
                <w:sz w:val="21"/>
                <w:szCs w:val="21"/>
              </w:rPr>
            </w:pPr>
            <w:r>
              <w:rPr>
                <w:rFonts w:ascii="Times New Roman"/>
                <w:sz w:val="21"/>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9" w:right="0"/>
              <w:jc w:val="left"/>
              <w:rPr>
                <w:rFonts w:ascii="Times New Roman" w:hAnsi="Times New Roman" w:cs="Times New Roman" w:eastAsia="Times New Roman" w:hint="default"/>
                <w:sz w:val="21"/>
                <w:szCs w:val="21"/>
              </w:rPr>
            </w:pPr>
            <w:r>
              <w:rPr>
                <w:rFonts w:ascii="Times New Roman"/>
                <w:sz w:val="21"/>
              </w:rPr>
              <w:t>2,818</w:t>
            </w:r>
          </w:p>
          <w:p>
            <w:pPr>
              <w:pStyle w:val="TableParagraph"/>
              <w:spacing w:line="240" w:lineRule="auto" w:before="70"/>
              <w:ind w:left="191" w:right="0"/>
              <w:jc w:val="left"/>
              <w:rPr>
                <w:rFonts w:ascii="Times New Roman" w:hAnsi="Times New Roman" w:cs="Times New Roman" w:eastAsia="Times New Roman" w:hint="default"/>
                <w:sz w:val="21"/>
                <w:szCs w:val="21"/>
              </w:rPr>
            </w:pPr>
            <w:r>
              <w:rPr>
                <w:rFonts w:ascii="Times New Roman"/>
                <w:sz w:val="21"/>
              </w:rPr>
              <w:t>,718,</w:t>
            </w:r>
          </w:p>
          <w:p>
            <w:pPr>
              <w:pStyle w:val="TableParagraph"/>
              <w:spacing w:line="240" w:lineRule="auto" w:before="70"/>
              <w:ind w:left="139" w:right="0"/>
              <w:jc w:val="left"/>
              <w:rPr>
                <w:rFonts w:ascii="Times New Roman" w:hAnsi="Times New Roman" w:cs="Times New Roman" w:eastAsia="Times New Roman" w:hint="default"/>
                <w:sz w:val="21"/>
                <w:szCs w:val="21"/>
              </w:rPr>
            </w:pPr>
            <w:r>
              <w:rPr>
                <w:rFonts w:ascii="Times New Roman"/>
                <w:sz w:val="21"/>
              </w:rPr>
              <w:t>845.6</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150,0</w:t>
            </w:r>
          </w:p>
          <w:p>
            <w:pPr>
              <w:pStyle w:val="TableParagraph"/>
              <w:spacing w:line="240" w:lineRule="auto" w:before="65"/>
              <w:ind w:left="48" w:right="0"/>
              <w:jc w:val="center"/>
              <w:rPr>
                <w:rFonts w:ascii="Times New Roman" w:hAnsi="Times New Roman" w:cs="Times New Roman" w:eastAsia="Times New Roman" w:hint="default"/>
                <w:sz w:val="21"/>
                <w:szCs w:val="21"/>
              </w:rPr>
            </w:pPr>
            <w:r>
              <w:rPr>
                <w:rFonts w:ascii="Times New Roman"/>
                <w:sz w:val="21"/>
              </w:rPr>
              <w:t>33,63</w:t>
            </w:r>
          </w:p>
          <w:p>
            <w:pPr>
              <w:pStyle w:val="TableParagraph"/>
              <w:spacing w:line="240" w:lineRule="auto" w:before="75"/>
              <w:ind w:left="144" w:right="0"/>
              <w:jc w:val="center"/>
              <w:rPr>
                <w:rFonts w:ascii="Times New Roman" w:hAnsi="Times New Roman" w:cs="Times New Roman" w:eastAsia="Times New Roman" w:hint="default"/>
                <w:sz w:val="21"/>
                <w:szCs w:val="21"/>
              </w:rPr>
            </w:pPr>
            <w:r>
              <w:rPr>
                <w:rFonts w:ascii="Times New Roman"/>
                <w:sz w:val="21"/>
              </w:rPr>
              <w:t>7.57</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51,03</w:t>
            </w:r>
          </w:p>
          <w:p>
            <w:pPr>
              <w:pStyle w:val="TableParagraph"/>
              <w:spacing w:line="240" w:lineRule="auto" w:before="65"/>
              <w:ind w:left="143" w:right="0"/>
              <w:jc w:val="left"/>
              <w:rPr>
                <w:rFonts w:ascii="Times New Roman" w:hAnsi="Times New Roman" w:cs="Times New Roman" w:eastAsia="Times New Roman" w:hint="default"/>
                <w:sz w:val="21"/>
                <w:szCs w:val="21"/>
              </w:rPr>
            </w:pPr>
            <w:r>
              <w:rPr>
                <w:rFonts w:ascii="Times New Roman"/>
                <w:sz w:val="21"/>
              </w:rPr>
              <w:t>8,141</w:t>
            </w:r>
          </w:p>
          <w:p>
            <w:pPr>
              <w:pStyle w:val="TableParagraph"/>
              <w:spacing w:line="240" w:lineRule="auto" w:before="75"/>
              <w:ind w:left="350" w:right="0"/>
              <w:jc w:val="left"/>
              <w:rPr>
                <w:rFonts w:ascii="Times New Roman" w:hAnsi="Times New Roman" w:cs="Times New Roman" w:eastAsia="Times New Roman" w:hint="default"/>
                <w:sz w:val="21"/>
                <w:szCs w:val="21"/>
              </w:rPr>
            </w:pPr>
            <w:r>
              <w:rPr>
                <w:rFonts w:ascii="Times New Roman"/>
                <w:sz w:val="21"/>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214,53</w:t>
            </w:r>
          </w:p>
          <w:p>
            <w:pPr>
              <w:pStyle w:val="TableParagraph"/>
              <w:spacing w:line="240" w:lineRule="auto" w:before="65"/>
              <w:ind w:right="95"/>
              <w:jc w:val="right"/>
              <w:rPr>
                <w:rFonts w:ascii="Times New Roman" w:hAnsi="Times New Roman" w:cs="Times New Roman" w:eastAsia="Times New Roman" w:hint="default"/>
                <w:sz w:val="21"/>
                <w:szCs w:val="21"/>
              </w:rPr>
            </w:pPr>
            <w:r>
              <w:rPr>
                <w:rFonts w:ascii="Times New Roman"/>
                <w:sz w:val="21"/>
              </w:rPr>
              <w:t>8,866.8</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9</w:t>
            </w: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3,625,</w:t>
            </w:r>
          </w:p>
          <w:p>
            <w:pPr>
              <w:pStyle w:val="TableParagraph"/>
              <w:spacing w:line="240" w:lineRule="auto" w:before="65"/>
              <w:ind w:left="124" w:right="0"/>
              <w:jc w:val="left"/>
              <w:rPr>
                <w:rFonts w:ascii="Times New Roman" w:hAnsi="Times New Roman" w:cs="Times New Roman" w:eastAsia="Times New Roman" w:hint="default"/>
                <w:sz w:val="21"/>
                <w:szCs w:val="21"/>
              </w:rPr>
            </w:pPr>
            <w:r>
              <w:rPr>
                <w:rFonts w:ascii="Times New Roman"/>
                <w:sz w:val="21"/>
              </w:rPr>
              <w:t>768,13</w:t>
            </w:r>
          </w:p>
          <w:p>
            <w:pPr>
              <w:pStyle w:val="TableParagraph"/>
              <w:spacing w:line="240" w:lineRule="auto" w:before="75"/>
              <w:ind w:left="229" w:right="0"/>
              <w:jc w:val="center"/>
              <w:rPr>
                <w:rFonts w:ascii="Times New Roman" w:hAnsi="Times New Roman" w:cs="Times New Roman" w:eastAsia="Times New Roman" w:hint="default"/>
                <w:sz w:val="21"/>
                <w:szCs w:val="21"/>
              </w:rPr>
            </w:pPr>
            <w:r>
              <w:rPr>
                <w:rFonts w:ascii="Times New Roman"/>
                <w:sz w:val="21"/>
              </w:rPr>
              <w:t>1.39</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05" w:right="132" w:firstLine="211"/>
              <w:jc w:val="left"/>
              <w:rPr>
                <w:rFonts w:ascii="宋体" w:hAnsi="宋体" w:cs="宋体" w:eastAsia="宋体" w:hint="default"/>
                <w:sz w:val="21"/>
                <w:szCs w:val="21"/>
              </w:rPr>
            </w:pPr>
            <w:r>
              <w:rPr>
                <w:rFonts w:ascii="宋体" w:hAnsi="宋体" w:cs="宋体" w:eastAsia="宋体" w:hint="default"/>
                <w:sz w:val="21"/>
                <w:szCs w:val="21"/>
              </w:rPr>
              <w:t>加：会计</w:t>
            </w:r>
            <w:r>
              <w:rPr>
                <w:rFonts w:ascii="宋体" w:hAnsi="宋体" w:cs="宋体" w:eastAsia="宋体" w:hint="default"/>
                <w:w w:val="100"/>
                <w:sz w:val="21"/>
                <w:szCs w:val="21"/>
              </w:rPr>
              <w:t> </w:t>
            </w:r>
            <w:r>
              <w:rPr>
                <w:rFonts w:ascii="宋体" w:hAnsi="宋体" w:cs="宋体" w:eastAsia="宋体" w:hint="default"/>
                <w:sz w:val="21"/>
                <w:szCs w:val="21"/>
              </w:rPr>
              <w:t>政策变更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-937,</w:t>
            </w:r>
          </w:p>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sz w:val="21"/>
              </w:rPr>
              <w:t>389.5</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21"/>
                <w:szCs w:val="21"/>
              </w:rPr>
            </w:pPr>
            <w:r>
              <w:rPr>
                <w:rFonts w:ascii="Times New Roman"/>
                <w:sz w:val="21"/>
              </w:rPr>
              <w:t>-8,436,</w:t>
            </w:r>
          </w:p>
          <w:p>
            <w:pPr>
              <w:pStyle w:val="TableParagraph"/>
              <w:spacing w:line="240" w:lineRule="auto" w:before="70"/>
              <w:ind w:left="182" w:right="0"/>
              <w:jc w:val="left"/>
              <w:rPr>
                <w:rFonts w:ascii="Times New Roman" w:hAnsi="Times New Roman" w:cs="Times New Roman" w:eastAsia="Times New Roman" w:hint="default"/>
                <w:sz w:val="21"/>
                <w:szCs w:val="21"/>
              </w:rPr>
            </w:pPr>
            <w:r>
              <w:rPr>
                <w:rFonts w:ascii="Times New Roman"/>
                <w:sz w:val="21"/>
              </w:rPr>
              <w:t>506.04</w:t>
            </w: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-9,373</w:t>
            </w:r>
          </w:p>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sz w:val="21"/>
              </w:rPr>
              <w:t>,895.6</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w w:val="100"/>
                <w:sz w:val="21"/>
              </w:rPr>
              <w:t>1</w:t>
            </w:r>
          </w:p>
        </w:tc>
      </w:tr>
      <w:tr>
        <w:trPr>
          <w:trHeight w:val="71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32" w:firstLine="211"/>
              <w:jc w:val="left"/>
              <w:rPr>
                <w:rFonts w:ascii="宋体" w:hAnsi="宋体" w:cs="宋体" w:eastAsia="宋体" w:hint="default"/>
                <w:sz w:val="21"/>
                <w:szCs w:val="21"/>
              </w:rPr>
            </w:pPr>
            <w:r>
              <w:rPr>
                <w:rFonts w:ascii="宋体" w:hAnsi="宋体" w:cs="宋体" w:eastAsia="宋体" w:hint="default"/>
                <w:sz w:val="21"/>
                <w:szCs w:val="21"/>
              </w:rPr>
              <w:t>前期差错</w:t>
            </w:r>
            <w:r>
              <w:rPr>
                <w:rFonts w:ascii="宋体" w:hAnsi="宋体" w:cs="宋体" w:eastAsia="宋体" w:hint="default"/>
                <w:w w:val="100"/>
                <w:sz w:val="21"/>
                <w:szCs w:val="21"/>
              </w:rPr>
              <w:t> </w:t>
            </w:r>
            <w:r>
              <w:rPr>
                <w:rFonts w:ascii="宋体" w:hAnsi="宋体" w:cs="宋体" w:eastAsia="宋体" w:hint="default"/>
                <w:sz w:val="21"/>
                <w:szCs w:val="21"/>
              </w:rPr>
              <w:t>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6" w:lineRule="auto"/>
              <w:ind w:left="105" w:right="132"/>
              <w:jc w:val="left"/>
              <w:rPr>
                <w:rFonts w:ascii="宋体" w:hAnsi="宋体" w:cs="宋体" w:eastAsia="宋体" w:hint="default"/>
                <w:sz w:val="21"/>
                <w:szCs w:val="21"/>
              </w:rPr>
            </w:pPr>
            <w:r>
              <w:rPr>
                <w:rFonts w:ascii="宋体" w:hAnsi="宋体" w:cs="宋体" w:eastAsia="宋体" w:hint="default"/>
                <w:sz w:val="21"/>
                <w:szCs w:val="21"/>
              </w:rPr>
              <w:t>二、本年期</w:t>
            </w:r>
            <w:r>
              <w:rPr>
                <w:rFonts w:ascii="宋体" w:hAnsi="宋体" w:cs="宋体" w:eastAsia="宋体" w:hint="default"/>
                <w:spacing w:val="-99"/>
                <w:sz w:val="21"/>
                <w:szCs w:val="21"/>
              </w:rPr>
              <w:t> </w:t>
            </w:r>
            <w:r>
              <w:rPr>
                <w:rFonts w:ascii="宋体" w:hAnsi="宋体" w:cs="宋体" w:eastAsia="宋体" w:hint="default"/>
                <w:sz w:val="21"/>
                <w:szCs w:val="21"/>
              </w:rPr>
              <w:t>初余额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 w:right="0"/>
              <w:jc w:val="center"/>
              <w:rPr>
                <w:rFonts w:ascii="Times New Roman" w:hAnsi="Times New Roman" w:cs="Times New Roman" w:eastAsia="Times New Roman" w:hint="default"/>
                <w:sz w:val="21"/>
                <w:szCs w:val="21"/>
              </w:rPr>
            </w:pPr>
            <w:r>
              <w:rPr>
                <w:rFonts w:ascii="Times New Roman"/>
                <w:sz w:val="21"/>
              </w:rPr>
              <w:t>691,</w:t>
            </w:r>
          </w:p>
          <w:p>
            <w:pPr>
              <w:pStyle w:val="TableParagraph"/>
              <w:spacing w:line="240" w:lineRule="auto" w:before="70"/>
              <w:ind w:left="48" w:right="0"/>
              <w:jc w:val="center"/>
              <w:rPr>
                <w:rFonts w:ascii="Times New Roman" w:hAnsi="Times New Roman" w:cs="Times New Roman" w:eastAsia="Times New Roman" w:hint="default"/>
                <w:sz w:val="21"/>
                <w:szCs w:val="21"/>
              </w:rPr>
            </w:pPr>
            <w:r>
              <w:rPr>
                <w:rFonts w:ascii="Times New Roman"/>
                <w:sz w:val="21"/>
              </w:rPr>
              <w:t>505,</w:t>
            </w:r>
          </w:p>
          <w:p>
            <w:pPr>
              <w:pStyle w:val="TableParagraph"/>
              <w:spacing w:line="240" w:lineRule="auto" w:before="70"/>
              <w:ind w:left="48" w:right="0"/>
              <w:jc w:val="center"/>
              <w:rPr>
                <w:rFonts w:ascii="Times New Roman" w:hAnsi="Times New Roman" w:cs="Times New Roman" w:eastAsia="Times New Roman" w:hint="default"/>
                <w:sz w:val="21"/>
                <w:szCs w:val="21"/>
              </w:rPr>
            </w:pPr>
            <w:r>
              <w:rPr>
                <w:rFonts w:ascii="Times New Roman"/>
                <w:sz w:val="21"/>
              </w:rPr>
              <w:t>915.</w:t>
            </w:r>
          </w:p>
          <w:p>
            <w:pPr>
              <w:pStyle w:val="TableParagraph"/>
              <w:spacing w:line="240" w:lineRule="auto" w:before="75"/>
              <w:ind w:left="206" w:right="0"/>
              <w:jc w:val="center"/>
              <w:rPr>
                <w:rFonts w:ascii="Times New Roman" w:hAnsi="Times New Roman" w:cs="Times New Roman" w:eastAsia="Times New Roman" w:hint="default"/>
                <w:sz w:val="21"/>
                <w:szCs w:val="21"/>
              </w:rPr>
            </w:pPr>
            <w:r>
              <w:rPr>
                <w:rFonts w:ascii="Times New Roman"/>
                <w:sz w:val="21"/>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9" w:right="0"/>
              <w:jc w:val="left"/>
              <w:rPr>
                <w:rFonts w:ascii="Times New Roman" w:hAnsi="Times New Roman" w:cs="Times New Roman" w:eastAsia="Times New Roman" w:hint="default"/>
                <w:sz w:val="21"/>
                <w:szCs w:val="21"/>
              </w:rPr>
            </w:pPr>
            <w:r>
              <w:rPr>
                <w:rFonts w:ascii="Times New Roman"/>
                <w:sz w:val="21"/>
              </w:rPr>
              <w:t>2,818</w:t>
            </w:r>
          </w:p>
          <w:p>
            <w:pPr>
              <w:pStyle w:val="TableParagraph"/>
              <w:spacing w:line="240" w:lineRule="auto" w:before="70"/>
              <w:ind w:left="191" w:right="0"/>
              <w:jc w:val="left"/>
              <w:rPr>
                <w:rFonts w:ascii="Times New Roman" w:hAnsi="Times New Roman" w:cs="Times New Roman" w:eastAsia="Times New Roman" w:hint="default"/>
                <w:sz w:val="21"/>
                <w:szCs w:val="21"/>
              </w:rPr>
            </w:pPr>
            <w:r>
              <w:rPr>
                <w:rFonts w:ascii="Times New Roman"/>
                <w:sz w:val="21"/>
              </w:rPr>
              <w:t>,718,</w:t>
            </w:r>
          </w:p>
          <w:p>
            <w:pPr>
              <w:pStyle w:val="TableParagraph"/>
              <w:spacing w:line="240" w:lineRule="auto" w:before="70"/>
              <w:ind w:left="139" w:right="0"/>
              <w:jc w:val="left"/>
              <w:rPr>
                <w:rFonts w:ascii="Times New Roman" w:hAnsi="Times New Roman" w:cs="Times New Roman" w:eastAsia="Times New Roman" w:hint="default"/>
                <w:sz w:val="21"/>
                <w:szCs w:val="21"/>
              </w:rPr>
            </w:pPr>
            <w:r>
              <w:rPr>
                <w:rFonts w:ascii="Times New Roman"/>
                <w:sz w:val="21"/>
              </w:rPr>
              <w:t>845.6</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150,0</w:t>
            </w:r>
          </w:p>
          <w:p>
            <w:pPr>
              <w:pStyle w:val="TableParagraph"/>
              <w:spacing w:line="240" w:lineRule="auto" w:before="65"/>
              <w:ind w:left="48" w:right="0"/>
              <w:jc w:val="center"/>
              <w:rPr>
                <w:rFonts w:ascii="Times New Roman" w:hAnsi="Times New Roman" w:cs="Times New Roman" w:eastAsia="Times New Roman" w:hint="default"/>
                <w:sz w:val="21"/>
                <w:szCs w:val="21"/>
              </w:rPr>
            </w:pPr>
            <w:r>
              <w:rPr>
                <w:rFonts w:ascii="Times New Roman"/>
                <w:sz w:val="21"/>
              </w:rPr>
              <w:t>33,63</w:t>
            </w:r>
          </w:p>
          <w:p>
            <w:pPr>
              <w:pStyle w:val="TableParagraph"/>
              <w:spacing w:line="240" w:lineRule="auto" w:before="75"/>
              <w:ind w:left="144" w:right="0"/>
              <w:jc w:val="center"/>
              <w:rPr>
                <w:rFonts w:ascii="Times New Roman" w:hAnsi="Times New Roman" w:cs="Times New Roman" w:eastAsia="Times New Roman" w:hint="default"/>
                <w:sz w:val="21"/>
                <w:szCs w:val="21"/>
              </w:rPr>
            </w:pPr>
            <w:r>
              <w:rPr>
                <w:rFonts w:ascii="Times New Roman"/>
                <w:sz w:val="21"/>
              </w:rPr>
              <w:t>7.57</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50,10</w:t>
            </w:r>
          </w:p>
          <w:p>
            <w:pPr>
              <w:pStyle w:val="TableParagraph"/>
              <w:spacing w:line="240" w:lineRule="auto" w:before="65"/>
              <w:ind w:left="143" w:right="0"/>
              <w:jc w:val="left"/>
              <w:rPr>
                <w:rFonts w:ascii="Times New Roman" w:hAnsi="Times New Roman" w:cs="Times New Roman" w:eastAsia="Times New Roman" w:hint="default"/>
                <w:sz w:val="21"/>
                <w:szCs w:val="21"/>
              </w:rPr>
            </w:pPr>
            <w:r>
              <w:rPr>
                <w:rFonts w:ascii="Times New Roman"/>
                <w:sz w:val="21"/>
              </w:rPr>
              <w:t>0,751</w:t>
            </w:r>
          </w:p>
          <w:p>
            <w:pPr>
              <w:pStyle w:val="TableParagraph"/>
              <w:spacing w:line="240" w:lineRule="auto" w:before="75"/>
              <w:ind w:left="350" w:right="0"/>
              <w:jc w:val="left"/>
              <w:rPr>
                <w:rFonts w:ascii="Times New Roman" w:hAnsi="Times New Roman" w:cs="Times New Roman" w:eastAsia="Times New Roman" w:hint="default"/>
                <w:sz w:val="21"/>
                <w:szCs w:val="21"/>
              </w:rPr>
            </w:pPr>
            <w:r>
              <w:rPr>
                <w:rFonts w:ascii="Times New Roman"/>
                <w:sz w:val="21"/>
              </w:rPr>
              <w:t>.87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206,10</w:t>
            </w:r>
          </w:p>
          <w:p>
            <w:pPr>
              <w:pStyle w:val="TableParagraph"/>
              <w:spacing w:line="240" w:lineRule="auto" w:before="65"/>
              <w:ind w:right="95"/>
              <w:jc w:val="right"/>
              <w:rPr>
                <w:rFonts w:ascii="Times New Roman" w:hAnsi="Times New Roman" w:cs="Times New Roman" w:eastAsia="Times New Roman" w:hint="default"/>
                <w:sz w:val="21"/>
                <w:szCs w:val="21"/>
              </w:rPr>
            </w:pPr>
            <w:r>
              <w:rPr>
                <w:rFonts w:ascii="Times New Roman"/>
                <w:sz w:val="21"/>
              </w:rPr>
              <w:t>2,360.8</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5</w:t>
            </w: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3,616,</w:t>
            </w:r>
          </w:p>
          <w:p>
            <w:pPr>
              <w:pStyle w:val="TableParagraph"/>
              <w:spacing w:line="240" w:lineRule="auto" w:before="65"/>
              <w:ind w:left="124" w:right="0"/>
              <w:jc w:val="left"/>
              <w:rPr>
                <w:rFonts w:ascii="Times New Roman" w:hAnsi="Times New Roman" w:cs="Times New Roman" w:eastAsia="Times New Roman" w:hint="default"/>
                <w:sz w:val="21"/>
                <w:szCs w:val="21"/>
              </w:rPr>
            </w:pPr>
            <w:r>
              <w:rPr>
                <w:rFonts w:ascii="Times New Roman"/>
                <w:sz w:val="21"/>
              </w:rPr>
              <w:t>394,23</w:t>
            </w:r>
          </w:p>
          <w:p>
            <w:pPr>
              <w:pStyle w:val="TableParagraph"/>
              <w:spacing w:line="240" w:lineRule="auto" w:before="75"/>
              <w:ind w:left="229" w:right="0"/>
              <w:jc w:val="center"/>
              <w:rPr>
                <w:rFonts w:ascii="Times New Roman" w:hAnsi="Times New Roman" w:cs="Times New Roman" w:eastAsia="Times New Roman" w:hint="default"/>
                <w:sz w:val="21"/>
                <w:szCs w:val="21"/>
              </w:rPr>
            </w:pPr>
            <w:r>
              <w:rPr>
                <w:rFonts w:ascii="Times New Roman"/>
                <w:sz w:val="21"/>
              </w:rPr>
              <w:t>5.78</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47"/>
              <w:ind w:left="105" w:right="132"/>
              <w:jc w:val="left"/>
              <w:rPr>
                <w:rFonts w:ascii="宋体" w:hAnsi="宋体" w:cs="宋体" w:eastAsia="宋体" w:hint="default"/>
                <w:sz w:val="21"/>
                <w:szCs w:val="21"/>
              </w:rPr>
            </w:pPr>
            <w:r>
              <w:rPr>
                <w:rFonts w:ascii="宋体" w:hAnsi="宋体" w:cs="宋体" w:eastAsia="宋体" w:hint="default"/>
                <w:sz w:val="21"/>
                <w:szCs w:val="21"/>
              </w:rPr>
              <w:t>三、本期增</w:t>
            </w:r>
            <w:r>
              <w:rPr>
                <w:rFonts w:ascii="宋体" w:hAnsi="宋体" w:cs="宋体" w:eastAsia="宋体" w:hint="default"/>
                <w:spacing w:val="-99"/>
                <w:sz w:val="21"/>
                <w:szCs w:val="21"/>
              </w:rPr>
              <w:t> </w:t>
            </w:r>
            <w:r>
              <w:rPr>
                <w:rFonts w:ascii="宋体" w:hAnsi="宋体" w:cs="宋体" w:eastAsia="宋体" w:hint="default"/>
                <w:sz w:val="21"/>
                <w:szCs w:val="21"/>
              </w:rPr>
              <w:t>减变动金额</w:t>
            </w:r>
          </w:p>
          <w:p>
            <w:pPr>
              <w:pStyle w:val="TableParagraph"/>
              <w:spacing w:line="240" w:lineRule="auto" w:before="12"/>
              <w:ind w:left="105" w:right="0"/>
              <w:jc w:val="left"/>
              <w:rPr>
                <w:rFonts w:ascii="宋体" w:hAnsi="宋体" w:cs="宋体" w:eastAsia="宋体" w:hint="default"/>
                <w:sz w:val="21"/>
                <w:szCs w:val="21"/>
              </w:rPr>
            </w:pPr>
            <w:r>
              <w:rPr>
                <w:rFonts w:ascii="宋体" w:hAnsi="宋体" w:cs="宋体" w:eastAsia="宋体" w:hint="default"/>
                <w:sz w:val="21"/>
                <w:szCs w:val="21"/>
              </w:rPr>
              <w:t>（减少以</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874,5</w:t>
            </w:r>
          </w:p>
          <w:p>
            <w:pPr>
              <w:pStyle w:val="TableParagraph"/>
              <w:spacing w:line="240" w:lineRule="auto" w:before="75"/>
              <w:ind w:left="143" w:right="0"/>
              <w:jc w:val="left"/>
              <w:rPr>
                <w:rFonts w:ascii="Times New Roman" w:hAnsi="Times New Roman" w:cs="Times New Roman" w:eastAsia="Times New Roman" w:hint="default"/>
                <w:sz w:val="21"/>
                <w:szCs w:val="21"/>
              </w:rPr>
            </w:pPr>
            <w:r>
              <w:rPr>
                <w:rFonts w:ascii="Times New Roman"/>
                <w:sz w:val="21"/>
              </w:rPr>
              <w:t>21.91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-27,571</w:t>
            </w:r>
          </w:p>
          <w:p>
            <w:pPr>
              <w:pStyle w:val="TableParagraph"/>
              <w:spacing w:line="240" w:lineRule="auto" w:before="75"/>
              <w:ind w:left="129" w:right="0"/>
              <w:jc w:val="left"/>
              <w:rPr>
                <w:rFonts w:ascii="Times New Roman" w:hAnsi="Times New Roman" w:cs="Times New Roman" w:eastAsia="Times New Roman" w:hint="default"/>
                <w:sz w:val="21"/>
                <w:szCs w:val="21"/>
              </w:rPr>
            </w:pPr>
            <w:r>
              <w:rPr>
                <w:rFonts w:ascii="Times New Roman"/>
                <w:sz w:val="21"/>
              </w:rPr>
              <w:t>,654.65</w:t>
            </w: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8" w:right="0"/>
              <w:jc w:val="left"/>
              <w:rPr>
                <w:rFonts w:ascii="Times New Roman" w:hAnsi="Times New Roman" w:cs="Times New Roman" w:eastAsia="Times New Roman" w:hint="default"/>
                <w:sz w:val="21"/>
                <w:szCs w:val="21"/>
              </w:rPr>
            </w:pPr>
            <w:r>
              <w:rPr>
                <w:rFonts w:ascii="Times New Roman"/>
                <w:sz w:val="21"/>
              </w:rPr>
              <w:t>-26,69</w:t>
            </w:r>
          </w:p>
          <w:p>
            <w:pPr>
              <w:pStyle w:val="TableParagraph"/>
              <w:spacing w:line="240" w:lineRule="auto" w:before="65"/>
              <w:ind w:left="177" w:right="0"/>
              <w:jc w:val="left"/>
              <w:rPr>
                <w:rFonts w:ascii="Times New Roman" w:hAnsi="Times New Roman" w:cs="Times New Roman" w:eastAsia="Times New Roman" w:hint="default"/>
                <w:sz w:val="21"/>
                <w:szCs w:val="21"/>
              </w:rPr>
            </w:pPr>
            <w:r>
              <w:rPr>
                <w:rFonts w:ascii="Times New Roman"/>
                <w:sz w:val="21"/>
              </w:rPr>
              <w:t>7,132.</w:t>
            </w:r>
          </w:p>
          <w:p>
            <w:pPr>
              <w:pStyle w:val="TableParagraph"/>
              <w:spacing w:line="240" w:lineRule="auto" w:before="75"/>
              <w:ind w:left="489" w:right="0"/>
              <w:jc w:val="left"/>
              <w:rPr>
                <w:rFonts w:ascii="Times New Roman" w:hAnsi="Times New Roman" w:cs="Times New Roman" w:eastAsia="Times New Roman" w:hint="default"/>
                <w:sz w:val="21"/>
                <w:szCs w:val="21"/>
              </w:rPr>
            </w:pPr>
            <w:r>
              <w:rPr>
                <w:rFonts w:ascii="Times New Roman"/>
                <w:sz w:val="21"/>
              </w:rPr>
              <w:t>74</w:t>
            </w:r>
          </w:p>
        </w:tc>
      </w:tr>
    </w:tbl>
    <w:p>
      <w:pPr>
        <w:spacing w:after="0" w:line="240" w:lineRule="auto"/>
        <w:jc w:val="left"/>
        <w:rPr>
          <w:rFonts w:ascii="Times New Roman" w:hAnsi="Times New Roman" w:cs="Times New Roman" w:eastAsia="Times New Roman" w:hint="default"/>
          <w:sz w:val="21"/>
          <w:szCs w:val="21"/>
        </w:rPr>
        <w:sectPr>
          <w:pgSz w:w="11910" w:h="16840"/>
          <w:pgMar w:header="906" w:footer="1022" w:top="1100" w:bottom="1220" w:left="68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869"/>
        <w:gridCol w:w="720"/>
        <w:gridCol w:w="812"/>
      </w:tblGrid>
      <w:tr>
        <w:trPr>
          <w:trHeight w:val="67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“－”号填</w:t>
            </w:r>
          </w:p>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105" w:right="132"/>
              <w:jc w:val="left"/>
              <w:rPr>
                <w:rFonts w:ascii="宋体" w:hAnsi="宋体" w:cs="宋体" w:eastAsia="宋体" w:hint="default"/>
                <w:sz w:val="21"/>
                <w:szCs w:val="21"/>
              </w:rPr>
            </w:pPr>
            <w:r>
              <w:rPr>
                <w:rFonts w:ascii="宋体" w:hAnsi="宋体" w:cs="宋体" w:eastAsia="宋体" w:hint="default"/>
                <w:sz w:val="21"/>
                <w:szCs w:val="21"/>
              </w:rPr>
              <w:t>（一）综合</w:t>
            </w:r>
            <w:r>
              <w:rPr>
                <w:rFonts w:ascii="宋体" w:hAnsi="宋体" w:cs="宋体" w:eastAsia="宋体" w:hint="default"/>
                <w:spacing w:val="-99"/>
                <w:sz w:val="21"/>
                <w:szCs w:val="21"/>
              </w:rPr>
              <w:t> </w:t>
            </w:r>
            <w:r>
              <w:rPr>
                <w:rFonts w:ascii="宋体" w:hAnsi="宋体" w:cs="宋体" w:eastAsia="宋体" w:hint="default"/>
                <w:sz w:val="21"/>
                <w:szCs w:val="21"/>
              </w:rPr>
              <w:t>收益总额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29" w:right="0"/>
              <w:jc w:val="left"/>
              <w:rPr>
                <w:rFonts w:ascii="Times New Roman" w:hAnsi="Times New Roman" w:cs="Times New Roman" w:eastAsia="Times New Roman" w:hint="default"/>
                <w:sz w:val="21"/>
                <w:szCs w:val="21"/>
              </w:rPr>
            </w:pPr>
            <w:r>
              <w:rPr>
                <w:rFonts w:ascii="Times New Roman"/>
                <w:sz w:val="21"/>
              </w:rPr>
              <w:t>12,672,</w:t>
            </w:r>
          </w:p>
          <w:p>
            <w:pPr>
              <w:pStyle w:val="TableParagraph"/>
              <w:spacing w:line="240" w:lineRule="auto" w:before="70"/>
              <w:ind w:left="182" w:right="0"/>
              <w:jc w:val="left"/>
              <w:rPr>
                <w:rFonts w:ascii="Times New Roman" w:hAnsi="Times New Roman" w:cs="Times New Roman" w:eastAsia="Times New Roman" w:hint="default"/>
                <w:sz w:val="21"/>
                <w:szCs w:val="21"/>
              </w:rPr>
            </w:pPr>
            <w:r>
              <w:rPr>
                <w:rFonts w:ascii="Times New Roman"/>
                <w:sz w:val="21"/>
              </w:rPr>
              <w:t>659.12</w:t>
            </w: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12,672</w:t>
            </w:r>
          </w:p>
          <w:p>
            <w:pPr>
              <w:pStyle w:val="TableParagraph"/>
              <w:spacing w:line="240" w:lineRule="auto" w:before="71"/>
              <w:ind w:right="94"/>
              <w:jc w:val="right"/>
              <w:rPr>
                <w:rFonts w:ascii="Times New Roman" w:hAnsi="Times New Roman" w:cs="Times New Roman" w:eastAsia="Times New Roman" w:hint="default"/>
                <w:sz w:val="21"/>
                <w:szCs w:val="21"/>
              </w:rPr>
            </w:pPr>
            <w:r>
              <w:rPr>
                <w:rFonts w:ascii="Times New Roman"/>
                <w:sz w:val="21"/>
              </w:rPr>
              <w:t>,659.1</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w w:val="100"/>
                <w:sz w:val="21"/>
              </w:rPr>
              <w:t>2</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32"/>
              <w:jc w:val="both"/>
              <w:rPr>
                <w:rFonts w:ascii="宋体" w:hAnsi="宋体" w:cs="宋体" w:eastAsia="宋体" w:hint="default"/>
                <w:sz w:val="21"/>
                <w:szCs w:val="21"/>
              </w:rPr>
            </w:pPr>
            <w:r>
              <w:rPr>
                <w:rFonts w:ascii="宋体" w:hAnsi="宋体" w:cs="宋体" w:eastAsia="宋体" w:hint="default"/>
                <w:sz w:val="21"/>
                <w:szCs w:val="21"/>
              </w:rPr>
              <w:t>（二）所有</w:t>
            </w:r>
            <w:r>
              <w:rPr>
                <w:rFonts w:ascii="宋体" w:hAnsi="宋体" w:cs="宋体" w:eastAsia="宋体" w:hint="default"/>
                <w:spacing w:val="-99"/>
                <w:sz w:val="21"/>
                <w:szCs w:val="21"/>
              </w:rPr>
              <w:t> </w:t>
            </w:r>
            <w:r>
              <w:rPr>
                <w:rFonts w:ascii="宋体" w:hAnsi="宋体" w:cs="宋体" w:eastAsia="宋体" w:hint="default"/>
                <w:sz w:val="21"/>
                <w:szCs w:val="21"/>
              </w:rPr>
              <w:t>者投入和减</w:t>
            </w:r>
            <w:r>
              <w:rPr>
                <w:rFonts w:ascii="宋体" w:hAnsi="宋体" w:cs="宋体" w:eastAsia="宋体" w:hint="default"/>
                <w:spacing w:val="-99"/>
                <w:sz w:val="21"/>
                <w:szCs w:val="21"/>
              </w:rPr>
              <w:t> </w:t>
            </w:r>
            <w:r>
              <w:rPr>
                <w:rFonts w:ascii="宋体" w:hAnsi="宋体" w:cs="宋体" w:eastAsia="宋体" w:hint="default"/>
                <w:sz w:val="21"/>
                <w:szCs w:val="21"/>
              </w:rPr>
              <w:t>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94"/>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．所有者投</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入的普通股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105" w:right="94"/>
              <w:jc w:val="both"/>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．其他权益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工具持有者</w:t>
            </w:r>
            <w:r>
              <w:rPr>
                <w:rFonts w:ascii="宋体" w:hAnsi="宋体" w:cs="宋体" w:eastAsia="宋体" w:hint="default"/>
                <w:spacing w:val="-99"/>
                <w:sz w:val="21"/>
                <w:szCs w:val="21"/>
              </w:rPr>
              <w:t> </w:t>
            </w:r>
            <w:r>
              <w:rPr>
                <w:rFonts w:ascii="宋体" w:hAnsi="宋体" w:cs="宋体" w:eastAsia="宋体" w:hint="default"/>
                <w:sz w:val="21"/>
                <w:szCs w:val="21"/>
              </w:rPr>
              <w:t>投入资本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05" w:right="94"/>
              <w:jc w:val="both"/>
              <w:rPr>
                <w:rFonts w:ascii="宋体" w:hAnsi="宋体" w:cs="宋体" w:eastAsia="宋体" w:hint="default"/>
                <w:sz w:val="21"/>
                <w:szCs w:val="21"/>
              </w:rPr>
            </w:pPr>
            <w:r>
              <w:rPr>
                <w:rFonts w:ascii="Times New Roman" w:hAnsi="Times New Roman" w:cs="Times New Roman" w:eastAsia="Times New Roman" w:hint="default"/>
                <w:spacing w:val="-12"/>
                <w:sz w:val="21"/>
                <w:szCs w:val="21"/>
              </w:rPr>
              <w:t>3</w:t>
            </w:r>
            <w:r>
              <w:rPr>
                <w:rFonts w:ascii="宋体" w:hAnsi="宋体" w:cs="宋体" w:eastAsia="宋体" w:hint="default"/>
                <w:spacing w:val="-12"/>
                <w:sz w:val="21"/>
                <w:szCs w:val="21"/>
              </w:rPr>
              <w:t>．股份支付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计入所有者</w:t>
            </w:r>
            <w:r>
              <w:rPr>
                <w:rFonts w:ascii="宋体" w:hAnsi="宋体" w:cs="宋体" w:eastAsia="宋体" w:hint="default"/>
                <w:spacing w:val="-99"/>
                <w:sz w:val="21"/>
                <w:szCs w:val="21"/>
              </w:rPr>
              <w:t> </w:t>
            </w:r>
            <w:r>
              <w:rPr>
                <w:rFonts w:ascii="宋体" w:hAnsi="宋体" w:cs="宋体" w:eastAsia="宋体" w:hint="default"/>
                <w:sz w:val="21"/>
                <w:szCs w:val="21"/>
              </w:rPr>
              <w:t>权益的金额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6" w:lineRule="auto"/>
              <w:ind w:left="105" w:right="132"/>
              <w:jc w:val="left"/>
              <w:rPr>
                <w:rFonts w:ascii="宋体" w:hAnsi="宋体" w:cs="宋体" w:eastAsia="宋体" w:hint="default"/>
                <w:sz w:val="21"/>
                <w:szCs w:val="21"/>
              </w:rPr>
            </w:pPr>
            <w:r>
              <w:rPr>
                <w:rFonts w:ascii="宋体" w:hAnsi="宋体" w:cs="宋体" w:eastAsia="宋体" w:hint="default"/>
                <w:sz w:val="21"/>
                <w:szCs w:val="21"/>
              </w:rPr>
              <w:t>（三）利润</w:t>
            </w:r>
            <w:r>
              <w:rPr>
                <w:rFonts w:ascii="宋体" w:hAnsi="宋体" w:cs="宋体" w:eastAsia="宋体" w:hint="default"/>
                <w:spacing w:val="-99"/>
                <w:sz w:val="21"/>
                <w:szCs w:val="21"/>
              </w:rPr>
              <w:t> </w:t>
            </w:r>
            <w:r>
              <w:rPr>
                <w:rFonts w:ascii="宋体" w:hAnsi="宋体" w:cs="宋体" w:eastAsia="宋体" w:hint="default"/>
                <w:sz w:val="21"/>
                <w:szCs w:val="21"/>
              </w:rPr>
              <w:t>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43" w:right="0"/>
              <w:jc w:val="left"/>
              <w:rPr>
                <w:rFonts w:ascii="Times New Roman" w:hAnsi="Times New Roman" w:cs="Times New Roman" w:eastAsia="Times New Roman" w:hint="default"/>
                <w:sz w:val="21"/>
                <w:szCs w:val="21"/>
              </w:rPr>
            </w:pPr>
            <w:r>
              <w:rPr>
                <w:rFonts w:ascii="Times New Roman"/>
                <w:sz w:val="21"/>
              </w:rPr>
              <w:t>1,267</w:t>
            </w:r>
          </w:p>
          <w:p>
            <w:pPr>
              <w:pStyle w:val="TableParagraph"/>
              <w:spacing w:line="240" w:lineRule="auto" w:before="65"/>
              <w:ind w:left="196" w:right="0"/>
              <w:jc w:val="left"/>
              <w:rPr>
                <w:rFonts w:ascii="Times New Roman" w:hAnsi="Times New Roman" w:cs="Times New Roman" w:eastAsia="Times New Roman" w:hint="default"/>
                <w:sz w:val="21"/>
                <w:szCs w:val="21"/>
              </w:rPr>
            </w:pPr>
            <w:r>
              <w:rPr>
                <w:rFonts w:ascii="Times New Roman"/>
                <w:sz w:val="21"/>
              </w:rPr>
              <w:t>,265.</w:t>
            </w:r>
          </w:p>
          <w:p>
            <w:pPr>
              <w:pStyle w:val="TableParagraph"/>
              <w:spacing w:line="240" w:lineRule="auto" w:before="75"/>
              <w:ind w:left="403" w:right="0"/>
              <w:jc w:val="left"/>
              <w:rPr>
                <w:rFonts w:ascii="Times New Roman" w:hAnsi="Times New Roman" w:cs="Times New Roman" w:eastAsia="Times New Roman" w:hint="default"/>
                <w:sz w:val="21"/>
                <w:szCs w:val="21"/>
              </w:rPr>
            </w:pPr>
            <w:r>
              <w:rPr>
                <w:rFonts w:ascii="Times New Roman"/>
                <w:sz w:val="21"/>
              </w:rPr>
              <w:t>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-36,709</w:t>
            </w:r>
          </w:p>
          <w:p>
            <w:pPr>
              <w:pStyle w:val="TableParagraph"/>
              <w:spacing w:line="240" w:lineRule="auto" w:before="75"/>
              <w:ind w:left="129" w:right="0"/>
              <w:jc w:val="left"/>
              <w:rPr>
                <w:rFonts w:ascii="Times New Roman" w:hAnsi="Times New Roman" w:cs="Times New Roman" w:eastAsia="Times New Roman" w:hint="default"/>
                <w:sz w:val="21"/>
                <w:szCs w:val="21"/>
              </w:rPr>
            </w:pPr>
            <w:r>
              <w:rPr>
                <w:rFonts w:ascii="Times New Roman"/>
                <w:sz w:val="21"/>
              </w:rPr>
              <w:t>,617.77</w:t>
            </w: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58" w:right="0"/>
              <w:jc w:val="left"/>
              <w:rPr>
                <w:rFonts w:ascii="Times New Roman" w:hAnsi="Times New Roman" w:cs="Times New Roman" w:eastAsia="Times New Roman" w:hint="default"/>
                <w:sz w:val="21"/>
                <w:szCs w:val="21"/>
              </w:rPr>
            </w:pPr>
            <w:r>
              <w:rPr>
                <w:rFonts w:ascii="Times New Roman"/>
                <w:sz w:val="21"/>
              </w:rPr>
              <w:t>-35,44</w:t>
            </w:r>
          </w:p>
          <w:p>
            <w:pPr>
              <w:pStyle w:val="TableParagraph"/>
              <w:spacing w:line="240" w:lineRule="auto" w:before="65"/>
              <w:ind w:left="177" w:right="0"/>
              <w:jc w:val="left"/>
              <w:rPr>
                <w:rFonts w:ascii="Times New Roman" w:hAnsi="Times New Roman" w:cs="Times New Roman" w:eastAsia="Times New Roman" w:hint="default"/>
                <w:sz w:val="21"/>
                <w:szCs w:val="21"/>
              </w:rPr>
            </w:pPr>
            <w:r>
              <w:rPr>
                <w:rFonts w:ascii="Times New Roman"/>
                <w:sz w:val="21"/>
              </w:rPr>
              <w:t>2,351.</w:t>
            </w:r>
          </w:p>
          <w:p>
            <w:pPr>
              <w:pStyle w:val="TableParagraph"/>
              <w:spacing w:line="240" w:lineRule="auto" w:before="75"/>
              <w:ind w:left="489" w:right="0"/>
              <w:jc w:val="left"/>
              <w:rPr>
                <w:rFonts w:ascii="Times New Roman" w:hAnsi="Times New Roman" w:cs="Times New Roman" w:eastAsia="Times New Roman" w:hint="default"/>
                <w:sz w:val="21"/>
                <w:szCs w:val="21"/>
              </w:rPr>
            </w:pPr>
            <w:r>
              <w:rPr>
                <w:rFonts w:ascii="Times New Roman"/>
                <w:sz w:val="21"/>
              </w:rPr>
              <w:t>86</w:t>
            </w: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61" w:lineRule="auto"/>
              <w:ind w:left="105" w:right="94"/>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．提取盈余</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1,267</w:t>
            </w:r>
          </w:p>
          <w:p>
            <w:pPr>
              <w:pStyle w:val="TableParagraph"/>
              <w:spacing w:line="240" w:lineRule="auto" w:before="65"/>
              <w:ind w:left="196" w:right="0"/>
              <w:jc w:val="left"/>
              <w:rPr>
                <w:rFonts w:ascii="Times New Roman" w:hAnsi="Times New Roman" w:cs="Times New Roman" w:eastAsia="Times New Roman" w:hint="default"/>
                <w:sz w:val="21"/>
                <w:szCs w:val="21"/>
              </w:rPr>
            </w:pPr>
            <w:r>
              <w:rPr>
                <w:rFonts w:ascii="Times New Roman"/>
                <w:sz w:val="21"/>
              </w:rPr>
              <w:t>,265.</w:t>
            </w:r>
          </w:p>
          <w:p>
            <w:pPr>
              <w:pStyle w:val="TableParagraph"/>
              <w:spacing w:line="240" w:lineRule="auto" w:before="75"/>
              <w:ind w:left="403" w:right="0"/>
              <w:jc w:val="left"/>
              <w:rPr>
                <w:rFonts w:ascii="Times New Roman" w:hAnsi="Times New Roman" w:cs="Times New Roman" w:eastAsia="Times New Roman" w:hint="default"/>
                <w:sz w:val="21"/>
                <w:szCs w:val="21"/>
              </w:rPr>
            </w:pPr>
            <w:r>
              <w:rPr>
                <w:rFonts w:ascii="Times New Roman"/>
                <w:sz w:val="21"/>
              </w:rPr>
              <w:t>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Times New Roman" w:hAnsi="Times New Roman" w:cs="Times New Roman" w:eastAsia="Times New Roman" w:hint="default"/>
                <w:sz w:val="21"/>
                <w:szCs w:val="21"/>
              </w:rPr>
            </w:pPr>
            <w:r>
              <w:rPr>
                <w:rFonts w:ascii="Times New Roman"/>
                <w:sz w:val="21"/>
              </w:rPr>
              <w:t>-1,267,</w:t>
            </w:r>
          </w:p>
          <w:p>
            <w:pPr>
              <w:pStyle w:val="TableParagraph"/>
              <w:spacing w:line="240" w:lineRule="auto" w:before="75"/>
              <w:ind w:left="182" w:right="0"/>
              <w:jc w:val="left"/>
              <w:rPr>
                <w:rFonts w:ascii="Times New Roman" w:hAnsi="Times New Roman" w:cs="Times New Roman" w:eastAsia="Times New Roman" w:hint="default"/>
                <w:sz w:val="21"/>
                <w:szCs w:val="21"/>
              </w:rPr>
            </w:pPr>
            <w:r>
              <w:rPr>
                <w:rFonts w:ascii="Times New Roman"/>
                <w:sz w:val="21"/>
              </w:rPr>
              <w:t>265.91</w:t>
            </w: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．对所有者</w:t>
            </w:r>
          </w:p>
          <w:p>
            <w:pPr>
              <w:pStyle w:val="TableParagraph"/>
              <w:spacing w:line="276" w:lineRule="auto" w:before="21"/>
              <w:ind w:left="105" w:right="132"/>
              <w:jc w:val="left"/>
              <w:rPr>
                <w:rFonts w:ascii="宋体" w:hAnsi="宋体" w:cs="宋体" w:eastAsia="宋体" w:hint="default"/>
                <w:sz w:val="21"/>
                <w:szCs w:val="21"/>
              </w:rPr>
            </w:pPr>
            <w:r>
              <w:rPr>
                <w:rFonts w:ascii="宋体" w:hAnsi="宋体" w:cs="宋体" w:eastAsia="宋体" w:hint="default"/>
                <w:sz w:val="21"/>
                <w:szCs w:val="21"/>
              </w:rPr>
              <w:t>（或股东）</w:t>
            </w:r>
            <w:r>
              <w:rPr>
                <w:rFonts w:ascii="宋体" w:hAnsi="宋体" w:cs="宋体" w:eastAsia="宋体" w:hint="default"/>
                <w:spacing w:val="-99"/>
                <w:sz w:val="21"/>
                <w:szCs w:val="21"/>
              </w:rPr>
              <w:t> </w:t>
            </w:r>
            <w:r>
              <w:rPr>
                <w:rFonts w:ascii="宋体" w:hAnsi="宋体" w:cs="宋体" w:eastAsia="宋体" w:hint="default"/>
                <w:sz w:val="21"/>
                <w:szCs w:val="21"/>
              </w:rPr>
              <w:t>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-35,442</w:t>
            </w:r>
          </w:p>
          <w:p>
            <w:pPr>
              <w:pStyle w:val="TableParagraph"/>
              <w:spacing w:line="240" w:lineRule="auto" w:before="70"/>
              <w:ind w:left="129" w:right="0"/>
              <w:jc w:val="left"/>
              <w:rPr>
                <w:rFonts w:ascii="Times New Roman" w:hAnsi="Times New Roman" w:cs="Times New Roman" w:eastAsia="Times New Roman" w:hint="default"/>
                <w:sz w:val="21"/>
                <w:szCs w:val="21"/>
              </w:rPr>
            </w:pPr>
            <w:r>
              <w:rPr>
                <w:rFonts w:ascii="Times New Roman"/>
                <w:sz w:val="21"/>
              </w:rPr>
              <w:t>,351.86</w:t>
            </w: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8" w:right="0"/>
              <w:jc w:val="left"/>
              <w:rPr>
                <w:rFonts w:ascii="Times New Roman" w:hAnsi="Times New Roman" w:cs="Times New Roman" w:eastAsia="Times New Roman" w:hint="default"/>
                <w:sz w:val="21"/>
                <w:szCs w:val="21"/>
              </w:rPr>
            </w:pPr>
            <w:r>
              <w:rPr>
                <w:rFonts w:ascii="Times New Roman"/>
                <w:sz w:val="21"/>
              </w:rPr>
              <w:t>-35,44</w:t>
            </w:r>
          </w:p>
          <w:p>
            <w:pPr>
              <w:pStyle w:val="TableParagraph"/>
              <w:spacing w:line="240" w:lineRule="auto" w:before="70"/>
              <w:ind w:left="177" w:right="0"/>
              <w:jc w:val="left"/>
              <w:rPr>
                <w:rFonts w:ascii="Times New Roman" w:hAnsi="Times New Roman" w:cs="Times New Roman" w:eastAsia="Times New Roman" w:hint="default"/>
                <w:sz w:val="21"/>
                <w:szCs w:val="21"/>
              </w:rPr>
            </w:pPr>
            <w:r>
              <w:rPr>
                <w:rFonts w:ascii="Times New Roman"/>
                <w:sz w:val="21"/>
              </w:rPr>
              <w:t>2,351.</w:t>
            </w:r>
          </w:p>
          <w:p>
            <w:pPr>
              <w:pStyle w:val="TableParagraph"/>
              <w:spacing w:line="240" w:lineRule="auto" w:before="75"/>
              <w:ind w:left="489" w:right="0"/>
              <w:jc w:val="left"/>
              <w:rPr>
                <w:rFonts w:ascii="Times New Roman" w:hAnsi="Times New Roman" w:cs="Times New Roman" w:eastAsia="Times New Roman" w:hint="default"/>
                <w:sz w:val="21"/>
                <w:szCs w:val="21"/>
              </w:rPr>
            </w:pPr>
            <w:r>
              <w:rPr>
                <w:rFonts w:ascii="Times New Roman"/>
                <w:sz w:val="21"/>
              </w:rPr>
              <w:t>86</w:t>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05" w:right="132"/>
              <w:jc w:val="both"/>
              <w:rPr>
                <w:rFonts w:ascii="宋体" w:hAnsi="宋体" w:cs="宋体" w:eastAsia="宋体" w:hint="default"/>
                <w:sz w:val="21"/>
                <w:szCs w:val="21"/>
              </w:rPr>
            </w:pPr>
            <w:r>
              <w:rPr>
                <w:rFonts w:ascii="宋体" w:hAnsi="宋体" w:cs="宋体" w:eastAsia="宋体" w:hint="default"/>
                <w:sz w:val="21"/>
                <w:szCs w:val="21"/>
              </w:rPr>
              <w:t>（四）所有</w:t>
            </w:r>
            <w:r>
              <w:rPr>
                <w:rFonts w:ascii="宋体" w:hAnsi="宋体" w:cs="宋体" w:eastAsia="宋体" w:hint="default"/>
                <w:spacing w:val="-99"/>
                <w:sz w:val="21"/>
                <w:szCs w:val="21"/>
              </w:rPr>
              <w:t> </w:t>
            </w:r>
            <w:r>
              <w:rPr>
                <w:rFonts w:ascii="宋体" w:hAnsi="宋体" w:cs="宋体" w:eastAsia="宋体" w:hint="default"/>
                <w:sz w:val="21"/>
                <w:szCs w:val="21"/>
              </w:rPr>
              <w:t>者权益内部</w:t>
            </w:r>
            <w:r>
              <w:rPr>
                <w:rFonts w:ascii="宋体" w:hAnsi="宋体" w:cs="宋体" w:eastAsia="宋体" w:hint="default"/>
                <w:spacing w:val="-99"/>
                <w:sz w:val="21"/>
                <w:szCs w:val="21"/>
              </w:rPr>
              <w:t> </w:t>
            </w:r>
            <w:r>
              <w:rPr>
                <w:rFonts w:ascii="宋体" w:hAnsi="宋体" w:cs="宋体" w:eastAsia="宋体" w:hint="default"/>
                <w:sz w:val="21"/>
                <w:szCs w:val="21"/>
              </w:rPr>
              <w:t>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auto" w:before="28"/>
              <w:ind w:left="105" w:right="94"/>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．资本公积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转增资本</w:t>
            </w:r>
          </w:p>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94"/>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．盈余公积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转增资本</w:t>
            </w:r>
          </w:p>
          <w:p>
            <w:pPr>
              <w:pStyle w:val="TableParagraph"/>
              <w:spacing w:line="240" w:lineRule="auto" w:before="27"/>
              <w:ind w:left="105" w:right="0"/>
              <w:jc w:val="left"/>
              <w:rPr>
                <w:rFonts w:ascii="宋体" w:hAnsi="宋体" w:cs="宋体" w:eastAsia="宋体" w:hint="default"/>
                <w:sz w:val="21"/>
                <w:szCs w:val="21"/>
              </w:rPr>
            </w:pPr>
            <w:r>
              <w:rPr>
                <w:rFonts w:ascii="宋体" w:hAnsi="宋体" w:cs="宋体" w:eastAsia="宋体" w:hint="default"/>
                <w:sz w:val="21"/>
                <w:szCs w:val="21"/>
              </w:rPr>
              <w:t>（或股本）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94"/>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3</w:t>
            </w:r>
            <w:r>
              <w:rPr>
                <w:rFonts w:ascii="宋体" w:hAnsi="宋体" w:cs="宋体" w:eastAsia="宋体" w:hint="default"/>
                <w:spacing w:val="-12"/>
                <w:sz w:val="21"/>
                <w:szCs w:val="21"/>
              </w:rPr>
              <w:t>．盈余公积</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弥补亏损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auto" w:before="28"/>
              <w:ind w:left="105" w:right="94"/>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4</w:t>
            </w:r>
            <w:r>
              <w:rPr>
                <w:rFonts w:ascii="宋体" w:hAnsi="宋体" w:cs="宋体" w:eastAsia="宋体" w:hint="default"/>
                <w:spacing w:val="-12"/>
                <w:sz w:val="21"/>
                <w:szCs w:val="21"/>
              </w:rPr>
              <w:t>．设定受益</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计划变动额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869"/>
        <w:gridCol w:w="720"/>
        <w:gridCol w:w="812"/>
      </w:tblGrid>
      <w:tr>
        <w:trPr>
          <w:trHeight w:val="67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结转留存收</w:t>
            </w:r>
          </w:p>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05" w:right="94"/>
              <w:jc w:val="both"/>
              <w:rPr>
                <w:rFonts w:ascii="宋体" w:hAnsi="宋体" w:cs="宋体" w:eastAsia="宋体" w:hint="default"/>
                <w:sz w:val="21"/>
                <w:szCs w:val="21"/>
              </w:rPr>
            </w:pPr>
            <w:r>
              <w:rPr>
                <w:rFonts w:ascii="Times New Roman" w:hAnsi="Times New Roman" w:cs="Times New Roman" w:eastAsia="Times New Roman" w:hint="default"/>
                <w:spacing w:val="-12"/>
                <w:sz w:val="21"/>
                <w:szCs w:val="21"/>
              </w:rPr>
              <w:t>5</w:t>
            </w:r>
            <w:r>
              <w:rPr>
                <w:rFonts w:ascii="宋体" w:hAnsi="宋体" w:cs="宋体" w:eastAsia="宋体" w:hint="default"/>
                <w:spacing w:val="-12"/>
                <w:sz w:val="21"/>
                <w:szCs w:val="21"/>
              </w:rPr>
              <w:t>．其他综合</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收益结转留</w:t>
            </w:r>
            <w:r>
              <w:rPr>
                <w:rFonts w:ascii="宋体" w:hAnsi="宋体" w:cs="宋体" w:eastAsia="宋体" w:hint="default"/>
                <w:spacing w:val="-99"/>
                <w:sz w:val="21"/>
                <w:szCs w:val="21"/>
              </w:rPr>
              <w:t> </w:t>
            </w:r>
            <w:r>
              <w:rPr>
                <w:rFonts w:ascii="宋体" w:hAnsi="宋体" w:cs="宋体" w:eastAsia="宋体" w:hint="default"/>
                <w:sz w:val="21"/>
                <w:szCs w:val="21"/>
              </w:rPr>
              <w:t>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32"/>
              <w:jc w:val="left"/>
              <w:rPr>
                <w:rFonts w:ascii="宋体" w:hAnsi="宋体" w:cs="宋体" w:eastAsia="宋体" w:hint="default"/>
                <w:sz w:val="21"/>
                <w:szCs w:val="21"/>
              </w:rPr>
            </w:pPr>
            <w:r>
              <w:rPr>
                <w:rFonts w:ascii="宋体" w:hAnsi="宋体" w:cs="宋体" w:eastAsia="宋体" w:hint="default"/>
                <w:sz w:val="21"/>
                <w:szCs w:val="21"/>
              </w:rPr>
              <w:t>（五）专项</w:t>
            </w:r>
            <w:r>
              <w:rPr>
                <w:rFonts w:ascii="宋体" w:hAnsi="宋体" w:cs="宋体" w:eastAsia="宋体" w:hint="default"/>
                <w:spacing w:val="-99"/>
                <w:sz w:val="21"/>
                <w:szCs w:val="21"/>
              </w:rPr>
              <w:t> </w:t>
            </w:r>
            <w:r>
              <w:rPr>
                <w:rFonts w:ascii="宋体" w:hAnsi="宋体" w:cs="宋体" w:eastAsia="宋体" w:hint="default"/>
                <w:sz w:val="21"/>
                <w:szCs w:val="21"/>
              </w:rPr>
              <w:t>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1</w:t>
            </w:r>
            <w:r>
              <w:rPr>
                <w:rFonts w:ascii="宋体" w:hAnsi="宋体" w:cs="宋体" w:eastAsia="宋体" w:hint="default"/>
                <w:spacing w:val="-12"/>
                <w:sz w:val="21"/>
                <w:szCs w:val="21"/>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-392,</w:t>
            </w:r>
          </w:p>
          <w:p>
            <w:pPr>
              <w:pStyle w:val="TableParagraph"/>
              <w:spacing w:line="240" w:lineRule="auto" w:before="70"/>
              <w:ind w:right="94"/>
              <w:jc w:val="right"/>
              <w:rPr>
                <w:rFonts w:ascii="Times New Roman" w:hAnsi="Times New Roman" w:cs="Times New Roman" w:eastAsia="Times New Roman" w:hint="default"/>
                <w:sz w:val="21"/>
                <w:szCs w:val="21"/>
              </w:rPr>
            </w:pPr>
            <w:r>
              <w:rPr>
                <w:rFonts w:ascii="Times New Roman"/>
                <w:sz w:val="21"/>
              </w:rPr>
              <w:t>744.0</w:t>
            </w:r>
          </w:p>
          <w:p>
            <w:pPr>
              <w:pStyle w:val="TableParagraph"/>
              <w:spacing w:line="240" w:lineRule="auto" w:before="76"/>
              <w:ind w:right="98"/>
              <w:jc w:val="right"/>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63" w:right="0"/>
              <w:jc w:val="left"/>
              <w:rPr>
                <w:rFonts w:ascii="Times New Roman" w:hAnsi="Times New Roman" w:cs="Times New Roman" w:eastAsia="Times New Roman" w:hint="default"/>
                <w:sz w:val="21"/>
                <w:szCs w:val="21"/>
              </w:rPr>
            </w:pPr>
            <w:r>
              <w:rPr>
                <w:rFonts w:ascii="Times New Roman"/>
                <w:sz w:val="21"/>
              </w:rPr>
              <w:t>-3,534,</w:t>
            </w:r>
          </w:p>
          <w:p>
            <w:pPr>
              <w:pStyle w:val="TableParagraph"/>
              <w:spacing w:line="240" w:lineRule="auto" w:before="70"/>
              <w:ind w:left="182" w:right="0"/>
              <w:jc w:val="left"/>
              <w:rPr>
                <w:rFonts w:ascii="Times New Roman" w:hAnsi="Times New Roman" w:cs="Times New Roman" w:eastAsia="Times New Roman" w:hint="default"/>
                <w:sz w:val="21"/>
                <w:szCs w:val="21"/>
              </w:rPr>
            </w:pPr>
            <w:r>
              <w:rPr>
                <w:rFonts w:ascii="Times New Roman"/>
                <w:sz w:val="21"/>
              </w:rPr>
              <w:t>696.00</w:t>
            </w: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-3,927</w:t>
            </w:r>
          </w:p>
          <w:p>
            <w:pPr>
              <w:pStyle w:val="TableParagraph"/>
              <w:spacing w:line="240" w:lineRule="auto" w:before="70"/>
              <w:ind w:right="94"/>
              <w:jc w:val="right"/>
              <w:rPr>
                <w:rFonts w:ascii="Times New Roman" w:hAnsi="Times New Roman" w:cs="Times New Roman" w:eastAsia="Times New Roman" w:hint="default"/>
                <w:sz w:val="21"/>
                <w:szCs w:val="21"/>
              </w:rPr>
            </w:pPr>
            <w:r>
              <w:rPr>
                <w:rFonts w:ascii="Times New Roman"/>
                <w:sz w:val="21"/>
              </w:rPr>
              <w:t>,440.0</w:t>
            </w:r>
          </w:p>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w w:val="100"/>
                <w:sz w:val="21"/>
              </w:rPr>
              <w:t>0</w:t>
            </w: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105" w:right="132"/>
              <w:jc w:val="left"/>
              <w:rPr>
                <w:rFonts w:ascii="宋体" w:hAnsi="宋体" w:cs="宋体" w:eastAsia="宋体" w:hint="default"/>
                <w:sz w:val="21"/>
                <w:szCs w:val="21"/>
              </w:rPr>
            </w:pPr>
            <w:r>
              <w:rPr>
                <w:rFonts w:ascii="宋体" w:hAnsi="宋体" w:cs="宋体" w:eastAsia="宋体" w:hint="default"/>
                <w:sz w:val="21"/>
                <w:szCs w:val="21"/>
              </w:rPr>
              <w:t>四、本期期</w:t>
            </w:r>
            <w:r>
              <w:rPr>
                <w:rFonts w:ascii="宋体" w:hAnsi="宋体" w:cs="宋体" w:eastAsia="宋体" w:hint="default"/>
                <w:spacing w:val="-99"/>
                <w:sz w:val="21"/>
                <w:szCs w:val="21"/>
              </w:rPr>
              <w:t> </w:t>
            </w:r>
            <w:r>
              <w:rPr>
                <w:rFonts w:ascii="宋体" w:hAnsi="宋体" w:cs="宋体" w:eastAsia="宋体" w:hint="default"/>
                <w:sz w:val="21"/>
                <w:szCs w:val="21"/>
              </w:rPr>
              <w:t>末余额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 w:right="0"/>
              <w:jc w:val="center"/>
              <w:rPr>
                <w:rFonts w:ascii="Times New Roman" w:hAnsi="Times New Roman" w:cs="Times New Roman" w:eastAsia="Times New Roman" w:hint="default"/>
                <w:sz w:val="21"/>
                <w:szCs w:val="21"/>
              </w:rPr>
            </w:pPr>
            <w:r>
              <w:rPr>
                <w:rFonts w:ascii="Times New Roman"/>
                <w:sz w:val="21"/>
              </w:rPr>
              <w:t>691,</w:t>
            </w:r>
          </w:p>
          <w:p>
            <w:pPr>
              <w:pStyle w:val="TableParagraph"/>
              <w:spacing w:line="240" w:lineRule="auto" w:before="65"/>
              <w:ind w:left="48" w:right="0"/>
              <w:jc w:val="center"/>
              <w:rPr>
                <w:rFonts w:ascii="Times New Roman" w:hAnsi="Times New Roman" w:cs="Times New Roman" w:eastAsia="Times New Roman" w:hint="default"/>
                <w:sz w:val="21"/>
                <w:szCs w:val="21"/>
              </w:rPr>
            </w:pPr>
            <w:r>
              <w:rPr>
                <w:rFonts w:ascii="Times New Roman"/>
                <w:sz w:val="21"/>
              </w:rPr>
              <w:t>505,</w:t>
            </w:r>
          </w:p>
          <w:p>
            <w:pPr>
              <w:pStyle w:val="TableParagraph"/>
              <w:spacing w:line="240" w:lineRule="auto" w:before="70"/>
              <w:ind w:left="48" w:right="0"/>
              <w:jc w:val="center"/>
              <w:rPr>
                <w:rFonts w:ascii="Times New Roman" w:hAnsi="Times New Roman" w:cs="Times New Roman" w:eastAsia="Times New Roman" w:hint="default"/>
                <w:sz w:val="21"/>
                <w:szCs w:val="21"/>
              </w:rPr>
            </w:pPr>
            <w:r>
              <w:rPr>
                <w:rFonts w:ascii="Times New Roman"/>
                <w:sz w:val="21"/>
              </w:rPr>
              <w:t>915.</w:t>
            </w:r>
          </w:p>
          <w:p>
            <w:pPr>
              <w:pStyle w:val="TableParagraph"/>
              <w:spacing w:line="240" w:lineRule="auto" w:before="75"/>
              <w:ind w:left="206" w:right="0"/>
              <w:jc w:val="center"/>
              <w:rPr>
                <w:rFonts w:ascii="Times New Roman" w:hAnsi="Times New Roman" w:cs="Times New Roman" w:eastAsia="Times New Roman" w:hint="default"/>
                <w:sz w:val="21"/>
                <w:szCs w:val="21"/>
              </w:rPr>
            </w:pPr>
            <w:r>
              <w:rPr>
                <w:rFonts w:ascii="Times New Roman"/>
                <w:sz w:val="21"/>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9" w:right="0"/>
              <w:jc w:val="left"/>
              <w:rPr>
                <w:rFonts w:ascii="Times New Roman" w:hAnsi="Times New Roman" w:cs="Times New Roman" w:eastAsia="Times New Roman" w:hint="default"/>
                <w:sz w:val="21"/>
                <w:szCs w:val="21"/>
              </w:rPr>
            </w:pPr>
            <w:r>
              <w:rPr>
                <w:rFonts w:ascii="Times New Roman"/>
                <w:sz w:val="21"/>
              </w:rPr>
              <w:t>2,818</w:t>
            </w:r>
          </w:p>
          <w:p>
            <w:pPr>
              <w:pStyle w:val="TableParagraph"/>
              <w:spacing w:line="240" w:lineRule="auto" w:before="65"/>
              <w:ind w:left="191" w:right="0"/>
              <w:jc w:val="left"/>
              <w:rPr>
                <w:rFonts w:ascii="Times New Roman" w:hAnsi="Times New Roman" w:cs="Times New Roman" w:eastAsia="Times New Roman" w:hint="default"/>
                <w:sz w:val="21"/>
                <w:szCs w:val="21"/>
              </w:rPr>
            </w:pPr>
            <w:r>
              <w:rPr>
                <w:rFonts w:ascii="Times New Roman"/>
                <w:sz w:val="21"/>
              </w:rPr>
              <w:t>,718,</w:t>
            </w:r>
          </w:p>
          <w:p>
            <w:pPr>
              <w:pStyle w:val="TableParagraph"/>
              <w:spacing w:line="240" w:lineRule="auto" w:before="70"/>
              <w:ind w:left="139" w:right="0"/>
              <w:jc w:val="left"/>
              <w:rPr>
                <w:rFonts w:ascii="Times New Roman" w:hAnsi="Times New Roman" w:cs="Times New Roman" w:eastAsia="Times New Roman" w:hint="default"/>
                <w:sz w:val="21"/>
                <w:szCs w:val="21"/>
              </w:rPr>
            </w:pPr>
            <w:r>
              <w:rPr>
                <w:rFonts w:ascii="Times New Roman"/>
                <w:sz w:val="21"/>
              </w:rPr>
              <w:t>845.6</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 w:right="0"/>
              <w:jc w:val="center"/>
              <w:rPr>
                <w:rFonts w:ascii="Times New Roman" w:hAnsi="Times New Roman" w:cs="Times New Roman" w:eastAsia="Times New Roman" w:hint="default"/>
                <w:sz w:val="21"/>
                <w:szCs w:val="21"/>
              </w:rPr>
            </w:pPr>
            <w:r>
              <w:rPr>
                <w:rFonts w:ascii="Times New Roman"/>
                <w:sz w:val="21"/>
              </w:rPr>
              <w:t>150,0</w:t>
            </w:r>
          </w:p>
          <w:p>
            <w:pPr>
              <w:pStyle w:val="TableParagraph"/>
              <w:spacing w:line="240" w:lineRule="auto" w:before="70"/>
              <w:ind w:left="48" w:right="0"/>
              <w:jc w:val="center"/>
              <w:rPr>
                <w:rFonts w:ascii="Times New Roman" w:hAnsi="Times New Roman" w:cs="Times New Roman" w:eastAsia="Times New Roman" w:hint="default"/>
                <w:sz w:val="21"/>
                <w:szCs w:val="21"/>
              </w:rPr>
            </w:pPr>
            <w:r>
              <w:rPr>
                <w:rFonts w:ascii="Times New Roman"/>
                <w:sz w:val="21"/>
              </w:rPr>
              <w:t>33,63</w:t>
            </w:r>
          </w:p>
          <w:p>
            <w:pPr>
              <w:pStyle w:val="TableParagraph"/>
              <w:spacing w:line="240" w:lineRule="auto" w:before="75"/>
              <w:ind w:left="144" w:right="0"/>
              <w:jc w:val="center"/>
              <w:rPr>
                <w:rFonts w:ascii="Times New Roman" w:hAnsi="Times New Roman" w:cs="Times New Roman" w:eastAsia="Times New Roman" w:hint="default"/>
                <w:sz w:val="21"/>
                <w:szCs w:val="21"/>
              </w:rPr>
            </w:pPr>
            <w:r>
              <w:rPr>
                <w:rFonts w:ascii="Times New Roman"/>
                <w:sz w:val="21"/>
              </w:rPr>
              <w:t>7.57</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50,97</w:t>
            </w:r>
          </w:p>
          <w:p>
            <w:pPr>
              <w:pStyle w:val="TableParagraph"/>
              <w:spacing w:line="240" w:lineRule="auto" w:before="70"/>
              <w:ind w:left="143" w:right="0"/>
              <w:jc w:val="left"/>
              <w:rPr>
                <w:rFonts w:ascii="Times New Roman" w:hAnsi="Times New Roman" w:cs="Times New Roman" w:eastAsia="Times New Roman" w:hint="default"/>
                <w:sz w:val="21"/>
                <w:szCs w:val="21"/>
              </w:rPr>
            </w:pPr>
            <w:r>
              <w:rPr>
                <w:rFonts w:ascii="Times New Roman"/>
                <w:sz w:val="21"/>
              </w:rPr>
              <w:t>5,273</w:t>
            </w:r>
          </w:p>
          <w:p>
            <w:pPr>
              <w:pStyle w:val="TableParagraph"/>
              <w:spacing w:line="240" w:lineRule="auto" w:before="75"/>
              <w:ind w:left="350" w:right="0"/>
              <w:jc w:val="left"/>
              <w:rPr>
                <w:rFonts w:ascii="Times New Roman" w:hAnsi="Times New Roman" w:cs="Times New Roman" w:eastAsia="Times New Roman" w:hint="default"/>
                <w:sz w:val="21"/>
                <w:szCs w:val="21"/>
              </w:rPr>
            </w:pPr>
            <w:r>
              <w:rPr>
                <w:rFonts w:ascii="Times New Roman"/>
                <w:sz w:val="21"/>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178,53</w:t>
            </w:r>
          </w:p>
          <w:p>
            <w:pPr>
              <w:pStyle w:val="TableParagraph"/>
              <w:spacing w:line="240" w:lineRule="auto" w:before="70"/>
              <w:ind w:right="95"/>
              <w:jc w:val="right"/>
              <w:rPr>
                <w:rFonts w:ascii="Times New Roman" w:hAnsi="Times New Roman" w:cs="Times New Roman" w:eastAsia="Times New Roman" w:hint="default"/>
                <w:sz w:val="21"/>
                <w:szCs w:val="21"/>
              </w:rPr>
            </w:pPr>
            <w:r>
              <w:rPr>
                <w:rFonts w:ascii="Times New Roman"/>
                <w:sz w:val="21"/>
              </w:rPr>
              <w:t>0,706.2</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0</w:t>
            </w:r>
          </w:p>
        </w:tc>
        <w:tc>
          <w:tcPr>
            <w:tcW w:w="72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3,589,</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697,10</w:t>
            </w:r>
          </w:p>
          <w:p>
            <w:pPr>
              <w:pStyle w:val="TableParagraph"/>
              <w:spacing w:line="240" w:lineRule="auto" w:before="75"/>
              <w:ind w:left="229" w:right="0"/>
              <w:jc w:val="center"/>
              <w:rPr>
                <w:rFonts w:ascii="Times New Roman" w:hAnsi="Times New Roman" w:cs="Times New Roman" w:eastAsia="Times New Roman" w:hint="default"/>
                <w:sz w:val="21"/>
                <w:szCs w:val="21"/>
              </w:rPr>
            </w:pPr>
            <w:r>
              <w:rPr>
                <w:rFonts w:ascii="Times New Roman"/>
                <w:sz w:val="21"/>
              </w:rPr>
              <w:t>3.04</w:t>
            </w:r>
          </w:p>
        </w:tc>
      </w:tr>
    </w:tbl>
    <w:p>
      <w:pPr>
        <w:pStyle w:val="BodyText"/>
        <w:spacing w:line="240" w:lineRule="auto" w:before="28"/>
        <w:ind w:right="1002"/>
        <w:jc w:val="left"/>
      </w:pPr>
      <w:r>
        <w:rPr/>
        <w:t>上期金额</w:t>
      </w:r>
    </w:p>
    <w:p>
      <w:pPr>
        <w:pStyle w:val="BodyText"/>
        <w:spacing w:line="240" w:lineRule="auto" w:before="75"/>
        <w:ind w:left="0" w:right="1122"/>
        <w:jc w:val="right"/>
      </w:pPr>
      <w:r>
        <w:rPr/>
        <w:t>单位：元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401" w:hRule="exact"/>
        </w:trPr>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年年度</w:t>
            </w:r>
          </w:p>
        </w:tc>
      </w:tr>
      <w:tr>
        <w:trPr>
          <w:trHeight w:val="401" w:hRule="exact"/>
        </w:trPr>
        <w:tc>
          <w:tcPr>
            <w:tcW w:w="1229" w:type="dxa"/>
            <w:vMerge/>
            <w:tcBorders>
              <w:left w:val="single" w:sz="4" w:space="0" w:color="000000"/>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auto"/>
              <w:ind w:left="187" w:right="185"/>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25"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auto"/>
              <w:ind w:left="124" w:right="122"/>
              <w:jc w:val="left"/>
              <w:rPr>
                <w:rFonts w:ascii="宋体" w:hAnsi="宋体" w:cs="宋体" w:eastAsia="宋体" w:hint="default"/>
                <w:sz w:val="21"/>
                <w:szCs w:val="21"/>
              </w:rPr>
            </w:pP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29" w:right="123"/>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库存</w:t>
            </w:r>
            <w:r>
              <w:rPr>
                <w:rFonts w:ascii="宋体" w:hAnsi="宋体" w:cs="宋体" w:eastAsia="宋体" w:hint="default"/>
                <w:spacing w:val="-103"/>
                <w:sz w:val="21"/>
                <w:szCs w:val="21"/>
              </w:rPr>
              <w:t> </w:t>
            </w:r>
            <w:r>
              <w:rPr>
                <w:rFonts w:ascii="宋体" w:hAnsi="宋体" w:cs="宋体" w:eastAsia="宋体" w:hint="default"/>
                <w:sz w:val="21"/>
                <w:szCs w:val="21"/>
              </w:rPr>
              <w:t>股</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29" w:right="122"/>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auto"/>
              <w:ind w:left="177" w:right="171"/>
              <w:jc w:val="left"/>
              <w:rPr>
                <w:rFonts w:ascii="宋体" w:hAnsi="宋体" w:cs="宋体" w:eastAsia="宋体" w:hint="default"/>
                <w:sz w:val="21"/>
                <w:szCs w:val="21"/>
              </w:rPr>
            </w:pPr>
            <w:r>
              <w:rPr>
                <w:rFonts w:ascii="宋体" w:hAnsi="宋体" w:cs="宋体" w:eastAsia="宋体" w:hint="default"/>
                <w:sz w:val="21"/>
                <w:szCs w:val="21"/>
              </w:rPr>
              <w:t>专项</w:t>
            </w:r>
            <w:r>
              <w:rPr>
                <w:rFonts w:ascii="宋体" w:hAnsi="宋体" w:cs="宋体" w:eastAsia="宋体" w:hint="default"/>
                <w:spacing w:val="-103"/>
                <w:sz w:val="21"/>
                <w:szCs w:val="21"/>
              </w:rPr>
              <w:t> </w:t>
            </w:r>
            <w:r>
              <w:rPr>
                <w:rFonts w:ascii="宋体" w:hAnsi="宋体" w:cs="宋体" w:eastAsia="宋体" w:hint="default"/>
                <w:sz w:val="21"/>
                <w:szCs w:val="21"/>
              </w:rPr>
              <w:t>储备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9"/>
                <w:szCs w:val="29"/>
              </w:rPr>
            </w:pPr>
          </w:p>
          <w:p>
            <w:pPr>
              <w:pStyle w:val="TableParagraph"/>
              <w:spacing w:line="273" w:lineRule="auto"/>
              <w:ind w:left="115" w:right="113"/>
              <w:jc w:val="left"/>
              <w:rPr>
                <w:rFonts w:ascii="宋体" w:hAnsi="宋体" w:cs="宋体" w:eastAsia="宋体" w:hint="default"/>
                <w:sz w:val="21"/>
                <w:szCs w:val="21"/>
              </w:rPr>
            </w:pPr>
            <w:r>
              <w:rPr>
                <w:rFonts w:ascii="宋体" w:hAnsi="宋体" w:cs="宋体" w:eastAsia="宋体" w:hint="default"/>
                <w:sz w:val="21"/>
                <w:szCs w:val="21"/>
              </w:rPr>
              <w:t>盈余</w:t>
            </w:r>
            <w:r>
              <w:rPr>
                <w:rFonts w:ascii="宋体" w:hAnsi="宋体" w:cs="宋体" w:eastAsia="宋体" w:hint="default"/>
                <w:spacing w:val="-103"/>
                <w:sz w:val="21"/>
                <w:szCs w:val="21"/>
              </w:rPr>
              <w:t> </w:t>
            </w:r>
            <w:r>
              <w:rPr>
                <w:rFonts w:ascii="宋体" w:hAnsi="宋体" w:cs="宋体" w:eastAsia="宋体" w:hint="default"/>
                <w:sz w:val="21"/>
                <w:szCs w:val="21"/>
              </w:rPr>
              <w:t>公积</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87" w:right="180"/>
              <w:jc w:val="both"/>
              <w:rPr>
                <w:rFonts w:ascii="宋体" w:hAnsi="宋体" w:cs="宋体" w:eastAsia="宋体" w:hint="default"/>
                <w:sz w:val="21"/>
                <w:szCs w:val="21"/>
              </w:rPr>
            </w:pPr>
            <w:r>
              <w:rPr>
                <w:rFonts w:ascii="宋体" w:hAnsi="宋体" w:cs="宋体" w:eastAsia="宋体" w:hint="default"/>
                <w:sz w:val="21"/>
                <w:szCs w:val="21"/>
              </w:rPr>
              <w:t>未分</w:t>
            </w:r>
            <w:r>
              <w:rPr>
                <w:rFonts w:ascii="宋体" w:hAnsi="宋体" w:cs="宋体" w:eastAsia="宋体" w:hint="default"/>
                <w:spacing w:val="-103"/>
                <w:sz w:val="21"/>
                <w:szCs w:val="21"/>
              </w:rPr>
              <w:t> </w:t>
            </w:r>
            <w:r>
              <w:rPr>
                <w:rFonts w:ascii="宋体" w:hAnsi="宋体" w:cs="宋体" w:eastAsia="宋体" w:hint="default"/>
                <w:sz w:val="21"/>
                <w:szCs w:val="21"/>
              </w:rPr>
              <w:t>配利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144" w:right="137"/>
              <w:jc w:val="center"/>
              <w:rPr>
                <w:rFonts w:ascii="宋体" w:hAnsi="宋体" w:cs="宋体" w:eastAsia="宋体" w:hint="default"/>
                <w:sz w:val="21"/>
                <w:szCs w:val="21"/>
              </w:rPr>
            </w:pPr>
            <w:r>
              <w:rPr>
                <w:rFonts w:ascii="宋体" w:hAnsi="宋体" w:cs="宋体" w:eastAsia="宋体" w:hint="default"/>
                <w:sz w:val="21"/>
                <w:szCs w:val="21"/>
              </w:rPr>
              <w:t>所有者</w:t>
            </w:r>
            <w:r>
              <w:rPr>
                <w:rFonts w:ascii="宋体" w:hAnsi="宋体" w:cs="宋体" w:eastAsia="宋体" w:hint="default"/>
                <w:w w:val="100"/>
                <w:sz w:val="21"/>
                <w:szCs w:val="21"/>
              </w:rPr>
              <w:t> </w:t>
            </w:r>
            <w:r>
              <w:rPr>
                <w:rFonts w:ascii="宋体" w:hAnsi="宋体" w:cs="宋体" w:eastAsia="宋体" w:hint="default"/>
                <w:sz w:val="21"/>
                <w:szCs w:val="21"/>
              </w:rPr>
              <w:t>权益合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1028"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77" w:right="171"/>
              <w:jc w:val="both"/>
              <w:rPr>
                <w:rFonts w:ascii="宋体" w:hAnsi="宋体" w:cs="宋体" w:eastAsia="宋体" w:hint="default"/>
                <w:sz w:val="21"/>
                <w:szCs w:val="21"/>
              </w:rPr>
            </w:pPr>
            <w:r>
              <w:rPr>
                <w:rFonts w:ascii="宋体" w:hAnsi="宋体" w:cs="宋体" w:eastAsia="宋体" w:hint="default"/>
                <w:sz w:val="21"/>
                <w:szCs w:val="21"/>
              </w:rPr>
              <w:t>优</w:t>
            </w:r>
            <w:r>
              <w:rPr>
                <w:rFonts w:ascii="宋体" w:hAnsi="宋体" w:cs="宋体" w:eastAsia="宋体" w:hint="default"/>
                <w:w w:val="100"/>
                <w:sz w:val="21"/>
                <w:szCs w:val="21"/>
              </w:rPr>
              <w:t> </w:t>
            </w:r>
            <w:r>
              <w:rPr>
                <w:rFonts w:ascii="宋体" w:hAnsi="宋体" w:cs="宋体" w:eastAsia="宋体" w:hint="default"/>
                <w:sz w:val="21"/>
                <w:szCs w:val="21"/>
              </w:rPr>
              <w:t>先</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77" w:right="175"/>
              <w:jc w:val="both"/>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w w:val="100"/>
                <w:sz w:val="21"/>
                <w:szCs w:val="21"/>
              </w:rPr>
              <w:t> </w:t>
            </w:r>
            <w:r>
              <w:rPr>
                <w:rFonts w:ascii="宋体" w:hAnsi="宋体" w:cs="宋体" w:eastAsia="宋体" w:hint="default"/>
                <w:sz w:val="21"/>
                <w:szCs w:val="21"/>
              </w:rPr>
              <w:t>续</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72" w:right="176"/>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682"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5" w:right="94"/>
              <w:jc w:val="left"/>
              <w:rPr>
                <w:rFonts w:ascii="宋体" w:hAnsi="宋体" w:cs="宋体" w:eastAsia="宋体" w:hint="default"/>
                <w:sz w:val="21"/>
                <w:szCs w:val="21"/>
              </w:rPr>
            </w:pPr>
            <w:r>
              <w:rPr>
                <w:rFonts w:ascii="宋体" w:hAnsi="宋体" w:cs="宋体" w:eastAsia="宋体" w:hint="default"/>
                <w:spacing w:val="-8"/>
                <w:sz w:val="21"/>
                <w:szCs w:val="21"/>
              </w:rPr>
              <w:t>一、上年期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末余额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Times New Roman" w:hAnsi="Times New Roman" w:cs="Times New Roman" w:eastAsia="Times New Roman" w:hint="default"/>
                <w:sz w:val="21"/>
                <w:szCs w:val="21"/>
              </w:rPr>
            </w:pPr>
            <w:r>
              <w:rPr>
                <w:rFonts w:ascii="Times New Roman"/>
                <w:sz w:val="21"/>
              </w:rPr>
              <w:t>703,</w:t>
            </w:r>
          </w:p>
          <w:p>
            <w:pPr>
              <w:pStyle w:val="TableParagraph"/>
              <w:spacing w:line="240" w:lineRule="auto" w:before="65"/>
              <w:ind w:left="14" w:right="0"/>
              <w:jc w:val="center"/>
              <w:rPr>
                <w:rFonts w:ascii="Times New Roman" w:hAnsi="Times New Roman" w:cs="Times New Roman" w:eastAsia="Times New Roman" w:hint="default"/>
                <w:sz w:val="21"/>
                <w:szCs w:val="21"/>
              </w:rPr>
            </w:pPr>
            <w:r>
              <w:rPr>
                <w:rFonts w:ascii="Times New Roman"/>
                <w:sz w:val="21"/>
              </w:rPr>
              <w:t>960,</w:t>
            </w:r>
          </w:p>
          <w:p>
            <w:pPr>
              <w:pStyle w:val="TableParagraph"/>
              <w:spacing w:line="240" w:lineRule="auto" w:before="70"/>
              <w:ind w:left="14" w:right="0"/>
              <w:jc w:val="center"/>
              <w:rPr>
                <w:rFonts w:ascii="Times New Roman" w:hAnsi="Times New Roman" w:cs="Times New Roman" w:eastAsia="Times New Roman" w:hint="default"/>
                <w:sz w:val="21"/>
                <w:szCs w:val="21"/>
              </w:rPr>
            </w:pPr>
            <w:r>
              <w:rPr>
                <w:rFonts w:ascii="Times New Roman"/>
                <w:sz w:val="21"/>
              </w:rPr>
              <w:t>660.</w:t>
            </w:r>
          </w:p>
          <w:p>
            <w:pPr>
              <w:pStyle w:val="TableParagraph"/>
              <w:spacing w:line="240" w:lineRule="auto" w:before="76"/>
              <w:ind w:left="172" w:right="0"/>
              <w:jc w:val="center"/>
              <w:rPr>
                <w:rFonts w:ascii="Times New Roman" w:hAnsi="Times New Roman" w:cs="Times New Roman" w:eastAsia="Times New Roman" w:hint="default"/>
                <w:sz w:val="21"/>
                <w:szCs w:val="21"/>
              </w:rPr>
            </w:pPr>
            <w:r>
              <w:rPr>
                <w:rFonts w:ascii="Times New Roman"/>
                <w:sz w:val="21"/>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1" w:right="0"/>
              <w:jc w:val="left"/>
              <w:rPr>
                <w:rFonts w:ascii="Times New Roman" w:hAnsi="Times New Roman" w:cs="Times New Roman" w:eastAsia="Times New Roman" w:hint="default"/>
                <w:sz w:val="21"/>
                <w:szCs w:val="21"/>
              </w:rPr>
            </w:pPr>
            <w:r>
              <w:rPr>
                <w:rFonts w:ascii="Times New Roman"/>
                <w:sz w:val="21"/>
              </w:rPr>
              <w:t>2,89</w:t>
            </w:r>
          </w:p>
          <w:p>
            <w:pPr>
              <w:pStyle w:val="TableParagraph"/>
              <w:spacing w:line="240" w:lineRule="auto" w:before="65"/>
              <w:ind w:left="201" w:right="0"/>
              <w:jc w:val="left"/>
              <w:rPr>
                <w:rFonts w:ascii="Times New Roman" w:hAnsi="Times New Roman" w:cs="Times New Roman" w:eastAsia="Times New Roman" w:hint="default"/>
                <w:sz w:val="21"/>
                <w:szCs w:val="21"/>
              </w:rPr>
            </w:pPr>
            <w:r>
              <w:rPr>
                <w:rFonts w:ascii="Times New Roman"/>
                <w:sz w:val="21"/>
              </w:rPr>
              <w:t>6,29</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1,43</w:t>
            </w:r>
          </w:p>
          <w:p>
            <w:pPr>
              <w:pStyle w:val="TableParagraph"/>
              <w:spacing w:line="240" w:lineRule="auto" w:before="76"/>
              <w:ind w:left="201" w:right="0"/>
              <w:jc w:val="left"/>
              <w:rPr>
                <w:rFonts w:ascii="Times New Roman" w:hAnsi="Times New Roman" w:cs="Times New Roman" w:eastAsia="Times New Roman" w:hint="default"/>
                <w:sz w:val="21"/>
                <w:szCs w:val="21"/>
              </w:rPr>
            </w:pPr>
            <w:r>
              <w:rPr>
                <w:rFonts w:ascii="Times New Roman"/>
                <w:sz w:val="21"/>
              </w:rPr>
              <w:t>6.64</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Times New Roman" w:hAnsi="Times New Roman" w:cs="Times New Roman" w:eastAsia="Times New Roman" w:hint="default"/>
                <w:sz w:val="21"/>
                <w:szCs w:val="21"/>
              </w:rPr>
            </w:pPr>
            <w:r>
              <w:rPr>
                <w:rFonts w:ascii="Times New Roman"/>
                <w:sz w:val="21"/>
              </w:rPr>
              <w:t>47,0</w:t>
            </w:r>
          </w:p>
          <w:p>
            <w:pPr>
              <w:pStyle w:val="TableParagraph"/>
              <w:spacing w:line="240" w:lineRule="auto" w:before="65"/>
              <w:ind w:left="182" w:right="0"/>
              <w:jc w:val="left"/>
              <w:rPr>
                <w:rFonts w:ascii="Times New Roman" w:hAnsi="Times New Roman" w:cs="Times New Roman" w:eastAsia="Times New Roman" w:hint="default"/>
                <w:sz w:val="21"/>
                <w:szCs w:val="21"/>
              </w:rPr>
            </w:pPr>
            <w:r>
              <w:rPr>
                <w:rFonts w:ascii="Times New Roman"/>
                <w:sz w:val="21"/>
              </w:rPr>
              <w:t>02,7</w:t>
            </w:r>
          </w:p>
          <w:p>
            <w:pPr>
              <w:pStyle w:val="TableParagraph"/>
              <w:spacing w:line="240" w:lineRule="auto" w:before="70"/>
              <w:ind w:left="182" w:right="0"/>
              <w:jc w:val="left"/>
              <w:rPr>
                <w:rFonts w:ascii="Times New Roman" w:hAnsi="Times New Roman" w:cs="Times New Roman" w:eastAsia="Times New Roman" w:hint="default"/>
                <w:sz w:val="21"/>
                <w:szCs w:val="21"/>
              </w:rPr>
            </w:pPr>
            <w:r>
              <w:rPr>
                <w:rFonts w:ascii="Times New Roman"/>
                <w:sz w:val="21"/>
              </w:rPr>
              <w:t>29.6</w:t>
            </w:r>
          </w:p>
          <w:p>
            <w:pPr>
              <w:pStyle w:val="TableParagraph"/>
              <w:spacing w:line="240" w:lineRule="auto" w:before="76"/>
              <w:ind w:right="98"/>
              <w:jc w:val="right"/>
              <w:rPr>
                <w:rFonts w:ascii="Times New Roman" w:hAnsi="Times New Roman" w:cs="Times New Roman" w:eastAsia="Times New Roman" w:hint="default"/>
                <w:sz w:val="21"/>
                <w:szCs w:val="21"/>
              </w:rPr>
            </w:pPr>
            <w:r>
              <w:rPr>
                <w:rFonts w:ascii="Times New Roman"/>
                <w:w w:val="100"/>
                <w:sz w:val="21"/>
              </w:rPr>
              <w:t>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213,41</w:t>
            </w:r>
          </w:p>
          <w:p>
            <w:pPr>
              <w:pStyle w:val="TableParagraph"/>
              <w:spacing w:line="240" w:lineRule="auto" w:before="65"/>
              <w:ind w:left="163" w:right="0"/>
              <w:jc w:val="left"/>
              <w:rPr>
                <w:rFonts w:ascii="Times New Roman" w:hAnsi="Times New Roman" w:cs="Times New Roman" w:eastAsia="Times New Roman" w:hint="default"/>
                <w:sz w:val="21"/>
                <w:szCs w:val="21"/>
              </w:rPr>
            </w:pPr>
            <w:r>
              <w:rPr>
                <w:rFonts w:ascii="Times New Roman"/>
                <w:sz w:val="21"/>
              </w:rPr>
              <w:t>5,182.</w:t>
            </w:r>
          </w:p>
          <w:p>
            <w:pPr>
              <w:pStyle w:val="TableParagraph"/>
              <w:spacing w:line="240" w:lineRule="auto" w:before="76"/>
              <w:ind w:left="475" w:right="0"/>
              <w:jc w:val="left"/>
              <w:rPr>
                <w:rFonts w:ascii="Times New Roman" w:hAnsi="Times New Roman" w:cs="Times New Roman" w:eastAsia="Times New Roman" w:hint="default"/>
                <w:sz w:val="21"/>
                <w:szCs w:val="21"/>
              </w:rPr>
            </w:pPr>
            <w:r>
              <w:rPr>
                <w:rFonts w:ascii="Times New Roman"/>
                <w:sz w:val="21"/>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3,860,6</w:t>
            </w:r>
          </w:p>
          <w:p>
            <w:pPr>
              <w:pStyle w:val="TableParagraph"/>
              <w:spacing w:line="240" w:lineRule="auto" w:before="65"/>
              <w:ind w:left="187" w:right="0"/>
              <w:jc w:val="left"/>
              <w:rPr>
                <w:rFonts w:ascii="Times New Roman" w:hAnsi="Times New Roman" w:cs="Times New Roman" w:eastAsia="Times New Roman" w:hint="default"/>
                <w:sz w:val="21"/>
                <w:szCs w:val="21"/>
              </w:rPr>
            </w:pPr>
            <w:r>
              <w:rPr>
                <w:rFonts w:ascii="Times New Roman"/>
                <w:sz w:val="21"/>
              </w:rPr>
              <w:t>70,009.</w:t>
            </w:r>
          </w:p>
          <w:p>
            <w:pPr>
              <w:pStyle w:val="TableParagraph"/>
              <w:spacing w:line="240" w:lineRule="auto" w:before="76"/>
              <w:ind w:left="604" w:right="0"/>
              <w:jc w:val="left"/>
              <w:rPr>
                <w:rFonts w:ascii="Times New Roman" w:hAnsi="Times New Roman" w:cs="Times New Roman" w:eastAsia="Times New Roman" w:hint="default"/>
                <w:sz w:val="21"/>
                <w:szCs w:val="21"/>
              </w:rPr>
            </w:pPr>
            <w:r>
              <w:rPr>
                <w:rFonts w:ascii="Times New Roman"/>
                <w:sz w:val="21"/>
              </w:rPr>
              <w:t>05</w:t>
            </w: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94" w:firstLine="211"/>
              <w:jc w:val="left"/>
              <w:rPr>
                <w:rFonts w:ascii="宋体" w:hAnsi="宋体" w:cs="宋体" w:eastAsia="宋体" w:hint="default"/>
                <w:sz w:val="21"/>
                <w:szCs w:val="21"/>
              </w:rPr>
            </w:pPr>
            <w:r>
              <w:rPr>
                <w:rFonts w:ascii="宋体" w:hAnsi="宋体" w:cs="宋体" w:eastAsia="宋体" w:hint="default"/>
                <w:spacing w:val="-10"/>
                <w:sz w:val="21"/>
                <w:szCs w:val="21"/>
              </w:rPr>
              <w:t>加：会计</w:t>
            </w:r>
            <w:r>
              <w:rPr>
                <w:rFonts w:ascii="宋体" w:hAnsi="宋体" w:cs="宋体" w:eastAsia="宋体" w:hint="default"/>
                <w:w w:val="100"/>
                <w:sz w:val="21"/>
                <w:szCs w:val="21"/>
              </w:rPr>
              <w:t> </w:t>
            </w:r>
            <w:r>
              <w:rPr>
                <w:rFonts w:ascii="宋体" w:hAnsi="宋体" w:cs="宋体" w:eastAsia="宋体" w:hint="default"/>
                <w:sz w:val="21"/>
                <w:szCs w:val="21"/>
              </w:rPr>
              <w:t>政策变更</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316" w:right="267"/>
              <w:jc w:val="left"/>
              <w:rPr>
                <w:rFonts w:ascii="宋体" w:hAnsi="宋体" w:cs="宋体" w:eastAsia="宋体" w:hint="default"/>
                <w:sz w:val="21"/>
                <w:szCs w:val="21"/>
              </w:rPr>
            </w:pPr>
            <w:r>
              <w:rPr>
                <w:rFonts w:ascii="宋体" w:hAnsi="宋体" w:cs="宋体" w:eastAsia="宋体" w:hint="default"/>
                <w:sz w:val="21"/>
                <w:szCs w:val="21"/>
              </w:rPr>
              <w:t>前期差</w:t>
            </w:r>
            <w:r>
              <w:rPr>
                <w:rFonts w:ascii="宋体" w:hAnsi="宋体" w:cs="宋体" w:eastAsia="宋体" w:hint="default"/>
                <w:spacing w:val="-102"/>
                <w:sz w:val="21"/>
                <w:szCs w:val="21"/>
              </w:rPr>
              <w:t> </w:t>
            </w:r>
            <w:r>
              <w:rPr>
                <w:rFonts w:ascii="宋体" w:hAnsi="宋体" w:cs="宋体" w:eastAsia="宋体" w:hint="default"/>
                <w:sz w:val="21"/>
                <w:szCs w:val="21"/>
              </w:rPr>
              <w:t>错更正</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05" w:right="94"/>
              <w:jc w:val="left"/>
              <w:rPr>
                <w:rFonts w:ascii="宋体" w:hAnsi="宋体" w:cs="宋体" w:eastAsia="宋体" w:hint="default"/>
                <w:sz w:val="21"/>
                <w:szCs w:val="21"/>
              </w:rPr>
            </w:pPr>
            <w:r>
              <w:rPr>
                <w:rFonts w:ascii="宋体" w:hAnsi="宋体" w:cs="宋体" w:eastAsia="宋体" w:hint="default"/>
                <w:spacing w:val="-8"/>
                <w:sz w:val="21"/>
                <w:szCs w:val="21"/>
              </w:rPr>
              <w:t>二、本年期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初余额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Times New Roman" w:hAnsi="Times New Roman" w:cs="Times New Roman" w:eastAsia="Times New Roman" w:hint="default"/>
                <w:sz w:val="21"/>
                <w:szCs w:val="21"/>
              </w:rPr>
            </w:pPr>
            <w:r>
              <w:rPr>
                <w:rFonts w:ascii="Times New Roman"/>
                <w:sz w:val="21"/>
              </w:rPr>
              <w:t>703,</w:t>
            </w:r>
          </w:p>
          <w:p>
            <w:pPr>
              <w:pStyle w:val="TableParagraph"/>
              <w:spacing w:line="240" w:lineRule="auto" w:before="65"/>
              <w:ind w:left="14" w:right="0"/>
              <w:jc w:val="center"/>
              <w:rPr>
                <w:rFonts w:ascii="Times New Roman" w:hAnsi="Times New Roman" w:cs="Times New Roman" w:eastAsia="Times New Roman" w:hint="default"/>
                <w:sz w:val="21"/>
                <w:szCs w:val="21"/>
              </w:rPr>
            </w:pPr>
            <w:r>
              <w:rPr>
                <w:rFonts w:ascii="Times New Roman"/>
                <w:sz w:val="21"/>
              </w:rPr>
              <w:t>960,</w:t>
            </w:r>
          </w:p>
          <w:p>
            <w:pPr>
              <w:pStyle w:val="TableParagraph"/>
              <w:spacing w:line="240" w:lineRule="auto" w:before="70"/>
              <w:ind w:left="14" w:right="0"/>
              <w:jc w:val="center"/>
              <w:rPr>
                <w:rFonts w:ascii="Times New Roman" w:hAnsi="Times New Roman" w:cs="Times New Roman" w:eastAsia="Times New Roman" w:hint="default"/>
                <w:sz w:val="21"/>
                <w:szCs w:val="21"/>
              </w:rPr>
            </w:pPr>
            <w:r>
              <w:rPr>
                <w:rFonts w:ascii="Times New Roman"/>
                <w:sz w:val="21"/>
              </w:rPr>
              <w:t>660.</w:t>
            </w:r>
          </w:p>
          <w:p>
            <w:pPr>
              <w:pStyle w:val="TableParagraph"/>
              <w:spacing w:line="240" w:lineRule="auto" w:before="76"/>
              <w:ind w:left="172" w:right="0"/>
              <w:jc w:val="center"/>
              <w:rPr>
                <w:rFonts w:ascii="Times New Roman" w:hAnsi="Times New Roman" w:cs="Times New Roman" w:eastAsia="Times New Roman" w:hint="default"/>
                <w:sz w:val="21"/>
                <w:szCs w:val="21"/>
              </w:rPr>
            </w:pPr>
            <w:r>
              <w:rPr>
                <w:rFonts w:ascii="Times New Roman"/>
                <w:sz w:val="21"/>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1" w:right="0"/>
              <w:jc w:val="left"/>
              <w:rPr>
                <w:rFonts w:ascii="Times New Roman" w:hAnsi="Times New Roman" w:cs="Times New Roman" w:eastAsia="Times New Roman" w:hint="default"/>
                <w:sz w:val="21"/>
                <w:szCs w:val="21"/>
              </w:rPr>
            </w:pPr>
            <w:r>
              <w:rPr>
                <w:rFonts w:ascii="Times New Roman"/>
                <w:sz w:val="21"/>
              </w:rPr>
              <w:t>2,89</w:t>
            </w:r>
          </w:p>
          <w:p>
            <w:pPr>
              <w:pStyle w:val="TableParagraph"/>
              <w:spacing w:line="240" w:lineRule="auto" w:before="65"/>
              <w:ind w:left="201" w:right="0"/>
              <w:jc w:val="left"/>
              <w:rPr>
                <w:rFonts w:ascii="Times New Roman" w:hAnsi="Times New Roman" w:cs="Times New Roman" w:eastAsia="Times New Roman" w:hint="default"/>
                <w:sz w:val="21"/>
                <w:szCs w:val="21"/>
              </w:rPr>
            </w:pPr>
            <w:r>
              <w:rPr>
                <w:rFonts w:ascii="Times New Roman"/>
                <w:sz w:val="21"/>
              </w:rPr>
              <w:t>6,29</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1,43</w:t>
            </w:r>
          </w:p>
          <w:p>
            <w:pPr>
              <w:pStyle w:val="TableParagraph"/>
              <w:spacing w:line="240" w:lineRule="auto" w:before="76"/>
              <w:ind w:left="201" w:right="0"/>
              <w:jc w:val="left"/>
              <w:rPr>
                <w:rFonts w:ascii="Times New Roman" w:hAnsi="Times New Roman" w:cs="Times New Roman" w:eastAsia="Times New Roman" w:hint="default"/>
                <w:sz w:val="21"/>
                <w:szCs w:val="21"/>
              </w:rPr>
            </w:pPr>
            <w:r>
              <w:rPr>
                <w:rFonts w:ascii="Times New Roman"/>
                <w:sz w:val="21"/>
              </w:rPr>
              <w:t>6.64</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Times New Roman" w:hAnsi="Times New Roman" w:cs="Times New Roman" w:eastAsia="Times New Roman" w:hint="default"/>
                <w:sz w:val="21"/>
                <w:szCs w:val="21"/>
              </w:rPr>
            </w:pPr>
            <w:r>
              <w:rPr>
                <w:rFonts w:ascii="Times New Roman"/>
                <w:sz w:val="21"/>
              </w:rPr>
              <w:t>47,0</w:t>
            </w:r>
          </w:p>
          <w:p>
            <w:pPr>
              <w:pStyle w:val="TableParagraph"/>
              <w:spacing w:line="240" w:lineRule="auto" w:before="65"/>
              <w:ind w:left="182" w:right="0"/>
              <w:jc w:val="left"/>
              <w:rPr>
                <w:rFonts w:ascii="Times New Roman" w:hAnsi="Times New Roman" w:cs="Times New Roman" w:eastAsia="Times New Roman" w:hint="default"/>
                <w:sz w:val="21"/>
                <w:szCs w:val="21"/>
              </w:rPr>
            </w:pPr>
            <w:r>
              <w:rPr>
                <w:rFonts w:ascii="Times New Roman"/>
                <w:sz w:val="21"/>
              </w:rPr>
              <w:t>02,7</w:t>
            </w:r>
          </w:p>
          <w:p>
            <w:pPr>
              <w:pStyle w:val="TableParagraph"/>
              <w:spacing w:line="240" w:lineRule="auto" w:before="70"/>
              <w:ind w:left="182" w:right="0"/>
              <w:jc w:val="left"/>
              <w:rPr>
                <w:rFonts w:ascii="Times New Roman" w:hAnsi="Times New Roman" w:cs="Times New Roman" w:eastAsia="Times New Roman" w:hint="default"/>
                <w:sz w:val="21"/>
                <w:szCs w:val="21"/>
              </w:rPr>
            </w:pPr>
            <w:r>
              <w:rPr>
                <w:rFonts w:ascii="Times New Roman"/>
                <w:sz w:val="21"/>
              </w:rPr>
              <w:t>29.6</w:t>
            </w:r>
          </w:p>
          <w:p>
            <w:pPr>
              <w:pStyle w:val="TableParagraph"/>
              <w:spacing w:line="240" w:lineRule="auto" w:before="76"/>
              <w:ind w:right="98"/>
              <w:jc w:val="right"/>
              <w:rPr>
                <w:rFonts w:ascii="Times New Roman" w:hAnsi="Times New Roman" w:cs="Times New Roman" w:eastAsia="Times New Roman" w:hint="default"/>
                <w:sz w:val="21"/>
                <w:szCs w:val="21"/>
              </w:rPr>
            </w:pPr>
            <w:r>
              <w:rPr>
                <w:rFonts w:ascii="Times New Roman"/>
                <w:w w:val="100"/>
                <w:sz w:val="21"/>
              </w:rPr>
              <w:t>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213,41</w:t>
            </w:r>
          </w:p>
          <w:p>
            <w:pPr>
              <w:pStyle w:val="TableParagraph"/>
              <w:spacing w:line="240" w:lineRule="auto" w:before="65"/>
              <w:ind w:left="163" w:right="0"/>
              <w:jc w:val="left"/>
              <w:rPr>
                <w:rFonts w:ascii="Times New Roman" w:hAnsi="Times New Roman" w:cs="Times New Roman" w:eastAsia="Times New Roman" w:hint="default"/>
                <w:sz w:val="21"/>
                <w:szCs w:val="21"/>
              </w:rPr>
            </w:pPr>
            <w:r>
              <w:rPr>
                <w:rFonts w:ascii="Times New Roman"/>
                <w:sz w:val="21"/>
              </w:rPr>
              <w:t>5,182.</w:t>
            </w:r>
          </w:p>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sz w:val="21"/>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3,860,6</w:t>
            </w:r>
          </w:p>
          <w:p>
            <w:pPr>
              <w:pStyle w:val="TableParagraph"/>
              <w:spacing w:line="240" w:lineRule="auto" w:before="65"/>
              <w:ind w:left="187" w:right="0"/>
              <w:jc w:val="left"/>
              <w:rPr>
                <w:rFonts w:ascii="Times New Roman" w:hAnsi="Times New Roman" w:cs="Times New Roman" w:eastAsia="Times New Roman" w:hint="default"/>
                <w:sz w:val="21"/>
                <w:szCs w:val="21"/>
              </w:rPr>
            </w:pPr>
            <w:r>
              <w:rPr>
                <w:rFonts w:ascii="Times New Roman"/>
                <w:sz w:val="21"/>
              </w:rPr>
              <w:t>70,009.</w:t>
            </w:r>
          </w:p>
          <w:p>
            <w:pPr>
              <w:pStyle w:val="TableParagraph"/>
              <w:spacing w:line="240" w:lineRule="auto" w:before="75"/>
              <w:ind w:left="604" w:right="0"/>
              <w:jc w:val="left"/>
              <w:rPr>
                <w:rFonts w:ascii="Times New Roman" w:hAnsi="Times New Roman" w:cs="Times New Roman" w:eastAsia="Times New Roman" w:hint="default"/>
                <w:sz w:val="21"/>
                <w:szCs w:val="21"/>
              </w:rPr>
            </w:pPr>
            <w:r>
              <w:rPr>
                <w:rFonts w:ascii="Times New Roman"/>
                <w:sz w:val="21"/>
              </w:rPr>
              <w:t>05</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47"/>
              <w:ind w:left="105" w:right="94"/>
              <w:jc w:val="left"/>
              <w:rPr>
                <w:rFonts w:ascii="宋体" w:hAnsi="宋体" w:cs="宋体" w:eastAsia="宋体" w:hint="default"/>
                <w:sz w:val="21"/>
                <w:szCs w:val="21"/>
              </w:rPr>
            </w:pPr>
            <w:r>
              <w:rPr>
                <w:rFonts w:ascii="宋体" w:hAnsi="宋体" w:cs="宋体" w:eastAsia="宋体" w:hint="default"/>
                <w:spacing w:val="-8"/>
                <w:sz w:val="21"/>
                <w:szCs w:val="21"/>
              </w:rPr>
              <w:t>三、本期增</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减变动金</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21"/>
                <w:szCs w:val="21"/>
              </w:rPr>
            </w:pPr>
            <w:r>
              <w:rPr>
                <w:rFonts w:ascii="Times New Roman"/>
                <w:sz w:val="21"/>
              </w:rPr>
              <w:t>-12,</w:t>
            </w:r>
          </w:p>
          <w:p>
            <w:pPr>
              <w:pStyle w:val="TableParagraph"/>
              <w:spacing w:line="240" w:lineRule="auto" w:before="65"/>
              <w:ind w:left="115" w:right="0"/>
              <w:jc w:val="left"/>
              <w:rPr>
                <w:rFonts w:ascii="Times New Roman" w:hAnsi="Times New Roman" w:cs="Times New Roman" w:eastAsia="Times New Roman" w:hint="default"/>
                <w:sz w:val="21"/>
                <w:szCs w:val="21"/>
              </w:rPr>
            </w:pPr>
            <w:r>
              <w:rPr>
                <w:rFonts w:ascii="Times New Roman"/>
                <w:sz w:val="21"/>
              </w:rPr>
              <w:t>454,</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21"/>
                <w:szCs w:val="21"/>
              </w:rPr>
            </w:pPr>
            <w:r>
              <w:rPr>
                <w:rFonts w:ascii="Times New Roman"/>
                <w:sz w:val="21"/>
              </w:rPr>
              <w:t>-77,5</w:t>
            </w:r>
          </w:p>
          <w:p>
            <w:pPr>
              <w:pStyle w:val="TableParagraph"/>
              <w:spacing w:line="240" w:lineRule="auto" w:before="65"/>
              <w:ind w:left="201" w:right="0"/>
              <w:jc w:val="left"/>
              <w:rPr>
                <w:rFonts w:ascii="Times New Roman" w:hAnsi="Times New Roman" w:cs="Times New Roman" w:eastAsia="Times New Roman" w:hint="default"/>
                <w:sz w:val="21"/>
                <w:szCs w:val="21"/>
              </w:rPr>
            </w:pPr>
            <w:r>
              <w:rPr>
                <w:rFonts w:ascii="Times New Roman"/>
                <w:sz w:val="21"/>
              </w:rPr>
              <w:t>72,5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6" w:right="0"/>
              <w:jc w:val="left"/>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65"/>
              <w:ind w:left="206" w:right="0"/>
              <w:jc w:val="left"/>
              <w:rPr>
                <w:rFonts w:ascii="Times New Roman" w:hAnsi="Times New Roman" w:cs="Times New Roman" w:eastAsia="Times New Roman" w:hint="default"/>
                <w:sz w:val="21"/>
                <w:szCs w:val="21"/>
              </w:rPr>
            </w:pPr>
            <w:r>
              <w:rPr>
                <w:rFonts w:ascii="Times New Roman"/>
                <w:sz w:val="21"/>
              </w:rPr>
              <w:t>033,</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2" w:right="0"/>
              <w:jc w:val="left"/>
              <w:rPr>
                <w:rFonts w:ascii="Times New Roman" w:hAnsi="Times New Roman" w:cs="Times New Roman" w:eastAsia="Times New Roman" w:hint="default"/>
                <w:sz w:val="21"/>
                <w:szCs w:val="21"/>
              </w:rPr>
            </w:pPr>
            <w:r>
              <w:rPr>
                <w:rFonts w:ascii="Times New Roman"/>
                <w:sz w:val="21"/>
              </w:rPr>
              <w:t>4,03</w:t>
            </w:r>
          </w:p>
          <w:p>
            <w:pPr>
              <w:pStyle w:val="TableParagraph"/>
              <w:spacing w:line="240" w:lineRule="auto" w:before="65"/>
              <w:ind w:left="191" w:right="0"/>
              <w:jc w:val="left"/>
              <w:rPr>
                <w:rFonts w:ascii="Times New Roman" w:hAnsi="Times New Roman" w:cs="Times New Roman" w:eastAsia="Times New Roman" w:hint="default"/>
                <w:sz w:val="21"/>
                <w:szCs w:val="21"/>
              </w:rPr>
            </w:pPr>
            <w:r>
              <w:rPr>
                <w:rFonts w:ascii="Times New Roman"/>
                <w:sz w:val="21"/>
              </w:rPr>
              <w:t>5,41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3" w:right="0"/>
              <w:jc w:val="left"/>
              <w:rPr>
                <w:rFonts w:ascii="Times New Roman" w:hAnsi="Times New Roman" w:cs="Times New Roman" w:eastAsia="Times New Roman" w:hint="default"/>
                <w:sz w:val="21"/>
                <w:szCs w:val="21"/>
              </w:rPr>
            </w:pPr>
            <w:r>
              <w:rPr>
                <w:rFonts w:ascii="Times New Roman"/>
                <w:sz w:val="21"/>
              </w:rPr>
              <w:t>1,123,</w:t>
            </w:r>
          </w:p>
          <w:p>
            <w:pPr>
              <w:pStyle w:val="TableParagraph"/>
              <w:spacing w:line="240" w:lineRule="auto" w:before="70"/>
              <w:ind w:left="110" w:right="0"/>
              <w:jc w:val="left"/>
              <w:rPr>
                <w:rFonts w:ascii="Times New Roman" w:hAnsi="Times New Roman" w:cs="Times New Roman" w:eastAsia="Times New Roman" w:hint="default"/>
                <w:sz w:val="21"/>
                <w:szCs w:val="21"/>
              </w:rPr>
            </w:pPr>
            <w:r>
              <w:rPr>
                <w:rFonts w:ascii="Times New Roman"/>
                <w:sz w:val="21"/>
              </w:rPr>
              <w:t>684.17</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8" w:right="0"/>
              <w:jc w:val="left"/>
              <w:rPr>
                <w:rFonts w:ascii="Times New Roman" w:hAnsi="Times New Roman" w:cs="Times New Roman" w:eastAsia="Times New Roman" w:hint="default"/>
                <w:sz w:val="21"/>
                <w:szCs w:val="21"/>
              </w:rPr>
            </w:pPr>
            <w:r>
              <w:rPr>
                <w:rFonts w:ascii="Times New Roman"/>
                <w:sz w:val="21"/>
              </w:rPr>
              <w:t>-234,90</w:t>
            </w:r>
          </w:p>
          <w:p>
            <w:pPr>
              <w:pStyle w:val="TableParagraph"/>
              <w:spacing w:line="240" w:lineRule="auto" w:before="65"/>
              <w:ind w:left="187" w:right="0"/>
              <w:jc w:val="left"/>
              <w:rPr>
                <w:rFonts w:ascii="Times New Roman" w:hAnsi="Times New Roman" w:cs="Times New Roman" w:eastAsia="Times New Roman" w:hint="default"/>
                <w:sz w:val="21"/>
                <w:szCs w:val="21"/>
              </w:rPr>
            </w:pPr>
            <w:r>
              <w:rPr>
                <w:rFonts w:ascii="Times New Roman"/>
                <w:sz w:val="21"/>
              </w:rPr>
              <w:t>1,877.6</w:t>
            </w:r>
          </w:p>
        </w:tc>
      </w:tr>
    </w:tbl>
    <w:p>
      <w:pPr>
        <w:spacing w:after="0" w:line="240" w:lineRule="auto"/>
        <w:jc w:val="lef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98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pacing w:val="-8"/>
                <w:sz w:val="21"/>
                <w:szCs w:val="21"/>
              </w:rPr>
              <w:t>额（减少以</w:t>
            </w:r>
          </w:p>
          <w:p>
            <w:pPr>
              <w:pStyle w:val="TableParagraph"/>
              <w:spacing w:line="276" w:lineRule="auto" w:before="37"/>
              <w:ind w:left="105" w:right="99"/>
              <w:jc w:val="left"/>
              <w:rPr>
                <w:rFonts w:ascii="宋体" w:hAnsi="宋体" w:cs="宋体" w:eastAsia="宋体" w:hint="default"/>
                <w:sz w:val="21"/>
                <w:szCs w:val="21"/>
              </w:rPr>
            </w:pPr>
            <w:r>
              <w:rPr>
                <w:rFonts w:ascii="宋体" w:hAnsi="宋体" w:cs="宋体" w:eastAsia="宋体" w:hint="default"/>
                <w:spacing w:val="-9"/>
                <w:sz w:val="21"/>
                <w:szCs w:val="21"/>
              </w:rPr>
              <w:t>“－”号填</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列）</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4" w:right="0"/>
              <w:jc w:val="center"/>
              <w:rPr>
                <w:rFonts w:ascii="Times New Roman" w:hAnsi="Times New Roman" w:cs="Times New Roman" w:eastAsia="Times New Roman" w:hint="default"/>
                <w:sz w:val="21"/>
                <w:szCs w:val="21"/>
              </w:rPr>
            </w:pPr>
            <w:r>
              <w:rPr>
                <w:rFonts w:ascii="Times New Roman"/>
                <w:sz w:val="21"/>
              </w:rPr>
              <w:t>745.</w:t>
            </w:r>
          </w:p>
          <w:p>
            <w:pPr>
              <w:pStyle w:val="TableParagraph"/>
              <w:spacing w:line="240" w:lineRule="auto" w:before="75"/>
              <w:ind w:left="172" w:right="0"/>
              <w:jc w:val="center"/>
              <w:rPr>
                <w:rFonts w:ascii="Times New Roman" w:hAnsi="Times New Roman" w:cs="Times New Roman" w:eastAsia="Times New Roman" w:hint="default"/>
                <w:sz w:val="21"/>
                <w:szCs w:val="21"/>
              </w:rPr>
            </w:pPr>
            <w:r>
              <w:rPr>
                <w:rFonts w:ascii="Times New Roman"/>
                <w:sz w:val="21"/>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91.0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center"/>
              <w:rPr>
                <w:rFonts w:ascii="Times New Roman" w:hAnsi="Times New Roman" w:cs="Times New Roman" w:eastAsia="Times New Roman" w:hint="default"/>
                <w:sz w:val="21"/>
                <w:szCs w:val="21"/>
              </w:rPr>
            </w:pPr>
            <w:r>
              <w:rPr>
                <w:rFonts w:ascii="Times New Roman"/>
                <w:sz w:val="21"/>
              </w:rPr>
              <w:t>637.</w:t>
            </w:r>
          </w:p>
          <w:p>
            <w:pPr>
              <w:pStyle w:val="TableParagraph"/>
              <w:spacing w:line="240" w:lineRule="auto" w:before="75"/>
              <w:ind w:left="264" w:right="0"/>
              <w:jc w:val="center"/>
              <w:rPr>
                <w:rFonts w:ascii="Times New Roman" w:hAnsi="Times New Roman" w:cs="Times New Roman" w:eastAsia="Times New Roman" w:hint="default"/>
                <w:sz w:val="21"/>
                <w:szCs w:val="21"/>
              </w:rPr>
            </w:pPr>
            <w:r>
              <w:rPr>
                <w:rFonts w:ascii="Times New Roman"/>
                <w:sz w:val="21"/>
              </w:rPr>
              <w:t>57</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82" w:right="0"/>
              <w:jc w:val="left"/>
              <w:rPr>
                <w:rFonts w:ascii="Times New Roman" w:hAnsi="Times New Roman" w:cs="Times New Roman" w:eastAsia="Times New Roman" w:hint="default"/>
                <w:sz w:val="21"/>
                <w:szCs w:val="21"/>
              </w:rPr>
            </w:pPr>
            <w:r>
              <w:rPr>
                <w:rFonts w:ascii="Times New Roman"/>
                <w:sz w:val="21"/>
              </w:rPr>
              <w:t>1.75</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w w:val="100"/>
                <w:sz w:val="21"/>
              </w:rPr>
              <w:t>6</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105" w:right="94"/>
              <w:jc w:val="left"/>
              <w:rPr>
                <w:rFonts w:ascii="宋体" w:hAnsi="宋体" w:cs="宋体" w:eastAsia="宋体" w:hint="default"/>
                <w:sz w:val="21"/>
                <w:szCs w:val="21"/>
              </w:rPr>
            </w:pPr>
            <w:r>
              <w:rPr>
                <w:rFonts w:ascii="宋体" w:hAnsi="宋体" w:cs="宋体" w:eastAsia="宋体" w:hint="default"/>
                <w:spacing w:val="-8"/>
                <w:sz w:val="21"/>
                <w:szCs w:val="21"/>
              </w:rPr>
              <w:t>（一）综合</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收益总额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40,354</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pacing w:val="-2"/>
                <w:sz w:val="21"/>
              </w:rPr>
              <w:t>,117.4</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40,354,</w:t>
            </w:r>
          </w:p>
          <w:p>
            <w:pPr>
              <w:pStyle w:val="TableParagraph"/>
              <w:spacing w:line="240" w:lineRule="auto" w:before="70"/>
              <w:ind w:left="244" w:right="0"/>
              <w:jc w:val="left"/>
              <w:rPr>
                <w:rFonts w:ascii="Times New Roman" w:hAnsi="Times New Roman" w:cs="Times New Roman" w:eastAsia="Times New Roman" w:hint="default"/>
                <w:sz w:val="21"/>
                <w:szCs w:val="21"/>
              </w:rPr>
            </w:pPr>
            <w:r>
              <w:rPr>
                <w:rFonts w:ascii="Times New Roman"/>
                <w:sz w:val="21"/>
              </w:rPr>
              <w:t>117.48</w:t>
            </w: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105" w:right="94"/>
              <w:jc w:val="left"/>
              <w:rPr>
                <w:rFonts w:ascii="宋体" w:hAnsi="宋体" w:cs="宋体" w:eastAsia="宋体" w:hint="default"/>
                <w:sz w:val="21"/>
                <w:szCs w:val="21"/>
              </w:rPr>
            </w:pPr>
            <w:r>
              <w:rPr>
                <w:rFonts w:ascii="宋体" w:hAnsi="宋体" w:cs="宋体" w:eastAsia="宋体" w:hint="default"/>
                <w:spacing w:val="-8"/>
                <w:sz w:val="21"/>
                <w:szCs w:val="21"/>
              </w:rPr>
              <w:t>（二）所有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者投入和</w:t>
            </w:r>
            <w:r>
              <w:rPr>
                <w:rFonts w:ascii="宋体" w:hAnsi="宋体" w:cs="宋体" w:eastAsia="宋体" w:hint="default"/>
                <w:spacing w:val="-101"/>
                <w:sz w:val="21"/>
                <w:szCs w:val="21"/>
              </w:rPr>
              <w:t> </w:t>
            </w:r>
            <w:r>
              <w:rPr>
                <w:rFonts w:ascii="宋体" w:hAnsi="宋体" w:cs="宋体" w:eastAsia="宋体" w:hint="default"/>
                <w:sz w:val="21"/>
                <w:szCs w:val="21"/>
              </w:rPr>
              <w:t>减少资本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center"/>
              <w:rPr>
                <w:rFonts w:ascii="Times New Roman" w:hAnsi="Times New Roman" w:cs="Times New Roman" w:eastAsia="Times New Roman" w:hint="default"/>
                <w:sz w:val="21"/>
                <w:szCs w:val="21"/>
              </w:rPr>
            </w:pPr>
            <w:r>
              <w:rPr>
                <w:rFonts w:ascii="Times New Roman"/>
                <w:sz w:val="21"/>
              </w:rPr>
              <w:t>-12,</w:t>
            </w:r>
          </w:p>
          <w:p>
            <w:pPr>
              <w:pStyle w:val="TableParagraph"/>
              <w:spacing w:line="240" w:lineRule="auto" w:before="70"/>
              <w:ind w:left="14" w:right="0"/>
              <w:jc w:val="center"/>
              <w:rPr>
                <w:rFonts w:ascii="Times New Roman" w:hAnsi="Times New Roman" w:cs="Times New Roman" w:eastAsia="Times New Roman" w:hint="default"/>
                <w:sz w:val="21"/>
                <w:szCs w:val="21"/>
              </w:rPr>
            </w:pPr>
            <w:r>
              <w:rPr>
                <w:rFonts w:ascii="Times New Roman"/>
                <w:sz w:val="21"/>
              </w:rPr>
              <w:t>454,</w:t>
            </w:r>
          </w:p>
          <w:p>
            <w:pPr>
              <w:pStyle w:val="TableParagraph"/>
              <w:spacing w:line="240" w:lineRule="auto" w:before="71"/>
              <w:ind w:left="14" w:right="0"/>
              <w:jc w:val="center"/>
              <w:rPr>
                <w:rFonts w:ascii="Times New Roman" w:hAnsi="Times New Roman" w:cs="Times New Roman" w:eastAsia="Times New Roman" w:hint="default"/>
                <w:sz w:val="21"/>
                <w:szCs w:val="21"/>
              </w:rPr>
            </w:pPr>
            <w:r>
              <w:rPr>
                <w:rFonts w:ascii="Times New Roman"/>
                <w:sz w:val="21"/>
              </w:rPr>
              <w:t>745.</w:t>
            </w:r>
          </w:p>
          <w:p>
            <w:pPr>
              <w:pStyle w:val="TableParagraph"/>
              <w:spacing w:line="240" w:lineRule="auto" w:before="75"/>
              <w:ind w:left="172" w:right="0"/>
              <w:jc w:val="center"/>
              <w:rPr>
                <w:rFonts w:ascii="Times New Roman" w:hAnsi="Times New Roman" w:cs="Times New Roman" w:eastAsia="Times New Roman" w:hint="default"/>
                <w:sz w:val="21"/>
                <w:szCs w:val="21"/>
              </w:rPr>
            </w:pPr>
            <w:r>
              <w:rPr>
                <w:rFonts w:ascii="Times New Roman"/>
                <w:sz w:val="21"/>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4" w:right="0"/>
              <w:jc w:val="left"/>
              <w:rPr>
                <w:rFonts w:ascii="Times New Roman" w:hAnsi="Times New Roman" w:cs="Times New Roman" w:eastAsia="Times New Roman" w:hint="default"/>
                <w:sz w:val="21"/>
                <w:szCs w:val="21"/>
              </w:rPr>
            </w:pPr>
            <w:r>
              <w:rPr>
                <w:rFonts w:ascii="Times New Roman"/>
                <w:sz w:val="21"/>
              </w:rPr>
              <w:t>-77,5</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72,5</w:t>
            </w:r>
          </w:p>
          <w:p>
            <w:pPr>
              <w:pStyle w:val="TableParagraph"/>
              <w:spacing w:line="240" w:lineRule="auto" w:before="71"/>
              <w:ind w:left="201" w:right="0"/>
              <w:jc w:val="left"/>
              <w:rPr>
                <w:rFonts w:ascii="Times New Roman" w:hAnsi="Times New Roman" w:cs="Times New Roman" w:eastAsia="Times New Roman" w:hint="default"/>
                <w:sz w:val="21"/>
                <w:szCs w:val="21"/>
              </w:rPr>
            </w:pPr>
            <w:r>
              <w:rPr>
                <w:rFonts w:ascii="Times New Roman"/>
                <w:sz w:val="21"/>
              </w:rPr>
              <w:t>91.0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center"/>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70"/>
              <w:ind w:left="105" w:right="0"/>
              <w:jc w:val="center"/>
              <w:rPr>
                <w:rFonts w:ascii="Times New Roman" w:hAnsi="Times New Roman" w:cs="Times New Roman" w:eastAsia="Times New Roman" w:hint="default"/>
                <w:sz w:val="21"/>
                <w:szCs w:val="21"/>
              </w:rPr>
            </w:pPr>
            <w:r>
              <w:rPr>
                <w:rFonts w:ascii="Times New Roman"/>
                <w:sz w:val="21"/>
              </w:rPr>
              <w:t>033,</w:t>
            </w:r>
          </w:p>
          <w:p>
            <w:pPr>
              <w:pStyle w:val="TableParagraph"/>
              <w:spacing w:line="240" w:lineRule="auto" w:before="71"/>
              <w:ind w:left="105" w:right="0"/>
              <w:jc w:val="center"/>
              <w:rPr>
                <w:rFonts w:ascii="Times New Roman" w:hAnsi="Times New Roman" w:cs="Times New Roman" w:eastAsia="Times New Roman" w:hint="default"/>
                <w:sz w:val="21"/>
                <w:szCs w:val="21"/>
              </w:rPr>
            </w:pPr>
            <w:r>
              <w:rPr>
                <w:rFonts w:ascii="Times New Roman"/>
                <w:sz w:val="21"/>
              </w:rPr>
              <w:t>637.</w:t>
            </w:r>
          </w:p>
          <w:p>
            <w:pPr>
              <w:pStyle w:val="TableParagraph"/>
              <w:spacing w:line="240" w:lineRule="auto" w:before="75"/>
              <w:ind w:left="264" w:right="0"/>
              <w:jc w:val="center"/>
              <w:rPr>
                <w:rFonts w:ascii="Times New Roman" w:hAnsi="Times New Roman" w:cs="Times New Roman" w:eastAsia="Times New Roman" w:hint="default"/>
                <w:sz w:val="21"/>
                <w:szCs w:val="21"/>
              </w:rPr>
            </w:pPr>
            <w:r>
              <w:rPr>
                <w:rFonts w:ascii="Times New Roman"/>
                <w:sz w:val="21"/>
              </w:rPr>
              <w:t>57</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-240,06</w:t>
            </w:r>
          </w:p>
          <w:p>
            <w:pPr>
              <w:pStyle w:val="TableParagraph"/>
              <w:spacing w:line="240" w:lineRule="auto" w:before="65"/>
              <w:ind w:right="95"/>
              <w:jc w:val="right"/>
              <w:rPr>
                <w:rFonts w:ascii="Times New Roman" w:hAnsi="Times New Roman" w:cs="Times New Roman" w:eastAsia="Times New Roman" w:hint="default"/>
                <w:sz w:val="21"/>
                <w:szCs w:val="21"/>
              </w:rPr>
            </w:pPr>
            <w:r>
              <w:rPr>
                <w:rFonts w:ascii="Times New Roman"/>
                <w:sz w:val="21"/>
              </w:rPr>
              <w:t>0,973.5</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8</w:t>
            </w: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66" w:lineRule="auto"/>
              <w:ind w:left="105" w:right="16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w:t>
            </w:r>
            <w:r>
              <w:rPr>
                <w:rFonts w:ascii="宋体" w:hAnsi="宋体" w:cs="宋体" w:eastAsia="宋体" w:hint="default"/>
                <w:spacing w:val="-100"/>
                <w:sz w:val="21"/>
                <w:szCs w:val="21"/>
              </w:rPr>
              <w:t> </w:t>
            </w:r>
            <w:r>
              <w:rPr>
                <w:rFonts w:ascii="宋体" w:hAnsi="宋体" w:cs="宋体" w:eastAsia="宋体" w:hint="default"/>
                <w:sz w:val="21"/>
                <w:szCs w:val="21"/>
              </w:rPr>
              <w:t>投入的普</w:t>
            </w:r>
            <w:r>
              <w:rPr>
                <w:rFonts w:ascii="宋体" w:hAnsi="宋体" w:cs="宋体" w:eastAsia="宋体" w:hint="default"/>
                <w:spacing w:val="-101"/>
                <w:sz w:val="21"/>
                <w:szCs w:val="21"/>
              </w:rPr>
              <w:t> </w:t>
            </w:r>
            <w:r>
              <w:rPr>
                <w:rFonts w:ascii="宋体" w:hAnsi="宋体" w:cs="宋体" w:eastAsia="宋体" w:hint="default"/>
                <w:sz w:val="21"/>
                <w:szCs w:val="21"/>
              </w:rPr>
              <w:t>通股</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center"/>
              <w:rPr>
                <w:rFonts w:ascii="Times New Roman" w:hAnsi="Times New Roman" w:cs="Times New Roman" w:eastAsia="Times New Roman" w:hint="default"/>
                <w:sz w:val="21"/>
                <w:szCs w:val="21"/>
              </w:rPr>
            </w:pPr>
            <w:r>
              <w:rPr>
                <w:rFonts w:ascii="Times New Roman"/>
                <w:sz w:val="21"/>
              </w:rPr>
              <w:t>-12,</w:t>
            </w:r>
          </w:p>
          <w:p>
            <w:pPr>
              <w:pStyle w:val="TableParagraph"/>
              <w:spacing w:line="240" w:lineRule="auto" w:before="65"/>
              <w:ind w:left="14" w:right="0"/>
              <w:jc w:val="center"/>
              <w:rPr>
                <w:rFonts w:ascii="Times New Roman" w:hAnsi="Times New Roman" w:cs="Times New Roman" w:eastAsia="Times New Roman" w:hint="default"/>
                <w:sz w:val="21"/>
                <w:szCs w:val="21"/>
              </w:rPr>
            </w:pPr>
            <w:r>
              <w:rPr>
                <w:rFonts w:ascii="Times New Roman"/>
                <w:sz w:val="21"/>
              </w:rPr>
              <w:t>454,</w:t>
            </w:r>
          </w:p>
          <w:p>
            <w:pPr>
              <w:pStyle w:val="TableParagraph"/>
              <w:spacing w:line="240" w:lineRule="auto" w:before="70"/>
              <w:ind w:left="14" w:right="0"/>
              <w:jc w:val="center"/>
              <w:rPr>
                <w:rFonts w:ascii="Times New Roman" w:hAnsi="Times New Roman" w:cs="Times New Roman" w:eastAsia="Times New Roman" w:hint="default"/>
                <w:sz w:val="21"/>
                <w:szCs w:val="21"/>
              </w:rPr>
            </w:pPr>
            <w:r>
              <w:rPr>
                <w:rFonts w:ascii="Times New Roman"/>
                <w:sz w:val="21"/>
              </w:rPr>
              <w:t>745.</w:t>
            </w:r>
          </w:p>
          <w:p>
            <w:pPr>
              <w:pStyle w:val="TableParagraph"/>
              <w:spacing w:line="240" w:lineRule="auto" w:before="76"/>
              <w:ind w:left="172" w:right="0"/>
              <w:jc w:val="center"/>
              <w:rPr>
                <w:rFonts w:ascii="Times New Roman" w:hAnsi="Times New Roman" w:cs="Times New Roman" w:eastAsia="Times New Roman" w:hint="default"/>
                <w:sz w:val="21"/>
                <w:szCs w:val="21"/>
              </w:rPr>
            </w:pPr>
            <w:r>
              <w:rPr>
                <w:rFonts w:ascii="Times New Roman"/>
                <w:sz w:val="21"/>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4" w:right="0"/>
              <w:jc w:val="left"/>
              <w:rPr>
                <w:rFonts w:ascii="Times New Roman" w:hAnsi="Times New Roman" w:cs="Times New Roman" w:eastAsia="Times New Roman" w:hint="default"/>
                <w:sz w:val="21"/>
                <w:szCs w:val="21"/>
              </w:rPr>
            </w:pPr>
            <w:r>
              <w:rPr>
                <w:rFonts w:ascii="Times New Roman"/>
                <w:sz w:val="21"/>
              </w:rPr>
              <w:t>-77,5</w:t>
            </w:r>
          </w:p>
          <w:p>
            <w:pPr>
              <w:pStyle w:val="TableParagraph"/>
              <w:spacing w:line="240" w:lineRule="auto" w:before="65"/>
              <w:ind w:left="201" w:right="0"/>
              <w:jc w:val="left"/>
              <w:rPr>
                <w:rFonts w:ascii="Times New Roman" w:hAnsi="Times New Roman" w:cs="Times New Roman" w:eastAsia="Times New Roman" w:hint="default"/>
                <w:sz w:val="21"/>
                <w:szCs w:val="21"/>
              </w:rPr>
            </w:pPr>
            <w:r>
              <w:rPr>
                <w:rFonts w:ascii="Times New Roman"/>
                <w:sz w:val="21"/>
              </w:rPr>
              <w:t>72,5</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91.0</w:t>
            </w:r>
          </w:p>
          <w:p>
            <w:pPr>
              <w:pStyle w:val="TableParagraph"/>
              <w:spacing w:line="240" w:lineRule="auto" w:before="76"/>
              <w:ind w:right="98"/>
              <w:jc w:val="right"/>
              <w:rPr>
                <w:rFonts w:ascii="Times New Roman" w:hAnsi="Times New Roman" w:cs="Times New Roman" w:eastAsia="Times New Roman" w:hint="default"/>
                <w:sz w:val="21"/>
                <w:szCs w:val="21"/>
              </w:rPr>
            </w:pPr>
            <w:r>
              <w:rPr>
                <w:rFonts w:ascii="Times New Roman"/>
                <w:w w:val="100"/>
                <w:sz w:val="21"/>
              </w:rPr>
              <w:t>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center"/>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65"/>
              <w:ind w:left="105" w:right="0"/>
              <w:jc w:val="center"/>
              <w:rPr>
                <w:rFonts w:ascii="Times New Roman" w:hAnsi="Times New Roman" w:cs="Times New Roman" w:eastAsia="Times New Roman" w:hint="default"/>
                <w:sz w:val="21"/>
                <w:szCs w:val="21"/>
              </w:rPr>
            </w:pPr>
            <w:r>
              <w:rPr>
                <w:rFonts w:ascii="Times New Roman"/>
                <w:sz w:val="21"/>
              </w:rPr>
              <w:t>033,</w:t>
            </w:r>
          </w:p>
          <w:p>
            <w:pPr>
              <w:pStyle w:val="TableParagraph"/>
              <w:spacing w:line="240" w:lineRule="auto" w:before="70"/>
              <w:ind w:left="105" w:right="0"/>
              <w:jc w:val="center"/>
              <w:rPr>
                <w:rFonts w:ascii="Times New Roman" w:hAnsi="Times New Roman" w:cs="Times New Roman" w:eastAsia="Times New Roman" w:hint="default"/>
                <w:sz w:val="21"/>
                <w:szCs w:val="21"/>
              </w:rPr>
            </w:pPr>
            <w:r>
              <w:rPr>
                <w:rFonts w:ascii="Times New Roman"/>
                <w:sz w:val="21"/>
              </w:rPr>
              <w:t>637.</w:t>
            </w:r>
          </w:p>
          <w:p>
            <w:pPr>
              <w:pStyle w:val="TableParagraph"/>
              <w:spacing w:line="240" w:lineRule="auto" w:before="76"/>
              <w:ind w:left="264" w:right="0"/>
              <w:jc w:val="center"/>
              <w:rPr>
                <w:rFonts w:ascii="Times New Roman" w:hAnsi="Times New Roman" w:cs="Times New Roman" w:eastAsia="Times New Roman" w:hint="default"/>
                <w:sz w:val="21"/>
                <w:szCs w:val="21"/>
              </w:rPr>
            </w:pPr>
            <w:r>
              <w:rPr>
                <w:rFonts w:ascii="Times New Roman"/>
                <w:sz w:val="21"/>
              </w:rPr>
              <w:t>57</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-240,06</w:t>
            </w:r>
          </w:p>
          <w:p>
            <w:pPr>
              <w:pStyle w:val="TableParagraph"/>
              <w:spacing w:line="240" w:lineRule="auto" w:before="70"/>
              <w:ind w:right="95"/>
              <w:jc w:val="right"/>
              <w:rPr>
                <w:rFonts w:ascii="Times New Roman" w:hAnsi="Times New Roman" w:cs="Times New Roman" w:eastAsia="Times New Roman" w:hint="default"/>
                <w:sz w:val="21"/>
                <w:szCs w:val="21"/>
              </w:rPr>
            </w:pPr>
            <w:r>
              <w:rPr>
                <w:rFonts w:ascii="Times New Roman"/>
                <w:sz w:val="21"/>
              </w:rPr>
              <w:t>0,973.5</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8</w:t>
            </w:r>
          </w:p>
        </w:tc>
      </w:tr>
      <w:tr>
        <w:trPr>
          <w:trHeight w:val="133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05" w:right="16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．其他权</w:t>
            </w:r>
            <w:r>
              <w:rPr>
                <w:rFonts w:ascii="宋体" w:hAnsi="宋体" w:cs="宋体" w:eastAsia="宋体" w:hint="default"/>
                <w:spacing w:val="-100"/>
                <w:sz w:val="21"/>
                <w:szCs w:val="21"/>
              </w:rPr>
              <w:t> </w:t>
            </w:r>
            <w:r>
              <w:rPr>
                <w:rFonts w:ascii="宋体" w:hAnsi="宋体" w:cs="宋体" w:eastAsia="宋体" w:hint="default"/>
                <w:sz w:val="21"/>
                <w:szCs w:val="21"/>
              </w:rPr>
              <w:t>益工具持</w:t>
            </w:r>
            <w:r>
              <w:rPr>
                <w:rFonts w:ascii="宋体" w:hAnsi="宋体" w:cs="宋体" w:eastAsia="宋体" w:hint="default"/>
                <w:spacing w:val="-101"/>
                <w:sz w:val="21"/>
                <w:szCs w:val="21"/>
              </w:rPr>
              <w:t> </w:t>
            </w:r>
            <w:r>
              <w:rPr>
                <w:rFonts w:ascii="宋体" w:hAnsi="宋体" w:cs="宋体" w:eastAsia="宋体" w:hint="default"/>
                <w:sz w:val="21"/>
                <w:szCs w:val="21"/>
              </w:rPr>
              <w:t>有者投入</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05" w:right="16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．股份支</w:t>
            </w:r>
            <w:r>
              <w:rPr>
                <w:rFonts w:ascii="宋体" w:hAnsi="宋体" w:cs="宋体" w:eastAsia="宋体" w:hint="default"/>
                <w:spacing w:val="-100"/>
                <w:sz w:val="21"/>
                <w:szCs w:val="21"/>
              </w:rPr>
              <w:t> </w:t>
            </w:r>
            <w:r>
              <w:rPr>
                <w:rFonts w:ascii="宋体" w:hAnsi="宋体" w:cs="宋体" w:eastAsia="宋体" w:hint="default"/>
                <w:sz w:val="21"/>
                <w:szCs w:val="21"/>
              </w:rPr>
              <w:t>付计入所</w:t>
            </w:r>
            <w:r>
              <w:rPr>
                <w:rFonts w:ascii="宋体" w:hAnsi="宋体" w:cs="宋体" w:eastAsia="宋体" w:hint="default"/>
                <w:spacing w:val="-101"/>
                <w:sz w:val="21"/>
                <w:szCs w:val="21"/>
              </w:rPr>
              <w:t> </w:t>
            </w:r>
            <w:r>
              <w:rPr>
                <w:rFonts w:ascii="宋体" w:hAnsi="宋体" w:cs="宋体" w:eastAsia="宋体" w:hint="default"/>
                <w:sz w:val="21"/>
                <w:szCs w:val="21"/>
              </w:rPr>
              <w:t>有者权益</w:t>
            </w:r>
            <w:r>
              <w:rPr>
                <w:rFonts w:ascii="宋体" w:hAnsi="宋体" w:cs="宋体" w:eastAsia="宋体" w:hint="default"/>
                <w:spacing w:val="-101"/>
                <w:sz w:val="21"/>
                <w:szCs w:val="21"/>
              </w:rPr>
              <w:t> </w:t>
            </w:r>
            <w:r>
              <w:rPr>
                <w:rFonts w:ascii="宋体" w:hAnsi="宋体" w:cs="宋体" w:eastAsia="宋体" w:hint="default"/>
                <w:sz w:val="21"/>
                <w:szCs w:val="21"/>
              </w:rPr>
              <w:t>的金额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6" w:lineRule="auto"/>
              <w:ind w:left="105" w:right="94"/>
              <w:jc w:val="left"/>
              <w:rPr>
                <w:rFonts w:ascii="宋体" w:hAnsi="宋体" w:cs="宋体" w:eastAsia="宋体" w:hint="default"/>
                <w:sz w:val="21"/>
                <w:szCs w:val="21"/>
              </w:rPr>
            </w:pPr>
            <w:r>
              <w:rPr>
                <w:rFonts w:ascii="宋体" w:hAnsi="宋体" w:cs="宋体" w:eastAsia="宋体" w:hint="default"/>
                <w:spacing w:val="-8"/>
                <w:sz w:val="21"/>
                <w:szCs w:val="21"/>
              </w:rPr>
              <w:t>（三）利润</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82" w:right="0"/>
              <w:jc w:val="left"/>
              <w:rPr>
                <w:rFonts w:ascii="Times New Roman" w:hAnsi="Times New Roman" w:cs="Times New Roman" w:eastAsia="Times New Roman" w:hint="default"/>
                <w:sz w:val="21"/>
                <w:szCs w:val="21"/>
              </w:rPr>
            </w:pPr>
            <w:r>
              <w:rPr>
                <w:rFonts w:ascii="Times New Roman"/>
                <w:sz w:val="21"/>
              </w:rPr>
              <w:t>4,03</w:t>
            </w:r>
          </w:p>
          <w:p>
            <w:pPr>
              <w:pStyle w:val="TableParagraph"/>
              <w:spacing w:line="240" w:lineRule="auto" w:before="65"/>
              <w:ind w:left="191" w:right="0"/>
              <w:jc w:val="left"/>
              <w:rPr>
                <w:rFonts w:ascii="Times New Roman" w:hAnsi="Times New Roman" w:cs="Times New Roman" w:eastAsia="Times New Roman" w:hint="default"/>
                <w:sz w:val="21"/>
                <w:szCs w:val="21"/>
              </w:rPr>
            </w:pPr>
            <w:r>
              <w:rPr>
                <w:rFonts w:ascii="Times New Roman"/>
                <w:sz w:val="21"/>
              </w:rPr>
              <w:t>5,41</w:t>
            </w:r>
          </w:p>
          <w:p>
            <w:pPr>
              <w:pStyle w:val="TableParagraph"/>
              <w:spacing w:line="240" w:lineRule="auto" w:before="75"/>
              <w:ind w:left="182" w:right="0"/>
              <w:jc w:val="left"/>
              <w:rPr>
                <w:rFonts w:ascii="Times New Roman" w:hAnsi="Times New Roman" w:cs="Times New Roman" w:eastAsia="Times New Roman" w:hint="default"/>
                <w:sz w:val="21"/>
                <w:szCs w:val="21"/>
              </w:rPr>
            </w:pPr>
            <w:r>
              <w:rPr>
                <w:rFonts w:ascii="Times New Roman"/>
                <w:sz w:val="21"/>
              </w:rPr>
              <w:t>1.75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44" w:right="0"/>
              <w:jc w:val="left"/>
              <w:rPr>
                <w:rFonts w:ascii="Times New Roman" w:hAnsi="Times New Roman" w:cs="Times New Roman" w:eastAsia="Times New Roman" w:hint="default"/>
                <w:sz w:val="21"/>
                <w:szCs w:val="21"/>
              </w:rPr>
            </w:pPr>
            <w:r>
              <w:rPr>
                <w:rFonts w:ascii="Times New Roman"/>
                <w:sz w:val="21"/>
              </w:rPr>
              <w:t>-39,23</w:t>
            </w:r>
          </w:p>
          <w:p>
            <w:pPr>
              <w:pStyle w:val="TableParagraph"/>
              <w:spacing w:line="240" w:lineRule="auto" w:before="65"/>
              <w:ind w:left="163" w:right="0"/>
              <w:jc w:val="left"/>
              <w:rPr>
                <w:rFonts w:ascii="Times New Roman" w:hAnsi="Times New Roman" w:cs="Times New Roman" w:eastAsia="Times New Roman" w:hint="default"/>
                <w:sz w:val="21"/>
                <w:szCs w:val="21"/>
              </w:rPr>
            </w:pPr>
            <w:r>
              <w:rPr>
                <w:rFonts w:ascii="Times New Roman"/>
                <w:sz w:val="21"/>
              </w:rPr>
              <w:t>0,433.</w:t>
            </w:r>
          </w:p>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sz w:val="21"/>
              </w:rPr>
              <w:t>31</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sz w:val="21"/>
              </w:rPr>
              <w:t>-35,195,</w:t>
            </w:r>
          </w:p>
          <w:p>
            <w:pPr>
              <w:pStyle w:val="TableParagraph"/>
              <w:spacing w:line="240" w:lineRule="auto" w:before="75"/>
              <w:ind w:left="144" w:right="0"/>
              <w:jc w:val="center"/>
              <w:rPr>
                <w:rFonts w:ascii="Times New Roman" w:hAnsi="Times New Roman" w:cs="Times New Roman" w:eastAsia="Times New Roman" w:hint="default"/>
                <w:sz w:val="21"/>
                <w:szCs w:val="21"/>
              </w:rPr>
            </w:pPr>
            <w:r>
              <w:rPr>
                <w:rFonts w:ascii="Times New Roman"/>
                <w:sz w:val="21"/>
              </w:rPr>
              <w:t>021.56</w:t>
            </w: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61" w:lineRule="auto"/>
              <w:ind w:left="105" w:right="16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w:t>
            </w:r>
            <w:r>
              <w:rPr>
                <w:rFonts w:ascii="宋体" w:hAnsi="宋体" w:cs="宋体" w:eastAsia="宋体" w:hint="default"/>
                <w:spacing w:val="-100"/>
                <w:sz w:val="21"/>
                <w:szCs w:val="21"/>
              </w:rPr>
              <w:t> </w:t>
            </w:r>
            <w:r>
              <w:rPr>
                <w:rFonts w:ascii="宋体" w:hAnsi="宋体" w:cs="宋体" w:eastAsia="宋体" w:hint="default"/>
                <w:sz w:val="21"/>
                <w:szCs w:val="21"/>
              </w:rPr>
              <w:t>余公积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Times New Roman" w:hAnsi="Times New Roman" w:cs="Times New Roman" w:eastAsia="Times New Roman" w:hint="default"/>
                <w:sz w:val="21"/>
                <w:szCs w:val="21"/>
              </w:rPr>
            </w:pPr>
            <w:r>
              <w:rPr>
                <w:rFonts w:ascii="Times New Roman"/>
                <w:sz w:val="21"/>
              </w:rPr>
              <w:t>4,03</w:t>
            </w:r>
          </w:p>
          <w:p>
            <w:pPr>
              <w:pStyle w:val="TableParagraph"/>
              <w:spacing w:line="240" w:lineRule="auto" w:before="65"/>
              <w:ind w:left="191" w:right="0"/>
              <w:jc w:val="left"/>
              <w:rPr>
                <w:rFonts w:ascii="Times New Roman" w:hAnsi="Times New Roman" w:cs="Times New Roman" w:eastAsia="Times New Roman" w:hint="default"/>
                <w:sz w:val="21"/>
                <w:szCs w:val="21"/>
              </w:rPr>
            </w:pPr>
            <w:r>
              <w:rPr>
                <w:rFonts w:ascii="Times New Roman"/>
                <w:sz w:val="21"/>
              </w:rPr>
              <w:t>5,41</w:t>
            </w:r>
          </w:p>
          <w:p>
            <w:pPr>
              <w:pStyle w:val="TableParagraph"/>
              <w:spacing w:line="240" w:lineRule="auto" w:before="76"/>
              <w:ind w:left="182" w:right="0"/>
              <w:jc w:val="left"/>
              <w:rPr>
                <w:rFonts w:ascii="Times New Roman" w:hAnsi="Times New Roman" w:cs="Times New Roman" w:eastAsia="Times New Roman" w:hint="default"/>
                <w:sz w:val="21"/>
                <w:szCs w:val="21"/>
              </w:rPr>
            </w:pPr>
            <w:r>
              <w:rPr>
                <w:rFonts w:ascii="Times New Roman"/>
                <w:sz w:val="21"/>
              </w:rPr>
              <w:t>1.75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-4,035</w:t>
            </w:r>
          </w:p>
          <w:p>
            <w:pPr>
              <w:pStyle w:val="TableParagraph"/>
              <w:spacing w:line="240" w:lineRule="auto" w:before="65"/>
              <w:ind w:right="103"/>
              <w:jc w:val="right"/>
              <w:rPr>
                <w:rFonts w:ascii="Times New Roman" w:hAnsi="Times New Roman" w:cs="Times New Roman" w:eastAsia="Times New Roman" w:hint="default"/>
                <w:sz w:val="21"/>
                <w:szCs w:val="21"/>
              </w:rPr>
            </w:pPr>
            <w:r>
              <w:rPr>
                <w:rFonts w:ascii="Times New Roman"/>
                <w:spacing w:val="-2"/>
                <w:sz w:val="21"/>
              </w:rPr>
              <w:t>,411.7</w:t>
            </w:r>
          </w:p>
          <w:p>
            <w:pPr>
              <w:pStyle w:val="TableParagraph"/>
              <w:spacing w:line="240" w:lineRule="auto" w:before="76"/>
              <w:ind w:right="103"/>
              <w:jc w:val="right"/>
              <w:rPr>
                <w:rFonts w:ascii="Times New Roman" w:hAnsi="Times New Roman" w:cs="Times New Roman" w:eastAsia="Times New Roman" w:hint="default"/>
                <w:sz w:val="21"/>
                <w:szCs w:val="21"/>
              </w:rPr>
            </w:pPr>
            <w:r>
              <w:rPr>
                <w:rFonts w:ascii="Times New Roman"/>
                <w:w w:val="100"/>
                <w:sz w:val="21"/>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05" w:right="94"/>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．对所有</w:t>
            </w:r>
            <w:r>
              <w:rPr>
                <w:rFonts w:ascii="宋体" w:hAnsi="宋体" w:cs="宋体" w:eastAsia="宋体" w:hint="default"/>
                <w:spacing w:val="-100"/>
                <w:sz w:val="21"/>
                <w:szCs w:val="21"/>
              </w:rPr>
              <w:t> </w:t>
            </w:r>
            <w:r>
              <w:rPr>
                <w:rFonts w:ascii="宋体" w:hAnsi="宋体" w:cs="宋体" w:eastAsia="宋体" w:hint="default"/>
                <w:sz w:val="21"/>
                <w:szCs w:val="21"/>
              </w:rPr>
              <w:t>者（或股</w:t>
            </w:r>
            <w:r>
              <w:rPr>
                <w:rFonts w:ascii="宋体" w:hAnsi="宋体" w:cs="宋体" w:eastAsia="宋体" w:hint="default"/>
                <w:spacing w:val="-101"/>
                <w:sz w:val="21"/>
                <w:szCs w:val="21"/>
              </w:rPr>
              <w:t> </w:t>
            </w:r>
            <w:r>
              <w:rPr>
                <w:rFonts w:ascii="宋体" w:hAnsi="宋体" w:cs="宋体" w:eastAsia="宋体" w:hint="default"/>
                <w:spacing w:val="-8"/>
                <w:sz w:val="21"/>
                <w:szCs w:val="21"/>
              </w:rPr>
              <w:t>东）的分配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4" w:right="0"/>
              <w:jc w:val="left"/>
              <w:rPr>
                <w:rFonts w:ascii="Times New Roman" w:hAnsi="Times New Roman" w:cs="Times New Roman" w:eastAsia="Times New Roman" w:hint="default"/>
                <w:sz w:val="21"/>
                <w:szCs w:val="21"/>
              </w:rPr>
            </w:pPr>
            <w:r>
              <w:rPr>
                <w:rFonts w:ascii="Times New Roman"/>
                <w:sz w:val="21"/>
              </w:rPr>
              <w:t>-35,19</w:t>
            </w:r>
          </w:p>
          <w:p>
            <w:pPr>
              <w:pStyle w:val="TableParagraph"/>
              <w:spacing w:line="240" w:lineRule="auto" w:before="70"/>
              <w:ind w:left="163" w:right="0"/>
              <w:jc w:val="left"/>
              <w:rPr>
                <w:rFonts w:ascii="Times New Roman" w:hAnsi="Times New Roman" w:cs="Times New Roman" w:eastAsia="Times New Roman" w:hint="default"/>
                <w:sz w:val="21"/>
                <w:szCs w:val="21"/>
              </w:rPr>
            </w:pPr>
            <w:r>
              <w:rPr>
                <w:rFonts w:ascii="Times New Roman"/>
                <w:sz w:val="21"/>
              </w:rPr>
              <w:t>5,021.</w:t>
            </w:r>
          </w:p>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sz w:val="21"/>
              </w:rPr>
              <w:t>56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19" w:right="0"/>
              <w:jc w:val="center"/>
              <w:rPr>
                <w:rFonts w:ascii="Times New Roman" w:hAnsi="Times New Roman" w:cs="Times New Roman" w:eastAsia="Times New Roman" w:hint="default"/>
                <w:sz w:val="21"/>
                <w:szCs w:val="21"/>
              </w:rPr>
            </w:pPr>
            <w:r>
              <w:rPr>
                <w:rFonts w:ascii="Times New Roman"/>
                <w:sz w:val="21"/>
              </w:rPr>
              <w:t>-35,195,</w:t>
            </w:r>
          </w:p>
          <w:p>
            <w:pPr>
              <w:pStyle w:val="TableParagraph"/>
              <w:spacing w:line="240" w:lineRule="auto" w:before="70"/>
              <w:ind w:left="144" w:right="0"/>
              <w:jc w:val="center"/>
              <w:rPr>
                <w:rFonts w:ascii="Times New Roman" w:hAnsi="Times New Roman" w:cs="Times New Roman" w:eastAsia="Times New Roman" w:hint="default"/>
                <w:sz w:val="21"/>
                <w:szCs w:val="21"/>
              </w:rPr>
            </w:pPr>
            <w:r>
              <w:rPr>
                <w:rFonts w:ascii="Times New Roman"/>
                <w:sz w:val="21"/>
              </w:rPr>
              <w:t>021.56</w:t>
            </w: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94"/>
              <w:jc w:val="left"/>
              <w:rPr>
                <w:rFonts w:ascii="宋体" w:hAnsi="宋体" w:cs="宋体" w:eastAsia="宋体" w:hint="default"/>
                <w:sz w:val="21"/>
                <w:szCs w:val="21"/>
              </w:rPr>
            </w:pPr>
            <w:r>
              <w:rPr>
                <w:rFonts w:ascii="宋体" w:hAnsi="宋体" w:cs="宋体" w:eastAsia="宋体" w:hint="default"/>
                <w:spacing w:val="-8"/>
                <w:sz w:val="21"/>
                <w:szCs w:val="21"/>
              </w:rPr>
              <w:t>（四）所有</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者权益内</w:t>
            </w:r>
            <w:r>
              <w:rPr>
                <w:rFonts w:ascii="宋体" w:hAnsi="宋体" w:cs="宋体" w:eastAsia="宋体" w:hint="default"/>
                <w:spacing w:val="-101"/>
                <w:sz w:val="21"/>
                <w:szCs w:val="21"/>
              </w:rPr>
              <w:t> </w:t>
            </w:r>
            <w:r>
              <w:rPr>
                <w:rFonts w:ascii="宋体" w:hAnsi="宋体" w:cs="宋体" w:eastAsia="宋体" w:hint="default"/>
                <w:sz w:val="21"/>
                <w:szCs w:val="21"/>
              </w:rPr>
              <w:t>部结转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05" w:right="16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w:t>
            </w:r>
            <w:r>
              <w:rPr>
                <w:rFonts w:ascii="宋体" w:hAnsi="宋体" w:cs="宋体" w:eastAsia="宋体" w:hint="default"/>
                <w:spacing w:val="-100"/>
                <w:sz w:val="21"/>
                <w:szCs w:val="21"/>
              </w:rPr>
              <w:t> </w:t>
            </w:r>
            <w:r>
              <w:rPr>
                <w:rFonts w:ascii="宋体" w:hAnsi="宋体" w:cs="宋体" w:eastAsia="宋体" w:hint="default"/>
                <w:sz w:val="21"/>
                <w:szCs w:val="21"/>
              </w:rPr>
              <w:t>积转增资</w:t>
            </w:r>
            <w:r>
              <w:rPr>
                <w:rFonts w:ascii="宋体" w:hAnsi="宋体" w:cs="宋体" w:eastAsia="宋体" w:hint="default"/>
                <w:spacing w:val="-101"/>
                <w:sz w:val="21"/>
                <w:szCs w:val="21"/>
              </w:rPr>
              <w:t> </w:t>
            </w:r>
            <w:r>
              <w:rPr>
                <w:rFonts w:ascii="宋体" w:hAnsi="宋体" w:cs="宋体" w:eastAsia="宋体" w:hint="default"/>
                <w:sz w:val="21"/>
                <w:szCs w:val="21"/>
              </w:rPr>
              <w:t>本（或股</w:t>
            </w:r>
            <w:r>
              <w:rPr>
                <w:rFonts w:ascii="宋体" w:hAnsi="宋体" w:cs="宋体" w:eastAsia="宋体" w:hint="default"/>
                <w:spacing w:val="-101"/>
                <w:sz w:val="21"/>
                <w:szCs w:val="21"/>
              </w:rPr>
              <w:t> </w:t>
            </w:r>
            <w:r>
              <w:rPr>
                <w:rFonts w:ascii="宋体" w:hAnsi="宋体" w:cs="宋体" w:eastAsia="宋体" w:hint="default"/>
                <w:sz w:val="21"/>
                <w:szCs w:val="21"/>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05" w:right="16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w:t>
            </w:r>
            <w:r>
              <w:rPr>
                <w:rFonts w:ascii="宋体" w:hAnsi="宋体" w:cs="宋体" w:eastAsia="宋体" w:hint="default"/>
                <w:spacing w:val="-100"/>
                <w:sz w:val="21"/>
                <w:szCs w:val="21"/>
              </w:rPr>
              <w:t> </w:t>
            </w:r>
            <w:r>
              <w:rPr>
                <w:rFonts w:ascii="宋体" w:hAnsi="宋体" w:cs="宋体" w:eastAsia="宋体" w:hint="default"/>
                <w:sz w:val="21"/>
                <w:szCs w:val="21"/>
              </w:rPr>
              <w:t>积转增资</w:t>
            </w:r>
            <w:r>
              <w:rPr>
                <w:rFonts w:ascii="宋体" w:hAnsi="宋体" w:cs="宋体" w:eastAsia="宋体" w:hint="default"/>
                <w:spacing w:val="-101"/>
                <w:sz w:val="21"/>
                <w:szCs w:val="21"/>
              </w:rPr>
              <w:t> </w:t>
            </w:r>
            <w:r>
              <w:rPr>
                <w:rFonts w:ascii="宋体" w:hAnsi="宋体" w:cs="宋体" w:eastAsia="宋体" w:hint="default"/>
                <w:sz w:val="21"/>
                <w:szCs w:val="21"/>
              </w:rPr>
              <w:t>本（或股</w:t>
            </w:r>
            <w:r>
              <w:rPr>
                <w:rFonts w:ascii="宋体" w:hAnsi="宋体" w:cs="宋体" w:eastAsia="宋体" w:hint="default"/>
                <w:spacing w:val="-101"/>
                <w:sz w:val="21"/>
                <w:szCs w:val="21"/>
              </w:rPr>
              <w:t> </w:t>
            </w:r>
            <w:r>
              <w:rPr>
                <w:rFonts w:ascii="宋体" w:hAnsi="宋体" w:cs="宋体" w:eastAsia="宋体" w:hint="default"/>
                <w:sz w:val="21"/>
                <w:szCs w:val="21"/>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105" w:right="16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w:t>
            </w:r>
            <w:r>
              <w:rPr>
                <w:rFonts w:ascii="宋体" w:hAnsi="宋体" w:cs="宋体" w:eastAsia="宋体" w:hint="default"/>
                <w:spacing w:val="-100"/>
                <w:sz w:val="21"/>
                <w:szCs w:val="21"/>
              </w:rPr>
              <w:t> </w:t>
            </w:r>
            <w:r>
              <w:rPr>
                <w:rFonts w:ascii="宋体" w:hAnsi="宋体" w:cs="宋体" w:eastAsia="宋体" w:hint="default"/>
                <w:sz w:val="21"/>
                <w:szCs w:val="21"/>
              </w:rPr>
              <w:t>积弥补亏</w:t>
            </w:r>
            <w:r>
              <w:rPr>
                <w:rFonts w:ascii="宋体" w:hAnsi="宋体" w:cs="宋体" w:eastAsia="宋体" w:hint="default"/>
                <w:spacing w:val="-101"/>
                <w:sz w:val="21"/>
                <w:szCs w:val="21"/>
              </w:rPr>
              <w:t> </w:t>
            </w:r>
            <w:r>
              <w:rPr>
                <w:rFonts w:ascii="宋体" w:hAnsi="宋体" w:cs="宋体" w:eastAsia="宋体" w:hint="default"/>
                <w:sz w:val="21"/>
                <w:szCs w:val="21"/>
              </w:rPr>
              <w:t>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33"/>
              <w:ind w:left="105" w:right="161"/>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．设定受</w:t>
            </w:r>
            <w:r>
              <w:rPr>
                <w:rFonts w:ascii="宋体" w:hAnsi="宋体" w:cs="宋体" w:eastAsia="宋体" w:hint="default"/>
                <w:spacing w:val="-100"/>
                <w:sz w:val="21"/>
                <w:szCs w:val="21"/>
              </w:rPr>
              <w:t> </w:t>
            </w:r>
            <w:r>
              <w:rPr>
                <w:rFonts w:ascii="宋体" w:hAnsi="宋体" w:cs="宋体" w:eastAsia="宋体" w:hint="default"/>
                <w:sz w:val="21"/>
                <w:szCs w:val="21"/>
              </w:rPr>
              <w:t>益计划变</w:t>
            </w:r>
            <w:r>
              <w:rPr>
                <w:rFonts w:ascii="宋体" w:hAnsi="宋体" w:cs="宋体" w:eastAsia="宋体" w:hint="default"/>
                <w:spacing w:val="-101"/>
                <w:sz w:val="21"/>
                <w:szCs w:val="21"/>
              </w:rPr>
              <w:t> </w:t>
            </w:r>
            <w:r>
              <w:rPr>
                <w:rFonts w:ascii="宋体" w:hAnsi="宋体" w:cs="宋体" w:eastAsia="宋体" w:hint="default"/>
                <w:sz w:val="21"/>
                <w:szCs w:val="21"/>
              </w:rPr>
              <w:t>动额结转</w:t>
            </w:r>
            <w:r>
              <w:rPr>
                <w:rFonts w:ascii="宋体" w:hAnsi="宋体" w:cs="宋体" w:eastAsia="宋体" w:hint="default"/>
                <w:spacing w:val="-101"/>
                <w:sz w:val="21"/>
                <w:szCs w:val="21"/>
              </w:rPr>
              <w:t> </w:t>
            </w:r>
            <w:r>
              <w:rPr>
                <w:rFonts w:ascii="宋体" w:hAnsi="宋体" w:cs="宋体" w:eastAsia="宋体" w:hint="default"/>
                <w:sz w:val="21"/>
                <w:szCs w:val="21"/>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05" w:right="161"/>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．其他综</w:t>
            </w:r>
            <w:r>
              <w:rPr>
                <w:rFonts w:ascii="宋体" w:hAnsi="宋体" w:cs="宋体" w:eastAsia="宋体" w:hint="default"/>
                <w:spacing w:val="-100"/>
                <w:sz w:val="21"/>
                <w:szCs w:val="21"/>
              </w:rPr>
              <w:t> </w:t>
            </w:r>
            <w:r>
              <w:rPr>
                <w:rFonts w:ascii="宋体" w:hAnsi="宋体" w:cs="宋体" w:eastAsia="宋体" w:hint="default"/>
                <w:sz w:val="21"/>
                <w:szCs w:val="21"/>
              </w:rPr>
              <w:t>合收益结</w:t>
            </w:r>
            <w:r>
              <w:rPr>
                <w:rFonts w:ascii="宋体" w:hAnsi="宋体" w:cs="宋体" w:eastAsia="宋体" w:hint="default"/>
                <w:spacing w:val="-101"/>
                <w:sz w:val="21"/>
                <w:szCs w:val="21"/>
              </w:rPr>
              <w:t> </w:t>
            </w:r>
            <w:r>
              <w:rPr>
                <w:rFonts w:ascii="宋体" w:hAnsi="宋体" w:cs="宋体" w:eastAsia="宋体" w:hint="default"/>
                <w:sz w:val="21"/>
                <w:szCs w:val="21"/>
              </w:rPr>
              <w:t>转留存收</w:t>
            </w:r>
            <w:r>
              <w:rPr>
                <w:rFonts w:ascii="宋体" w:hAnsi="宋体" w:cs="宋体" w:eastAsia="宋体" w:hint="default"/>
                <w:spacing w:val="-101"/>
                <w:sz w:val="21"/>
                <w:szCs w:val="21"/>
              </w:rPr>
              <w:t> </w:t>
            </w:r>
            <w:r>
              <w:rPr>
                <w:rFonts w:ascii="宋体" w:hAnsi="宋体" w:cs="宋体" w:eastAsia="宋体" w:hint="default"/>
                <w:sz w:val="21"/>
                <w:szCs w:val="21"/>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94"/>
              <w:jc w:val="left"/>
              <w:rPr>
                <w:rFonts w:ascii="宋体" w:hAnsi="宋体" w:cs="宋体" w:eastAsia="宋体" w:hint="default"/>
                <w:sz w:val="21"/>
                <w:szCs w:val="21"/>
              </w:rPr>
            </w:pPr>
            <w:r>
              <w:rPr>
                <w:rFonts w:ascii="宋体" w:hAnsi="宋体" w:cs="宋体" w:eastAsia="宋体" w:hint="default"/>
                <w:spacing w:val="-8"/>
                <w:sz w:val="21"/>
                <w:szCs w:val="21"/>
              </w:rPr>
              <w:t>（五）专项</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储备</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3"/>
              <w:ind w:left="105" w:right="16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w:t>
            </w:r>
            <w:r>
              <w:rPr>
                <w:rFonts w:ascii="宋体" w:hAnsi="宋体" w:cs="宋体" w:eastAsia="宋体" w:hint="default"/>
                <w:spacing w:val="-100"/>
                <w:sz w:val="21"/>
                <w:szCs w:val="21"/>
              </w:rPr>
              <w:t> </w:t>
            </w:r>
            <w:r>
              <w:rPr>
                <w:rFonts w:ascii="宋体" w:hAnsi="宋体" w:cs="宋体" w:eastAsia="宋体" w:hint="default"/>
                <w:sz w:val="21"/>
                <w:szCs w:val="21"/>
              </w:rPr>
              <w:t>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16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w:t>
            </w:r>
            <w:r>
              <w:rPr>
                <w:rFonts w:ascii="宋体" w:hAnsi="宋体" w:cs="宋体" w:eastAsia="宋体" w:hint="default"/>
                <w:spacing w:val="-100"/>
                <w:sz w:val="21"/>
                <w:szCs w:val="21"/>
              </w:rPr>
              <w:t> </w:t>
            </w:r>
            <w:r>
              <w:rPr>
                <w:rFonts w:ascii="宋体" w:hAnsi="宋体" w:cs="宋体" w:eastAsia="宋体" w:hint="default"/>
                <w:sz w:val="21"/>
                <w:szCs w:val="21"/>
              </w:rPr>
              <w:t>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pacing w:val="-8"/>
                <w:sz w:val="21"/>
                <w:szCs w:val="21"/>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105" w:right="94"/>
              <w:jc w:val="left"/>
              <w:rPr>
                <w:rFonts w:ascii="宋体" w:hAnsi="宋体" w:cs="宋体" w:eastAsia="宋体" w:hint="default"/>
                <w:sz w:val="21"/>
                <w:szCs w:val="21"/>
              </w:rPr>
            </w:pPr>
            <w:r>
              <w:rPr>
                <w:rFonts w:ascii="宋体" w:hAnsi="宋体" w:cs="宋体" w:eastAsia="宋体" w:hint="default"/>
                <w:spacing w:val="-8"/>
                <w:sz w:val="21"/>
                <w:szCs w:val="21"/>
              </w:rPr>
              <w:t>四、本期期</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末余额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 w:right="0"/>
              <w:jc w:val="center"/>
              <w:rPr>
                <w:rFonts w:ascii="Times New Roman" w:hAnsi="Times New Roman" w:cs="Times New Roman" w:eastAsia="Times New Roman" w:hint="default"/>
                <w:sz w:val="21"/>
                <w:szCs w:val="21"/>
              </w:rPr>
            </w:pPr>
            <w:r>
              <w:rPr>
                <w:rFonts w:ascii="Times New Roman"/>
                <w:sz w:val="21"/>
              </w:rPr>
              <w:t>691,</w:t>
            </w:r>
          </w:p>
          <w:p>
            <w:pPr>
              <w:pStyle w:val="TableParagraph"/>
              <w:spacing w:line="240" w:lineRule="auto" w:before="65"/>
              <w:ind w:left="14" w:right="0"/>
              <w:jc w:val="center"/>
              <w:rPr>
                <w:rFonts w:ascii="Times New Roman" w:hAnsi="Times New Roman" w:cs="Times New Roman" w:eastAsia="Times New Roman" w:hint="default"/>
                <w:sz w:val="21"/>
                <w:szCs w:val="21"/>
              </w:rPr>
            </w:pPr>
            <w:r>
              <w:rPr>
                <w:rFonts w:ascii="Times New Roman"/>
                <w:sz w:val="21"/>
              </w:rPr>
              <w:t>505,</w:t>
            </w:r>
          </w:p>
          <w:p>
            <w:pPr>
              <w:pStyle w:val="TableParagraph"/>
              <w:spacing w:line="240" w:lineRule="auto" w:before="70"/>
              <w:ind w:left="14" w:right="0"/>
              <w:jc w:val="center"/>
              <w:rPr>
                <w:rFonts w:ascii="Times New Roman" w:hAnsi="Times New Roman" w:cs="Times New Roman" w:eastAsia="Times New Roman" w:hint="default"/>
                <w:sz w:val="21"/>
                <w:szCs w:val="21"/>
              </w:rPr>
            </w:pPr>
            <w:r>
              <w:rPr>
                <w:rFonts w:ascii="Times New Roman"/>
                <w:sz w:val="21"/>
              </w:rPr>
              <w:t>915.</w:t>
            </w:r>
          </w:p>
          <w:p>
            <w:pPr>
              <w:pStyle w:val="TableParagraph"/>
              <w:spacing w:line="240" w:lineRule="auto" w:before="75"/>
              <w:ind w:left="172" w:right="0"/>
              <w:jc w:val="center"/>
              <w:rPr>
                <w:rFonts w:ascii="Times New Roman" w:hAnsi="Times New Roman" w:cs="Times New Roman" w:eastAsia="Times New Roman" w:hint="default"/>
                <w:sz w:val="21"/>
                <w:szCs w:val="21"/>
              </w:rPr>
            </w:pPr>
            <w:r>
              <w:rPr>
                <w:rFonts w:ascii="Times New Roman"/>
                <w:sz w:val="21"/>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1" w:right="0"/>
              <w:jc w:val="left"/>
              <w:rPr>
                <w:rFonts w:ascii="Times New Roman" w:hAnsi="Times New Roman" w:cs="Times New Roman" w:eastAsia="Times New Roman" w:hint="default"/>
                <w:sz w:val="21"/>
                <w:szCs w:val="21"/>
              </w:rPr>
            </w:pPr>
            <w:r>
              <w:rPr>
                <w:rFonts w:ascii="Times New Roman"/>
                <w:sz w:val="21"/>
              </w:rPr>
              <w:t>2,81</w:t>
            </w:r>
          </w:p>
          <w:p>
            <w:pPr>
              <w:pStyle w:val="TableParagraph"/>
              <w:spacing w:line="240" w:lineRule="auto" w:before="65"/>
              <w:ind w:left="201" w:right="0"/>
              <w:jc w:val="left"/>
              <w:rPr>
                <w:rFonts w:ascii="Times New Roman" w:hAnsi="Times New Roman" w:cs="Times New Roman" w:eastAsia="Times New Roman" w:hint="default"/>
                <w:sz w:val="21"/>
                <w:szCs w:val="21"/>
              </w:rPr>
            </w:pPr>
            <w:r>
              <w:rPr>
                <w:rFonts w:ascii="Times New Roman"/>
                <w:sz w:val="21"/>
              </w:rPr>
              <w:t>8,71</w:t>
            </w:r>
          </w:p>
          <w:p>
            <w:pPr>
              <w:pStyle w:val="TableParagraph"/>
              <w:spacing w:line="240" w:lineRule="auto" w:before="70"/>
              <w:ind w:left="201" w:right="0"/>
              <w:jc w:val="left"/>
              <w:rPr>
                <w:rFonts w:ascii="Times New Roman" w:hAnsi="Times New Roman" w:cs="Times New Roman" w:eastAsia="Times New Roman" w:hint="default"/>
                <w:sz w:val="21"/>
                <w:szCs w:val="21"/>
              </w:rPr>
            </w:pPr>
            <w:r>
              <w:rPr>
                <w:rFonts w:ascii="Times New Roman"/>
                <w:sz w:val="21"/>
              </w:rPr>
              <w:t>8,84</w:t>
            </w:r>
          </w:p>
          <w:p>
            <w:pPr>
              <w:pStyle w:val="TableParagraph"/>
              <w:spacing w:line="240" w:lineRule="auto" w:before="75"/>
              <w:ind w:left="201" w:right="0"/>
              <w:jc w:val="left"/>
              <w:rPr>
                <w:rFonts w:ascii="Times New Roman" w:hAnsi="Times New Roman" w:cs="Times New Roman" w:eastAsia="Times New Roman" w:hint="default"/>
                <w:sz w:val="21"/>
                <w:szCs w:val="21"/>
              </w:rPr>
            </w:pPr>
            <w:r>
              <w:rPr>
                <w:rFonts w:ascii="Times New Roman"/>
                <w:sz w:val="21"/>
              </w:rPr>
              <w:t>5.63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center"/>
              <w:rPr>
                <w:rFonts w:ascii="Times New Roman" w:hAnsi="Times New Roman" w:cs="Times New Roman" w:eastAsia="Times New Roman" w:hint="default"/>
                <w:sz w:val="21"/>
                <w:szCs w:val="21"/>
              </w:rPr>
            </w:pPr>
            <w:r>
              <w:rPr>
                <w:rFonts w:ascii="Times New Roman"/>
                <w:sz w:val="21"/>
              </w:rPr>
              <w:t>150,</w:t>
            </w:r>
          </w:p>
          <w:p>
            <w:pPr>
              <w:pStyle w:val="TableParagraph"/>
              <w:spacing w:line="240" w:lineRule="auto" w:before="65"/>
              <w:ind w:left="105" w:right="0"/>
              <w:jc w:val="center"/>
              <w:rPr>
                <w:rFonts w:ascii="Times New Roman" w:hAnsi="Times New Roman" w:cs="Times New Roman" w:eastAsia="Times New Roman" w:hint="default"/>
                <w:sz w:val="21"/>
                <w:szCs w:val="21"/>
              </w:rPr>
            </w:pPr>
            <w:r>
              <w:rPr>
                <w:rFonts w:ascii="Times New Roman"/>
                <w:sz w:val="21"/>
              </w:rPr>
              <w:t>033,</w:t>
            </w:r>
          </w:p>
          <w:p>
            <w:pPr>
              <w:pStyle w:val="TableParagraph"/>
              <w:spacing w:line="240" w:lineRule="auto" w:before="70"/>
              <w:ind w:left="105" w:right="0"/>
              <w:jc w:val="center"/>
              <w:rPr>
                <w:rFonts w:ascii="Times New Roman" w:hAnsi="Times New Roman" w:cs="Times New Roman" w:eastAsia="Times New Roman" w:hint="default"/>
                <w:sz w:val="21"/>
                <w:szCs w:val="21"/>
              </w:rPr>
            </w:pPr>
            <w:r>
              <w:rPr>
                <w:rFonts w:ascii="Times New Roman"/>
                <w:sz w:val="21"/>
              </w:rPr>
              <w:t>637.</w:t>
            </w:r>
          </w:p>
          <w:p>
            <w:pPr>
              <w:pStyle w:val="TableParagraph"/>
              <w:spacing w:line="240" w:lineRule="auto" w:before="75"/>
              <w:ind w:left="264" w:right="0"/>
              <w:jc w:val="center"/>
              <w:rPr>
                <w:rFonts w:ascii="Times New Roman" w:hAnsi="Times New Roman" w:cs="Times New Roman" w:eastAsia="Times New Roman" w:hint="default"/>
                <w:sz w:val="21"/>
                <w:szCs w:val="21"/>
              </w:rPr>
            </w:pPr>
            <w:r>
              <w:rPr>
                <w:rFonts w:ascii="Times New Roman"/>
                <w:sz w:val="21"/>
              </w:rPr>
              <w:t>57</w:t>
            </w: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Times New Roman" w:hAnsi="Times New Roman" w:cs="Times New Roman" w:eastAsia="Times New Roman" w:hint="default"/>
                <w:sz w:val="21"/>
                <w:szCs w:val="21"/>
              </w:rPr>
            </w:pPr>
            <w:r>
              <w:rPr>
                <w:rFonts w:ascii="Times New Roman"/>
                <w:sz w:val="21"/>
              </w:rPr>
              <w:t>51,0</w:t>
            </w:r>
          </w:p>
          <w:p>
            <w:pPr>
              <w:pStyle w:val="TableParagraph"/>
              <w:spacing w:line="240" w:lineRule="auto" w:before="65"/>
              <w:ind w:left="182" w:right="0"/>
              <w:jc w:val="left"/>
              <w:rPr>
                <w:rFonts w:ascii="Times New Roman" w:hAnsi="Times New Roman" w:cs="Times New Roman" w:eastAsia="Times New Roman" w:hint="default"/>
                <w:sz w:val="21"/>
                <w:szCs w:val="21"/>
              </w:rPr>
            </w:pPr>
            <w:r>
              <w:rPr>
                <w:rFonts w:ascii="Times New Roman"/>
                <w:sz w:val="21"/>
              </w:rPr>
              <w:t>38,1</w:t>
            </w:r>
          </w:p>
          <w:p>
            <w:pPr>
              <w:pStyle w:val="TableParagraph"/>
              <w:spacing w:line="240" w:lineRule="auto" w:before="70"/>
              <w:ind w:left="182" w:right="0"/>
              <w:jc w:val="left"/>
              <w:rPr>
                <w:rFonts w:ascii="Times New Roman" w:hAnsi="Times New Roman" w:cs="Times New Roman" w:eastAsia="Times New Roman" w:hint="default"/>
                <w:sz w:val="21"/>
                <w:szCs w:val="21"/>
              </w:rPr>
            </w:pPr>
            <w:r>
              <w:rPr>
                <w:rFonts w:ascii="Times New Roman"/>
                <w:sz w:val="21"/>
              </w:rPr>
              <w:t>41.4</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214,53</w:t>
            </w:r>
          </w:p>
          <w:p>
            <w:pPr>
              <w:pStyle w:val="TableParagraph"/>
              <w:spacing w:line="240" w:lineRule="auto" w:before="70"/>
              <w:ind w:left="163" w:right="0"/>
              <w:jc w:val="left"/>
              <w:rPr>
                <w:rFonts w:ascii="Times New Roman" w:hAnsi="Times New Roman" w:cs="Times New Roman" w:eastAsia="Times New Roman" w:hint="default"/>
                <w:sz w:val="21"/>
                <w:szCs w:val="21"/>
              </w:rPr>
            </w:pPr>
            <w:r>
              <w:rPr>
                <w:rFonts w:ascii="Times New Roman"/>
                <w:sz w:val="21"/>
              </w:rPr>
              <w:t>8,866.</w:t>
            </w:r>
          </w:p>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sz w:val="21"/>
              </w:rPr>
              <w:t>89</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3,625,7</w:t>
            </w:r>
          </w:p>
          <w:p>
            <w:pPr>
              <w:pStyle w:val="TableParagraph"/>
              <w:spacing w:line="240" w:lineRule="auto" w:before="70"/>
              <w:ind w:left="187" w:right="0"/>
              <w:jc w:val="left"/>
              <w:rPr>
                <w:rFonts w:ascii="Times New Roman" w:hAnsi="Times New Roman" w:cs="Times New Roman" w:eastAsia="Times New Roman" w:hint="default"/>
                <w:sz w:val="21"/>
                <w:szCs w:val="21"/>
              </w:rPr>
            </w:pPr>
            <w:r>
              <w:rPr>
                <w:rFonts w:ascii="Times New Roman"/>
                <w:sz w:val="21"/>
              </w:rPr>
              <w:t>68,131.</w:t>
            </w:r>
          </w:p>
          <w:p>
            <w:pPr>
              <w:pStyle w:val="TableParagraph"/>
              <w:spacing w:line="240" w:lineRule="auto" w:before="75"/>
              <w:ind w:left="604" w:right="0"/>
              <w:jc w:val="left"/>
              <w:rPr>
                <w:rFonts w:ascii="Times New Roman" w:hAnsi="Times New Roman" w:cs="Times New Roman" w:eastAsia="Times New Roman" w:hint="default"/>
                <w:sz w:val="21"/>
                <w:szCs w:val="21"/>
              </w:rPr>
            </w:pPr>
            <w:r>
              <w:rPr>
                <w:rFonts w:ascii="Times New Roman"/>
                <w:sz w:val="21"/>
              </w:rPr>
              <w:t>39</w:t>
            </w:r>
          </w:p>
        </w:tc>
      </w:tr>
    </w:tbl>
    <w:p>
      <w:pPr>
        <w:spacing w:line="240" w:lineRule="auto" w:before="2"/>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公司基本情况" w:id="171"/>
      <w:bookmarkEnd w:id="171"/>
      <w:r>
        <w:rPr>
          <w:b w:val="0"/>
          <w:bCs w:val="0"/>
        </w:rPr>
      </w:r>
      <w:r>
        <w:rPr/>
        <w:t>三、公司基本情况</w:t>
      </w:r>
      <w:r>
        <w:rPr>
          <w:b w:val="0"/>
          <w:bCs w:val="0"/>
        </w:rPr>
      </w:r>
    </w:p>
    <w:p>
      <w:pPr>
        <w:spacing w:line="240" w:lineRule="auto" w:before="11"/>
        <w:rPr>
          <w:rFonts w:ascii="宋体" w:hAnsi="宋体" w:cs="宋体" w:eastAsia="宋体" w:hint="default"/>
          <w:b/>
          <w:bCs/>
          <w:sz w:val="31"/>
          <w:szCs w:val="31"/>
        </w:rPr>
      </w:pPr>
    </w:p>
    <w:p>
      <w:pPr>
        <w:spacing w:line="348" w:lineRule="auto" w:before="0"/>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（一）公司注册地、组织形式和总部地址</w:t>
      </w:r>
      <w:r>
        <w:rPr>
          <w:rFonts w:ascii="宋体" w:hAnsi="宋体" w:cs="宋体" w:eastAsia="宋体" w:hint="default"/>
          <w:b/>
          <w:bCs/>
          <w:w w:val="100"/>
          <w:sz w:val="21"/>
          <w:szCs w:val="21"/>
        </w:rPr>
        <w:t> </w:t>
      </w:r>
      <w:r>
        <w:rPr>
          <w:rFonts w:ascii="宋体" w:hAnsi="宋体" w:cs="宋体" w:eastAsia="宋体" w:hint="default"/>
          <w:spacing w:val="-2"/>
          <w:sz w:val="21"/>
          <w:szCs w:val="21"/>
        </w:rPr>
        <w:t>安徽中电兴发与鑫龙科技股份有限公司（原名：安徽鑫龙电器股份有限公司，以下简称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或</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w:t>
      </w:r>
    </w:p>
    <w:p>
      <w:pPr>
        <w:pStyle w:val="BodyText"/>
        <w:spacing w:line="328" w:lineRule="auto" w:before="8"/>
        <w:ind w:right="1186"/>
        <w:jc w:val="both"/>
      </w:pPr>
      <w:r>
        <w:rPr/>
        <w:t>司</w:t>
      </w:r>
      <w:r>
        <w:rPr>
          <w:rFonts w:ascii="Times New Roman" w:hAnsi="Times New Roman" w:cs="Times New Roman" w:eastAsia="Times New Roman" w:hint="default"/>
        </w:rPr>
        <w:t>”</w:t>
      </w:r>
      <w:r>
        <w:rPr/>
        <w:t>） 成立于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日，经安徽省工商行政管理局核准登记注册，企业法人营业执照的统一社会信</w:t>
      </w:r>
      <w:r>
        <w:rPr>
          <w:w w:val="100"/>
        </w:rPr>
        <w:t> </w:t>
      </w:r>
      <w:r>
        <w:rPr>
          <w:spacing w:val="-1"/>
        </w:rPr>
        <w:t>用代码为：</w:t>
      </w:r>
      <w:r>
        <w:rPr>
          <w:rFonts w:ascii="Times New Roman" w:hAnsi="Times New Roman" w:cs="Times New Roman" w:eastAsia="Times New Roman" w:hint="default"/>
          <w:spacing w:val="-1"/>
        </w:rPr>
        <w:t>91340200149661982L</w:t>
      </w:r>
      <w:r>
        <w:rPr>
          <w:spacing w:val="-1"/>
        </w:rPr>
        <w:t>，注册资本</w:t>
      </w:r>
      <w:r>
        <w:rPr>
          <w:rFonts w:ascii="宋体" w:hAnsi="宋体" w:cs="宋体" w:eastAsia="宋体" w:hint="default"/>
          <w:spacing w:val="-1"/>
        </w:rPr>
        <w:t>69,150.59</w:t>
      </w:r>
      <w:r>
        <w:rPr>
          <w:spacing w:val="-1"/>
        </w:rPr>
        <w:t>万元，注册地址：安徽省芜湖市经济技术开发区电</w:t>
      </w:r>
      <w:r>
        <w:rPr>
          <w:spacing w:val="-46"/>
        </w:rPr>
        <w:t> </w:t>
      </w:r>
      <w:r>
        <w:rPr>
          <w:spacing w:val="-46"/>
        </w:rPr>
      </w:r>
      <w:r>
        <w:rPr>
          <w:spacing w:val="-6"/>
          <w:w w:val="100"/>
        </w:rPr>
        <w:t>器部件园（九华北路</w:t>
      </w:r>
      <w:r>
        <w:rPr>
          <w:rFonts w:ascii="Times New Roman" w:hAnsi="Times New Roman" w:cs="Times New Roman" w:eastAsia="Times New Roman" w:hint="default"/>
          <w:spacing w:val="-6"/>
          <w:w w:val="100"/>
        </w:rPr>
        <w:t>118</w:t>
      </w:r>
      <w:r>
        <w:rPr>
          <w:spacing w:val="-6"/>
          <w:w w:val="100"/>
        </w:rPr>
        <w:t>号），法定代表人：瞿洪桂。</w:t>
      </w:r>
    </w:p>
    <w:p>
      <w:pPr>
        <w:pStyle w:val="BodyText"/>
        <w:spacing w:line="350" w:lineRule="auto" w:before="26"/>
        <w:ind w:right="1122" w:firstLine="360"/>
        <w:jc w:val="both"/>
      </w:pPr>
      <w:r>
        <w:rPr/>
        <w:t>根据本公司</w:t>
      </w:r>
      <w:r>
        <w:rPr>
          <w:rFonts w:ascii="宋体" w:hAnsi="宋体" w:cs="宋体" w:eastAsia="宋体" w:hint="default"/>
        </w:rPr>
        <w:t>2008</w:t>
      </w:r>
      <w:r>
        <w:rPr/>
        <w:t>年第一次临时股东大会决议及中国证券监督管理委员会证监许可</w:t>
      </w:r>
      <w:r>
        <w:rPr>
          <w:rFonts w:ascii="宋体" w:hAnsi="宋体" w:cs="宋体" w:eastAsia="宋体" w:hint="default"/>
        </w:rPr>
        <w:t>[2009]</w:t>
      </w:r>
      <w:r>
        <w:rPr>
          <w:rFonts w:ascii="宋体" w:hAnsi="宋体" w:cs="宋体" w:eastAsia="宋体" w:hint="default"/>
          <w:spacing w:val="40"/>
        </w:rPr>
        <w:t> </w:t>
      </w:r>
      <w:r>
        <w:rPr>
          <w:rFonts w:ascii="宋体" w:hAnsi="宋体" w:cs="宋体" w:eastAsia="宋体" w:hint="default"/>
        </w:rPr>
        <w:t>929</w:t>
      </w:r>
      <w:r>
        <w:rPr/>
        <w:t>号文“关</w:t>
      </w:r>
      <w:r>
        <w:rPr>
          <w:w w:val="100"/>
        </w:rPr>
        <w:t> </w:t>
      </w:r>
      <w:r>
        <w:rPr>
          <w:spacing w:val="-4"/>
          <w:w w:val="100"/>
        </w:rPr>
        <w:t>于核准安徽鑫龙电器股份有限公司首次公开发行股票的批复”，本公司分别于</w:t>
      </w:r>
      <w:r>
        <w:rPr>
          <w:rFonts w:ascii="宋体" w:hAnsi="宋体" w:cs="宋体" w:eastAsia="宋体" w:hint="default"/>
          <w:spacing w:val="-4"/>
          <w:w w:val="100"/>
        </w:rPr>
        <w:t>2009</w:t>
      </w:r>
      <w:r>
        <w:rPr>
          <w:spacing w:val="-4"/>
          <w:w w:val="100"/>
        </w:rPr>
        <w:t>年</w:t>
      </w:r>
      <w:r>
        <w:rPr>
          <w:rFonts w:ascii="宋体" w:hAnsi="宋体" w:cs="宋体" w:eastAsia="宋体" w:hint="default"/>
          <w:spacing w:val="-4"/>
          <w:w w:val="100"/>
        </w:rPr>
        <w:t>9</w:t>
      </w:r>
      <w:r>
        <w:rPr>
          <w:spacing w:val="-4"/>
          <w:w w:val="100"/>
        </w:rPr>
        <w:t>月</w:t>
      </w:r>
      <w:r>
        <w:rPr>
          <w:rFonts w:ascii="宋体" w:hAnsi="宋体" w:cs="宋体" w:eastAsia="宋体" w:hint="default"/>
          <w:spacing w:val="-4"/>
          <w:w w:val="100"/>
        </w:rPr>
        <w:t>18</w:t>
      </w:r>
      <w:r>
        <w:rPr>
          <w:spacing w:val="-4"/>
          <w:w w:val="100"/>
        </w:rPr>
        <w:t>日采用网下配售</w:t>
      </w:r>
      <w:r>
        <w:rPr>
          <w:spacing w:val="-85"/>
          <w:w w:val="100"/>
        </w:rPr>
        <w:t> </w:t>
      </w:r>
      <w:r>
        <w:rPr>
          <w:spacing w:val="-85"/>
          <w:w w:val="100"/>
        </w:rPr>
      </w:r>
      <w:r>
        <w:rPr/>
        <w:t>方式向询价对象公开发行人民币普通股（</w:t>
      </w:r>
      <w:r>
        <w:rPr>
          <w:rFonts w:ascii="宋体" w:hAnsi="宋体" w:cs="宋体" w:eastAsia="宋体" w:hint="default"/>
        </w:rPr>
        <w:t>A</w:t>
      </w:r>
      <w:r>
        <w:rPr/>
        <w:t>股）</w:t>
      </w:r>
      <w:r>
        <w:rPr>
          <w:rFonts w:ascii="宋体" w:hAnsi="宋体" w:cs="宋体" w:eastAsia="宋体" w:hint="default"/>
        </w:rPr>
        <w:t>560</w:t>
      </w:r>
      <w:r>
        <w:rPr/>
        <w:t>万股，</w:t>
      </w:r>
      <w:r>
        <w:rPr>
          <w:rFonts w:ascii="宋体" w:hAnsi="宋体" w:cs="宋体" w:eastAsia="宋体" w:hint="default"/>
        </w:rPr>
        <w:t>2009</w:t>
      </w:r>
      <w:r>
        <w:rPr/>
        <w:t>年</w:t>
      </w:r>
      <w:r>
        <w:rPr>
          <w:rFonts w:ascii="宋体" w:hAnsi="宋体" w:cs="宋体" w:eastAsia="宋体" w:hint="default"/>
        </w:rPr>
        <w:t>9</w:t>
      </w:r>
      <w:r>
        <w:rPr/>
        <w:t>月</w:t>
      </w:r>
      <w:r>
        <w:rPr>
          <w:rFonts w:ascii="宋体" w:hAnsi="宋体" w:cs="宋体" w:eastAsia="宋体" w:hint="default"/>
        </w:rPr>
        <w:t>18</w:t>
      </w:r>
      <w:r>
        <w:rPr/>
        <w:t>日采用网上定价方式公开发行人民</w:t>
      </w:r>
      <w:r>
        <w:rPr>
          <w:spacing w:val="-29"/>
        </w:rPr>
        <w:t> </w:t>
      </w:r>
      <w:r>
        <w:rPr>
          <w:spacing w:val="-29"/>
        </w:rPr>
      </w:r>
      <w:r>
        <w:rPr>
          <w:spacing w:val="-2"/>
        </w:rPr>
        <w:t>币普通股（</w:t>
      </w:r>
      <w:r>
        <w:rPr>
          <w:rFonts w:ascii="宋体" w:hAnsi="宋体" w:cs="宋体" w:eastAsia="宋体" w:hint="default"/>
          <w:spacing w:val="-2"/>
        </w:rPr>
        <w:t>A</w:t>
      </w:r>
      <w:r>
        <w:rPr>
          <w:spacing w:val="-2"/>
        </w:rPr>
        <w:t>股）</w:t>
      </w:r>
      <w:r>
        <w:rPr>
          <w:rFonts w:ascii="宋体" w:hAnsi="宋体" w:cs="宋体" w:eastAsia="宋体" w:hint="default"/>
          <w:spacing w:val="-2"/>
        </w:rPr>
        <w:t>2,240</w:t>
      </w:r>
      <w:r>
        <w:rPr>
          <w:spacing w:val="-2"/>
        </w:rPr>
        <w:t>万股，共计公开发行人民币普通股（</w:t>
      </w:r>
      <w:r>
        <w:rPr>
          <w:rFonts w:ascii="宋体" w:hAnsi="宋体" w:cs="宋体" w:eastAsia="宋体" w:hint="default"/>
          <w:spacing w:val="-2"/>
        </w:rPr>
        <w:t>A</w:t>
      </w:r>
      <w:r>
        <w:rPr>
          <w:spacing w:val="-2"/>
        </w:rPr>
        <w:t>股）</w:t>
      </w:r>
      <w:r>
        <w:rPr>
          <w:rFonts w:ascii="宋体" w:hAnsi="宋体" w:cs="宋体" w:eastAsia="宋体" w:hint="default"/>
          <w:spacing w:val="-2"/>
        </w:rPr>
        <w:t>2,800</w:t>
      </w:r>
      <w:r>
        <w:rPr>
          <w:spacing w:val="-2"/>
        </w:rPr>
        <w:t>万股，每股发行价格为</w:t>
      </w:r>
      <w:r>
        <w:rPr>
          <w:rFonts w:ascii="宋体" w:hAnsi="宋体" w:cs="宋体" w:eastAsia="宋体" w:hint="default"/>
          <w:spacing w:val="-2"/>
        </w:rPr>
        <w:t>9.50</w:t>
      </w:r>
      <w:r>
        <w:rPr>
          <w:spacing w:val="-2"/>
        </w:rPr>
        <w:t>元。公</w:t>
      </w:r>
    </w:p>
    <w:p>
      <w:pPr>
        <w:spacing w:after="0" w:line="35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left="473" w:right="1002" w:hanging="360"/>
        <w:jc w:val="left"/>
      </w:pPr>
      <w:r>
        <w:rPr>
          <w:spacing w:val="-4"/>
        </w:rPr>
        <w:t>司发行后社会公众股为</w:t>
      </w:r>
      <w:r>
        <w:rPr>
          <w:rFonts w:ascii="宋体" w:hAnsi="宋体" w:cs="宋体" w:eastAsia="宋体" w:hint="default"/>
          <w:spacing w:val="-4"/>
        </w:rPr>
        <w:t>2800</w:t>
      </w:r>
      <w:r>
        <w:rPr>
          <w:spacing w:val="-4"/>
        </w:rPr>
        <w:t>万股，出资方式全部为货币资金。本次发行后本公司的注册资本为</w:t>
      </w:r>
      <w:r>
        <w:rPr>
          <w:rFonts w:ascii="宋体" w:hAnsi="宋体" w:cs="宋体" w:eastAsia="宋体" w:hint="default"/>
          <w:spacing w:val="-4"/>
        </w:rPr>
        <w:t>11,000</w:t>
      </w:r>
      <w:r>
        <w:rPr>
          <w:spacing w:val="-4"/>
        </w:rPr>
        <w:t>万元。</w:t>
      </w:r>
      <w:r>
        <w:rPr>
          <w:spacing w:val="-19"/>
        </w:rPr>
        <w:t> </w:t>
      </w:r>
      <w:r>
        <w:rPr>
          <w:spacing w:val="-4"/>
          <w:w w:val="100"/>
        </w:rPr>
        <w:t>根据本公司</w:t>
      </w:r>
      <w:r>
        <w:rPr>
          <w:rFonts w:ascii="宋体" w:hAnsi="宋体" w:cs="宋体" w:eastAsia="宋体" w:hint="default"/>
          <w:spacing w:val="-4"/>
          <w:w w:val="100"/>
        </w:rPr>
        <w:t>2009</w:t>
      </w:r>
      <w:r>
        <w:rPr>
          <w:spacing w:val="-4"/>
          <w:w w:val="100"/>
        </w:rPr>
        <w:t>年度股东大会审议通过的《关于公司</w:t>
      </w:r>
      <w:r>
        <w:rPr>
          <w:rFonts w:ascii="宋体" w:hAnsi="宋体" w:cs="宋体" w:eastAsia="宋体" w:hint="default"/>
          <w:spacing w:val="-4"/>
          <w:w w:val="100"/>
        </w:rPr>
        <w:t>2009</w:t>
      </w:r>
      <w:r>
        <w:rPr>
          <w:spacing w:val="-4"/>
          <w:w w:val="100"/>
        </w:rPr>
        <w:t>年度利润分配的预案》，以</w:t>
      </w:r>
      <w:r>
        <w:rPr>
          <w:rFonts w:ascii="宋体" w:hAnsi="宋体" w:cs="宋体" w:eastAsia="宋体" w:hint="default"/>
          <w:spacing w:val="-4"/>
          <w:w w:val="100"/>
        </w:rPr>
        <w:t>2009</w:t>
      </w:r>
      <w:r>
        <w:rPr>
          <w:spacing w:val="-4"/>
          <w:w w:val="100"/>
        </w:rPr>
        <w:t>年末</w:t>
      </w:r>
      <w:r>
        <w:rPr>
          <w:rFonts w:ascii="宋体" w:hAnsi="宋体" w:cs="宋体" w:eastAsia="宋体" w:hint="default"/>
          <w:spacing w:val="-4"/>
          <w:w w:val="100"/>
        </w:rPr>
        <w:t>11</w:t>
      </w:r>
      <w:r>
        <w:rPr>
          <w:rFonts w:ascii="Times New Roman" w:hAnsi="Times New Roman" w:cs="Times New Roman" w:eastAsia="Times New Roman" w:hint="default"/>
          <w:spacing w:val="-4"/>
          <w:w w:val="100"/>
        </w:rPr>
        <w:t>,000</w:t>
      </w:r>
      <w:r>
        <w:rPr>
          <w:spacing w:val="-4"/>
          <w:w w:val="100"/>
        </w:rPr>
        <w:t>万</w:t>
      </w:r>
    </w:p>
    <w:p>
      <w:pPr>
        <w:pStyle w:val="BodyText"/>
        <w:spacing w:line="328" w:lineRule="auto" w:before="8"/>
        <w:ind w:right="1002"/>
        <w:jc w:val="left"/>
      </w:pPr>
      <w:r>
        <w:rPr>
          <w:spacing w:val="4"/>
        </w:rPr>
        <w:t>股本为基数，以资本公积向全体股东每</w:t>
      </w:r>
      <w:r>
        <w:rPr>
          <w:rFonts w:ascii="宋体" w:hAnsi="宋体" w:cs="宋体" w:eastAsia="宋体" w:hint="default"/>
          <w:spacing w:val="4"/>
        </w:rPr>
        <w:t>10</w:t>
      </w:r>
      <w:r>
        <w:rPr>
          <w:spacing w:val="4"/>
        </w:rPr>
        <w:t>股转增</w:t>
      </w:r>
      <w:r>
        <w:rPr>
          <w:rFonts w:ascii="宋体" w:hAnsi="宋体" w:cs="宋体" w:eastAsia="宋体" w:hint="default"/>
          <w:spacing w:val="4"/>
        </w:rPr>
        <w:t>5</w:t>
      </w:r>
      <w:r>
        <w:rPr>
          <w:spacing w:val="4"/>
        </w:rPr>
        <w:t>股的利润分配方案，公司总股本由</w:t>
      </w:r>
      <w:r>
        <w:rPr>
          <w:rFonts w:ascii="宋体" w:hAnsi="宋体" w:cs="宋体" w:eastAsia="宋体" w:hint="default"/>
          <w:spacing w:val="4"/>
        </w:rPr>
        <w:t>11</w:t>
      </w:r>
      <w:r>
        <w:rPr>
          <w:rFonts w:ascii="Times New Roman" w:hAnsi="Times New Roman" w:cs="Times New Roman" w:eastAsia="Times New Roman" w:hint="default"/>
          <w:spacing w:val="4"/>
        </w:rPr>
        <w:t>,000</w:t>
      </w:r>
      <w:r>
        <w:rPr>
          <w:spacing w:val="4"/>
        </w:rPr>
        <w:t>万股增加到</w:t>
      </w:r>
      <w:r>
        <w:rPr>
          <w:spacing w:val="25"/>
        </w:rPr>
        <w:t> </w:t>
      </w:r>
      <w:r>
        <w:rPr>
          <w:spacing w:val="25"/>
        </w:rPr>
      </w:r>
      <w:r>
        <w:rPr>
          <w:rFonts w:ascii="宋体" w:hAnsi="宋体" w:cs="宋体" w:eastAsia="宋体" w:hint="default"/>
        </w:rPr>
        <w:t>16</w:t>
      </w:r>
      <w:r>
        <w:rPr>
          <w:rFonts w:ascii="Times New Roman" w:hAnsi="Times New Roman" w:cs="Times New Roman" w:eastAsia="Times New Roman" w:hint="default"/>
        </w:rPr>
        <w:t>,</w:t>
      </w:r>
      <w:r>
        <w:rPr>
          <w:rFonts w:ascii="宋体" w:hAnsi="宋体" w:cs="宋体" w:eastAsia="宋体" w:hint="default"/>
        </w:rPr>
        <w:t>500</w:t>
      </w:r>
      <w:r>
        <w:rPr/>
        <w:t>万股。本次资本公积转增资本后公司的注册资本变更为</w:t>
      </w:r>
      <w:r>
        <w:rPr>
          <w:rFonts w:ascii="宋体" w:hAnsi="宋体" w:cs="宋体" w:eastAsia="宋体" w:hint="default"/>
        </w:rPr>
        <w:t>16</w:t>
      </w:r>
      <w:r>
        <w:rPr>
          <w:rFonts w:ascii="Times New Roman" w:hAnsi="Times New Roman" w:cs="Times New Roman" w:eastAsia="Times New Roman" w:hint="default"/>
        </w:rPr>
        <w:t>,</w:t>
      </w:r>
      <w:r>
        <w:rPr>
          <w:rFonts w:ascii="宋体" w:hAnsi="宋体" w:cs="宋体" w:eastAsia="宋体" w:hint="default"/>
        </w:rPr>
        <w:t>500</w:t>
      </w:r>
      <w:r>
        <w:rPr/>
        <w:t>万元。</w:t>
      </w:r>
    </w:p>
    <w:p>
      <w:pPr>
        <w:pStyle w:val="BodyText"/>
        <w:spacing w:line="343" w:lineRule="auto" w:before="21"/>
        <w:ind w:right="1127" w:firstLine="360"/>
        <w:jc w:val="both"/>
      </w:pPr>
      <w:r>
        <w:rPr>
          <w:spacing w:val="-1"/>
          <w:w w:val="100"/>
        </w:rPr>
        <w:t>根据本公司</w:t>
      </w:r>
      <w:r>
        <w:rPr>
          <w:rFonts w:ascii="宋体" w:hAnsi="宋体" w:cs="宋体" w:eastAsia="宋体" w:hint="default"/>
          <w:spacing w:val="-1"/>
          <w:w w:val="100"/>
        </w:rPr>
        <w:t>2011</w:t>
      </w:r>
      <w:r>
        <w:rPr>
          <w:spacing w:val="-1"/>
          <w:w w:val="100"/>
        </w:rPr>
        <w:t>年度股东大会审议通过的《关于公司</w:t>
      </w:r>
      <w:r>
        <w:rPr>
          <w:rFonts w:ascii="宋体" w:hAnsi="宋体" w:cs="宋体" w:eastAsia="宋体" w:hint="default"/>
          <w:spacing w:val="-1"/>
          <w:w w:val="100"/>
        </w:rPr>
        <w:t>2011</w:t>
      </w:r>
      <w:r>
        <w:rPr>
          <w:spacing w:val="-1"/>
          <w:w w:val="100"/>
        </w:rPr>
        <w:t>年度利润分配的预案》，以</w:t>
      </w:r>
      <w:r>
        <w:rPr>
          <w:rFonts w:ascii="宋体" w:hAnsi="宋体" w:cs="宋体" w:eastAsia="宋体" w:hint="default"/>
          <w:spacing w:val="-1"/>
          <w:w w:val="100"/>
        </w:rPr>
        <w:t>2011</w:t>
      </w:r>
      <w:r>
        <w:rPr>
          <w:spacing w:val="-1"/>
          <w:w w:val="100"/>
        </w:rPr>
        <w:t>年末</w:t>
      </w:r>
      <w:r>
        <w:rPr>
          <w:rFonts w:ascii="宋体" w:hAnsi="宋体" w:cs="宋体" w:eastAsia="宋体" w:hint="default"/>
          <w:spacing w:val="-1"/>
          <w:w w:val="100"/>
        </w:rPr>
        <w:t>16,500</w:t>
      </w:r>
      <w:r>
        <w:rPr>
          <w:rFonts w:ascii="宋体" w:hAnsi="宋体" w:cs="宋体" w:eastAsia="宋体" w:hint="default"/>
          <w:w w:val="100"/>
        </w:rPr>
        <w:t> </w:t>
      </w:r>
      <w:r>
        <w:rPr>
          <w:spacing w:val="-1"/>
        </w:rPr>
        <w:t>万股本为基数，公司按每</w:t>
      </w:r>
      <w:r>
        <w:rPr>
          <w:rFonts w:ascii="宋体" w:hAnsi="宋体" w:cs="宋体" w:eastAsia="宋体" w:hint="default"/>
          <w:spacing w:val="-1"/>
        </w:rPr>
        <w:t>10</w:t>
      </w:r>
      <w:r>
        <w:rPr>
          <w:spacing w:val="-1"/>
        </w:rPr>
        <w:t>股转增</w:t>
      </w:r>
      <w:r>
        <w:rPr>
          <w:rFonts w:ascii="宋体" w:hAnsi="宋体" w:cs="宋体" w:eastAsia="宋体" w:hint="default"/>
          <w:spacing w:val="-1"/>
        </w:rPr>
        <w:t>10</w:t>
      </w:r>
      <w:r>
        <w:rPr>
          <w:spacing w:val="-1"/>
        </w:rPr>
        <w:t>股的比例，以资本公积、未分配利润向全体股东转增股份总额</w:t>
      </w:r>
      <w:r>
        <w:rPr>
          <w:rFonts w:ascii="宋体" w:hAnsi="宋体" w:cs="宋体" w:eastAsia="宋体" w:hint="default"/>
          <w:spacing w:val="-1"/>
        </w:rPr>
        <w:t>16</w:t>
      </w:r>
      <w:r>
        <w:rPr>
          <w:rFonts w:ascii="Times New Roman" w:hAnsi="Times New Roman" w:cs="Times New Roman" w:eastAsia="Times New Roman" w:hint="default"/>
          <w:spacing w:val="-1"/>
        </w:rPr>
        <w:t>,</w:t>
      </w:r>
      <w:r>
        <w:rPr>
          <w:rFonts w:ascii="宋体" w:hAnsi="宋体" w:cs="宋体" w:eastAsia="宋体" w:hint="default"/>
          <w:spacing w:val="-1"/>
        </w:rPr>
        <w:t>500</w:t>
      </w:r>
      <w:r>
        <w:rPr>
          <w:rFonts w:ascii="宋体" w:hAnsi="宋体" w:cs="宋体" w:eastAsia="宋体" w:hint="default"/>
          <w:spacing w:val="-24"/>
        </w:rPr>
        <w:t> </w:t>
      </w:r>
      <w:r>
        <w:rPr/>
        <w:t>万股，其中：由资本公积转增</w:t>
      </w:r>
      <w:r>
        <w:rPr>
          <w:rFonts w:ascii="宋体" w:hAnsi="宋体" w:cs="宋体" w:eastAsia="宋体" w:hint="default"/>
        </w:rPr>
        <w:t>13,200</w:t>
      </w:r>
      <w:r>
        <w:rPr/>
        <w:t>万股，由未分配利润转增</w:t>
      </w:r>
      <w:r>
        <w:rPr>
          <w:rFonts w:ascii="宋体" w:hAnsi="宋体" w:cs="宋体" w:eastAsia="宋体" w:hint="default"/>
        </w:rPr>
        <w:t>3,300</w:t>
      </w:r>
      <w:r>
        <w:rPr/>
        <w:t>万股。本次转增资本后公司的注册资</w:t>
      </w:r>
      <w:r>
        <w:rPr>
          <w:spacing w:val="-30"/>
        </w:rPr>
        <w:t> </w:t>
      </w:r>
      <w:r>
        <w:rPr>
          <w:spacing w:val="-30"/>
        </w:rPr>
      </w:r>
      <w:r>
        <w:rPr/>
        <w:t>本变更为</w:t>
      </w:r>
      <w:r>
        <w:rPr>
          <w:rFonts w:ascii="宋体" w:hAnsi="宋体" w:cs="宋体" w:eastAsia="宋体" w:hint="default"/>
        </w:rPr>
        <w:t>33,0</w:t>
      </w:r>
      <w:r>
        <w:rPr>
          <w:rFonts w:ascii="Times New Roman" w:hAnsi="Times New Roman" w:cs="Times New Roman" w:eastAsia="Times New Roman" w:hint="default"/>
        </w:rPr>
        <w:t>00</w:t>
      </w:r>
      <w:r>
        <w:rPr/>
        <w:t>万元。</w:t>
      </w:r>
    </w:p>
    <w:p>
      <w:pPr>
        <w:pStyle w:val="BodyText"/>
        <w:spacing w:line="343" w:lineRule="auto" w:before="12"/>
        <w:ind w:right="1127" w:firstLine="360"/>
        <w:jc w:val="both"/>
      </w:pPr>
      <w:r>
        <w:rPr>
          <w:spacing w:val="-1"/>
        </w:rPr>
        <w:t>根据公司第五届董事会第十八次会议、</w:t>
      </w:r>
      <w:r>
        <w:rPr>
          <w:rFonts w:ascii="宋体" w:hAnsi="宋体" w:cs="宋体" w:eastAsia="宋体" w:hint="default"/>
          <w:spacing w:val="-1"/>
        </w:rPr>
        <w:t>2011</w:t>
      </w:r>
      <w:r>
        <w:rPr>
          <w:spacing w:val="-1"/>
        </w:rPr>
        <w:t>年第四次临时股东大会的决议和修改后章程的规定，并经</w:t>
      </w:r>
      <w:r>
        <w:rPr>
          <w:w w:val="100"/>
        </w:rPr>
        <w:t> </w:t>
      </w:r>
      <w:r>
        <w:rPr/>
        <w:t>中国证券监督管理委员会证监许可</w:t>
      </w:r>
      <w:r>
        <w:rPr>
          <w:rFonts w:ascii="宋体" w:hAnsi="宋体" w:cs="宋体" w:eastAsia="宋体" w:hint="default"/>
        </w:rPr>
        <w:t>[2012]648</w:t>
      </w:r>
      <w:r>
        <w:rPr/>
        <w:t>号文《关于核准安徽鑫龙电器股份有限公司非公开发行股票</w:t>
      </w:r>
      <w:r>
        <w:rPr>
          <w:spacing w:val="-30"/>
        </w:rPr>
        <w:t> </w:t>
      </w:r>
      <w:r>
        <w:rPr>
          <w:spacing w:val="-30"/>
        </w:rPr>
      </w:r>
      <w:r>
        <w:rPr>
          <w:spacing w:val="-2"/>
        </w:rPr>
        <w:t>的批复》核准，本公司于</w:t>
      </w:r>
      <w:r>
        <w:rPr>
          <w:rFonts w:ascii="宋体" w:hAnsi="宋体" w:cs="宋体" w:eastAsia="宋体" w:hint="default"/>
          <w:spacing w:val="-2"/>
        </w:rPr>
        <w:t>2012</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15</w:t>
      </w:r>
      <w:r>
        <w:rPr>
          <w:spacing w:val="-2"/>
        </w:rPr>
        <w:t>日向特定对象定价发行人民币普通股</w:t>
      </w:r>
      <w:r>
        <w:rPr>
          <w:rFonts w:ascii="宋体" w:hAnsi="宋体" w:cs="宋体" w:eastAsia="宋体" w:hint="default"/>
          <w:spacing w:val="-2"/>
        </w:rPr>
        <w:t>(A</w:t>
      </w:r>
      <w:r>
        <w:rPr>
          <w:spacing w:val="-2"/>
        </w:rPr>
        <w:t>股</w:t>
      </w:r>
      <w:r>
        <w:rPr>
          <w:rFonts w:ascii="宋体" w:hAnsi="宋体" w:cs="宋体" w:eastAsia="宋体" w:hint="default"/>
          <w:spacing w:val="-2"/>
        </w:rPr>
        <w:t>)</w:t>
      </w:r>
      <w:r>
        <w:rPr>
          <w:rFonts w:ascii="宋体" w:hAnsi="宋体" w:cs="宋体" w:eastAsia="宋体" w:hint="default"/>
        </w:rPr>
        <w:t> </w:t>
      </w:r>
      <w:r>
        <w:rPr>
          <w:rFonts w:ascii="宋体" w:hAnsi="宋体" w:cs="宋体" w:eastAsia="宋体" w:hint="default"/>
          <w:spacing w:val="-2"/>
        </w:rPr>
        <w:t>7</w:t>
      </w:r>
      <w:r>
        <w:rPr>
          <w:rFonts w:ascii="Times New Roman" w:hAnsi="Times New Roman" w:cs="Times New Roman" w:eastAsia="Times New Roman" w:hint="default"/>
          <w:spacing w:val="-2"/>
        </w:rPr>
        <w:t>,</w:t>
      </w:r>
      <w:r>
        <w:rPr>
          <w:rFonts w:ascii="宋体" w:hAnsi="宋体" w:cs="宋体" w:eastAsia="宋体" w:hint="default"/>
          <w:spacing w:val="-2"/>
        </w:rPr>
        <w:t>886.90</w:t>
      </w:r>
      <w:r>
        <w:rPr>
          <w:spacing w:val="-2"/>
        </w:rPr>
        <w:t>万股，每股发行</w:t>
      </w:r>
      <w:r>
        <w:rPr>
          <w:spacing w:val="-73"/>
        </w:rPr>
        <w:t> </w:t>
      </w:r>
      <w:r>
        <w:rPr>
          <w:spacing w:val="-73"/>
        </w:rPr>
      </w:r>
      <w:r>
        <w:rPr/>
        <w:t>认购价格为人民币</w:t>
      </w:r>
      <w:r>
        <w:rPr>
          <w:rFonts w:ascii="宋体" w:hAnsi="宋体" w:cs="宋体" w:eastAsia="宋体" w:hint="default"/>
        </w:rPr>
        <w:t>6.72</w:t>
      </w:r>
      <w:r>
        <w:rPr/>
        <w:t>元。经此发行后，注册资本变更为人民币</w:t>
      </w:r>
      <w:r>
        <w:rPr>
          <w:rFonts w:ascii="宋体" w:hAnsi="宋体" w:cs="宋体" w:eastAsia="宋体" w:hint="default"/>
        </w:rPr>
        <w:t>40,886.90</w:t>
      </w:r>
      <w:r>
        <w:rPr/>
        <w:t>万元。</w:t>
      </w:r>
    </w:p>
    <w:p>
      <w:pPr>
        <w:pStyle w:val="BodyText"/>
        <w:spacing w:line="343" w:lineRule="auto" w:before="33"/>
        <w:ind w:right="1116" w:firstLine="360"/>
        <w:jc w:val="left"/>
      </w:pPr>
      <w:r>
        <w:rPr/>
        <w:t>根据公司</w:t>
      </w:r>
      <w:r>
        <w:rPr>
          <w:spacing w:val="56"/>
        </w:rPr>
        <w:t> </w:t>
      </w:r>
      <w:r>
        <w:rPr>
          <w:rFonts w:ascii="宋体" w:hAnsi="宋体" w:cs="宋体" w:eastAsia="宋体" w:hint="default"/>
          <w:spacing w:val="-3"/>
        </w:rPr>
        <w:t>2011</w:t>
      </w:r>
      <w:r>
        <w:rPr>
          <w:spacing w:val="-3"/>
        </w:rPr>
        <w:t>年第一次临时股东大会审议通过的《安徽鑫龙电器股份有限公司股票期权激励计划（修</w:t>
      </w:r>
      <w:r>
        <w:rPr>
          <w:w w:val="100"/>
        </w:rPr>
        <w:t> </w:t>
      </w:r>
      <w:r>
        <w:rPr>
          <w:spacing w:val="-4"/>
          <w:w w:val="100"/>
        </w:rPr>
        <w:t>订稿）》的相关规定，公司首期股票期权激励计划首次授予第一个行权期的行权条件已经满足，经公司第</w:t>
      </w:r>
      <w:r>
        <w:rPr>
          <w:spacing w:val="-83"/>
          <w:w w:val="100"/>
        </w:rPr>
        <w:t> </w:t>
      </w:r>
      <w:r>
        <w:rPr>
          <w:spacing w:val="-83"/>
          <w:w w:val="100"/>
        </w:rPr>
      </w:r>
      <w:r>
        <w:rPr/>
        <w:t>五届董事会第二十九次会议审议通过了《关于公司股票期权激励计划首次授予第一个行权期可行权的议</w:t>
      </w:r>
      <w:r>
        <w:rPr>
          <w:w w:val="100"/>
        </w:rPr>
        <w:t> </w:t>
      </w:r>
      <w:r>
        <w:rPr>
          <w:spacing w:val="-19"/>
          <w:w w:val="100"/>
        </w:rPr>
        <w:t>案》。公司实际有</w:t>
      </w:r>
      <w:r>
        <w:rPr>
          <w:spacing w:val="38"/>
          <w:w w:val="100"/>
        </w:rPr>
        <w:t> </w:t>
      </w:r>
      <w:r>
        <w:rPr>
          <w:rFonts w:ascii="宋体" w:hAnsi="宋体" w:cs="宋体" w:eastAsia="宋体" w:hint="default"/>
          <w:spacing w:val="-3"/>
          <w:w w:val="100"/>
        </w:rPr>
        <w:t>101</w:t>
      </w:r>
      <w:r>
        <w:rPr>
          <w:spacing w:val="-3"/>
          <w:w w:val="100"/>
        </w:rPr>
        <w:t>名股权激励对象合计行权</w:t>
      </w:r>
      <w:r>
        <w:rPr>
          <w:rFonts w:ascii="宋体" w:hAnsi="宋体" w:cs="宋体" w:eastAsia="宋体" w:hint="default"/>
          <w:spacing w:val="-3"/>
          <w:w w:val="100"/>
        </w:rPr>
        <w:t>497.93</w:t>
      </w:r>
      <w:r>
        <w:rPr>
          <w:spacing w:val="-3"/>
          <w:w w:val="100"/>
        </w:rPr>
        <w:t>万份股票期权，每份股票期权行权价格为人民币</w:t>
      </w:r>
      <w:r>
        <w:rPr>
          <w:rFonts w:ascii="宋体" w:hAnsi="宋体" w:cs="宋体" w:eastAsia="宋体" w:hint="default"/>
          <w:spacing w:val="-3"/>
          <w:w w:val="100"/>
        </w:rPr>
        <w:t>7</w:t>
      </w:r>
      <w:r>
        <w:rPr>
          <w:rFonts w:ascii="Times New Roman" w:hAnsi="Times New Roman" w:cs="Times New Roman" w:eastAsia="Times New Roman" w:hint="default"/>
          <w:spacing w:val="-3"/>
          <w:w w:val="100"/>
        </w:rPr>
        <w:t>.</w:t>
      </w:r>
      <w:r>
        <w:rPr>
          <w:rFonts w:ascii="宋体" w:hAnsi="宋体" w:cs="宋体" w:eastAsia="宋体" w:hint="default"/>
          <w:spacing w:val="-3"/>
          <w:w w:val="100"/>
        </w:rPr>
        <w:t>63</w:t>
      </w:r>
      <w:r>
        <w:rPr>
          <w:rFonts w:ascii="宋体" w:hAnsi="宋体" w:cs="宋体" w:eastAsia="宋体" w:hint="default"/>
          <w:spacing w:val="-99"/>
          <w:w w:val="100"/>
        </w:rPr>
        <w:t> </w:t>
      </w:r>
      <w:r>
        <w:rPr/>
        <w:t>元，行权后的注册资本变更为人民币</w:t>
      </w:r>
      <w:r>
        <w:rPr>
          <w:rFonts w:ascii="宋体" w:hAnsi="宋体" w:cs="宋体" w:eastAsia="宋体" w:hint="default"/>
        </w:rPr>
        <w:t>41,384.83</w:t>
      </w:r>
      <w:r>
        <w:rPr/>
        <w:t>万元。</w:t>
      </w:r>
    </w:p>
    <w:p>
      <w:pPr>
        <w:pStyle w:val="BodyText"/>
        <w:spacing w:line="240" w:lineRule="auto" w:before="38"/>
        <w:ind w:left="473" w:right="1002"/>
        <w:jc w:val="left"/>
      </w:pPr>
      <w:r>
        <w:rPr/>
        <w:t>根据本公司</w:t>
      </w:r>
      <w:r>
        <w:rPr>
          <w:spacing w:val="2"/>
        </w:rPr>
        <w:t> </w:t>
      </w:r>
      <w:r>
        <w:rPr>
          <w:rFonts w:ascii="宋体" w:hAnsi="宋体" w:cs="宋体" w:eastAsia="宋体" w:hint="default"/>
        </w:rPr>
        <w:t>2011</w:t>
      </w:r>
      <w:r>
        <w:rPr/>
        <w:t>年第一次临时股东大会审议通过的《安徽鑫龙电器股份有限公司股票期权激励计划</w:t>
      </w:r>
    </w:p>
    <w:p>
      <w:pPr>
        <w:pStyle w:val="BodyText"/>
        <w:spacing w:line="348" w:lineRule="auto" w:before="123"/>
        <w:ind w:right="1002"/>
        <w:jc w:val="left"/>
      </w:pPr>
      <w:r>
        <w:rPr>
          <w:spacing w:val="-4"/>
          <w:w w:val="100"/>
        </w:rPr>
        <w:t>（修订稿）》的相关规定，公司首期股票期权激励计划首次授予第二个行权期及预留期权第一个行权期的</w:t>
      </w:r>
      <w:r>
        <w:rPr>
          <w:spacing w:val="-83"/>
          <w:w w:val="100"/>
        </w:rPr>
        <w:t> </w:t>
      </w:r>
      <w:r>
        <w:rPr>
          <w:spacing w:val="-83"/>
          <w:w w:val="100"/>
        </w:rPr>
      </w:r>
      <w:r>
        <w:rPr>
          <w:spacing w:val="-2"/>
        </w:rPr>
        <w:t>行权条件已经满足，经公司第六届董事会第五次会议审议通过的《关于股票期权激励计划首次授予第二个</w:t>
      </w:r>
      <w:r>
        <w:rPr>
          <w:spacing w:val="-30"/>
        </w:rPr>
        <w:t> </w:t>
      </w:r>
      <w:r>
        <w:rPr>
          <w:spacing w:val="-30"/>
        </w:rPr>
      </w:r>
      <w:r>
        <w:rPr>
          <w:spacing w:val="-6"/>
          <w:w w:val="100"/>
        </w:rPr>
        <w:t>行权期及预留期权第一个行权期可行权的议案》，公司</w:t>
      </w:r>
      <w:r>
        <w:rPr>
          <w:w w:val="100"/>
        </w:rPr>
        <w:t> </w:t>
      </w:r>
      <w:r>
        <w:rPr>
          <w:rFonts w:ascii="宋体" w:hAnsi="宋体" w:cs="宋体" w:eastAsia="宋体" w:hint="default"/>
          <w:spacing w:val="-1"/>
          <w:w w:val="100"/>
        </w:rPr>
        <w:t>147</w:t>
      </w:r>
      <w:r>
        <w:rPr>
          <w:spacing w:val="-1"/>
          <w:w w:val="100"/>
        </w:rPr>
        <w:t>名股权激励对象共计可行权</w:t>
      </w:r>
      <w:r>
        <w:rPr>
          <w:rFonts w:ascii="宋体" w:hAnsi="宋体" w:cs="宋体" w:eastAsia="宋体" w:hint="default"/>
          <w:spacing w:val="-1"/>
          <w:w w:val="100"/>
        </w:rPr>
        <w:t>818.20</w:t>
      </w:r>
      <w:r>
        <w:rPr>
          <w:spacing w:val="-1"/>
          <w:w w:val="100"/>
        </w:rPr>
        <w:t>万份股票期</w:t>
      </w:r>
      <w:r>
        <w:rPr>
          <w:spacing w:val="-95"/>
          <w:w w:val="100"/>
        </w:rPr>
        <w:t> </w:t>
      </w:r>
      <w:r>
        <w:rPr>
          <w:spacing w:val="-95"/>
          <w:w w:val="100"/>
        </w:rPr>
      </w:r>
      <w:r>
        <w:rPr/>
        <w:t>权。公司实际有 </w:t>
      </w:r>
      <w:r>
        <w:rPr>
          <w:rFonts w:ascii="宋体" w:hAnsi="宋体" w:cs="宋体" w:eastAsia="宋体" w:hint="default"/>
        </w:rPr>
        <w:t>137</w:t>
      </w:r>
      <w:r>
        <w:rPr/>
        <w:t>名股权激励对象共计行权</w:t>
      </w:r>
      <w:r>
        <w:rPr>
          <w:rFonts w:ascii="宋体" w:hAnsi="宋体" w:cs="宋体" w:eastAsia="宋体" w:hint="default"/>
        </w:rPr>
        <w:t>753.20</w:t>
      </w:r>
      <w:r>
        <w:rPr/>
        <w:t>万份股票期权，行权后的注册资本变更为人民币</w:t>
      </w:r>
      <w:r>
        <w:rPr>
          <w:spacing w:val="-101"/>
        </w:rPr>
        <w:t> </w:t>
      </w:r>
      <w:r>
        <w:rPr>
          <w:spacing w:val="-101"/>
        </w:rPr>
      </w:r>
      <w:r>
        <w:rPr>
          <w:rFonts w:ascii="宋体" w:hAnsi="宋体" w:cs="宋体" w:eastAsia="宋体" w:hint="default"/>
        </w:rPr>
        <w:t>42,138.03</w:t>
      </w:r>
      <w:r>
        <w:rPr/>
        <w:t>万元。</w:t>
      </w:r>
    </w:p>
    <w:p>
      <w:pPr>
        <w:pStyle w:val="BodyText"/>
        <w:spacing w:line="240" w:lineRule="auto" w:before="34"/>
        <w:ind w:left="473" w:right="1002"/>
        <w:jc w:val="left"/>
      </w:pPr>
      <w:r>
        <w:rPr>
          <w:spacing w:val="-3"/>
        </w:rPr>
        <w:t>根据本公司</w:t>
      </w:r>
      <w:r>
        <w:rPr>
          <w:rFonts w:ascii="宋体" w:hAnsi="宋体" w:cs="宋体" w:eastAsia="宋体" w:hint="default"/>
          <w:spacing w:val="-3"/>
        </w:rPr>
        <w:t>2015</w:t>
      </w:r>
      <w:r>
        <w:rPr>
          <w:spacing w:val="-3"/>
        </w:rPr>
        <w:t>年第一次临时股东大会决议，并经中国证券监督管理委员会证监许可</w:t>
      </w:r>
      <w:r>
        <w:rPr>
          <w:rFonts w:ascii="宋体" w:hAnsi="宋体" w:cs="宋体" w:eastAsia="宋体" w:hint="default"/>
          <w:spacing w:val="-3"/>
        </w:rPr>
        <w:t>[2015]1726</w:t>
      </w:r>
      <w:r>
        <w:rPr>
          <w:rFonts w:ascii="宋体" w:hAnsi="宋体" w:cs="宋体" w:eastAsia="宋体" w:hint="default"/>
          <w:spacing w:val="84"/>
        </w:rPr>
        <w:t> </w:t>
      </w:r>
      <w:r>
        <w:rPr>
          <w:spacing w:val="-5"/>
        </w:rPr>
        <w:t>号文</w:t>
      </w:r>
      <w:r>
        <w:rPr/>
      </w:r>
    </w:p>
    <w:p>
      <w:pPr>
        <w:pStyle w:val="BodyText"/>
        <w:spacing w:line="348" w:lineRule="auto" w:before="123"/>
        <w:ind w:right="1002"/>
        <w:jc w:val="left"/>
      </w:pPr>
      <w:r>
        <w:rPr>
          <w:spacing w:val="-2"/>
        </w:rPr>
        <w:t>《关于核准安徽鑫龙电器股份有限公司向瞿洪桂等发行股份购买资产并募集配套资金的批复》的核准，本</w:t>
      </w:r>
      <w:r>
        <w:rPr>
          <w:spacing w:val="-33"/>
        </w:rPr>
        <w:t> </w:t>
      </w:r>
      <w:r>
        <w:rPr>
          <w:spacing w:val="-33"/>
        </w:rPr>
      </w:r>
      <w:r>
        <w:rPr/>
        <w:t>公司申请增加注册资本人民币</w:t>
      </w:r>
      <w:r>
        <w:rPr>
          <w:rFonts w:ascii="宋体" w:hAnsi="宋体" w:cs="宋体" w:eastAsia="宋体" w:hint="default"/>
        </w:rPr>
        <w:t>21</w:t>
      </w:r>
      <w:r>
        <w:rPr>
          <w:rFonts w:ascii="Times New Roman" w:hAnsi="Times New Roman" w:cs="Times New Roman" w:eastAsia="Times New Roman" w:hint="default"/>
        </w:rPr>
        <w:t>,</w:t>
      </w:r>
      <w:r>
        <w:rPr>
          <w:rFonts w:ascii="宋体" w:hAnsi="宋体" w:cs="宋体" w:eastAsia="宋体" w:hint="default"/>
        </w:rPr>
        <w:t>153</w:t>
      </w:r>
      <w:r>
        <w:rPr>
          <w:rFonts w:ascii="Times New Roman" w:hAnsi="Times New Roman" w:cs="Times New Roman" w:eastAsia="Times New Roman" w:hint="default"/>
        </w:rPr>
        <w:t>.</w:t>
      </w:r>
      <w:r>
        <w:rPr>
          <w:rFonts w:ascii="宋体" w:hAnsi="宋体" w:cs="宋体" w:eastAsia="宋体" w:hint="default"/>
        </w:rPr>
        <w:t>846</w:t>
      </w:r>
      <w:r>
        <w:rPr/>
        <w:t>万元，变更后的注册资本为</w:t>
      </w:r>
      <w:r>
        <w:rPr>
          <w:rFonts w:ascii="宋体" w:hAnsi="宋体" w:cs="宋体" w:eastAsia="宋体" w:hint="default"/>
        </w:rPr>
        <w:t>63,291.876</w:t>
      </w:r>
      <w:r>
        <w:rPr/>
        <w:t>万元。</w:t>
      </w:r>
    </w:p>
    <w:p>
      <w:pPr>
        <w:pStyle w:val="BodyText"/>
        <w:spacing w:line="240" w:lineRule="auto" w:before="8"/>
        <w:ind w:left="473" w:right="1002"/>
        <w:jc w:val="left"/>
      </w:pPr>
      <w:r>
        <w:rPr/>
        <w:t>根据本公司</w:t>
      </w:r>
      <w:r>
        <w:rPr>
          <w:rFonts w:ascii="宋体" w:hAnsi="宋体" w:cs="宋体" w:eastAsia="宋体" w:hint="default"/>
        </w:rPr>
        <w:t>2016</w:t>
      </w:r>
      <w:r>
        <w:rPr/>
        <w:t>年第一次临时股东大会决议，并经中国证券监督管理委员会证监许可</w:t>
      </w:r>
      <w:r>
        <w:rPr>
          <w:rFonts w:ascii="宋体" w:hAnsi="宋体" w:cs="宋体" w:eastAsia="宋体" w:hint="default"/>
        </w:rPr>
        <w:t>[2016]1764</w:t>
      </w:r>
      <w:r>
        <w:rPr>
          <w:rFonts w:ascii="宋体" w:hAnsi="宋体" w:cs="宋体" w:eastAsia="宋体" w:hint="default"/>
          <w:spacing w:val="4"/>
        </w:rPr>
        <w:t> </w:t>
      </w:r>
      <w:r>
        <w:rPr/>
        <w:t>号</w:t>
      </w:r>
    </w:p>
    <w:p>
      <w:pPr>
        <w:pStyle w:val="BodyText"/>
        <w:spacing w:line="348" w:lineRule="auto" w:before="123"/>
        <w:ind w:right="1002"/>
        <w:jc w:val="left"/>
      </w:pPr>
      <w:r>
        <w:rPr>
          <w:spacing w:val="-2"/>
        </w:rPr>
        <w:t>《关于核准安徽中电兴发与鑫龙科技股份有限公司非公开发行股票的批复》的核准，本公司申请增加注册</w:t>
      </w:r>
      <w:r>
        <w:rPr>
          <w:spacing w:val="-33"/>
        </w:rPr>
        <w:t> </w:t>
      </w:r>
      <w:r>
        <w:rPr>
          <w:spacing w:val="-33"/>
        </w:rPr>
      </w:r>
      <w:r>
        <w:rPr/>
        <w:t>资本人民币</w:t>
      </w:r>
      <w:r>
        <w:rPr>
          <w:rFonts w:ascii="宋体" w:hAnsi="宋体" w:cs="宋体" w:eastAsia="宋体" w:hint="default"/>
        </w:rPr>
        <w:t>7,104.19</w:t>
      </w:r>
      <w:r>
        <w:rPr/>
        <w:t>万元，变更后注册资本为</w:t>
      </w:r>
      <w:r>
        <w:rPr>
          <w:rFonts w:ascii="宋体" w:hAnsi="宋体" w:cs="宋体" w:eastAsia="宋体" w:hint="default"/>
        </w:rPr>
        <w:t>70,396.066</w:t>
      </w:r>
      <w:r>
        <w:rPr/>
        <w:t>万元。</w:t>
      </w:r>
    </w:p>
    <w:p>
      <w:pPr>
        <w:pStyle w:val="BodyText"/>
        <w:spacing w:line="348" w:lineRule="auto" w:before="34"/>
        <w:ind w:right="1163" w:firstLine="360"/>
        <w:jc w:val="both"/>
      </w:pPr>
      <w:r>
        <w:rPr>
          <w:spacing w:val="-2"/>
        </w:rPr>
        <w:t>根据本公司</w:t>
      </w:r>
      <w:r>
        <w:rPr>
          <w:rFonts w:ascii="宋体" w:hAnsi="宋体" w:cs="宋体" w:eastAsia="宋体" w:hint="default"/>
          <w:spacing w:val="-2"/>
        </w:rPr>
        <w:t>2018</w:t>
      </w:r>
      <w:r>
        <w:rPr>
          <w:spacing w:val="-2"/>
        </w:rPr>
        <w:t>年第一次临时股东大会决议，同意公司使用自有资金以集中竞价交易的方式回购公司</w:t>
      </w:r>
      <w:r>
        <w:rPr>
          <w:w w:val="100"/>
        </w:rPr>
        <w:t> </w:t>
      </w:r>
      <w:r>
        <w:rPr/>
        <w:t>股份，直接用作注销并减少注册资本。</w:t>
      </w:r>
      <w:r>
        <w:rPr>
          <w:rFonts w:ascii="宋体" w:hAnsi="宋体" w:cs="宋体" w:eastAsia="宋体" w:hint="default"/>
        </w:rPr>
        <w:t>2018</w:t>
      </w:r>
      <w:r>
        <w:rPr/>
        <w:t>年</w:t>
      </w:r>
      <w:r>
        <w:rPr>
          <w:rFonts w:ascii="宋体" w:hAnsi="宋体" w:cs="宋体" w:eastAsia="宋体" w:hint="default"/>
        </w:rPr>
        <w:t>10</w:t>
      </w:r>
      <w:r>
        <w:rPr/>
        <w:t>月，公司将回购的</w:t>
      </w:r>
      <w:r>
        <w:rPr>
          <w:rFonts w:ascii="宋体" w:hAnsi="宋体" w:cs="宋体" w:eastAsia="宋体" w:hint="default"/>
        </w:rPr>
        <w:t>12,454,745</w:t>
      </w:r>
      <w:r>
        <w:rPr>
          <w:rFonts w:ascii="宋体" w:hAnsi="宋体" w:cs="宋体" w:eastAsia="宋体" w:hint="default"/>
          <w:spacing w:val="1"/>
        </w:rPr>
        <w:t> </w:t>
      </w:r>
      <w:r>
        <w:rPr/>
        <w:t>股予以注销，变更后注册</w:t>
      </w:r>
      <w:r>
        <w:rPr>
          <w:w w:val="100"/>
        </w:rPr>
        <w:t> </w:t>
      </w:r>
      <w:r>
        <w:rPr/>
        <w:t>资本为</w:t>
      </w:r>
      <w:r>
        <w:rPr>
          <w:rFonts w:ascii="宋体" w:hAnsi="宋体" w:cs="宋体" w:eastAsia="宋体" w:hint="default"/>
        </w:rPr>
        <w:t>691,505,915</w:t>
      </w:r>
      <w:r>
        <w:rPr/>
        <w:t>元。</w:t>
      </w:r>
    </w:p>
    <w:p>
      <w:pPr>
        <w:spacing w:line="240" w:lineRule="auto" w:before="5"/>
        <w:rPr>
          <w:rFonts w:ascii="宋体" w:hAnsi="宋体" w:cs="宋体" w:eastAsia="宋体" w:hint="default"/>
          <w:sz w:val="14"/>
          <w:szCs w:val="14"/>
        </w:rPr>
      </w:pPr>
    </w:p>
    <w:p>
      <w:pPr>
        <w:spacing w:line="352" w:lineRule="auto" w:before="0"/>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（二）公司业务性质和主要经营活动</w:t>
      </w:r>
      <w:r>
        <w:rPr>
          <w:rFonts w:ascii="宋体" w:hAnsi="宋体" w:cs="宋体" w:eastAsia="宋体" w:hint="default"/>
          <w:b/>
          <w:bCs/>
          <w:spacing w:val="-100"/>
          <w:sz w:val="21"/>
          <w:szCs w:val="21"/>
        </w:rPr>
        <w:t> </w:t>
      </w:r>
      <w:r>
        <w:rPr>
          <w:rFonts w:ascii="宋体" w:hAnsi="宋体" w:cs="宋体" w:eastAsia="宋体" w:hint="default"/>
          <w:spacing w:val="-2"/>
          <w:sz w:val="21"/>
          <w:szCs w:val="21"/>
        </w:rPr>
        <w:t>本公司属软件和信息技术服务业，本公司的主要产品包括：公共安全与反恐、智慧城市业务、智慧新</w:t>
      </w:r>
    </w:p>
    <w:p>
      <w:pPr>
        <w:spacing w:after="0" w:line="352"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left="333" w:right="1106"/>
        <w:jc w:val="both"/>
      </w:pPr>
      <w:r>
        <w:rPr>
          <w:spacing w:val="-2"/>
        </w:rPr>
        <w:t>能源、电力设计、成套开关设备、元器件、自动化产品等，主要应用于公安、军队、司法、市政部门及企</w:t>
      </w:r>
      <w:r>
        <w:rPr>
          <w:spacing w:val="-33"/>
        </w:rPr>
        <w:t> </w:t>
      </w:r>
      <w:r>
        <w:rPr>
          <w:spacing w:val="-33"/>
        </w:rPr>
      </w:r>
      <w:r>
        <w:rPr>
          <w:spacing w:val="-2"/>
        </w:rPr>
        <w:t>事业单位，提供端到端、一体化的系统解决方案；发电厂、变电所及城市、农村、工矿企业、交通运输、</w:t>
      </w:r>
      <w:r>
        <w:rPr>
          <w:spacing w:val="-13"/>
        </w:rPr>
        <w:t> </w:t>
      </w:r>
      <w:r>
        <w:rPr>
          <w:spacing w:val="-13"/>
        </w:rPr>
      </w:r>
      <w:r>
        <w:rPr/>
        <w:t>高层建筑、公用设施等领域的变、配电时接受和分配电能等。</w:t>
      </w:r>
    </w:p>
    <w:p>
      <w:pPr>
        <w:spacing w:line="240" w:lineRule="auto" w:before="10"/>
        <w:rPr>
          <w:rFonts w:ascii="宋体" w:hAnsi="宋体" w:cs="宋体" w:eastAsia="宋体" w:hint="default"/>
          <w:sz w:val="13"/>
          <w:szCs w:val="13"/>
        </w:rPr>
      </w:pPr>
    </w:p>
    <w:p>
      <w:pPr>
        <w:pStyle w:val="BodyText"/>
        <w:spacing w:line="350" w:lineRule="auto" w:before="0"/>
        <w:ind w:left="693" w:right="4614"/>
        <w:jc w:val="left"/>
      </w:pPr>
      <w:r>
        <w:rPr/>
        <w:pict>
          <v:shape style="position:absolute;margin-left:45.624001pt;margin-top:56.423656pt;width:496.2pt;height:566.3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70"/>
                    <w:gridCol w:w="2026"/>
                    <w:gridCol w:w="1004"/>
                    <w:gridCol w:w="1249"/>
                    <w:gridCol w:w="1753"/>
                  </w:tblGrid>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80" w:right="0"/>
                          <w:jc w:val="left"/>
                          <w:rPr>
                            <w:rFonts w:ascii="宋体" w:hAnsi="宋体" w:cs="宋体" w:eastAsia="宋体" w:hint="default"/>
                            <w:sz w:val="21"/>
                            <w:szCs w:val="21"/>
                          </w:rPr>
                        </w:pPr>
                        <w:r>
                          <w:rPr>
                            <w:rFonts w:ascii="宋体" w:hAnsi="宋体" w:cs="宋体" w:eastAsia="宋体" w:hint="default"/>
                            <w:sz w:val="21"/>
                            <w:szCs w:val="21"/>
                          </w:rPr>
                          <w:t>子公司类型</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88" w:right="0"/>
                          <w:jc w:val="left"/>
                          <w:rPr>
                            <w:rFonts w:ascii="宋体" w:hAnsi="宋体" w:cs="宋体" w:eastAsia="宋体" w:hint="default"/>
                            <w:sz w:val="21"/>
                            <w:szCs w:val="21"/>
                          </w:rPr>
                        </w:pPr>
                        <w:r>
                          <w:rPr>
                            <w:rFonts w:ascii="宋体" w:hAnsi="宋体" w:cs="宋体" w:eastAsia="宋体" w:hint="default"/>
                            <w:sz w:val="21"/>
                            <w:szCs w:val="21"/>
                          </w:rPr>
                          <w:t>级次</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pacing w:val="-7"/>
                            <w:sz w:val="21"/>
                            <w:szCs w:val="21"/>
                          </w:rPr>
                          <w:t>持股比例（</w:t>
                        </w:r>
                        <w:r>
                          <w:rPr>
                            <w:rFonts w:ascii="宋体" w:hAnsi="宋体" w:cs="宋体" w:eastAsia="宋体" w:hint="default"/>
                            <w:spacing w:val="-7"/>
                            <w:sz w:val="21"/>
                            <w:szCs w:val="21"/>
                          </w:rPr>
                          <w:t>%</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1" w:right="0"/>
                          <w:jc w:val="left"/>
                          <w:rPr>
                            <w:rFonts w:ascii="宋体" w:hAnsi="宋体" w:cs="宋体" w:eastAsia="宋体" w:hint="default"/>
                            <w:sz w:val="21"/>
                            <w:szCs w:val="21"/>
                          </w:rPr>
                        </w:pPr>
                        <w:r>
                          <w:rPr>
                            <w:rFonts w:ascii="宋体" w:hAnsi="宋体" w:cs="宋体" w:eastAsia="宋体" w:hint="default"/>
                            <w:sz w:val="21"/>
                            <w:szCs w:val="21"/>
                          </w:rPr>
                          <w:t>表决权比例（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二级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斯高思电器（安徽）有限公司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75.00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75.00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安徽鑫龙电器元件销售有限公司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hAnsi="宋体" w:cs="宋体" w:eastAsia="宋体" w:hint="default"/>
                            <w:sz w:val="21"/>
                            <w:szCs w:val="21"/>
                          </w:rPr>
                          <w:t>全资子公司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hAnsi="宋体" w:cs="宋体" w:eastAsia="宋体" w:hint="default"/>
                            <w:sz w:val="21"/>
                            <w:szCs w:val="21"/>
                          </w:rPr>
                          <w:t>二级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sz w:val="21"/>
                          </w:rPr>
                          <w:t>100.00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安徽鑫龙自动化有限公司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二级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安徽鑫龙低压电器有限公司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二级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安徽鑫龙变压器有限公司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二级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安徽北辰能源工程技术有限公司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二级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安徽鑫东投资管理有限公司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控股子公司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二级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90.00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90.00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安徽佑赛科技股份有限公司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控股子公司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二级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68.00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68.00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天津市泰达工程设计有限公司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控股子公司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二级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59.738</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59.738</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苏州开关二厂有限公司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hAnsi="宋体" w:cs="宋体" w:eastAsia="宋体" w:hint="default"/>
                            <w:sz w:val="21"/>
                            <w:szCs w:val="21"/>
                          </w:rPr>
                          <w:t>控股子公司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hAnsi="宋体" w:cs="宋体" w:eastAsia="宋体" w:hint="default"/>
                            <w:sz w:val="21"/>
                            <w:szCs w:val="21"/>
                          </w:rPr>
                          <w:t>二级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宋体" w:hAnsi="宋体" w:cs="宋体" w:eastAsia="宋体" w:hint="default"/>
                            <w:sz w:val="21"/>
                            <w:szCs w:val="21"/>
                          </w:rPr>
                        </w:pPr>
                        <w:r>
                          <w:rPr>
                            <w:rFonts w:ascii="宋体"/>
                            <w:sz w:val="21"/>
                          </w:rPr>
                          <w:t>70.00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sz w:val="21"/>
                          </w:rPr>
                          <w:t>70.00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北京中电兴发科技有限公司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二级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信诺非凡</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中电兴发机器人技术</w:t>
                        </w: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68.00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68.00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安徽鑫龙电器股份有限公司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二级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安徽龙玺新能源科技有限公司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65.00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65.00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红河智慧科技有限公司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51.00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51.00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云南红河智慧城市互联网发展有限公司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2" w:right="0"/>
                          <w:jc w:val="left"/>
                          <w:rPr>
                            <w:rFonts w:ascii="宋体" w:hAnsi="宋体" w:cs="宋体" w:eastAsia="宋体" w:hint="default"/>
                            <w:sz w:val="21"/>
                            <w:szCs w:val="21"/>
                          </w:rPr>
                        </w:pPr>
                        <w:r>
                          <w:rPr>
                            <w:rFonts w:ascii="宋体" w:hAnsi="宋体" w:cs="宋体" w:eastAsia="宋体" w:hint="default"/>
                            <w:sz w:val="21"/>
                            <w:szCs w:val="21"/>
                          </w:rPr>
                          <w:t>控股孙公司的子公司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四级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70.00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70.00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红河智慧旅游信息发展有限公司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62" w:right="0"/>
                          <w:jc w:val="left"/>
                          <w:rPr>
                            <w:rFonts w:ascii="宋体" w:hAnsi="宋体" w:cs="宋体" w:eastAsia="宋体" w:hint="default"/>
                            <w:sz w:val="21"/>
                            <w:szCs w:val="21"/>
                          </w:rPr>
                        </w:pPr>
                        <w:r>
                          <w:rPr>
                            <w:rFonts w:ascii="宋体" w:hAnsi="宋体" w:cs="宋体" w:eastAsia="宋体" w:hint="default"/>
                            <w:sz w:val="21"/>
                            <w:szCs w:val="21"/>
                          </w:rPr>
                          <w:t>控股孙公司的子公司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hAnsi="宋体" w:cs="宋体" w:eastAsia="宋体" w:hint="default"/>
                            <w:sz w:val="21"/>
                            <w:szCs w:val="21"/>
                          </w:rPr>
                          <w:t>四级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宋体" w:hAnsi="宋体" w:cs="宋体" w:eastAsia="宋体" w:hint="default"/>
                            <w:sz w:val="21"/>
                            <w:szCs w:val="21"/>
                          </w:rPr>
                        </w:pPr>
                        <w:r>
                          <w:rPr>
                            <w:rFonts w:ascii="宋体"/>
                            <w:sz w:val="21"/>
                          </w:rPr>
                          <w:t>62.00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sz w:val="21"/>
                          </w:rPr>
                          <w:t>62.00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安徽鑫畅达轨道交通电气有限公司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安徽鑫龙售电有限公司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二级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云南中电典基网络科技有限公司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60.00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60.00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伊宁县智慧城市信息科技有限公司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21"/>
                            <w:szCs w:val="21"/>
                          </w:rPr>
                        </w:pPr>
                        <w:r>
                          <w:rPr>
                            <w:rFonts w:ascii="宋体"/>
                            <w:sz w:val="21"/>
                          </w:rPr>
                          <w:t>95.0</w:t>
                        </w:r>
                        <w:r>
                          <w:rPr>
                            <w:rFonts w:ascii="Times New Roman"/>
                            <w:sz w:val="21"/>
                          </w:rPr>
                          <w:t>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Times New Roman" w:hAnsi="Times New Roman" w:cs="Times New Roman" w:eastAsia="Times New Roman" w:hint="default"/>
                            <w:sz w:val="21"/>
                            <w:szCs w:val="21"/>
                          </w:rPr>
                        </w:pPr>
                        <w:r>
                          <w:rPr>
                            <w:rFonts w:ascii="宋体"/>
                            <w:sz w:val="21"/>
                          </w:rPr>
                          <w:t>95.0</w:t>
                        </w:r>
                        <w:r>
                          <w:rPr>
                            <w:rFonts w:ascii="Times New Roman"/>
                            <w:sz w:val="21"/>
                          </w:rPr>
                          <w:t>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天津滨龙工程管理咨询有限公司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40.00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40.00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苏州天平安装工程有限公司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99.88</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99.88</w:t>
                        </w:r>
                      </w:p>
                    </w:tc>
                  </w:tr>
                </w:tbl>
                <w:p>
                  <w:pPr/>
                </w:p>
              </w:txbxContent>
            </v:textbox>
            <w10:wrap type="none"/>
          </v:shape>
        </w:pict>
      </w:r>
      <w:r>
        <w:rPr>
          <w:rFonts w:ascii="宋体" w:hAnsi="宋体" w:cs="宋体" w:eastAsia="宋体" w:hint="default"/>
          <w:b/>
          <w:bCs/>
        </w:rPr>
        <w:t>（三）财务报表的批准报出</w:t>
      </w:r>
      <w:r>
        <w:rPr>
          <w:rFonts w:ascii="宋体" w:hAnsi="宋体" w:cs="宋体" w:eastAsia="宋体" w:hint="default"/>
          <w:b/>
          <w:bCs/>
          <w:spacing w:val="-102"/>
        </w:rPr>
        <w:t> </w:t>
      </w:r>
      <w:r>
        <w:rPr/>
        <w:t>本财务报表业经公司全体董事会于</w:t>
      </w:r>
      <w:r>
        <w:rPr>
          <w:rFonts w:ascii="宋体" w:hAnsi="宋体" w:cs="宋体" w:eastAsia="宋体" w:hint="default"/>
        </w:rPr>
        <w:t>2020</w:t>
      </w:r>
      <w:r>
        <w:rPr/>
        <w:t>年</w:t>
      </w:r>
      <w:r>
        <w:rPr>
          <w:rFonts w:ascii="宋体" w:hAnsi="宋体" w:cs="宋体" w:eastAsia="宋体" w:hint="default"/>
        </w:rPr>
        <w:t>4 </w:t>
      </w:r>
      <w:r>
        <w:rPr/>
        <w:t>月</w:t>
      </w:r>
      <w:r>
        <w:rPr>
          <w:rFonts w:ascii="宋体" w:hAnsi="宋体" w:cs="宋体" w:eastAsia="宋体" w:hint="default"/>
        </w:rPr>
        <w:t>28</w:t>
      </w:r>
      <w:r>
        <w:rPr>
          <w:rFonts w:ascii="宋体" w:hAnsi="宋体" w:cs="宋体" w:eastAsia="宋体" w:hint="default"/>
          <w:spacing w:val="2"/>
        </w:rPr>
        <w:t> </w:t>
      </w:r>
      <w:r>
        <w:rPr/>
        <w:t>日批准报出。</w:t>
      </w:r>
      <w:r>
        <w:rPr>
          <w:w w:val="100"/>
        </w:rPr>
        <w:t> </w:t>
      </w:r>
      <w:r>
        <w:rPr/>
        <w:t>本期纳入合并财务报表范围的子公司共</w:t>
      </w:r>
      <w:r>
        <w:rPr>
          <w:rFonts w:ascii="宋体" w:hAnsi="宋体" w:cs="宋体" w:eastAsia="宋体" w:hint="default"/>
        </w:rPr>
        <w:t>55</w:t>
      </w:r>
      <w:r>
        <w:rPr/>
        <w:t>户，具体包括：</w:t>
      </w:r>
    </w:p>
    <w:p>
      <w:pPr>
        <w:spacing w:after="0" w:line="350" w:lineRule="auto"/>
        <w:jc w:val="left"/>
        <w:sectPr>
          <w:pgSz w:w="11910" w:h="16840"/>
          <w:pgMar w:header="906" w:footer="1022" w:top="1100" w:bottom="1220" w:left="800" w:right="0"/>
        </w:sectPr>
      </w:pPr>
    </w:p>
    <w:p>
      <w:pPr>
        <w:spacing w:line="240" w:lineRule="auto" w:before="7"/>
        <w:rPr>
          <w:rFonts w:ascii="宋体" w:hAnsi="宋体" w:cs="宋体" w:eastAsia="宋体" w:hint="default"/>
          <w:sz w:val="25"/>
          <w:szCs w:val="25"/>
        </w:rPr>
      </w:pPr>
    </w:p>
    <w:tbl>
      <w:tblPr>
        <w:tblW w:w="0" w:type="auto"/>
        <w:jc w:val="left"/>
        <w:tblInd w:w="112" w:type="dxa"/>
        <w:tblLayout w:type="fixed"/>
        <w:tblCellMar>
          <w:top w:w="0" w:type="dxa"/>
          <w:left w:w="0" w:type="dxa"/>
          <w:bottom w:w="0" w:type="dxa"/>
          <w:right w:w="0" w:type="dxa"/>
        </w:tblCellMar>
        <w:tblLook w:val="01E0"/>
      </w:tblPr>
      <w:tblGrid>
        <w:gridCol w:w="3870"/>
        <w:gridCol w:w="2026"/>
        <w:gridCol w:w="1004"/>
        <w:gridCol w:w="1249"/>
        <w:gridCol w:w="1753"/>
      </w:tblGrid>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安徽中电兴发科技有限公司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中电兴发软件研发（北京）有限公司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北京普天智慧科技有限公司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70.00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70.00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枣强县智慧城市信息技术服务有限公司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中普慧园科技（北京）有限公司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凤凰智慧城市管理运营有限责任公司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80.00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80.00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云南中电新联通信网络有限公司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全资孙公司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昭通中典联网络科技有限公司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hAnsi="宋体" w:cs="宋体" w:eastAsia="宋体" w:hint="default"/>
                <w:spacing w:val="-1"/>
                <w:sz w:val="21"/>
                <w:szCs w:val="21"/>
              </w:rPr>
              <w:t>控股孙公司的子公司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hAnsi="宋体" w:cs="宋体" w:eastAsia="宋体" w:hint="default"/>
                <w:sz w:val="21"/>
                <w:szCs w:val="21"/>
              </w:rPr>
              <w:t>四级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宋体" w:hAnsi="宋体" w:cs="宋体" w:eastAsia="宋体" w:hint="default"/>
                <w:sz w:val="21"/>
                <w:szCs w:val="21"/>
              </w:rPr>
            </w:pPr>
            <w:r>
              <w:rPr>
                <w:rFonts w:ascii="宋体"/>
                <w:sz w:val="21"/>
              </w:rPr>
              <w:t>68.00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sz w:val="21"/>
              </w:rPr>
              <w:t>68.00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昭通欣联企业管理有限合伙企业</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pacing w:val="-1"/>
                <w:sz w:val="21"/>
                <w:szCs w:val="21"/>
              </w:rPr>
              <w:t>控股孙公司的子公司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四级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44.07</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44.07</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曲靖中典联网络科技有限公司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pacing w:val="-1"/>
                <w:sz w:val="21"/>
                <w:szCs w:val="21"/>
              </w:rPr>
              <w:t>控股孙公司的子公司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四级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68.00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68.00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曲靖卓联企业管理合伙企业（有限合伙）</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pacing w:val="-1"/>
                <w:sz w:val="21"/>
                <w:szCs w:val="21"/>
              </w:rPr>
              <w:t>控股孙公司的子公司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四级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40.625</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40.625</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普洱中典联网络科技有限公司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pacing w:val="-1"/>
                <w:sz w:val="21"/>
                <w:szCs w:val="21"/>
              </w:rPr>
              <w:t>控股孙公司的子公司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四级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68.00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68.00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普洱卓联企业管理合伙企业（有限合伙）</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pacing w:val="-1"/>
                <w:sz w:val="21"/>
                <w:szCs w:val="21"/>
              </w:rPr>
              <w:t>控股孙公司的子公司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四级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55.41</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55.41</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楚雄彝州云数据科技有限公司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pacing w:val="-1"/>
                <w:sz w:val="21"/>
                <w:szCs w:val="21"/>
              </w:rPr>
              <w:t>控股孙公司的子公司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四级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68.00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68.00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pacing w:val="-3"/>
                <w:sz w:val="21"/>
                <w:szCs w:val="21"/>
              </w:rPr>
              <w:t>楚雄市卓联企业管理合伙企业（有限合伙</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17" w:right="-5"/>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控股孙公司的子公司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hAnsi="宋体" w:cs="宋体" w:eastAsia="宋体" w:hint="default"/>
                <w:sz w:val="21"/>
                <w:szCs w:val="21"/>
              </w:rPr>
              <w:t>四级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40.625</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40.625</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湖南恒联通达信息科技有限公司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宋体" w:hAnsi="宋体" w:cs="宋体" w:eastAsia="宋体" w:hint="default"/>
                <w:sz w:val="21"/>
                <w:szCs w:val="21"/>
              </w:rPr>
            </w:pPr>
            <w:r>
              <w:rPr>
                <w:rFonts w:ascii="宋体"/>
                <w:sz w:val="21"/>
              </w:rPr>
              <w:t>70.00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sz w:val="21"/>
              </w:rPr>
              <w:t>70.00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湖北楚兴联怡网络技术有限公司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2" w:right="0"/>
              <w:jc w:val="left"/>
              <w:rPr>
                <w:rFonts w:ascii="宋体" w:hAnsi="宋体" w:cs="宋体" w:eastAsia="宋体" w:hint="default"/>
                <w:sz w:val="21"/>
                <w:szCs w:val="21"/>
              </w:rPr>
            </w:pPr>
            <w:r>
              <w:rPr>
                <w:rFonts w:ascii="宋体" w:hAnsi="宋体" w:cs="宋体" w:eastAsia="宋体" w:hint="default"/>
                <w:sz w:val="21"/>
                <w:szCs w:val="21"/>
              </w:rPr>
              <w:t>控股孙公司的子公司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41" w:right="0"/>
              <w:jc w:val="left"/>
              <w:rPr>
                <w:rFonts w:ascii="宋体" w:hAnsi="宋体" w:cs="宋体" w:eastAsia="宋体" w:hint="default"/>
                <w:sz w:val="21"/>
                <w:szCs w:val="21"/>
              </w:rPr>
            </w:pPr>
            <w:r>
              <w:rPr>
                <w:rFonts w:ascii="宋体" w:hAnsi="宋体" w:cs="宋体" w:eastAsia="宋体" w:hint="default"/>
                <w:sz w:val="21"/>
                <w:szCs w:val="21"/>
              </w:rPr>
              <w:t>四级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70.00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70.00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恒联通达信息科技河北有限公司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2" w:right="0"/>
              <w:jc w:val="left"/>
              <w:rPr>
                <w:rFonts w:ascii="宋体" w:hAnsi="宋体" w:cs="宋体" w:eastAsia="宋体" w:hint="default"/>
                <w:sz w:val="21"/>
                <w:szCs w:val="21"/>
              </w:rPr>
            </w:pPr>
            <w:r>
              <w:rPr>
                <w:rFonts w:ascii="宋体" w:hAnsi="宋体" w:cs="宋体" w:eastAsia="宋体" w:hint="default"/>
                <w:sz w:val="21"/>
                <w:szCs w:val="21"/>
              </w:rPr>
              <w:t>控股孙公司的子公司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41" w:right="0"/>
              <w:jc w:val="left"/>
              <w:rPr>
                <w:rFonts w:ascii="宋体" w:hAnsi="宋体" w:cs="宋体" w:eastAsia="宋体" w:hint="default"/>
                <w:sz w:val="21"/>
                <w:szCs w:val="21"/>
              </w:rPr>
            </w:pPr>
            <w:r>
              <w:rPr>
                <w:rFonts w:ascii="宋体" w:hAnsi="宋体" w:cs="宋体" w:eastAsia="宋体" w:hint="default"/>
                <w:sz w:val="21"/>
                <w:szCs w:val="21"/>
              </w:rPr>
              <w:t>四级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80.00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80.00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四川恒联通达信息科技有限公司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2" w:right="0"/>
              <w:jc w:val="left"/>
              <w:rPr>
                <w:rFonts w:ascii="宋体" w:hAnsi="宋体" w:cs="宋体" w:eastAsia="宋体" w:hint="default"/>
                <w:sz w:val="21"/>
                <w:szCs w:val="21"/>
              </w:rPr>
            </w:pPr>
            <w:r>
              <w:rPr>
                <w:rFonts w:ascii="宋体" w:hAnsi="宋体" w:cs="宋体" w:eastAsia="宋体" w:hint="default"/>
                <w:sz w:val="21"/>
                <w:szCs w:val="21"/>
              </w:rPr>
              <w:t>控股孙公司的子公司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41" w:right="0"/>
              <w:jc w:val="left"/>
              <w:rPr>
                <w:rFonts w:ascii="宋体" w:hAnsi="宋体" w:cs="宋体" w:eastAsia="宋体" w:hint="default"/>
                <w:sz w:val="21"/>
                <w:szCs w:val="21"/>
              </w:rPr>
            </w:pPr>
            <w:r>
              <w:rPr>
                <w:rFonts w:ascii="宋体" w:hAnsi="宋体" w:cs="宋体" w:eastAsia="宋体" w:hint="default"/>
                <w:sz w:val="21"/>
                <w:szCs w:val="21"/>
              </w:rPr>
              <w:t>四级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80.00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80.00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湖南时空大数据管理有限公司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80" w:right="0"/>
              <w:jc w:val="lef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88" w:right="0"/>
              <w:jc w:val="lef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95.00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95.00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新疆云尚智慧科技有限公司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80" w:right="0"/>
              <w:jc w:val="lef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88" w:right="0"/>
              <w:jc w:val="lef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70.00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70.00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中电兴发智享科技（成都）有限公司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80" w:right="0"/>
              <w:jc w:val="lef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88" w:right="0"/>
              <w:jc w:val="lef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67.00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67.00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四川中电兴发云尚科技有限公司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80" w:right="0"/>
              <w:jc w:val="lef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88" w:right="0"/>
              <w:jc w:val="lef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67.00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67.00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中电兴发工程管理（北京）有限公司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80" w:right="0"/>
              <w:jc w:val="lef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88" w:right="0"/>
              <w:jc w:val="lef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宋体" w:hAnsi="宋体" w:cs="宋体" w:eastAsia="宋体" w:hint="default"/>
                <w:sz w:val="21"/>
                <w:szCs w:val="21"/>
              </w:rPr>
            </w:pPr>
            <w:r>
              <w:rPr>
                <w:rFonts w:ascii="宋体"/>
                <w:sz w:val="21"/>
              </w:rPr>
              <w:t>80.00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sz w:val="21"/>
              </w:rPr>
              <w:t>80.00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湖南易晟通信网络技术有限公司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80" w:right="0"/>
              <w:jc w:val="lef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88" w:right="0"/>
              <w:jc w:val="lef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70.00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70.00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芜湖中电兴发科技有限公司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80" w:right="0"/>
              <w:jc w:val="left"/>
              <w:rPr>
                <w:rFonts w:ascii="宋体" w:hAnsi="宋体" w:cs="宋体" w:eastAsia="宋体" w:hint="default"/>
                <w:sz w:val="21"/>
                <w:szCs w:val="21"/>
              </w:rPr>
            </w:pPr>
            <w:r>
              <w:rPr>
                <w:rFonts w:ascii="宋体" w:hAnsi="宋体" w:cs="宋体" w:eastAsia="宋体" w:hint="default"/>
                <w:sz w:val="21"/>
                <w:szCs w:val="21"/>
              </w:rPr>
              <w:t>全资孙公司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88" w:right="0"/>
              <w:jc w:val="lef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开封云聚锦尚数据管理有限公司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80" w:right="0"/>
              <w:jc w:val="lef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88" w:right="0"/>
              <w:jc w:val="lef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90.00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90.00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赫章县融源信息技术有限公司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80" w:right="0"/>
              <w:jc w:val="left"/>
              <w:rPr>
                <w:rFonts w:ascii="宋体" w:hAnsi="宋体" w:cs="宋体" w:eastAsia="宋体" w:hint="default"/>
                <w:sz w:val="21"/>
                <w:szCs w:val="21"/>
              </w:rPr>
            </w:pPr>
            <w:r>
              <w:rPr>
                <w:rFonts w:ascii="宋体" w:hAnsi="宋体" w:cs="宋体" w:eastAsia="宋体" w:hint="default"/>
                <w:sz w:val="21"/>
                <w:szCs w:val="21"/>
              </w:rPr>
              <w:t>全资孙公司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88" w:right="0"/>
              <w:jc w:val="lef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2"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湖南中电兴发科技有限公司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80" w:right="0"/>
              <w:jc w:val="left"/>
              <w:rPr>
                <w:rFonts w:ascii="宋体" w:hAnsi="宋体" w:cs="宋体" w:eastAsia="宋体" w:hint="default"/>
                <w:sz w:val="21"/>
                <w:szCs w:val="21"/>
              </w:rPr>
            </w:pPr>
            <w:r>
              <w:rPr>
                <w:rFonts w:ascii="宋体" w:hAnsi="宋体" w:cs="宋体" w:eastAsia="宋体" w:hint="default"/>
                <w:sz w:val="21"/>
                <w:szCs w:val="21"/>
              </w:rPr>
              <w:t>全资孙公司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88" w:right="0"/>
              <w:jc w:val="lef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100.00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100.00</w:t>
            </w:r>
          </w:p>
        </w:tc>
      </w:tr>
      <w:tr>
        <w:trPr>
          <w:trHeight w:val="437" w:hRule="exact"/>
        </w:trPr>
        <w:tc>
          <w:tcPr>
            <w:tcW w:w="3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陕西中电兴发智享科技有限公司</w:t>
            </w:r>
          </w:p>
        </w:tc>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80" w:right="0"/>
              <w:jc w:val="left"/>
              <w:rPr>
                <w:rFonts w:ascii="宋体" w:hAnsi="宋体" w:cs="宋体" w:eastAsia="宋体" w:hint="default"/>
                <w:sz w:val="21"/>
                <w:szCs w:val="21"/>
              </w:rPr>
            </w:pPr>
            <w:r>
              <w:rPr>
                <w:rFonts w:ascii="宋体" w:hAnsi="宋体" w:cs="宋体" w:eastAsia="宋体" w:hint="default"/>
                <w:sz w:val="21"/>
                <w:szCs w:val="21"/>
              </w:rPr>
              <w:t>控股孙公司</w:t>
            </w:r>
          </w:p>
        </w:tc>
        <w:tc>
          <w:tcPr>
            <w:tcW w:w="10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88" w:right="0"/>
              <w:jc w:val="left"/>
              <w:rPr>
                <w:rFonts w:ascii="宋体" w:hAnsi="宋体" w:cs="宋体" w:eastAsia="宋体" w:hint="default"/>
                <w:sz w:val="21"/>
                <w:szCs w:val="21"/>
              </w:rPr>
            </w:pPr>
            <w:r>
              <w:rPr>
                <w:rFonts w:ascii="宋体" w:hAnsi="宋体" w:cs="宋体" w:eastAsia="宋体" w:hint="default"/>
                <w:sz w:val="21"/>
                <w:szCs w:val="21"/>
              </w:rPr>
              <w:t>三级</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宋体" w:hAnsi="宋体" w:cs="宋体" w:eastAsia="宋体" w:hint="default"/>
                <w:sz w:val="21"/>
                <w:szCs w:val="21"/>
              </w:rPr>
            </w:pPr>
            <w:r>
              <w:rPr>
                <w:rFonts w:ascii="宋体"/>
                <w:sz w:val="21"/>
              </w:rPr>
              <w:t>90.00</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90.00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before="0"/>
        <w:ind w:left="693" w:right="0"/>
        <w:jc w:val="left"/>
      </w:pPr>
      <w:r>
        <w:rPr/>
        <w:t>本期纳入合并财务报表范围的主体较上期相比，增加</w:t>
      </w:r>
      <w:r>
        <w:rPr>
          <w:rFonts w:ascii="宋体" w:hAnsi="宋体" w:cs="宋体" w:eastAsia="宋体" w:hint="default"/>
        </w:rPr>
        <w:t>14</w:t>
      </w:r>
      <w:r>
        <w:rPr/>
        <w:t>户，减少</w:t>
      </w:r>
      <w:r>
        <w:rPr>
          <w:rFonts w:ascii="宋体" w:hAnsi="宋体" w:cs="宋体" w:eastAsia="宋体" w:hint="default"/>
        </w:rPr>
        <w:t>2</w:t>
      </w:r>
      <w:r>
        <w:rPr/>
        <w:t>户，其中：</w:t>
      </w:r>
    </w:p>
    <w:p>
      <w:pPr>
        <w:spacing w:after="0" w:line="240" w:lineRule="auto"/>
        <w:jc w:val="left"/>
        <w:sectPr>
          <w:pgSz w:w="11910" w:h="16840"/>
          <w:pgMar w:header="906" w:footer="1022" w:top="1100" w:bottom="1220" w:left="800" w:right="0"/>
        </w:sectPr>
      </w:pPr>
    </w:p>
    <w:p>
      <w:pPr>
        <w:spacing w:line="240" w:lineRule="auto" w:before="8"/>
        <w:rPr>
          <w:rFonts w:ascii="宋体" w:hAnsi="宋体" w:cs="宋体" w:eastAsia="宋体" w:hint="default"/>
          <w:sz w:val="28"/>
          <w:szCs w:val="28"/>
        </w:rPr>
      </w:pPr>
    </w:p>
    <w:p>
      <w:pPr>
        <w:pStyle w:val="BodyText"/>
        <w:spacing w:line="240" w:lineRule="auto"/>
        <w:ind w:left="473" w:right="1002"/>
        <w:jc w:val="left"/>
      </w:pPr>
      <w:r>
        <w:rPr>
          <w:rFonts w:ascii="宋体" w:hAnsi="宋体" w:cs="宋体" w:eastAsia="宋体" w:hint="default"/>
          <w:spacing w:val="-3"/>
        </w:rPr>
        <w:t>1</w:t>
      </w:r>
      <w:r>
        <w:rPr>
          <w:spacing w:val="-3"/>
        </w:rPr>
        <w:t>、本期新纳入合并范围的子公司、特殊目的主体、通过受托经营或承租等方式形成控制权的经营实体</w:t>
      </w:r>
    </w:p>
    <w:p>
      <w:pPr>
        <w:spacing w:line="240" w:lineRule="auto" w:before="8"/>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928"/>
        <w:gridCol w:w="4605"/>
      </w:tblGrid>
      <w:tr>
        <w:trPr>
          <w:trHeight w:val="437"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变更原因</w:t>
            </w:r>
          </w:p>
        </w:tc>
      </w:tr>
      <w:tr>
        <w:trPr>
          <w:trHeight w:val="437"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湖北楚兴联怡网络技术有限公司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432"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恒联通达信息科技河北有限公司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437"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四川恒联通达信息科技有限公司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432"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湖南时空大数据管理有限公司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437"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left"/>
              <w:rPr>
                <w:rFonts w:ascii="宋体" w:hAnsi="宋体" w:cs="宋体" w:eastAsia="宋体" w:hint="default"/>
                <w:sz w:val="21"/>
                <w:szCs w:val="21"/>
              </w:rPr>
            </w:pPr>
            <w:r>
              <w:rPr>
                <w:rFonts w:ascii="宋体" w:hAnsi="宋体" w:cs="宋体" w:eastAsia="宋体" w:hint="default"/>
                <w:sz w:val="21"/>
                <w:szCs w:val="21"/>
              </w:rPr>
              <w:t>新疆云尚智慧科技有限公司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437"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中电兴发智享科技（成都）有限公司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432"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四川中电兴发云尚科技有限公司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437"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中电兴发工程管理（北京）有限公司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437"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湖南易晟通信网络技术有限公司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hAnsi="宋体" w:cs="宋体" w:eastAsia="宋体" w:hint="default"/>
                <w:sz w:val="21"/>
                <w:szCs w:val="21"/>
              </w:rPr>
              <w:t>非同一控制下购并</w:t>
            </w:r>
          </w:p>
        </w:tc>
      </w:tr>
      <w:tr>
        <w:trPr>
          <w:trHeight w:val="432"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芜湖中电兴发科技有限公司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437"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开封云聚锦尚数据管理有限公司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432"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赫章县融源信息技术有限公司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hAnsi="宋体" w:cs="宋体" w:eastAsia="宋体" w:hint="default"/>
                <w:sz w:val="21"/>
                <w:szCs w:val="21"/>
              </w:rPr>
              <w:t>非同一控制下购并</w:t>
            </w:r>
          </w:p>
        </w:tc>
      </w:tr>
      <w:tr>
        <w:trPr>
          <w:trHeight w:val="437"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left"/>
              <w:rPr>
                <w:rFonts w:ascii="宋体" w:hAnsi="宋体" w:cs="宋体" w:eastAsia="宋体" w:hint="default"/>
                <w:sz w:val="21"/>
                <w:szCs w:val="21"/>
              </w:rPr>
            </w:pPr>
            <w:r>
              <w:rPr>
                <w:rFonts w:ascii="宋体" w:hAnsi="宋体" w:cs="宋体" w:eastAsia="宋体" w:hint="default"/>
                <w:sz w:val="21"/>
                <w:szCs w:val="21"/>
              </w:rPr>
              <w:t>湖南中电兴发科技有限公司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宋体" w:hAnsi="宋体" w:cs="宋体" w:eastAsia="宋体" w:hint="default"/>
                <w:sz w:val="21"/>
                <w:szCs w:val="21"/>
              </w:rPr>
            </w:pPr>
            <w:r>
              <w:rPr>
                <w:rFonts w:ascii="宋体" w:hAnsi="宋体" w:cs="宋体" w:eastAsia="宋体" w:hint="default"/>
                <w:sz w:val="21"/>
                <w:szCs w:val="21"/>
              </w:rPr>
              <w:t>新设成立</w:t>
            </w:r>
          </w:p>
        </w:tc>
      </w:tr>
      <w:tr>
        <w:trPr>
          <w:trHeight w:val="437" w:hRule="exact"/>
        </w:trPr>
        <w:tc>
          <w:tcPr>
            <w:tcW w:w="3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陕西中电兴发智享科技有限公司</w:t>
            </w:r>
          </w:p>
        </w:tc>
        <w:tc>
          <w:tcPr>
            <w:tcW w:w="4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新设成立</w:t>
            </w:r>
          </w:p>
        </w:tc>
      </w:tr>
    </w:tbl>
    <w:p>
      <w:pPr>
        <w:spacing w:line="240" w:lineRule="auto" w:before="10"/>
        <w:rPr>
          <w:rFonts w:ascii="宋体" w:hAnsi="宋体" w:cs="宋体" w:eastAsia="宋体" w:hint="default"/>
          <w:sz w:val="14"/>
          <w:szCs w:val="14"/>
        </w:rPr>
      </w:pPr>
    </w:p>
    <w:p>
      <w:pPr>
        <w:pStyle w:val="BodyText"/>
        <w:spacing w:line="352" w:lineRule="auto"/>
        <w:ind w:right="1119" w:firstLine="201"/>
        <w:jc w:val="left"/>
      </w:pPr>
      <w:r>
        <w:rPr/>
        <w:pict>
          <v:shape style="position:absolute;margin-left:56.183998pt;margin-top:38.083672pt;width:427.75pt;height:66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71"/>
                    <w:gridCol w:w="5162"/>
                  </w:tblGrid>
                  <w:tr>
                    <w:trPr>
                      <w:trHeight w:val="437"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5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 w:right="0"/>
                          <w:jc w:val="center"/>
                          <w:rPr>
                            <w:rFonts w:ascii="宋体" w:hAnsi="宋体" w:cs="宋体" w:eastAsia="宋体" w:hint="default"/>
                            <w:sz w:val="21"/>
                            <w:szCs w:val="21"/>
                          </w:rPr>
                        </w:pPr>
                        <w:r>
                          <w:rPr>
                            <w:rFonts w:ascii="宋体" w:hAnsi="宋体" w:cs="宋体" w:eastAsia="宋体" w:hint="default"/>
                            <w:sz w:val="21"/>
                            <w:szCs w:val="21"/>
                          </w:rPr>
                          <w:t>变更原因</w:t>
                        </w:r>
                      </w:p>
                    </w:tc>
                  </w:tr>
                  <w:tr>
                    <w:trPr>
                      <w:trHeight w:val="432"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亳州鑫龙电气有限公司</w:t>
                        </w:r>
                      </w:p>
                    </w:tc>
                    <w:tc>
                      <w:tcPr>
                        <w:tcW w:w="5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 w:right="0"/>
                          <w:jc w:val="center"/>
                          <w:rPr>
                            <w:rFonts w:ascii="宋体" w:hAnsi="宋体" w:cs="宋体" w:eastAsia="宋体" w:hint="default"/>
                            <w:sz w:val="21"/>
                            <w:szCs w:val="21"/>
                          </w:rPr>
                        </w:pPr>
                        <w:r>
                          <w:rPr>
                            <w:rFonts w:ascii="宋体" w:hAnsi="宋体" w:cs="宋体" w:eastAsia="宋体" w:hint="default"/>
                            <w:sz w:val="21"/>
                            <w:szCs w:val="21"/>
                          </w:rPr>
                          <w:t>注销</w:t>
                        </w:r>
                      </w:p>
                    </w:tc>
                  </w:tr>
                  <w:tr>
                    <w:trPr>
                      <w:trHeight w:val="437" w:hRule="exact"/>
                    </w:trPr>
                    <w:tc>
                      <w:tcPr>
                        <w:tcW w:w="33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安徽杰偌新材料技术有限公司</w:t>
                        </w:r>
                      </w:p>
                    </w:tc>
                    <w:tc>
                      <w:tcPr>
                        <w:tcW w:w="5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 w:right="0"/>
                          <w:jc w:val="center"/>
                          <w:rPr>
                            <w:rFonts w:ascii="宋体" w:hAnsi="宋体" w:cs="宋体" w:eastAsia="宋体" w:hint="default"/>
                            <w:sz w:val="21"/>
                            <w:szCs w:val="21"/>
                          </w:rPr>
                        </w:pPr>
                        <w:r>
                          <w:rPr>
                            <w:rFonts w:ascii="宋体" w:hAnsi="宋体" w:cs="宋体" w:eastAsia="宋体" w:hint="default"/>
                            <w:sz w:val="21"/>
                            <w:szCs w:val="21"/>
                          </w:rPr>
                          <w:t>注销</w:t>
                        </w:r>
                      </w:p>
                    </w:tc>
                  </w:tr>
                </w:tbl>
                <w:p>
                  <w:pPr/>
                </w:p>
              </w:txbxContent>
            </v:textbox>
            <w10:wrap type="none"/>
          </v:shape>
        </w:pict>
      </w:r>
      <w:r>
        <w:rPr>
          <w:rFonts w:ascii="宋体" w:hAnsi="宋体" w:cs="宋体" w:eastAsia="宋体" w:hint="default"/>
        </w:rPr>
        <w:t>2</w:t>
      </w:r>
      <w:r>
        <w:rPr/>
        <w:t>、本期不再纳入合并范围的子公司、特殊目的主体、通过委托经营或出租等方式丧失控制权的经营实</w:t>
      </w:r>
      <w:r>
        <w:rPr>
          <w:w w:val="100"/>
        </w:rPr>
        <w:t> </w:t>
      </w:r>
      <w:r>
        <w:rPr/>
        <w:t>体</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spacing w:line="612" w:lineRule="auto" w:before="0"/>
        <w:ind w:left="113" w:right="1824" w:firstLine="288"/>
        <w:jc w:val="left"/>
        <w:rPr>
          <w:rFonts w:ascii="宋体" w:hAnsi="宋体" w:cs="宋体" w:eastAsia="宋体" w:hint="default"/>
          <w:sz w:val="21"/>
          <w:szCs w:val="21"/>
        </w:rPr>
      </w:pPr>
      <w:r>
        <w:rPr>
          <w:rFonts w:ascii="宋体" w:hAnsi="宋体" w:cs="宋体" w:eastAsia="宋体" w:hint="default"/>
          <w:spacing w:val="-5"/>
          <w:w w:val="100"/>
          <w:sz w:val="21"/>
          <w:szCs w:val="21"/>
        </w:rPr>
        <w:t>合并范围变更主体的具体信息详见审计报告“附注七、合并范围的变更”。</w:t>
      </w:r>
      <w:r>
        <w:rPr>
          <w:rFonts w:ascii="宋体" w:hAnsi="宋体" w:cs="宋体" w:eastAsia="宋体" w:hint="default"/>
          <w:w w:val="100"/>
          <w:sz w:val="21"/>
          <w:szCs w:val="21"/>
        </w:rPr>
        <w:t> </w:t>
      </w:r>
      <w:bookmarkStart w:name="四、财务报表的编制基础" w:id="172"/>
      <w:bookmarkEnd w:id="172"/>
      <w:r>
        <w:rPr>
          <w:rFonts w:ascii="宋体" w:hAnsi="宋体" w:cs="宋体" w:eastAsia="宋体" w:hint="default"/>
          <w:w w:val="100"/>
          <w:sz w:val="21"/>
          <w:szCs w:val="21"/>
        </w:rPr>
      </w:r>
      <w:r>
        <w:rPr>
          <w:rFonts w:ascii="宋体" w:hAnsi="宋体" w:cs="宋体" w:eastAsia="宋体" w:hint="default"/>
          <w:b/>
          <w:bCs/>
          <w:sz w:val="21"/>
          <w:szCs w:val="21"/>
        </w:rPr>
        <w:t>四、财务报表的编制基础</w:t>
      </w:r>
      <w:r>
        <w:rPr>
          <w:rFonts w:ascii="宋体" w:hAnsi="宋体" w:cs="宋体" w:eastAsia="宋体" w:hint="default"/>
          <w:sz w:val="21"/>
          <w:szCs w:val="21"/>
        </w:rPr>
      </w:r>
    </w:p>
    <w:p>
      <w:pPr>
        <w:pStyle w:val="Heading5"/>
        <w:spacing w:line="240" w:lineRule="auto" w:before="95"/>
        <w:ind w:right="1002"/>
        <w:jc w:val="left"/>
        <w:rPr>
          <w:b w:val="0"/>
          <w:bCs w:val="0"/>
        </w:rPr>
      </w:pPr>
      <w:bookmarkStart w:name="1、编制基础" w:id="173"/>
      <w:bookmarkEnd w:id="173"/>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31"/>
          <w:szCs w:val="31"/>
        </w:rPr>
      </w:pPr>
    </w:p>
    <w:p>
      <w:pPr>
        <w:pStyle w:val="BodyText"/>
        <w:spacing w:line="340" w:lineRule="auto" w:before="0"/>
        <w:ind w:right="1122" w:firstLine="360"/>
        <w:jc w:val="both"/>
      </w:pPr>
      <w:r>
        <w:rPr>
          <w:spacing w:val="-1"/>
        </w:rPr>
        <w:t>本公司根据实际发生的交易和事项，按照财政部颁布的《企业会计准则——基本准则》和具体企业会</w:t>
      </w:r>
      <w:r>
        <w:rPr>
          <w:w w:val="100"/>
        </w:rPr>
        <w:t> </w:t>
      </w:r>
      <w:r>
        <w:rPr>
          <w:spacing w:val="-2"/>
        </w:rPr>
        <w:t>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w:t>
      </w:r>
      <w:r>
        <w:rPr>
          <w:spacing w:val="-9"/>
        </w:rPr>
        <w:t> </w:t>
      </w:r>
      <w:r>
        <w:rPr>
          <w:spacing w:val="-9"/>
        </w:rPr>
      </w:r>
      <w:r>
        <w:rPr>
          <w:spacing w:val="-2"/>
        </w:rPr>
        <w:t>认和计量，在此基础上，结合中国证券监督管理委员会《公开发行证券的公司信息披露编报规则第</w:t>
      </w:r>
      <w:r>
        <w:rPr>
          <w:rFonts w:ascii="宋体" w:hAnsi="宋体" w:cs="宋体" w:eastAsia="宋体" w:hint="default"/>
          <w:spacing w:val="-2"/>
        </w:rPr>
        <w:t>15</w:t>
      </w:r>
      <w:r>
        <w:rPr>
          <w:spacing w:val="-2"/>
        </w:rPr>
        <w:t>号—</w:t>
      </w:r>
    </w:p>
    <w:p>
      <w:pPr>
        <w:pStyle w:val="BodyText"/>
        <w:spacing w:line="240" w:lineRule="auto"/>
        <w:ind w:right="1002"/>
        <w:jc w:val="left"/>
      </w:pPr>
      <w:r>
        <w:rPr>
          <w:w w:val="100"/>
        </w:rPr>
        <w:t>—财务报</w:t>
      </w:r>
      <w:r>
        <w:rPr>
          <w:spacing w:val="-5"/>
          <w:w w:val="100"/>
        </w:rPr>
        <w:t>告</w:t>
      </w:r>
      <w:r>
        <w:rPr>
          <w:w w:val="100"/>
        </w:rPr>
        <w:t>的一般</w:t>
      </w:r>
      <w:r>
        <w:rPr>
          <w:spacing w:val="-5"/>
          <w:w w:val="100"/>
        </w:rPr>
        <w:t>规</w:t>
      </w:r>
      <w:r>
        <w:rPr>
          <w:w w:val="100"/>
        </w:rPr>
        <w:t>定</w:t>
      </w:r>
      <w:r>
        <w:rPr>
          <w:spacing w:val="-106"/>
          <w:w w:val="100"/>
        </w:rPr>
        <w:t>》</w:t>
      </w:r>
      <w:r>
        <w:rPr>
          <w:spacing w:val="1"/>
          <w:w w:val="100"/>
        </w:rPr>
        <w:t>（</w:t>
      </w:r>
      <w:r>
        <w:rPr>
          <w:rFonts w:ascii="宋体" w:hAnsi="宋体" w:cs="宋体" w:eastAsia="宋体" w:hint="default"/>
          <w:w w:val="100"/>
        </w:rPr>
        <w:t>201</w:t>
      </w:r>
      <w:r>
        <w:rPr>
          <w:rFonts w:ascii="宋体" w:hAnsi="宋体" w:cs="宋体" w:eastAsia="宋体" w:hint="default"/>
          <w:spacing w:val="-5"/>
          <w:w w:val="100"/>
        </w:rPr>
        <w:t>4</w:t>
      </w:r>
      <w:r>
        <w:rPr>
          <w:w w:val="100"/>
        </w:rPr>
        <w:t>年修订</w:t>
      </w:r>
      <w:r>
        <w:rPr>
          <w:spacing w:val="-5"/>
          <w:w w:val="100"/>
        </w:rPr>
        <w:t>）</w:t>
      </w:r>
      <w:r>
        <w:rPr>
          <w:w w:val="100"/>
        </w:rPr>
        <w:t>的规</w:t>
      </w:r>
      <w:r>
        <w:rPr>
          <w:spacing w:val="-5"/>
          <w:w w:val="100"/>
        </w:rPr>
        <w:t>定</w:t>
      </w:r>
      <w:r>
        <w:rPr>
          <w:w w:val="100"/>
        </w:rPr>
        <w:t>，</w:t>
      </w:r>
      <w:r>
        <w:rPr>
          <w:spacing w:val="-5"/>
          <w:w w:val="100"/>
        </w:rPr>
        <w:t>编</w:t>
      </w:r>
      <w:r>
        <w:rPr>
          <w:w w:val="100"/>
        </w:rPr>
        <w:t>制财务报</w:t>
      </w:r>
      <w:r>
        <w:rPr>
          <w:spacing w:val="-5"/>
          <w:w w:val="100"/>
        </w:rPr>
        <w:t>表</w:t>
      </w:r>
      <w:r>
        <w:rPr>
          <w:w w:val="100"/>
        </w:rPr>
        <w:t>。</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Heading5"/>
        <w:spacing w:line="240" w:lineRule="auto" w:before="36"/>
        <w:ind w:right="1002"/>
        <w:jc w:val="left"/>
        <w:rPr>
          <w:b w:val="0"/>
          <w:bCs w:val="0"/>
        </w:rPr>
      </w:pPr>
      <w:bookmarkStart w:name="2、持续经营" w:id="174"/>
      <w:bookmarkEnd w:id="174"/>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31"/>
          <w:szCs w:val="31"/>
        </w:rPr>
      </w:pPr>
    </w:p>
    <w:p>
      <w:pPr>
        <w:pStyle w:val="BodyText"/>
        <w:spacing w:line="348" w:lineRule="auto" w:before="0"/>
        <w:ind w:right="1002" w:firstLine="360"/>
        <w:jc w:val="left"/>
      </w:pPr>
      <w:r>
        <w:rPr>
          <w:spacing w:val="-1"/>
        </w:rPr>
        <w:t>本公司对报告期末起</w:t>
      </w:r>
      <w:r>
        <w:rPr>
          <w:rFonts w:ascii="宋体" w:hAnsi="宋体" w:cs="宋体" w:eastAsia="宋体" w:hint="default"/>
          <w:spacing w:val="-1"/>
        </w:rPr>
        <w:t>12</w:t>
      </w:r>
      <w:r>
        <w:rPr>
          <w:spacing w:val="-1"/>
        </w:rPr>
        <w:t>个月的持续经营能力进行了评价，未发现对持续经营能力产生重大怀疑的事项</w:t>
      </w:r>
      <w:r>
        <w:rPr>
          <w:w w:val="100"/>
        </w:rPr>
        <w:t> </w:t>
      </w:r>
      <w:r>
        <w:rPr/>
        <w:t>或情况。因此，本财务报表系在持续经营假设的基础上编制。</w:t>
      </w:r>
    </w:p>
    <w:p>
      <w:pPr>
        <w:spacing w:line="240" w:lineRule="auto" w:before="4"/>
        <w:rPr>
          <w:rFonts w:ascii="宋体" w:hAnsi="宋体" w:cs="宋体" w:eastAsia="宋体" w:hint="default"/>
          <w:sz w:val="25"/>
          <w:szCs w:val="25"/>
        </w:rPr>
      </w:pPr>
    </w:p>
    <w:p>
      <w:pPr>
        <w:spacing w:line="612" w:lineRule="auto" w:before="0"/>
        <w:ind w:left="113" w:right="5730" w:firstLine="0"/>
        <w:jc w:val="left"/>
        <w:rPr>
          <w:rFonts w:ascii="宋体" w:hAnsi="宋体" w:cs="宋体" w:eastAsia="宋体" w:hint="default"/>
          <w:sz w:val="21"/>
          <w:szCs w:val="21"/>
        </w:rPr>
      </w:pPr>
      <w:bookmarkStart w:name="五、重要会计政策及会计估计" w:id="175"/>
      <w:bookmarkEnd w:id="175"/>
      <w:r>
        <w:rPr/>
      </w:r>
      <w:r>
        <w:rPr>
          <w:rFonts w:ascii="宋体" w:hAnsi="宋体" w:cs="宋体" w:eastAsia="宋体" w:hint="default"/>
          <w:b/>
          <w:bCs/>
          <w:sz w:val="21"/>
          <w:szCs w:val="21"/>
        </w:rPr>
        <w:t>五、重要会计政策及会计估计</w:t>
      </w:r>
      <w:r>
        <w:rPr>
          <w:rFonts w:ascii="宋体" w:hAnsi="宋体" w:cs="宋体" w:eastAsia="宋体" w:hint="default"/>
          <w:b/>
          <w:bCs/>
          <w:spacing w:val="-101"/>
          <w:sz w:val="21"/>
          <w:szCs w:val="21"/>
        </w:rPr>
        <w:t> </w:t>
      </w:r>
      <w:r>
        <w:rPr>
          <w:rFonts w:ascii="宋体" w:hAnsi="宋体" w:cs="宋体" w:eastAsia="宋体" w:hint="default"/>
          <w:spacing w:val="-2"/>
          <w:sz w:val="21"/>
          <w:szCs w:val="21"/>
        </w:rPr>
        <w:t>具体会计政策和会计估计提示：</w:t>
      </w:r>
      <w:r>
        <w:rPr>
          <w:rFonts w:ascii="宋体" w:hAnsi="宋体" w:cs="宋体" w:eastAsia="宋体" w:hint="default"/>
          <w:spacing w:val="-76"/>
          <w:sz w:val="21"/>
          <w:szCs w:val="21"/>
        </w:rPr>
        <w:t> </w:t>
      </w:r>
      <w:r>
        <w:rPr>
          <w:rFonts w:ascii="宋体" w:hAnsi="宋体" w:cs="宋体" w:eastAsia="宋体" w:hint="default"/>
          <w:spacing w:val="-76"/>
          <w:sz w:val="21"/>
          <w:szCs w:val="21"/>
        </w:rPr>
      </w:r>
      <w:bookmarkStart w:name="1、遵循企业会计准则的声明" w:id="176"/>
      <w:bookmarkEnd w:id="176"/>
      <w:r>
        <w:rPr>
          <w:rFonts w:ascii="宋体" w:hAnsi="宋体" w:cs="宋体" w:eastAsia="宋体" w:hint="default"/>
          <w:spacing w:val="-76"/>
          <w:sz w:val="21"/>
          <w:szCs w:val="21"/>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pStyle w:val="BodyText"/>
        <w:spacing w:line="348" w:lineRule="auto" w:before="49"/>
        <w:ind w:right="1002" w:firstLine="360"/>
        <w:jc w:val="left"/>
      </w:pPr>
      <w:r>
        <w:rPr>
          <w:spacing w:val="-1"/>
        </w:rPr>
        <w:t>本公司所编制的财务报表符合企业会计准则的要求，真实、完整地反映了报告期公司的财务状况、经</w:t>
      </w:r>
      <w:r>
        <w:rPr>
          <w:w w:val="100"/>
        </w:rPr>
        <w:t> </w:t>
      </w:r>
      <w:r>
        <w:rPr/>
        <w:t>营成果、现金流量等有关信息。</w:t>
      </w:r>
    </w:p>
    <w:p>
      <w:pPr>
        <w:spacing w:line="240" w:lineRule="auto" w:before="13"/>
        <w:rPr>
          <w:rFonts w:ascii="宋体" w:hAnsi="宋体" w:cs="宋体" w:eastAsia="宋体" w:hint="default"/>
          <w:sz w:val="24"/>
          <w:szCs w:val="24"/>
        </w:rPr>
      </w:pPr>
    </w:p>
    <w:p>
      <w:pPr>
        <w:pStyle w:val="Heading5"/>
        <w:spacing w:line="240" w:lineRule="auto"/>
        <w:ind w:right="1002"/>
        <w:jc w:val="left"/>
        <w:rPr>
          <w:b w:val="0"/>
          <w:bCs w:val="0"/>
        </w:rPr>
      </w:pPr>
      <w:bookmarkStart w:name="2、会计期间" w:id="177"/>
      <w:bookmarkEnd w:id="177"/>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31"/>
          <w:szCs w:val="31"/>
        </w:rPr>
      </w:pPr>
    </w:p>
    <w:p>
      <w:pPr>
        <w:pStyle w:val="BodyText"/>
        <w:spacing w:line="240" w:lineRule="auto" w:before="0"/>
        <w:ind w:left="473" w:right="1002"/>
        <w:jc w:val="left"/>
      </w:pPr>
      <w:r>
        <w:rPr/>
        <w:t>自公历</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20"/>
          <w:szCs w:val="20"/>
        </w:rPr>
      </w:pPr>
    </w:p>
    <w:p>
      <w:pPr>
        <w:pStyle w:val="Heading5"/>
        <w:spacing w:line="240" w:lineRule="auto" w:before="160"/>
        <w:ind w:right="1002"/>
        <w:jc w:val="left"/>
        <w:rPr>
          <w:b w:val="0"/>
          <w:bCs w:val="0"/>
        </w:rPr>
      </w:pPr>
      <w:bookmarkStart w:name="3、营业周期" w:id="178"/>
      <w:bookmarkEnd w:id="178"/>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31"/>
          <w:szCs w:val="31"/>
        </w:rPr>
      </w:pPr>
    </w:p>
    <w:p>
      <w:pPr>
        <w:pStyle w:val="BodyText"/>
        <w:spacing w:line="240" w:lineRule="auto" w:before="0"/>
        <w:ind w:left="535" w:right="1002"/>
        <w:jc w:val="left"/>
      </w:pPr>
      <w:r>
        <w:rPr/>
        <w:t>本公司以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5"/>
        <w:rPr>
          <w:rFonts w:ascii="宋体" w:hAnsi="宋体" w:cs="宋体" w:eastAsia="宋体" w:hint="default"/>
          <w:sz w:val="31"/>
          <w:szCs w:val="31"/>
        </w:rPr>
      </w:pPr>
    </w:p>
    <w:p>
      <w:pPr>
        <w:spacing w:line="578" w:lineRule="auto" w:before="0"/>
        <w:ind w:left="473" w:right="7883" w:hanging="360"/>
        <w:jc w:val="left"/>
        <w:rPr>
          <w:rFonts w:ascii="宋体" w:hAnsi="宋体" w:cs="宋体" w:eastAsia="宋体" w:hint="default"/>
          <w:sz w:val="21"/>
          <w:szCs w:val="21"/>
        </w:rPr>
      </w:pPr>
      <w:bookmarkStart w:name="4、记账本位币" w:id="179"/>
      <w:bookmarkEnd w:id="17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1"/>
          <w:sz w:val="21"/>
          <w:szCs w:val="21"/>
        </w:rPr>
        <w:t>采用人民币为记账本位币。</w:t>
      </w:r>
    </w:p>
    <w:p>
      <w:pPr>
        <w:pStyle w:val="Heading5"/>
        <w:spacing w:line="240" w:lineRule="auto" w:before="125"/>
        <w:ind w:right="1002"/>
        <w:jc w:val="left"/>
        <w:rPr>
          <w:b w:val="0"/>
          <w:bCs w:val="0"/>
        </w:rPr>
      </w:pPr>
      <w:bookmarkStart w:name="5、同一控制下和非同一控制下企业合并的会计处理方法" w:id="180"/>
      <w:bookmarkEnd w:id="180"/>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31"/>
          <w:szCs w:val="31"/>
        </w:rPr>
      </w:pPr>
    </w:p>
    <w:p>
      <w:pPr>
        <w:pStyle w:val="Heading5"/>
        <w:spacing w:line="348" w:lineRule="auto"/>
        <w:ind w:left="473" w:right="1002"/>
        <w:jc w:val="left"/>
        <w:rPr>
          <w:b w:val="0"/>
          <w:bCs w:val="0"/>
        </w:rPr>
      </w:pPr>
      <w:r>
        <w:rPr>
          <w:rFonts w:ascii="宋体" w:hAnsi="宋体" w:cs="宋体" w:eastAsia="宋体" w:hint="default"/>
          <w:spacing w:val="-3"/>
        </w:rPr>
        <w:t>1</w:t>
      </w:r>
      <w:r>
        <w:rPr>
          <w:spacing w:val="-3"/>
        </w:rPr>
        <w:t>、分步实现企业合并过程中的各项交易的条款、条件以及经济影响符合以下一种或多种情况，将多次</w:t>
      </w:r>
      <w:r>
        <w:rPr>
          <w:spacing w:val="-77"/>
        </w:rPr>
        <w:t> </w:t>
      </w:r>
      <w:r>
        <w:rPr>
          <w:spacing w:val="-77"/>
        </w:rPr>
      </w:r>
      <w:r>
        <w:rPr/>
        <w:t>交易事项作为一揽子交易进行会计处理</w:t>
      </w:r>
      <w:r>
        <w:rPr>
          <w:b w:val="0"/>
          <w:bCs w:val="0"/>
        </w:rPr>
      </w:r>
    </w:p>
    <w:p>
      <w:pPr>
        <w:pStyle w:val="BodyText"/>
        <w:spacing w:line="240" w:lineRule="auto" w:before="29"/>
        <w:ind w:left="473" w:right="1002"/>
        <w:jc w:val="left"/>
      </w:pPr>
      <w:r>
        <w:rPr/>
        <w:t>（</w:t>
      </w:r>
      <w:r>
        <w:rPr>
          <w:rFonts w:ascii="宋体" w:hAnsi="宋体" w:cs="宋体" w:eastAsia="宋体" w:hint="default"/>
        </w:rPr>
        <w:t>1</w:t>
      </w:r>
      <w:r>
        <w:rPr/>
        <w:t>）这些交易是同时或者在考虑了彼此影响的情况下订立的；</w:t>
      </w:r>
    </w:p>
    <w:p>
      <w:pPr>
        <w:pStyle w:val="BodyText"/>
        <w:spacing w:line="240" w:lineRule="auto" w:before="128"/>
        <w:ind w:left="473" w:right="1002"/>
        <w:jc w:val="left"/>
      </w:pPr>
      <w:r>
        <w:rPr/>
        <w:t>（</w:t>
      </w:r>
      <w:r>
        <w:rPr>
          <w:rFonts w:ascii="宋体" w:hAnsi="宋体" w:cs="宋体" w:eastAsia="宋体" w:hint="default"/>
        </w:rPr>
        <w:t>2</w:t>
      </w:r>
      <w:r>
        <w:rPr/>
        <w:t>）这些交易整体才能达成一项完整的商业结果；</w:t>
      </w:r>
    </w:p>
    <w:p>
      <w:pPr>
        <w:pStyle w:val="BodyText"/>
        <w:spacing w:line="240" w:lineRule="auto" w:before="123"/>
        <w:ind w:left="473" w:right="1002"/>
        <w:jc w:val="left"/>
      </w:pPr>
      <w:r>
        <w:rPr/>
        <w:t>（</w:t>
      </w:r>
      <w:r>
        <w:rPr>
          <w:rFonts w:ascii="宋体" w:hAnsi="宋体" w:cs="宋体" w:eastAsia="宋体" w:hint="default"/>
        </w:rPr>
        <w:t>3</w:t>
      </w:r>
      <w:r>
        <w:rPr/>
        <w:t>）一项交易的发生取决于其他至少一项交易的发生；</w:t>
      </w:r>
    </w:p>
    <w:p>
      <w:pPr>
        <w:spacing w:line="352" w:lineRule="auto" w:before="123"/>
        <w:ind w:left="473" w:right="1824" w:firstLine="0"/>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4</w:t>
      </w:r>
      <w:r>
        <w:rPr>
          <w:rFonts w:ascii="宋体" w:hAnsi="宋体" w:cs="宋体" w:eastAsia="宋体" w:hint="default"/>
          <w:spacing w:val="-2"/>
          <w:sz w:val="21"/>
          <w:szCs w:val="21"/>
        </w:rPr>
        <w:t>）一项交易单独看是不经济的，但是和其他交易一并考虑时是经济的。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、同一控制下的企业合并</w:t>
      </w:r>
      <w:r>
        <w:rPr>
          <w:rFonts w:ascii="宋体" w:hAnsi="宋体" w:cs="宋体" w:eastAsia="宋体" w:hint="default"/>
          <w:sz w:val="21"/>
          <w:szCs w:val="21"/>
        </w:rPr>
      </w:r>
    </w:p>
    <w:p>
      <w:pPr>
        <w:pStyle w:val="BodyText"/>
        <w:spacing w:line="350" w:lineRule="auto" w:before="25"/>
        <w:ind w:right="1125" w:firstLine="360"/>
        <w:jc w:val="both"/>
      </w:pPr>
      <w:r>
        <w:rPr>
          <w:spacing w:val="-1"/>
        </w:rPr>
        <w:t>本公司在企业合并中取得的资产和负债，按照合并日在被合并方资产、负债（包括最终控制方收购被</w:t>
      </w:r>
      <w:r>
        <w:rPr>
          <w:w w:val="100"/>
        </w:rPr>
        <w:t> </w:t>
      </w:r>
      <w:r>
        <w:rPr>
          <w:spacing w:val="-2"/>
        </w:rPr>
        <w:t>合并方而形成的商誉）在最终控制方合并财务报表中的账面价值计量。在合并中取得的净资产账面价值与</w:t>
      </w:r>
      <w:r>
        <w:rPr>
          <w:spacing w:val="-33"/>
        </w:rPr>
        <w:t> </w:t>
      </w:r>
      <w:r>
        <w:rPr>
          <w:spacing w:val="-33"/>
        </w:rPr>
      </w:r>
      <w:r>
        <w:rPr>
          <w:spacing w:val="-2"/>
        </w:rPr>
        <w:t>支付的合并对价账面价值（或发行股份面值总额）的差额，调整资本公积中的股本溢价，资本公积中的股</w:t>
      </w:r>
    </w:p>
    <w:p>
      <w:pPr>
        <w:spacing w:after="0" w:line="35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left="473" w:right="1002" w:hanging="360"/>
        <w:jc w:val="left"/>
      </w:pPr>
      <w:r>
        <w:rPr/>
        <w:t>本溢价不足冲减的，调整留存收益。</w:t>
      </w:r>
      <w:r>
        <w:rPr>
          <w:spacing w:val="-101"/>
        </w:rPr>
        <w:t> </w:t>
      </w:r>
      <w:r>
        <w:rPr>
          <w:spacing w:val="-101"/>
        </w:rPr>
      </w:r>
      <w:r>
        <w:rPr>
          <w:spacing w:val="-1"/>
        </w:rPr>
        <w:t>如果存在或有对价并需要确认预计负债或资产，该预计负债或资产金额与后续或有对价结算金额的差</w:t>
      </w:r>
    </w:p>
    <w:p>
      <w:pPr>
        <w:pStyle w:val="BodyText"/>
        <w:spacing w:line="348" w:lineRule="auto" w:before="34"/>
        <w:ind w:left="473" w:right="1002" w:hanging="360"/>
        <w:jc w:val="left"/>
      </w:pPr>
      <w:r>
        <w:rPr>
          <w:spacing w:val="-5"/>
          <w:w w:val="100"/>
        </w:rPr>
        <w:t>额，调整资本公积（资本溢价或股本溢价），资本公积不足的，调整留存收益。</w:t>
      </w:r>
      <w:r>
        <w:rPr>
          <w:spacing w:val="-76"/>
          <w:w w:val="100"/>
        </w:rPr>
        <w:t> </w:t>
      </w:r>
      <w:r>
        <w:rPr>
          <w:spacing w:val="-76"/>
          <w:w w:val="100"/>
        </w:rPr>
      </w:r>
      <w:r>
        <w:rPr>
          <w:spacing w:val="-1"/>
        </w:rPr>
        <w:t>对于通过多次交易最终实现企业合并的，属于一揽子交易的，将各项交易作为一项取得控制权的交易</w:t>
      </w:r>
    </w:p>
    <w:p>
      <w:pPr>
        <w:pStyle w:val="BodyText"/>
        <w:spacing w:line="350" w:lineRule="auto" w:before="29"/>
        <w:ind w:right="1105"/>
        <w:jc w:val="both"/>
      </w:pPr>
      <w:r>
        <w:rPr>
          <w:spacing w:val="-2"/>
        </w:rPr>
        <w:t>进行会计处理；不属于一揽子交易的，在取得控制权日，长期股权投资初始投资成本，与达到合并前的长</w:t>
      </w:r>
      <w:r>
        <w:rPr>
          <w:spacing w:val="-33"/>
        </w:rPr>
        <w:t> </w:t>
      </w:r>
      <w:r>
        <w:rPr>
          <w:spacing w:val="-33"/>
        </w:rPr>
      </w:r>
      <w:r>
        <w:rPr>
          <w:spacing w:val="-2"/>
        </w:rPr>
        <w:t>期股权投资账面价值加上合并日进一步取得股份新支付对价的账面价值之和的差额，调整资本公积；资本</w:t>
      </w:r>
      <w:r>
        <w:rPr>
          <w:spacing w:val="-33"/>
        </w:rPr>
        <w:t> </w:t>
      </w:r>
      <w:r>
        <w:rPr>
          <w:spacing w:val="-33"/>
        </w:rPr>
      </w:r>
      <w:r>
        <w:rPr>
          <w:spacing w:val="-2"/>
        </w:rPr>
        <w:t>公积不足冲减的，调整留存收益。对于合并日之前持有的股权投资，因采用权益法核算或金融工具确认和</w:t>
      </w:r>
      <w:r>
        <w:rPr>
          <w:spacing w:val="-33"/>
        </w:rPr>
        <w:t> </w:t>
      </w:r>
      <w:r>
        <w:rPr>
          <w:spacing w:val="-33"/>
        </w:rPr>
      </w:r>
      <w:r>
        <w:rPr>
          <w:spacing w:val="-2"/>
        </w:rPr>
        <w:t>计量准则核算而确认的其他综合收益，暂不进行会计处理，直至处置该项投资时采用与被投资单位直接处</w:t>
      </w:r>
      <w:r>
        <w:rPr>
          <w:spacing w:val="-33"/>
        </w:rPr>
        <w:t> </w:t>
      </w:r>
      <w:r>
        <w:rPr>
          <w:spacing w:val="-33"/>
        </w:rPr>
      </w:r>
      <w:r>
        <w:rPr>
          <w:spacing w:val="-2"/>
        </w:rPr>
        <w:t>置相关资产或负债相同的基础进行会计处理；因采用权益法核算而确认的被投资单位净资产中除净损益、</w:t>
      </w:r>
      <w:r>
        <w:rPr>
          <w:spacing w:val="-12"/>
        </w:rPr>
        <w:t> </w:t>
      </w:r>
      <w:r>
        <w:rPr>
          <w:spacing w:val="-12"/>
        </w:rPr>
      </w:r>
      <w:r>
        <w:rPr>
          <w:spacing w:val="-2"/>
        </w:rPr>
        <w:t>其他综合收益和利润分配以外的所有者权益其他变动，暂不进行会计处理，直至处置该项投资时转入当期</w:t>
      </w:r>
      <w:r>
        <w:rPr>
          <w:spacing w:val="-33"/>
        </w:rPr>
        <w:t> </w:t>
      </w:r>
      <w:r>
        <w:rPr>
          <w:spacing w:val="-33"/>
        </w:rPr>
      </w:r>
      <w:r>
        <w:rPr/>
        <w:t>损益。</w:t>
      </w:r>
    </w:p>
    <w:p>
      <w:pPr>
        <w:spacing w:line="348" w:lineRule="auto" w:before="32"/>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spacing w:val="-102"/>
          <w:sz w:val="21"/>
          <w:szCs w:val="21"/>
        </w:rPr>
        <w:t> </w:t>
      </w:r>
      <w:r>
        <w:rPr>
          <w:rFonts w:ascii="宋体" w:hAnsi="宋体" w:cs="宋体" w:eastAsia="宋体" w:hint="default"/>
          <w:spacing w:val="-1"/>
          <w:sz w:val="21"/>
          <w:szCs w:val="21"/>
        </w:rPr>
        <w:t>购买日是指本公司实际取得对被购买方控制权的日期，即被购买方的净资产或生产经营决策的控制权</w:t>
      </w:r>
    </w:p>
    <w:p>
      <w:pPr>
        <w:pStyle w:val="BodyText"/>
        <w:spacing w:line="240" w:lineRule="auto" w:before="29"/>
        <w:ind w:right="1002"/>
        <w:jc w:val="left"/>
      </w:pPr>
      <w:r>
        <w:rPr/>
        <w:t>转移给本公司的日期。同时满足下列条件时，本公司一般认为实现了控制权的转移：</w:t>
      </w:r>
    </w:p>
    <w:p>
      <w:pPr>
        <w:pStyle w:val="BodyText"/>
        <w:spacing w:line="240" w:lineRule="auto" w:before="128"/>
        <w:ind w:left="473" w:right="1002"/>
        <w:jc w:val="left"/>
      </w:pPr>
      <w:r>
        <w:rPr/>
        <w:t>①企业合并合同或协议已获本公司内部权力机构通过。</w:t>
      </w:r>
    </w:p>
    <w:p>
      <w:pPr>
        <w:pStyle w:val="BodyText"/>
        <w:spacing w:line="240" w:lineRule="auto" w:before="124"/>
        <w:ind w:left="473" w:right="1002"/>
        <w:jc w:val="left"/>
      </w:pPr>
      <w:r>
        <w:rPr/>
        <w:t>②企业合并事项需要经过国家有关主管部门审批的，已获得批准。</w:t>
      </w:r>
    </w:p>
    <w:p>
      <w:pPr>
        <w:pStyle w:val="BodyText"/>
        <w:spacing w:line="240" w:lineRule="auto" w:before="123"/>
        <w:ind w:left="473" w:right="1002"/>
        <w:jc w:val="left"/>
      </w:pPr>
      <w:r>
        <w:rPr/>
        <w:t>③已办理了必要的财产权转移手续。</w:t>
      </w:r>
    </w:p>
    <w:p>
      <w:pPr>
        <w:pStyle w:val="BodyText"/>
        <w:spacing w:line="240" w:lineRule="auto" w:before="128"/>
        <w:ind w:left="473" w:right="1002"/>
        <w:jc w:val="left"/>
      </w:pPr>
      <w:r>
        <w:rPr/>
        <w:t>④本公司已支付了合并价款的大部分，并且有能力、有计划支付剩余款项。</w:t>
      </w:r>
    </w:p>
    <w:p>
      <w:pPr>
        <w:pStyle w:val="BodyText"/>
        <w:spacing w:line="348" w:lineRule="auto" w:before="123"/>
        <w:ind w:left="473" w:right="1002"/>
        <w:jc w:val="left"/>
      </w:pPr>
      <w:r>
        <w:rPr/>
        <w:t>⑤本公司实际上已经控制了被购买方的财务和经营政策，并享有相应的利益、承担相应的风险。</w:t>
      </w:r>
      <w:r>
        <w:rPr>
          <w:w w:val="100"/>
        </w:rPr>
        <w:t> </w:t>
      </w:r>
      <w:r>
        <w:rPr>
          <w:spacing w:val="-1"/>
        </w:rPr>
        <w:t>本公司在购买日对作为企业合并对价付出的资产、发生或承担的负债按照公允价值计量，公允价值与</w:t>
      </w:r>
    </w:p>
    <w:p>
      <w:pPr>
        <w:pStyle w:val="BodyText"/>
        <w:spacing w:line="348" w:lineRule="auto" w:before="34"/>
        <w:ind w:left="473" w:right="1002" w:hanging="360"/>
        <w:jc w:val="left"/>
      </w:pPr>
      <w:r>
        <w:rPr/>
        <w:t>其账面价值的差额，计入当期损益。</w:t>
      </w:r>
      <w:r>
        <w:rPr>
          <w:spacing w:val="-101"/>
        </w:rPr>
        <w:t> </w:t>
      </w:r>
      <w:r>
        <w:rPr>
          <w:spacing w:val="-101"/>
        </w:rPr>
      </w:r>
      <w:r>
        <w:rPr>
          <w:spacing w:val="-1"/>
        </w:rPr>
        <w:t>本公司对合并成本大于合并中取得的被购买方可辨认净资产公允价值份额的差额，确认为商誉；合并</w:t>
      </w:r>
    </w:p>
    <w:p>
      <w:pPr>
        <w:pStyle w:val="BodyText"/>
        <w:spacing w:line="352" w:lineRule="auto" w:before="29"/>
        <w:ind w:left="473" w:right="1002" w:hanging="360"/>
        <w:jc w:val="left"/>
      </w:pPr>
      <w:r>
        <w:rPr/>
        <w:t>成本小于合并中取得的被购买方可辨认净资产公允价值份额的差额，经复核后，计入当期损益。</w:t>
      </w:r>
      <w:r>
        <w:rPr>
          <w:w w:val="100"/>
        </w:rPr>
        <w:t> </w:t>
      </w:r>
      <w:r>
        <w:rPr>
          <w:spacing w:val="-1"/>
        </w:rPr>
        <w:t>通过多次交换交易分步实现的非同一控制下企业合并，属于一揽子交易的，将各项交易作为一项取得</w:t>
      </w:r>
    </w:p>
    <w:p>
      <w:pPr>
        <w:pStyle w:val="BodyText"/>
        <w:spacing w:line="350" w:lineRule="auto" w:before="25"/>
        <w:ind w:right="1124"/>
        <w:jc w:val="both"/>
      </w:pPr>
      <w:r>
        <w:rPr>
          <w:spacing w:val="-2"/>
        </w:rPr>
        <w:t>控制权的交易进行会计处理；不属于一揽子交易的，合并日之前持有的股权投资采用权益法核算的，以购</w:t>
      </w:r>
      <w:r>
        <w:rPr>
          <w:spacing w:val="-33"/>
        </w:rPr>
        <w:t> </w:t>
      </w:r>
      <w:r>
        <w:rPr>
          <w:spacing w:val="-33"/>
        </w:rPr>
      </w:r>
      <w:r>
        <w:rPr/>
        <w:t>买日之前所持被购买方的股权投资的账面价值与购买日新增投资成本之和，作为该项投资的初始投资成</w:t>
      </w:r>
      <w:r>
        <w:rPr>
          <w:spacing w:val="60"/>
        </w:rPr>
        <w:t> </w:t>
      </w:r>
      <w:r>
        <w:rPr>
          <w:spacing w:val="60"/>
        </w:rPr>
      </w:r>
      <w:r>
        <w:rPr>
          <w:spacing w:val="-2"/>
        </w:rPr>
        <w:t>本；购买日之前持有的股权投资因采用权益法核算而确认的其他综合收益，在处置该项投资时采用与被投</w:t>
      </w:r>
      <w:r>
        <w:rPr>
          <w:spacing w:val="-33"/>
        </w:rPr>
        <w:t> </w:t>
      </w:r>
      <w:r>
        <w:rPr>
          <w:spacing w:val="-33"/>
        </w:rPr>
      </w:r>
      <w:r>
        <w:rPr>
          <w:spacing w:val="-2"/>
        </w:rPr>
        <w:t>资单位直接处置相关资产或负债相同的基础进行会计处理。合并日之前持有的股权投资采用金融工具确认</w:t>
      </w:r>
      <w:r>
        <w:rPr>
          <w:spacing w:val="-33"/>
        </w:rPr>
        <w:t> </w:t>
      </w:r>
      <w:r>
        <w:rPr>
          <w:spacing w:val="-33"/>
        </w:rPr>
      </w:r>
      <w:r>
        <w:rPr>
          <w:spacing w:val="-2"/>
        </w:rPr>
        <w:t>和计量准则核算的，以该股权投资在合并日的公允价值加上新增投资成本之和，作为合并日的初始投资成</w:t>
      </w:r>
      <w:r>
        <w:rPr>
          <w:spacing w:val="-33"/>
        </w:rPr>
        <w:t> </w:t>
      </w:r>
      <w:r>
        <w:rPr>
          <w:spacing w:val="-33"/>
        </w:rPr>
      </w:r>
      <w:r>
        <w:rPr>
          <w:spacing w:val="-2"/>
        </w:rPr>
        <w:t>本。原持有股权的公允价值与账面价值之间的差额以及原计入其他综合收益的累计公允价值变动应全部转</w:t>
      </w:r>
      <w:r>
        <w:rPr>
          <w:spacing w:val="-32"/>
        </w:rPr>
        <w:t> </w:t>
      </w:r>
      <w:r>
        <w:rPr>
          <w:spacing w:val="-32"/>
        </w:rPr>
      </w:r>
      <w:r>
        <w:rPr/>
        <w:t>入合并日当期的投资收益。</w:t>
      </w:r>
    </w:p>
    <w:p>
      <w:pPr>
        <w:spacing w:line="352" w:lineRule="auto" w:before="27"/>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、为合并发生的相关费用</w:t>
      </w:r>
      <w:r>
        <w:rPr>
          <w:rFonts w:ascii="宋体" w:hAnsi="宋体" w:cs="宋体" w:eastAsia="宋体" w:hint="default"/>
          <w:b/>
          <w:bCs/>
          <w:spacing w:val="-102"/>
          <w:sz w:val="21"/>
          <w:szCs w:val="21"/>
        </w:rPr>
        <w:t> </w:t>
      </w:r>
      <w:r>
        <w:rPr>
          <w:rFonts w:ascii="宋体" w:hAnsi="宋体" w:cs="宋体" w:eastAsia="宋体" w:hint="default"/>
          <w:spacing w:val="-1"/>
          <w:sz w:val="21"/>
          <w:szCs w:val="21"/>
        </w:rPr>
        <w:t>为企业合并发生的审计、法律服务、评估咨询等中介费用以及其他直接相关费用，于发生时计入当期</w:t>
      </w:r>
    </w:p>
    <w:p>
      <w:pPr>
        <w:pStyle w:val="BodyText"/>
        <w:spacing w:line="240" w:lineRule="auto" w:before="25"/>
        <w:ind w:right="1002"/>
        <w:jc w:val="left"/>
      </w:pPr>
      <w:r>
        <w:rPr/>
        <w:t>损益；为企业合并而发行权益性证券的交易费用，可直接归属于权益性交易的从权益中扣减。</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Heading5"/>
        <w:spacing w:line="240" w:lineRule="auto" w:before="36"/>
        <w:ind w:right="0"/>
        <w:jc w:val="both"/>
        <w:rPr>
          <w:b w:val="0"/>
          <w:bCs w:val="0"/>
        </w:rPr>
      </w:pPr>
      <w:bookmarkStart w:name="6、合并财务报表的编制方法" w:id="181"/>
      <w:bookmarkEnd w:id="181"/>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31"/>
          <w:szCs w:val="31"/>
        </w:rPr>
      </w:pPr>
    </w:p>
    <w:p>
      <w:pPr>
        <w:pStyle w:val="BodyText"/>
        <w:spacing w:line="348" w:lineRule="auto" w:before="0"/>
        <w:ind w:left="473" w:right="1002"/>
        <w:jc w:val="left"/>
      </w:pPr>
      <w:r>
        <w:rPr>
          <w:rFonts w:ascii="宋体" w:hAnsi="宋体" w:cs="宋体" w:eastAsia="宋体" w:hint="default"/>
          <w:b/>
          <w:bCs/>
        </w:rPr>
        <w:t>1</w:t>
      </w:r>
      <w:r>
        <w:rPr>
          <w:rFonts w:ascii="宋体" w:hAnsi="宋体" w:cs="宋体" w:eastAsia="宋体" w:hint="default"/>
          <w:b/>
          <w:bCs/>
        </w:rPr>
        <w:t>、合并范围</w:t>
      </w:r>
      <w:r>
        <w:rPr>
          <w:rFonts w:ascii="宋体" w:hAnsi="宋体" w:cs="宋体" w:eastAsia="宋体" w:hint="default"/>
          <w:b/>
          <w:bCs/>
          <w:w w:val="100"/>
        </w:rPr>
        <w:t> </w:t>
      </w:r>
      <w:r>
        <w:rPr>
          <w:spacing w:val="-1"/>
        </w:rPr>
        <w:t>本公司合并财务报表的合并范围以控制为基础确定，所有子公司（包括本公司所控制的单独主体）均</w:t>
      </w:r>
    </w:p>
    <w:p>
      <w:pPr>
        <w:spacing w:line="348" w:lineRule="auto" w:before="34"/>
        <w:ind w:left="473" w:right="8861" w:hanging="360"/>
        <w:jc w:val="left"/>
        <w:rPr>
          <w:rFonts w:ascii="宋体" w:hAnsi="宋体" w:cs="宋体" w:eastAsia="宋体" w:hint="default"/>
          <w:sz w:val="21"/>
          <w:szCs w:val="21"/>
        </w:rPr>
      </w:pPr>
      <w:r>
        <w:rPr>
          <w:rFonts w:ascii="宋体" w:hAnsi="宋体" w:cs="宋体" w:eastAsia="宋体" w:hint="default"/>
          <w:sz w:val="21"/>
          <w:szCs w:val="21"/>
        </w:rPr>
        <w:t>纳入合并财务报表。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、合并程序</w:t>
      </w:r>
      <w:r>
        <w:rPr>
          <w:rFonts w:ascii="宋体" w:hAnsi="宋体" w:cs="宋体" w:eastAsia="宋体" w:hint="default"/>
          <w:sz w:val="21"/>
          <w:szCs w:val="21"/>
        </w:rPr>
      </w:r>
    </w:p>
    <w:p>
      <w:pPr>
        <w:pStyle w:val="BodyText"/>
        <w:spacing w:line="350" w:lineRule="auto" w:before="29"/>
        <w:ind w:right="1126" w:firstLine="360"/>
        <w:jc w:val="both"/>
      </w:pPr>
      <w:r>
        <w:rPr>
          <w:spacing w:val="-1"/>
        </w:rPr>
        <w:t>本公司以自身和各子公司的财务报表为基础，根据其他有关资料，编制合并财务报表。本公司编制合</w:t>
      </w:r>
      <w:r>
        <w:rPr>
          <w:w w:val="100"/>
        </w:rPr>
        <w:t> </w:t>
      </w:r>
      <w:r>
        <w:rPr>
          <w:spacing w:val="-2"/>
        </w:rPr>
        <w:t>并财务报表，将整个企业集团视为一个会计主体，依据相关企业会计准则的确认、计量和列报要求，按照</w:t>
      </w:r>
      <w:r>
        <w:rPr>
          <w:spacing w:val="-33"/>
        </w:rPr>
        <w:t> </w:t>
      </w:r>
      <w:r>
        <w:rPr>
          <w:spacing w:val="-33"/>
        </w:rPr>
      </w:r>
      <w:r>
        <w:rPr/>
        <w:t>统一的会计政策，反映本企业集团整体财务状况、经营成果和现金流量。</w:t>
      </w:r>
    </w:p>
    <w:p>
      <w:pPr>
        <w:pStyle w:val="BodyText"/>
        <w:spacing w:line="350" w:lineRule="auto" w:before="27"/>
        <w:ind w:right="1126" w:firstLine="360"/>
        <w:jc w:val="both"/>
      </w:pPr>
      <w:r>
        <w:rPr>
          <w:spacing w:val="-1"/>
        </w:rPr>
        <w:t>所有纳入合并财务报表合并范围的子公司所采用的会计政策、会计期间与本公司一致，如子公司采用</w:t>
      </w:r>
      <w:r>
        <w:rPr>
          <w:w w:val="100"/>
        </w:rPr>
        <w:t> </w:t>
      </w:r>
      <w:r>
        <w:rPr>
          <w:spacing w:val="-2"/>
        </w:rPr>
        <w:t>的会计政策、会计期间与本公司不一致的，在编制合并财务报表时，按本公司的会计政策、会计期间进行</w:t>
      </w:r>
      <w:r>
        <w:rPr>
          <w:spacing w:val="-33"/>
        </w:rPr>
        <w:t> </w:t>
      </w:r>
      <w:r>
        <w:rPr>
          <w:spacing w:val="-33"/>
        </w:rPr>
      </w:r>
      <w:r>
        <w:rPr/>
        <w:t>必要的调整。</w:t>
      </w:r>
    </w:p>
    <w:p>
      <w:pPr>
        <w:pStyle w:val="BodyText"/>
        <w:spacing w:line="350" w:lineRule="auto" w:before="27"/>
        <w:ind w:right="1123" w:firstLine="360"/>
        <w:jc w:val="both"/>
      </w:pPr>
      <w:r>
        <w:rPr>
          <w:spacing w:val="-1"/>
        </w:rPr>
        <w:t>合并财务报表时抵销本公司与各子公司、各子公司相互之间发生的内部交易对合并资产负债表、合并</w:t>
      </w:r>
      <w:r>
        <w:rPr>
          <w:w w:val="100"/>
        </w:rPr>
        <w:t> </w:t>
      </w:r>
      <w:r>
        <w:rPr>
          <w:spacing w:val="-2"/>
        </w:rPr>
        <w:t>利润表、合并现金流量表、合并股东权益变动表的影响。如果站在企业集团合并财务报表角度与以本公司</w:t>
      </w:r>
      <w:r>
        <w:rPr>
          <w:spacing w:val="-31"/>
        </w:rPr>
        <w:t> </w:t>
      </w:r>
      <w:r>
        <w:rPr>
          <w:spacing w:val="-31"/>
        </w:rPr>
      </w:r>
      <w:r>
        <w:rPr/>
        <w:t>或子公司为会计主体对同一交易的认定不同时，从企业集团的角度对该交易予以调整。</w:t>
      </w:r>
    </w:p>
    <w:p>
      <w:pPr>
        <w:pStyle w:val="BodyText"/>
        <w:spacing w:line="350" w:lineRule="auto" w:before="27"/>
        <w:ind w:right="1125" w:firstLine="360"/>
        <w:jc w:val="both"/>
      </w:pPr>
      <w:r>
        <w:rPr>
          <w:spacing w:val="-1"/>
        </w:rPr>
        <w:t>子公司所有者权益、当期净损益和当期综合收益中属于少数股东的份额分别在合并资产负债表中所有</w:t>
      </w:r>
      <w:r>
        <w:rPr>
          <w:w w:val="100"/>
        </w:rPr>
        <w:t> </w:t>
      </w:r>
      <w:r>
        <w:rPr>
          <w:spacing w:val="-2"/>
        </w:rPr>
        <w:t>者权益项目下、合并利润表中净利润项目下和综合收益总额项目下单独列示。子公司少数股东分担的当期</w:t>
      </w:r>
      <w:r>
        <w:rPr>
          <w:spacing w:val="-33"/>
        </w:rPr>
        <w:t> </w:t>
      </w:r>
      <w:r>
        <w:rPr>
          <w:spacing w:val="-33"/>
        </w:rPr>
      </w:r>
      <w:r>
        <w:rPr/>
        <w:t>亏损超过了少数股东在该子公司期初所有者权益中所享有份额而形成的余额，冲减少数股东权益。</w:t>
      </w:r>
    </w:p>
    <w:p>
      <w:pPr>
        <w:pStyle w:val="BodyText"/>
        <w:spacing w:line="352" w:lineRule="auto" w:before="27"/>
        <w:ind w:right="1130" w:firstLine="360"/>
        <w:jc w:val="both"/>
      </w:pPr>
      <w:r>
        <w:rPr>
          <w:spacing w:val="-1"/>
        </w:rPr>
        <w:t>对于同一控制下企业合并取得的子公司，以其资产、负债（包括最终控制方收购该子公司而形成的商</w:t>
      </w:r>
      <w:r>
        <w:rPr>
          <w:w w:val="100"/>
        </w:rPr>
        <w:t> </w:t>
      </w:r>
      <w:r>
        <w:rPr/>
        <w:t>誉）在最终控制方财务报表中的账面价值为基础对其财务报表进行调整。</w:t>
      </w:r>
    </w:p>
    <w:p>
      <w:pPr>
        <w:pStyle w:val="BodyText"/>
        <w:spacing w:line="348" w:lineRule="auto" w:before="25"/>
        <w:ind w:right="1130" w:firstLine="360"/>
        <w:jc w:val="both"/>
      </w:pPr>
      <w:r>
        <w:rPr>
          <w:spacing w:val="-1"/>
        </w:rPr>
        <w:t>对于非同一控制下企业合并取得的子公司，以购买日可辨认净资产公允价值为基础对其财务报表进行</w:t>
      </w:r>
      <w:r>
        <w:rPr>
          <w:w w:val="100"/>
        </w:rPr>
        <w:t> </w:t>
      </w:r>
      <w:r>
        <w:rPr/>
        <w:t>调整</w:t>
      </w:r>
    </w:p>
    <w:p>
      <w:pPr>
        <w:pStyle w:val="BodyText"/>
        <w:spacing w:line="328" w:lineRule="auto" w:before="34"/>
        <w:ind w:left="473" w:right="1002"/>
        <w:jc w:val="left"/>
      </w:pPr>
      <w:r>
        <w:rPr/>
        <w:t>（</w:t>
      </w:r>
      <w:r>
        <w:rPr>
          <w:rFonts w:ascii="Times New Roman" w:hAnsi="Times New Roman" w:cs="Times New Roman" w:eastAsia="Times New Roman" w:hint="default"/>
        </w:rPr>
        <w:t>1</w:t>
      </w:r>
      <w:r>
        <w:rPr/>
        <w:t>）增加子公司或业务</w:t>
      </w:r>
      <w:r>
        <w:rPr>
          <w:spacing w:val="-103"/>
        </w:rPr>
        <w:t> </w:t>
      </w:r>
      <w:r>
        <w:rPr>
          <w:spacing w:val="-103"/>
        </w:rPr>
      </w:r>
      <w:r>
        <w:rPr>
          <w:spacing w:val="-1"/>
        </w:rPr>
        <w:t>在报告期内，若因同一控制下企业合并增加子公司或业务的，则调整合并资产负债表的期初数；将子</w:t>
      </w:r>
    </w:p>
    <w:p>
      <w:pPr>
        <w:pStyle w:val="BodyText"/>
        <w:spacing w:line="350" w:lineRule="auto" w:before="46"/>
        <w:ind w:right="1125"/>
        <w:jc w:val="both"/>
      </w:pPr>
      <w:r>
        <w:rPr>
          <w:spacing w:val="-2"/>
        </w:rPr>
        <w:t>公司或业务合并当期期初至报告期末的收入、费用、利润纳入合并利润表；将子公司或业务合并当期期初</w:t>
      </w:r>
      <w:r>
        <w:rPr>
          <w:spacing w:val="-33"/>
        </w:rPr>
        <w:t> </w:t>
      </w:r>
      <w:r>
        <w:rPr>
          <w:spacing w:val="-33"/>
        </w:rPr>
      </w:r>
      <w:r>
        <w:rPr>
          <w:spacing w:val="-2"/>
        </w:rPr>
        <w:t>至报告期末的现金流量纳入合并现金流量表，同时对比较报表的相关项目进行调整，视同合并后的报告主</w:t>
      </w:r>
      <w:r>
        <w:rPr>
          <w:spacing w:val="-33"/>
        </w:rPr>
        <w:t> </w:t>
      </w:r>
      <w:r>
        <w:rPr>
          <w:spacing w:val="-33"/>
        </w:rPr>
      </w:r>
      <w:r>
        <w:rPr/>
        <w:t>体自最终控制方开始控制时点起一直存在。</w:t>
      </w:r>
    </w:p>
    <w:p>
      <w:pPr>
        <w:pStyle w:val="BodyText"/>
        <w:spacing w:line="350" w:lineRule="auto" w:before="27"/>
        <w:ind w:right="1125" w:firstLine="360"/>
        <w:jc w:val="both"/>
      </w:pPr>
      <w:r>
        <w:rPr>
          <w:spacing w:val="-1"/>
        </w:rPr>
        <w:t>因追加投资等原因能够对同一控制下的被投资方实施控制的，视同参与合并的各方在最终控制方开始</w:t>
      </w:r>
      <w:r>
        <w:rPr>
          <w:w w:val="100"/>
        </w:rPr>
        <w:t> </w:t>
      </w:r>
      <w:r>
        <w:rPr>
          <w:spacing w:val="-2"/>
        </w:rPr>
        <w:t>控制时即以目前的状态存在进行调整。在取得被合并方控制权之前持有的股权投资，在取得原股权之日与</w:t>
      </w:r>
      <w:r>
        <w:rPr>
          <w:spacing w:val="-33"/>
        </w:rPr>
        <w:t> </w:t>
      </w:r>
      <w:r>
        <w:rPr>
          <w:spacing w:val="-33"/>
        </w:rPr>
      </w:r>
      <w:r>
        <w:rPr>
          <w:spacing w:val="-2"/>
        </w:rPr>
        <w:t>合并方和被合并方同处于同一控制之日孰晚日起至合并日之间已确认有关损益、其他综合收益以及其他净</w:t>
      </w:r>
      <w:r>
        <w:rPr>
          <w:spacing w:val="-33"/>
        </w:rPr>
        <w:t> </w:t>
      </w:r>
      <w:r>
        <w:rPr>
          <w:spacing w:val="-33"/>
        </w:rPr>
      </w:r>
      <w:r>
        <w:rPr/>
        <w:t>资产变动，分别冲减比较报表期间的期初留存收益或当期损益。</w:t>
      </w:r>
    </w:p>
    <w:p>
      <w:pPr>
        <w:pStyle w:val="BodyText"/>
        <w:spacing w:line="348" w:lineRule="auto" w:before="31"/>
        <w:ind w:right="1125" w:firstLine="360"/>
        <w:jc w:val="both"/>
      </w:pPr>
      <w:r>
        <w:rPr>
          <w:spacing w:val="-1"/>
        </w:rPr>
        <w:t>在报告期内，若因非同一控制下企业合并增加子公司或业务的，则不调整合并资产负债表期初数；将</w:t>
      </w:r>
      <w:r>
        <w:rPr>
          <w:w w:val="100"/>
        </w:rPr>
        <w:t> </w:t>
      </w:r>
      <w:r>
        <w:rPr>
          <w:spacing w:val="-2"/>
        </w:rPr>
        <w:t>该子公司或业务自购买日至报告期末的收入、费用、利润纳入合并利润表；该子公司或业务自购买日至报</w:t>
      </w:r>
      <w:r>
        <w:rPr>
          <w:spacing w:val="-33"/>
        </w:rPr>
        <w:t> </w:t>
      </w:r>
      <w:r>
        <w:rPr>
          <w:spacing w:val="-33"/>
        </w:rPr>
      </w:r>
      <w:r>
        <w:rPr/>
        <w:t>告期末的现金流量纳入合并现金流量表。</w:t>
      </w:r>
    </w:p>
    <w:p>
      <w:pPr>
        <w:pStyle w:val="BodyText"/>
        <w:spacing w:line="240" w:lineRule="auto" w:before="34"/>
        <w:ind w:left="473" w:right="1002"/>
        <w:jc w:val="left"/>
      </w:pPr>
      <w:r>
        <w:rPr/>
        <w:t>因追加投资等原因能够对非同一控制下的被投资方实施控制的，对于购买日之前持有的被购买方的股</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25"/>
        <w:jc w:val="both"/>
      </w:pPr>
      <w:r>
        <w:rPr>
          <w:spacing w:val="-2"/>
        </w:rPr>
        <w:t>权，本公司按照该股权在购买日的公允价值进行重新计量，公允价值与其账面价值的差额计入当期投资收</w:t>
      </w:r>
      <w:r>
        <w:rPr>
          <w:spacing w:val="-33"/>
        </w:rPr>
        <w:t> </w:t>
      </w:r>
      <w:r>
        <w:rPr>
          <w:spacing w:val="-33"/>
        </w:rPr>
      </w:r>
      <w:r>
        <w:rPr>
          <w:spacing w:val="-2"/>
        </w:rPr>
        <w:t>益。购买日之前持有的被购买方的股权涉及权益法核算下的其他综合收益以及除净损益、其他综合收益和</w:t>
      </w:r>
      <w:r>
        <w:rPr>
          <w:spacing w:val="-33"/>
        </w:rPr>
        <w:t> </w:t>
      </w:r>
      <w:r>
        <w:rPr>
          <w:spacing w:val="-33"/>
        </w:rPr>
      </w:r>
      <w:r>
        <w:rPr>
          <w:spacing w:val="-2"/>
        </w:rPr>
        <w:t>利润分配之外的其他所有者权益变动的，与其相关的其他综合收益、其他所有者权益变动转为购买日所属</w:t>
      </w:r>
      <w:r>
        <w:rPr>
          <w:spacing w:val="-33"/>
        </w:rPr>
        <w:t> </w:t>
      </w:r>
      <w:r>
        <w:rPr>
          <w:spacing w:val="-33"/>
        </w:rPr>
      </w:r>
      <w:r>
        <w:rPr/>
        <w:t>当期投资收益，由于被投资方重新计量设定受益计划净负债或净资产变动而产生的其他综合收益除外。</w:t>
      </w:r>
    </w:p>
    <w:p>
      <w:pPr>
        <w:pStyle w:val="BodyText"/>
        <w:spacing w:line="333" w:lineRule="auto" w:before="27"/>
        <w:ind w:left="473" w:right="8197"/>
        <w:jc w:val="left"/>
      </w:pPr>
      <w:r>
        <w:rPr>
          <w:spacing w:val="-1"/>
        </w:rPr>
        <w:t>（</w:t>
      </w:r>
      <w:r>
        <w:rPr>
          <w:rFonts w:ascii="Times New Roman" w:hAnsi="Times New Roman" w:cs="Times New Roman" w:eastAsia="Times New Roman" w:hint="default"/>
          <w:spacing w:val="-1"/>
        </w:rPr>
        <w:t>2</w:t>
      </w:r>
      <w:r>
        <w:rPr>
          <w:spacing w:val="-1"/>
        </w:rPr>
        <w:t>）处置子公司或业务</w:t>
      </w:r>
      <w:r>
        <w:rPr>
          <w:spacing w:val="-92"/>
        </w:rPr>
        <w:t> </w:t>
      </w:r>
      <w:r>
        <w:rPr>
          <w:spacing w:val="-92"/>
        </w:rPr>
      </w:r>
      <w:r>
        <w:rPr>
          <w:rFonts w:ascii="宋体" w:hAnsi="宋体" w:cs="宋体" w:eastAsia="宋体" w:hint="default"/>
        </w:rPr>
        <w:t>1</w:t>
      </w:r>
      <w:r>
        <w:rPr/>
        <w:t>）一般处理方法</w:t>
      </w:r>
    </w:p>
    <w:p>
      <w:pPr>
        <w:pStyle w:val="BodyText"/>
        <w:spacing w:line="348" w:lineRule="auto" w:before="41"/>
        <w:ind w:right="1128" w:firstLine="360"/>
        <w:jc w:val="both"/>
      </w:pPr>
      <w:r>
        <w:rPr>
          <w:spacing w:val="-1"/>
        </w:rPr>
        <w:t>在报告期内，本公司处置子公司或业务，则该子公司或业务期初至处置日的收入、费用、利润纳入合</w:t>
      </w:r>
      <w:r>
        <w:rPr>
          <w:w w:val="100"/>
        </w:rPr>
        <w:t> </w:t>
      </w:r>
      <w:r>
        <w:rPr/>
        <w:t>并利润表；该子公司或业务期初至处置日的现金流量纳入合并现金流量表。</w:t>
      </w:r>
    </w:p>
    <w:p>
      <w:pPr>
        <w:pStyle w:val="BodyText"/>
        <w:spacing w:line="348" w:lineRule="auto" w:before="34"/>
        <w:ind w:right="1124" w:firstLine="360"/>
        <w:jc w:val="both"/>
      </w:pPr>
      <w:r>
        <w:rPr>
          <w:spacing w:val="-1"/>
        </w:rPr>
        <w:t>因处置部分股权投资或其他原因丧失了对被投资方控制权时，对于处置后的剩余股权投资，本公司按</w:t>
      </w:r>
      <w:r>
        <w:rPr>
          <w:w w:val="100"/>
        </w:rPr>
        <w:t> </w:t>
      </w:r>
      <w:r>
        <w:rPr>
          <w:spacing w:val="-2"/>
        </w:rPr>
        <w:t>照其在丧失控制权日的公允价值进行重新计量。处置股权取得的对价与剩余股权公允价值之和，减去按原</w:t>
      </w:r>
      <w:r>
        <w:rPr>
          <w:spacing w:val="-33"/>
        </w:rPr>
        <w:t> </w:t>
      </w:r>
      <w:r>
        <w:rPr>
          <w:spacing w:val="-33"/>
        </w:rPr>
      </w:r>
      <w:r>
        <w:rPr>
          <w:spacing w:val="-2"/>
        </w:rPr>
        <w:t>持股比例计算应享有原有子公司自购买日或合并日开始持续计算的净资产的份额与商誉之和的差额，计入</w:t>
      </w:r>
      <w:r>
        <w:rPr>
          <w:spacing w:val="-33"/>
        </w:rPr>
        <w:t> </w:t>
      </w:r>
      <w:r>
        <w:rPr>
          <w:spacing w:val="-33"/>
        </w:rPr>
      </w:r>
      <w:r>
        <w:rPr>
          <w:spacing w:val="-2"/>
        </w:rPr>
        <w:t>丧失控制权当期的投资收益。与原有子公司股权投资相关的其他综合收益或除净损益、其他综合收益及利</w:t>
      </w:r>
      <w:r>
        <w:rPr>
          <w:spacing w:val="-33"/>
        </w:rPr>
        <w:t> </w:t>
      </w:r>
      <w:r>
        <w:rPr>
          <w:spacing w:val="-33"/>
        </w:rPr>
      </w:r>
      <w:r>
        <w:rPr>
          <w:spacing w:val="-2"/>
        </w:rPr>
        <w:t>润分配之外的其他所有者权益变动，在丧失控制权时转为当期投资收益，由于被投资方重新计量设定受益</w:t>
      </w:r>
      <w:r>
        <w:rPr>
          <w:spacing w:val="-32"/>
        </w:rPr>
        <w:t> </w:t>
      </w:r>
      <w:r>
        <w:rPr>
          <w:spacing w:val="-32"/>
        </w:rPr>
      </w:r>
      <w:r>
        <w:rPr/>
        <w:t>计划净负债或净资产变动而产生的其他综合收益除外。</w:t>
      </w:r>
    </w:p>
    <w:p>
      <w:pPr>
        <w:pStyle w:val="BodyText"/>
        <w:spacing w:line="348" w:lineRule="auto" w:before="34"/>
        <w:ind w:left="473" w:right="1002"/>
        <w:jc w:val="left"/>
      </w:pPr>
      <w:r>
        <w:rPr>
          <w:rFonts w:ascii="宋体" w:hAnsi="宋体" w:cs="宋体" w:eastAsia="宋体" w:hint="default"/>
        </w:rPr>
        <w:t>2</w:t>
      </w:r>
      <w:r>
        <w:rPr/>
        <w:t>）分步处置子公司</w:t>
      </w:r>
      <w:r>
        <w:rPr>
          <w:spacing w:val="-100"/>
        </w:rPr>
        <w:t> </w:t>
      </w:r>
      <w:r>
        <w:rPr>
          <w:spacing w:val="-100"/>
        </w:rPr>
      </w:r>
      <w:r>
        <w:rPr>
          <w:spacing w:val="-1"/>
        </w:rPr>
        <w:t>通过多次交易分步处置对子公司股权投资直至丧失控制权的，处置对子公司股权投资的各项交易的条</w:t>
      </w:r>
    </w:p>
    <w:p>
      <w:pPr>
        <w:pStyle w:val="BodyText"/>
        <w:spacing w:line="352" w:lineRule="auto" w:before="29"/>
        <w:ind w:right="1125"/>
        <w:jc w:val="both"/>
      </w:pPr>
      <w:r>
        <w:rPr>
          <w:spacing w:val="-2"/>
        </w:rPr>
        <w:t>款、条件以及经济影响符合以下一种或多种情况，通常表明应将多次交易事项作为一揽子交易进行会计处</w:t>
      </w:r>
      <w:r>
        <w:rPr>
          <w:spacing w:val="-33"/>
        </w:rPr>
        <w:t> </w:t>
      </w:r>
      <w:r>
        <w:rPr>
          <w:spacing w:val="-33"/>
        </w:rPr>
      </w:r>
      <w:r>
        <w:rPr/>
        <w:t>理：</w:t>
      </w:r>
    </w:p>
    <w:p>
      <w:pPr>
        <w:pStyle w:val="BodyText"/>
        <w:spacing w:line="350" w:lineRule="auto" w:before="25"/>
        <w:ind w:left="473" w:right="1824"/>
        <w:jc w:val="left"/>
      </w:pPr>
      <w:r>
        <w:rPr>
          <w:rFonts w:ascii="宋体" w:hAnsi="宋体" w:cs="宋体" w:eastAsia="宋体" w:hint="default"/>
        </w:rPr>
        <w:t>A.</w:t>
      </w:r>
      <w:r>
        <w:rPr/>
        <w:t>这些交易是同时或者在考虑了彼此影响的情况下订立的；</w:t>
      </w:r>
      <w:r>
        <w:rPr>
          <w:w w:val="100"/>
        </w:rPr>
        <w:t> </w:t>
      </w:r>
      <w:r>
        <w:rPr>
          <w:rFonts w:ascii="宋体" w:hAnsi="宋体" w:cs="宋体" w:eastAsia="宋体" w:hint="default"/>
        </w:rPr>
        <w:t>B.</w:t>
      </w:r>
      <w:r>
        <w:rPr/>
        <w:t>这些交易整体才能达成一项完整的商业结果；</w:t>
      </w:r>
      <w:r>
        <w:rPr>
          <w:spacing w:val="-100"/>
        </w:rPr>
        <w:t> </w:t>
      </w:r>
      <w:r>
        <w:rPr>
          <w:spacing w:val="-100"/>
        </w:rPr>
      </w:r>
      <w:r>
        <w:rPr>
          <w:rFonts w:ascii="宋体" w:hAnsi="宋体" w:cs="宋体" w:eastAsia="宋体" w:hint="default"/>
        </w:rPr>
        <w:t>C.</w:t>
      </w:r>
      <w:r>
        <w:rPr/>
        <w:t>一项交易的发生取决于其他至少一项交易的发生；</w:t>
      </w:r>
      <w:r>
        <w:rPr>
          <w:spacing w:val="-103"/>
        </w:rPr>
        <w:t> </w:t>
      </w:r>
      <w:r>
        <w:rPr>
          <w:spacing w:val="-103"/>
        </w:rPr>
      </w:r>
      <w:r>
        <w:rPr>
          <w:rFonts w:ascii="宋体" w:hAnsi="宋体" w:cs="宋体" w:eastAsia="宋体" w:hint="default"/>
          <w:spacing w:val="-2"/>
        </w:rPr>
        <w:t>D.</w:t>
      </w:r>
      <w:r>
        <w:rPr>
          <w:spacing w:val="-2"/>
        </w:rPr>
        <w:t>一项交易单独看是不经济的，但是和其他交易一并考虑时是经济的。</w:t>
      </w:r>
    </w:p>
    <w:p>
      <w:pPr>
        <w:pStyle w:val="BodyText"/>
        <w:spacing w:line="350" w:lineRule="auto" w:before="27"/>
        <w:ind w:right="1125" w:firstLine="360"/>
        <w:jc w:val="both"/>
      </w:pPr>
      <w:r>
        <w:rPr>
          <w:spacing w:val="-1"/>
        </w:rPr>
        <w:t>处置对子公司股权投资直至丧失控制权的各项交易属于一揽子交易的，本公司将各项交易作为一项处</w:t>
      </w:r>
      <w:r>
        <w:rPr>
          <w:w w:val="100"/>
        </w:rPr>
        <w:t> </w:t>
      </w:r>
      <w:r>
        <w:rPr>
          <w:spacing w:val="-2"/>
        </w:rPr>
        <w:t>置子公司并丧失控制权的交易进行会计处理；但是，在丧失控制权之前每一次处置价款与处置投资对应的</w:t>
      </w:r>
      <w:r>
        <w:rPr>
          <w:spacing w:val="-33"/>
        </w:rPr>
        <w:t> </w:t>
      </w:r>
      <w:r>
        <w:rPr>
          <w:spacing w:val="-33"/>
        </w:rPr>
      </w:r>
      <w:r>
        <w:rPr>
          <w:spacing w:val="-2"/>
        </w:rPr>
        <w:t>享有该子公司净资产份额的差额，在合并财务报表中确认为其他综合收益，在丧失控制权时一并转入丧失</w:t>
      </w:r>
      <w:r>
        <w:rPr>
          <w:spacing w:val="-33"/>
        </w:rPr>
        <w:t> </w:t>
      </w:r>
      <w:r>
        <w:rPr>
          <w:spacing w:val="-33"/>
        </w:rPr>
      </w:r>
      <w:r>
        <w:rPr/>
        <w:t>控制权当期的损益。</w:t>
      </w:r>
    </w:p>
    <w:p>
      <w:pPr>
        <w:pStyle w:val="BodyText"/>
        <w:spacing w:line="348" w:lineRule="auto" w:before="31"/>
        <w:ind w:right="1125" w:firstLine="360"/>
        <w:jc w:val="both"/>
      </w:pPr>
      <w:r>
        <w:rPr>
          <w:spacing w:val="-1"/>
        </w:rPr>
        <w:t>处置对子公司股权投资直至丧失控制权的各项交易不属于一揽子交易的，在丧失控制权之前，按不丧</w:t>
      </w:r>
      <w:r>
        <w:rPr>
          <w:w w:val="100"/>
        </w:rPr>
        <w:t> </w:t>
      </w:r>
      <w:r>
        <w:rPr>
          <w:spacing w:val="-2"/>
        </w:rPr>
        <w:t>失控制权的情况下部分处置对子公司的股权投资的相关政策进行会计处理；在丧失控制权时，按处置子公</w:t>
      </w:r>
      <w:r>
        <w:rPr>
          <w:spacing w:val="-33"/>
        </w:rPr>
        <w:t> </w:t>
      </w:r>
      <w:r>
        <w:rPr>
          <w:spacing w:val="-33"/>
        </w:rPr>
      </w:r>
      <w:r>
        <w:rPr/>
        <w:t>司一般处理方法进行会计处理。</w:t>
      </w:r>
    </w:p>
    <w:p>
      <w:pPr>
        <w:pStyle w:val="BodyText"/>
        <w:spacing w:line="348" w:lineRule="auto" w:before="34"/>
        <w:ind w:left="473" w:right="1002"/>
        <w:jc w:val="left"/>
      </w:pPr>
      <w:r>
        <w:rPr/>
        <w:t>（</w:t>
      </w:r>
      <w:r>
        <w:rPr>
          <w:rFonts w:ascii="宋体" w:hAnsi="宋体" w:cs="宋体" w:eastAsia="宋体" w:hint="default"/>
        </w:rPr>
        <w:t>3</w:t>
      </w:r>
      <w:r>
        <w:rPr/>
        <w:t>）购买子公司少数股权</w:t>
      </w:r>
      <w:r>
        <w:rPr>
          <w:spacing w:val="-102"/>
        </w:rPr>
        <w:t> </w:t>
      </w:r>
      <w:r>
        <w:rPr>
          <w:spacing w:val="-102"/>
        </w:rPr>
      </w:r>
      <w:r>
        <w:rPr>
          <w:spacing w:val="-1"/>
        </w:rPr>
        <w:t>本公司因购买少数股权新取得的长期股权投资与按照新增持股比例计算应享有子公司自购买日（或合</w:t>
      </w:r>
    </w:p>
    <w:p>
      <w:pPr>
        <w:pStyle w:val="BodyText"/>
        <w:spacing w:line="352" w:lineRule="auto" w:before="29"/>
        <w:ind w:right="1125"/>
        <w:jc w:val="both"/>
      </w:pPr>
      <w:r>
        <w:rPr>
          <w:spacing w:val="-2"/>
        </w:rPr>
        <w:t>并日）开始持续计算的净资产份额之间的差额，调整合并资产负债表中的资本公积中的股本溢价，资本公</w:t>
      </w:r>
      <w:r>
        <w:rPr>
          <w:spacing w:val="-33"/>
        </w:rPr>
        <w:t> </w:t>
      </w:r>
      <w:r>
        <w:rPr>
          <w:spacing w:val="-33"/>
        </w:rPr>
      </w:r>
      <w:r>
        <w:rPr/>
        <w:t>积中的股本溢价不足冲减的，调整留存收益。</w:t>
      </w:r>
    </w:p>
    <w:p>
      <w:pPr>
        <w:pStyle w:val="BodyText"/>
        <w:spacing w:line="240" w:lineRule="auto" w:before="25"/>
        <w:ind w:left="473" w:right="1002"/>
        <w:jc w:val="left"/>
      </w:pPr>
      <w:r>
        <w:rPr/>
        <w:t>（</w:t>
      </w:r>
      <w:r>
        <w:rPr>
          <w:rFonts w:ascii="宋体" w:hAnsi="宋体" w:cs="宋体" w:eastAsia="宋体" w:hint="default"/>
        </w:rPr>
        <w:t>4</w:t>
      </w:r>
      <w:r>
        <w:rPr/>
        <w:t>）不丧失控制权的情况下部分处置对子公司的股权投资</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26" w:firstLine="360"/>
        <w:jc w:val="both"/>
      </w:pPr>
      <w:r>
        <w:rPr>
          <w:spacing w:val="-1"/>
        </w:rPr>
        <w:t>在不丧失控制权的情况下因部分处置对子公司的长期股权投资而取得的处置价款与处置长期股权投资</w:t>
      </w:r>
      <w:r>
        <w:rPr>
          <w:w w:val="100"/>
        </w:rPr>
        <w:t> </w:t>
      </w:r>
      <w:r>
        <w:rPr>
          <w:spacing w:val="-2"/>
        </w:rPr>
        <w:t>相对应享有子公司自购买日或合并日开始持续计算的净资产份额之间的差额，调整合并资产负债表中的资</w:t>
      </w:r>
      <w:r>
        <w:rPr>
          <w:spacing w:val="-33"/>
        </w:rPr>
        <w:t> </w:t>
      </w:r>
      <w:r>
        <w:rPr>
          <w:spacing w:val="-33"/>
        </w:rPr>
      </w:r>
      <w:r>
        <w:rPr/>
        <w:t>本公积中的股本溢价，资本公积中的股本溢价不足冲减的，调整留存收益。</w:t>
      </w:r>
    </w:p>
    <w:p>
      <w:pPr>
        <w:spacing w:line="240" w:lineRule="auto" w:before="11"/>
        <w:rPr>
          <w:rFonts w:ascii="宋体" w:hAnsi="宋体" w:cs="宋体" w:eastAsia="宋体" w:hint="default"/>
          <w:sz w:val="24"/>
          <w:szCs w:val="24"/>
        </w:rPr>
      </w:pPr>
    </w:p>
    <w:p>
      <w:pPr>
        <w:pStyle w:val="Heading5"/>
        <w:spacing w:line="240" w:lineRule="auto"/>
        <w:ind w:right="1002"/>
        <w:jc w:val="left"/>
        <w:rPr>
          <w:b w:val="0"/>
          <w:bCs w:val="0"/>
        </w:rPr>
      </w:pPr>
      <w:bookmarkStart w:name="7、合营安排分类及共同经营会计处理方法" w:id="182"/>
      <w:bookmarkEnd w:id="182"/>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31"/>
          <w:szCs w:val="31"/>
        </w:rPr>
      </w:pPr>
    </w:p>
    <w:p>
      <w:pPr>
        <w:pStyle w:val="BodyText"/>
        <w:spacing w:line="352" w:lineRule="auto" w:before="0"/>
        <w:ind w:left="473" w:right="1002"/>
        <w:jc w:val="left"/>
      </w:pPr>
      <w:r>
        <w:rPr>
          <w:rFonts w:ascii="宋体" w:hAnsi="宋体" w:cs="宋体" w:eastAsia="宋体" w:hint="default"/>
          <w:b/>
          <w:bCs/>
        </w:rPr>
        <w:t>1</w:t>
      </w:r>
      <w:r>
        <w:rPr>
          <w:rFonts w:ascii="宋体" w:hAnsi="宋体" w:cs="宋体" w:eastAsia="宋体" w:hint="default"/>
          <w:b/>
          <w:bCs/>
        </w:rPr>
        <w:t>、合营安排的分类</w:t>
      </w:r>
      <w:r>
        <w:rPr>
          <w:rFonts w:ascii="宋体" w:hAnsi="宋体" w:cs="宋体" w:eastAsia="宋体" w:hint="default"/>
          <w:b/>
          <w:bCs/>
          <w:spacing w:val="-103"/>
        </w:rPr>
        <w:t> </w:t>
      </w:r>
      <w:r>
        <w:rPr>
          <w:spacing w:val="-1"/>
        </w:rPr>
        <w:t>本公司根据合营安排的结构、法律形式以及合营安排中约定的条款、其他相关事实和情况等因素，将</w:t>
      </w:r>
    </w:p>
    <w:p>
      <w:pPr>
        <w:pStyle w:val="BodyText"/>
        <w:spacing w:line="348" w:lineRule="auto" w:before="25"/>
        <w:ind w:left="473" w:right="1002" w:hanging="360"/>
        <w:jc w:val="left"/>
      </w:pPr>
      <w:r>
        <w:rPr/>
        <w:t>合营安排分为共同经营和合营企业。</w:t>
      </w:r>
      <w:r>
        <w:rPr>
          <w:spacing w:val="-101"/>
        </w:rPr>
        <w:t> </w:t>
      </w:r>
      <w:r>
        <w:rPr>
          <w:spacing w:val="-101"/>
        </w:rPr>
      </w:r>
      <w:r>
        <w:rPr>
          <w:spacing w:val="-1"/>
        </w:rPr>
        <w:t>未通过单独主体达成的合营安排，划分为共同经营；通过单独主体达成的合营安排，通常划分为合营</w:t>
      </w:r>
    </w:p>
    <w:p>
      <w:pPr>
        <w:pStyle w:val="BodyText"/>
        <w:spacing w:line="240" w:lineRule="auto" w:before="34"/>
        <w:ind w:right="1002"/>
        <w:jc w:val="left"/>
      </w:pPr>
      <w:r>
        <w:rPr/>
        <w:t>企业；但有确凿证据表明满足下列任一条件并且符合相关法律法规规定的合营安排划分为共同经营：</w:t>
      </w:r>
    </w:p>
    <w:p>
      <w:pPr>
        <w:pStyle w:val="BodyText"/>
        <w:spacing w:line="240" w:lineRule="auto" w:before="124"/>
        <w:ind w:left="473" w:right="1002"/>
        <w:jc w:val="left"/>
      </w:pPr>
      <w:r>
        <w:rPr/>
        <w:t>（</w:t>
      </w:r>
      <w:r>
        <w:rPr>
          <w:rFonts w:ascii="宋体" w:hAnsi="宋体" w:cs="宋体" w:eastAsia="宋体" w:hint="default"/>
        </w:rPr>
        <w:t>1</w:t>
      </w:r>
      <w:r>
        <w:rPr/>
        <w:t>）合营安排的法律形式表明，合营方对该安排中的相关资产和负债分别享有权利和承担义务。</w:t>
      </w:r>
    </w:p>
    <w:p>
      <w:pPr>
        <w:pStyle w:val="BodyText"/>
        <w:spacing w:line="240" w:lineRule="auto" w:before="123"/>
        <w:ind w:left="473" w:right="1002"/>
        <w:jc w:val="left"/>
      </w:pPr>
      <w:r>
        <w:rPr/>
        <w:t>（</w:t>
      </w:r>
      <w:r>
        <w:rPr>
          <w:rFonts w:ascii="宋体" w:hAnsi="宋体" w:cs="宋体" w:eastAsia="宋体" w:hint="default"/>
        </w:rPr>
        <w:t>2</w:t>
      </w:r>
      <w:r>
        <w:rPr/>
        <w:t>）合营安排的合同条款约定，合营方对该安排中的相关资产和负债分别享有权利和承担义务。</w:t>
      </w:r>
    </w:p>
    <w:p>
      <w:pPr>
        <w:pStyle w:val="BodyText"/>
        <w:spacing w:line="348" w:lineRule="auto" w:before="128"/>
        <w:ind w:right="1126" w:firstLine="360"/>
        <w:jc w:val="both"/>
      </w:pPr>
      <w:r>
        <w:rPr>
          <w:spacing w:val="-3"/>
        </w:rPr>
        <w:t>（</w:t>
      </w:r>
      <w:r>
        <w:rPr>
          <w:rFonts w:ascii="宋体" w:hAnsi="宋体" w:cs="宋体" w:eastAsia="宋体" w:hint="default"/>
          <w:spacing w:val="-3"/>
        </w:rPr>
        <w:t>3</w:t>
      </w:r>
      <w:r>
        <w:rPr>
          <w:spacing w:val="-3"/>
        </w:rPr>
        <w:t>）其他相关事实和情况表明，合营方对该安排中的相关资产和负债分别享有权利和承担义务，如合</w:t>
      </w:r>
      <w:r>
        <w:rPr>
          <w:w w:val="100"/>
        </w:rPr>
        <w:t> </w:t>
      </w:r>
      <w:r>
        <w:rPr/>
        <w:t>营方享有与合营安排相关的几乎所有产出，并且该安排中负债的清偿持续依赖于合营方的支持。</w:t>
      </w:r>
    </w:p>
    <w:p>
      <w:pPr>
        <w:spacing w:line="352" w:lineRule="auto" w:before="29"/>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、共同经营会计处理方法</w:t>
      </w:r>
      <w:r>
        <w:rPr>
          <w:rFonts w:ascii="宋体" w:hAnsi="宋体" w:cs="宋体" w:eastAsia="宋体" w:hint="default"/>
          <w:b/>
          <w:bCs/>
          <w:spacing w:val="-102"/>
          <w:sz w:val="21"/>
          <w:szCs w:val="21"/>
        </w:rPr>
        <w:t> </w:t>
      </w:r>
      <w:r>
        <w:rPr>
          <w:rFonts w:ascii="宋体" w:hAnsi="宋体" w:cs="宋体" w:eastAsia="宋体" w:hint="default"/>
          <w:spacing w:val="-1"/>
          <w:sz w:val="21"/>
          <w:szCs w:val="21"/>
        </w:rPr>
        <w:t>本公司确认共同经营中利益份额中与本公司相关的下列项目，并按照相关企业会计准则的规定进行会</w:t>
      </w:r>
    </w:p>
    <w:p>
      <w:pPr>
        <w:pStyle w:val="BodyText"/>
        <w:spacing w:line="240" w:lineRule="auto" w:before="25"/>
        <w:ind w:right="1002"/>
        <w:jc w:val="left"/>
      </w:pPr>
      <w:r>
        <w:rPr/>
        <w:t>计处理：</w:t>
      </w:r>
    </w:p>
    <w:p>
      <w:pPr>
        <w:pStyle w:val="BodyText"/>
        <w:spacing w:line="240" w:lineRule="auto" w:before="123"/>
        <w:ind w:left="473" w:right="1002"/>
        <w:jc w:val="left"/>
      </w:pPr>
      <w:r>
        <w:rPr/>
        <w:t>（</w:t>
      </w:r>
      <w:r>
        <w:rPr>
          <w:rFonts w:ascii="宋体" w:hAnsi="宋体" w:cs="宋体" w:eastAsia="宋体" w:hint="default"/>
        </w:rPr>
        <w:t>1</w:t>
      </w:r>
      <w:r>
        <w:rPr/>
        <w:t>）确认单独所持有的资产，以及按其份额确认共同持有的资产；</w:t>
      </w:r>
    </w:p>
    <w:p>
      <w:pPr>
        <w:pStyle w:val="BodyText"/>
        <w:spacing w:line="240" w:lineRule="auto" w:before="128"/>
        <w:ind w:left="473" w:right="1002"/>
        <w:jc w:val="left"/>
      </w:pPr>
      <w:r>
        <w:rPr/>
        <w:t>（</w:t>
      </w:r>
      <w:r>
        <w:rPr>
          <w:rFonts w:ascii="宋体" w:hAnsi="宋体" w:cs="宋体" w:eastAsia="宋体" w:hint="default"/>
        </w:rPr>
        <w:t>2</w:t>
      </w:r>
      <w:r>
        <w:rPr/>
        <w:t>）确认单独所承担的负债，以及按其份额确认共同承担的负债；</w:t>
      </w:r>
    </w:p>
    <w:p>
      <w:pPr>
        <w:pStyle w:val="BodyText"/>
        <w:spacing w:line="240" w:lineRule="auto" w:before="124"/>
        <w:ind w:left="473" w:right="1002"/>
        <w:jc w:val="left"/>
      </w:pPr>
      <w:r>
        <w:rPr/>
        <w:t>（</w:t>
      </w:r>
      <w:r>
        <w:rPr>
          <w:rFonts w:ascii="宋体" w:hAnsi="宋体" w:cs="宋体" w:eastAsia="宋体" w:hint="default"/>
        </w:rPr>
        <w:t>3</w:t>
      </w:r>
      <w:r>
        <w:rPr/>
        <w:t>）确认出售其享有的共同经营产出份额所产生的收入；</w:t>
      </w:r>
    </w:p>
    <w:p>
      <w:pPr>
        <w:pStyle w:val="BodyText"/>
        <w:spacing w:line="240" w:lineRule="auto" w:before="123"/>
        <w:ind w:left="473" w:right="1002"/>
        <w:jc w:val="left"/>
      </w:pPr>
      <w:r>
        <w:rPr/>
        <w:t>（</w:t>
      </w:r>
      <w:r>
        <w:rPr>
          <w:rFonts w:ascii="宋体" w:hAnsi="宋体" w:cs="宋体" w:eastAsia="宋体" w:hint="default"/>
        </w:rPr>
        <w:t>4</w:t>
      </w:r>
      <w:r>
        <w:rPr/>
        <w:t>）按其份额确认共同经营因出售产出所产生的收入；</w:t>
      </w:r>
    </w:p>
    <w:p>
      <w:pPr>
        <w:pStyle w:val="BodyText"/>
        <w:spacing w:line="348" w:lineRule="auto" w:before="128"/>
        <w:ind w:left="473" w:right="1002"/>
        <w:jc w:val="left"/>
      </w:pPr>
      <w:r>
        <w:rPr/>
        <w:t>（</w:t>
      </w:r>
      <w:r>
        <w:rPr>
          <w:rFonts w:ascii="宋体" w:hAnsi="宋体" w:cs="宋体" w:eastAsia="宋体" w:hint="default"/>
        </w:rPr>
        <w:t>5</w:t>
      </w:r>
      <w:r>
        <w:rPr/>
        <w:t>）确认单独所发生的费用，以及按其份额确认共同经营发生的费用。</w:t>
      </w:r>
      <w:r>
        <w:rPr>
          <w:spacing w:val="-103"/>
        </w:rPr>
        <w:t> </w:t>
      </w:r>
      <w:r>
        <w:rPr>
          <w:spacing w:val="-103"/>
        </w:rPr>
      </w:r>
      <w:r>
        <w:rPr>
          <w:spacing w:val="-6"/>
          <w:w w:val="100"/>
        </w:rPr>
        <w:t>本公司向共同经营投出或出售资产等（该资产构成业务的除外），在该资产等由共同经营出售给第三方</w:t>
      </w:r>
    </w:p>
    <w:p>
      <w:pPr>
        <w:pStyle w:val="BodyText"/>
        <w:spacing w:line="352" w:lineRule="auto" w:before="29"/>
        <w:ind w:right="1002"/>
        <w:jc w:val="left"/>
      </w:pPr>
      <w:r>
        <w:rPr>
          <w:spacing w:val="-2"/>
        </w:rPr>
        <w:t>之前，仅确认因该交易产生的损益中归属于共同经营其他参与方的部分。投出或出售的资产发生符合《企</w:t>
      </w:r>
      <w:r>
        <w:rPr>
          <w:spacing w:val="-33"/>
        </w:rPr>
        <w:t> </w:t>
      </w:r>
      <w:r>
        <w:rPr>
          <w:spacing w:val="-33"/>
        </w:rPr>
      </w:r>
      <w:r>
        <w:rPr/>
        <w:t>业会计准则第</w:t>
      </w:r>
      <w:r>
        <w:rPr>
          <w:rFonts w:ascii="宋体" w:hAnsi="宋体" w:cs="宋体" w:eastAsia="宋体" w:hint="default"/>
        </w:rPr>
        <w:t>8</w:t>
      </w:r>
      <w:r>
        <w:rPr/>
        <w:t>号——资产减值》等规定的资产减值损失的，本公司全额确认该损失。</w:t>
      </w:r>
    </w:p>
    <w:p>
      <w:pPr>
        <w:pStyle w:val="BodyText"/>
        <w:spacing w:line="350" w:lineRule="auto" w:before="25"/>
        <w:ind w:right="1131" w:firstLine="360"/>
        <w:jc w:val="both"/>
      </w:pPr>
      <w:r>
        <w:rPr>
          <w:spacing w:val="-6"/>
          <w:w w:val="100"/>
        </w:rPr>
        <w:t>本公司自共同经营购买资产等（该资产构成业务的除外），在将该资产等出售给第三方之前，仅确认因</w:t>
      </w:r>
      <w:r>
        <w:rPr>
          <w:w w:val="100"/>
        </w:rPr>
        <w:t> </w:t>
      </w:r>
      <w:r>
        <w:rPr/>
        <w:t>该交易产生的损益中归属于共同经营其他参与方的部分。购入的资产发生符合《企业会计准则第</w:t>
      </w:r>
      <w:r>
        <w:rPr>
          <w:rFonts w:ascii="宋体" w:hAnsi="宋体" w:cs="宋体" w:eastAsia="宋体" w:hint="default"/>
        </w:rPr>
        <w:t>8</w:t>
      </w:r>
      <w:r>
        <w:rPr/>
        <w:t>号——</w:t>
      </w:r>
      <w:r>
        <w:rPr>
          <w:spacing w:val="-27"/>
        </w:rPr>
        <w:t> </w:t>
      </w:r>
      <w:r>
        <w:rPr/>
        <w:t>资产减值》等规定的资产减值损失的，本公司按承担的份额确认该部分损失。</w:t>
      </w:r>
    </w:p>
    <w:p>
      <w:pPr>
        <w:pStyle w:val="BodyText"/>
        <w:spacing w:line="348" w:lineRule="auto" w:before="27"/>
        <w:ind w:right="1130" w:firstLine="360"/>
        <w:jc w:val="both"/>
      </w:pPr>
      <w:r>
        <w:rPr>
          <w:spacing w:val="-1"/>
        </w:rPr>
        <w:t>本公司对共同经营不享有共同控制，如果本公司享有该共同经营相关资产且承担该共同经营相关负债</w:t>
      </w:r>
      <w:r>
        <w:rPr>
          <w:w w:val="100"/>
        </w:rPr>
        <w:t> </w:t>
      </w:r>
      <w:r>
        <w:rPr/>
        <w:t>的，仍按上述原则进行会计处理，否则，应当按照相关企业会计准则的规定进行会计处理。</w:t>
      </w:r>
    </w:p>
    <w:p>
      <w:pPr>
        <w:spacing w:after="0" w:line="348"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Heading5"/>
        <w:spacing w:line="240" w:lineRule="auto" w:before="36"/>
        <w:ind w:right="0"/>
        <w:jc w:val="both"/>
        <w:rPr>
          <w:b w:val="0"/>
          <w:bCs w:val="0"/>
        </w:rPr>
      </w:pPr>
      <w:bookmarkStart w:name="8、现金及现金等价物的确定标准" w:id="183"/>
      <w:bookmarkEnd w:id="183"/>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31"/>
          <w:szCs w:val="31"/>
        </w:rPr>
      </w:pPr>
    </w:p>
    <w:p>
      <w:pPr>
        <w:pStyle w:val="BodyText"/>
        <w:spacing w:line="350" w:lineRule="auto" w:before="0"/>
        <w:ind w:right="1130" w:firstLine="360"/>
        <w:jc w:val="both"/>
      </w:pPr>
      <w:r>
        <w:rPr>
          <w:spacing w:val="-1"/>
        </w:rPr>
        <w:t>在编制现金流量表时，将本公司库存现金以及可以随时用于支付的存款确认为现金。将同时具备期限</w:t>
      </w:r>
      <w:r>
        <w:rPr>
          <w:w w:val="100"/>
        </w:rPr>
        <w:t> </w:t>
      </w:r>
      <w:r>
        <w:rPr>
          <w:spacing w:val="-2"/>
          <w:w w:val="100"/>
        </w:rPr>
        <w:t>短（一般从购买日起三个月内到期）、流动性强、易于转换为已知金额的现金、价值变动风险很小四个条</w:t>
      </w:r>
      <w:r>
        <w:rPr>
          <w:spacing w:val="-97"/>
          <w:w w:val="100"/>
        </w:rPr>
        <w:t> </w:t>
      </w:r>
      <w:r>
        <w:rPr>
          <w:spacing w:val="-97"/>
          <w:w w:val="100"/>
        </w:rPr>
      </w:r>
      <w:r>
        <w:rPr/>
        <w:t>件的投资，确定为现金等价物。</w:t>
      </w:r>
    </w:p>
    <w:p>
      <w:pPr>
        <w:spacing w:line="240" w:lineRule="auto" w:before="11"/>
        <w:rPr>
          <w:rFonts w:ascii="宋体" w:hAnsi="宋体" w:cs="宋体" w:eastAsia="宋体" w:hint="default"/>
          <w:sz w:val="24"/>
          <w:szCs w:val="24"/>
        </w:rPr>
      </w:pPr>
    </w:p>
    <w:p>
      <w:pPr>
        <w:pStyle w:val="Heading5"/>
        <w:spacing w:line="240" w:lineRule="auto"/>
        <w:ind w:right="0"/>
        <w:jc w:val="both"/>
        <w:rPr>
          <w:b w:val="0"/>
          <w:bCs w:val="0"/>
        </w:rPr>
      </w:pPr>
      <w:bookmarkStart w:name="9、外币业务和外币报表折算" w:id="184"/>
      <w:bookmarkEnd w:id="184"/>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31"/>
          <w:szCs w:val="31"/>
        </w:rPr>
      </w:pPr>
    </w:p>
    <w:p>
      <w:pPr>
        <w:pStyle w:val="BodyText"/>
        <w:spacing w:line="350" w:lineRule="auto" w:before="0"/>
        <w:ind w:left="473" w:right="1002"/>
        <w:jc w:val="left"/>
      </w:pPr>
      <w:r>
        <w:rPr>
          <w:rFonts w:ascii="宋体" w:hAnsi="宋体" w:cs="宋体" w:eastAsia="宋体" w:hint="default"/>
          <w:b/>
          <w:bCs/>
        </w:rPr>
        <w:t>1</w:t>
      </w:r>
      <w:r>
        <w:rPr>
          <w:rFonts w:ascii="宋体" w:hAnsi="宋体" w:cs="宋体" w:eastAsia="宋体" w:hint="default"/>
          <w:b/>
          <w:bCs/>
        </w:rPr>
        <w:t>、外币业务</w:t>
      </w:r>
      <w:r>
        <w:rPr>
          <w:rFonts w:ascii="宋体" w:hAnsi="宋体" w:cs="宋体" w:eastAsia="宋体" w:hint="default"/>
          <w:b/>
          <w:bCs/>
          <w:w w:val="100"/>
        </w:rPr>
        <w:t> </w:t>
      </w:r>
      <w:r>
        <w:rPr/>
        <w:t>外币业务交易在初始确认时，采用交易发生日的即期汇率作为折算汇率折合成人民币记账。</w:t>
      </w:r>
      <w:r>
        <w:rPr>
          <w:spacing w:val="-103"/>
        </w:rPr>
        <w:t> </w:t>
      </w:r>
      <w:r>
        <w:rPr>
          <w:spacing w:val="-103"/>
        </w:rPr>
      </w:r>
      <w:r>
        <w:rPr>
          <w:spacing w:val="-1"/>
        </w:rPr>
        <w:t>资产负债表日，外币货币性项目按资产负债表日即期汇率折算，由此产生的汇兑差额，除属于与购建</w:t>
      </w:r>
    </w:p>
    <w:p>
      <w:pPr>
        <w:pStyle w:val="BodyText"/>
        <w:spacing w:line="350" w:lineRule="auto" w:before="27"/>
        <w:ind w:right="1125"/>
        <w:jc w:val="both"/>
      </w:pPr>
      <w:r>
        <w:rPr>
          <w:spacing w:val="-2"/>
        </w:rPr>
        <w:t>符合资本化条件的资产相关的外币专门借款产生的汇兑差额按照借款费用资本化的原则处理外，均计入当</w:t>
      </w:r>
      <w:r>
        <w:rPr>
          <w:spacing w:val="-33"/>
        </w:rPr>
        <w:t> </w:t>
      </w:r>
      <w:r>
        <w:rPr>
          <w:spacing w:val="-33"/>
        </w:rPr>
      </w:r>
      <w:r>
        <w:rPr>
          <w:spacing w:val="-2"/>
        </w:rPr>
        <w:t>期损益。以历史成本计量的外币非货币性项目，仍采用交易发生日的即期汇率折算，不改变其记账本位币</w:t>
      </w:r>
      <w:r>
        <w:rPr>
          <w:spacing w:val="-33"/>
        </w:rPr>
        <w:t> </w:t>
      </w:r>
      <w:r>
        <w:rPr>
          <w:spacing w:val="-33"/>
        </w:rPr>
      </w:r>
      <w:r>
        <w:rPr/>
        <w:t>金额。</w:t>
      </w:r>
    </w:p>
    <w:p>
      <w:pPr>
        <w:pStyle w:val="BodyText"/>
        <w:spacing w:line="350" w:lineRule="auto" w:before="27"/>
        <w:ind w:right="1125" w:firstLine="360"/>
        <w:jc w:val="both"/>
      </w:pPr>
      <w:r>
        <w:rPr>
          <w:spacing w:val="-1"/>
        </w:rPr>
        <w:t>以公允价值计量的外币非货币性项目，采用公允价值确定日的即期汇率折算，由此产生的汇兑差额作</w:t>
      </w:r>
      <w:r>
        <w:rPr>
          <w:w w:val="100"/>
        </w:rPr>
        <w:t> </w:t>
      </w:r>
      <w:r>
        <w:rPr>
          <w:spacing w:val="-2"/>
        </w:rPr>
        <w:t>为公允价值变动损益计入当期损益。如属于可供出售外币非货币性项目的，形成的汇兑差额计入其他综合</w:t>
      </w:r>
      <w:r>
        <w:rPr>
          <w:spacing w:val="-33"/>
        </w:rPr>
        <w:t> </w:t>
      </w:r>
      <w:r>
        <w:rPr>
          <w:spacing w:val="-33"/>
        </w:rPr>
      </w:r>
      <w:r>
        <w:rPr/>
        <w:t>收益。</w:t>
      </w:r>
    </w:p>
    <w:p>
      <w:pPr>
        <w:spacing w:line="352" w:lineRule="auto" w:before="27"/>
        <w:ind w:left="473" w:right="1002"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spacing w:val="-103"/>
          <w:sz w:val="21"/>
          <w:szCs w:val="21"/>
        </w:rPr>
        <w:t> </w:t>
      </w:r>
      <w:r>
        <w:rPr>
          <w:rFonts w:ascii="宋体" w:hAnsi="宋体" w:cs="宋体" w:eastAsia="宋体" w:hint="default"/>
          <w:spacing w:val="-5"/>
          <w:sz w:val="21"/>
          <w:szCs w:val="21"/>
        </w:rPr>
        <w:t>资产负债表中的资产和负债项目，采用资产负债表日的即期汇率折算；所有者权益项目除</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未分配利润</w:t>
      </w:r>
      <w:r>
        <w:rPr>
          <w:rFonts w:ascii="Times New Roman" w:hAnsi="Times New Roman" w:cs="Times New Roman" w:eastAsia="Times New Roman" w:hint="default"/>
          <w:spacing w:val="-5"/>
          <w:sz w:val="21"/>
          <w:szCs w:val="21"/>
        </w:rPr>
        <w:t>”</w:t>
      </w:r>
    </w:p>
    <w:p>
      <w:pPr>
        <w:pStyle w:val="BodyText"/>
        <w:spacing w:line="348" w:lineRule="auto" w:before="0"/>
        <w:ind w:right="1125"/>
        <w:jc w:val="both"/>
      </w:pPr>
      <w:r>
        <w:rPr>
          <w:spacing w:val="-2"/>
        </w:rPr>
        <w:t>项目外，其他项目采用发生时的即期汇率折算。利润表中的收入和费用项目，采用交易发生日的即期汇率</w:t>
      </w:r>
      <w:r>
        <w:rPr>
          <w:spacing w:val="-33"/>
        </w:rPr>
        <w:t> </w:t>
      </w:r>
      <w:r>
        <w:rPr>
          <w:spacing w:val="-33"/>
        </w:rPr>
      </w:r>
      <w:r>
        <w:rPr/>
        <w:t>折算。按照上述折算产生的外币财务报表折算差额计入其他综合收益。</w:t>
      </w:r>
    </w:p>
    <w:p>
      <w:pPr>
        <w:pStyle w:val="BodyText"/>
        <w:spacing w:line="348" w:lineRule="auto" w:before="34"/>
        <w:ind w:right="1125" w:firstLine="360"/>
        <w:jc w:val="both"/>
      </w:pPr>
      <w:r>
        <w:rPr>
          <w:spacing w:val="-1"/>
        </w:rPr>
        <w:t>处置境外经营时，将资产负债表中其他综合收益项目中列示的、与该境外经营相关的外币财务报表折</w:t>
      </w:r>
      <w:r>
        <w:rPr>
          <w:w w:val="100"/>
        </w:rPr>
        <w:t> </w:t>
      </w:r>
      <w:r>
        <w:rPr>
          <w:spacing w:val="-2"/>
        </w:rPr>
        <w:t>算差额，自其他综合收益项目转入处置当期损益；在处置部分股权投资或其他原因导致持有境外经营权益</w:t>
      </w:r>
      <w:r>
        <w:rPr>
          <w:spacing w:val="-32"/>
        </w:rPr>
        <w:t> </w:t>
      </w:r>
      <w:r>
        <w:rPr>
          <w:spacing w:val="-32"/>
        </w:rPr>
      </w:r>
      <w:r>
        <w:rPr>
          <w:spacing w:val="-2"/>
        </w:rPr>
        <w:t>比例降低但不丧失对境外经营控制权时，与该境外经营处置部分相关的外币报表折算差额将归属于少数股</w:t>
      </w:r>
      <w:r>
        <w:rPr>
          <w:spacing w:val="-33"/>
        </w:rPr>
        <w:t> </w:t>
      </w:r>
      <w:r>
        <w:rPr>
          <w:spacing w:val="-33"/>
        </w:rPr>
      </w:r>
      <w:r>
        <w:rPr>
          <w:spacing w:val="-2"/>
        </w:rPr>
        <w:t>东权益，不转入当期损益。在处置境外经营为联营企业或合营企业的部分股权时，与该境外经营相关的外</w:t>
      </w:r>
      <w:r>
        <w:rPr>
          <w:spacing w:val="-33"/>
        </w:rPr>
        <w:t> </w:t>
      </w:r>
      <w:r>
        <w:rPr>
          <w:spacing w:val="-33"/>
        </w:rPr>
      </w:r>
      <w:r>
        <w:rPr/>
        <w:t>币报表折算差额，按处置该境外经营的比例转入处置当期损益。</w:t>
      </w:r>
    </w:p>
    <w:p>
      <w:pPr>
        <w:spacing w:line="706" w:lineRule="exact" w:before="7"/>
        <w:ind w:left="473" w:right="3345" w:hanging="360"/>
        <w:jc w:val="left"/>
        <w:rPr>
          <w:rFonts w:ascii="宋体" w:hAnsi="宋体" w:cs="宋体" w:eastAsia="宋体" w:hint="default"/>
          <w:sz w:val="21"/>
          <w:szCs w:val="21"/>
        </w:rPr>
      </w:pPr>
      <w:bookmarkStart w:name="10、金融工具" w:id="185"/>
      <w:bookmarkEnd w:id="185"/>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b/>
          <w:bCs/>
          <w:spacing w:val="-103"/>
          <w:sz w:val="21"/>
          <w:szCs w:val="21"/>
        </w:rPr>
        <w:t> </w:t>
      </w:r>
      <w:r>
        <w:rPr>
          <w:rFonts w:ascii="宋体" w:hAnsi="宋体" w:cs="宋体" w:eastAsia="宋体" w:hint="default"/>
          <w:spacing w:val="-2"/>
          <w:sz w:val="21"/>
          <w:szCs w:val="21"/>
        </w:rPr>
        <w:t>在本公司成为金融工具合同的一方时确认一项金融资产或金融负债。</w:t>
      </w:r>
    </w:p>
    <w:p>
      <w:pPr>
        <w:pStyle w:val="BodyText"/>
        <w:spacing w:line="348" w:lineRule="auto" w:before="12"/>
        <w:ind w:right="1130" w:firstLine="360"/>
        <w:jc w:val="both"/>
      </w:pPr>
      <w:r>
        <w:rPr>
          <w:spacing w:val="-1"/>
        </w:rPr>
        <w:t>实际利率法是指计算金融资产或金融负债的摊余成本以及将利息收入或利息费用分摊计入各会计期间</w:t>
      </w:r>
      <w:r>
        <w:rPr>
          <w:w w:val="100"/>
        </w:rPr>
        <w:t> </w:t>
      </w:r>
      <w:r>
        <w:rPr/>
        <w:t>的方法。</w:t>
      </w:r>
    </w:p>
    <w:p>
      <w:pPr>
        <w:pStyle w:val="BodyText"/>
        <w:spacing w:line="348" w:lineRule="auto" w:before="34"/>
        <w:ind w:right="1122" w:firstLine="360"/>
        <w:jc w:val="both"/>
      </w:pPr>
      <w:r>
        <w:rPr>
          <w:spacing w:val="-1"/>
        </w:rPr>
        <w:t>实际利率，是指将金融资产或金融负债在预计存续期的估计未来现金流量，折现为该金融资产账面余</w:t>
      </w:r>
      <w:r>
        <w:rPr>
          <w:w w:val="100"/>
        </w:rPr>
        <w:t> </w:t>
      </w:r>
      <w:r>
        <w:rPr>
          <w:spacing w:val="-4"/>
        </w:rPr>
        <w:t>额或该金融负债摊余成本所使用的利率。在确定实际利率时，在考虑金融资产或金融负债所有合同条款</w:t>
      </w:r>
      <w:r>
        <w:rPr>
          <w:rFonts w:ascii="宋体" w:hAnsi="宋体" w:cs="宋体" w:eastAsia="宋体" w:hint="default"/>
          <w:spacing w:val="-4"/>
        </w:rPr>
        <w:t>(</w:t>
      </w:r>
      <w:r>
        <w:rPr>
          <w:spacing w:val="-4"/>
        </w:rPr>
        <w:t>如</w:t>
      </w:r>
      <w:r>
        <w:rPr>
          <w:spacing w:val="-40"/>
        </w:rPr>
        <w:t> </w:t>
      </w:r>
      <w:r>
        <w:rPr/>
        <w:t>提前还款、展期、看涨期权或其他类似期权等</w:t>
      </w:r>
      <w:r>
        <w:rPr>
          <w:rFonts w:ascii="宋体" w:hAnsi="宋体" w:cs="宋体" w:eastAsia="宋体" w:hint="default"/>
        </w:rPr>
        <w:t>)</w:t>
      </w:r>
      <w:r>
        <w:rPr/>
        <w:t>的基础上估计预期现金流量，但不考虑预期信用损失。</w:t>
      </w:r>
    </w:p>
    <w:p>
      <w:pPr>
        <w:pStyle w:val="BodyText"/>
        <w:spacing w:line="240" w:lineRule="auto" w:before="34"/>
        <w:ind w:left="473" w:right="1002"/>
        <w:jc w:val="left"/>
      </w:pPr>
      <w:r>
        <w:rPr/>
        <w:t>金融资产或金融负债的摊余成本是以该金融资产或金融负债的初始确认金额扣除已偿还的本金，加上</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right="1126"/>
        <w:jc w:val="both"/>
      </w:pPr>
      <w:r>
        <w:rPr>
          <w:spacing w:val="-2"/>
        </w:rPr>
        <w:t>或减去采用实际利率法将该初始确认金额与到期日金额之间的差额进行摊销形成的累计摊销额，再扣除累</w:t>
      </w:r>
      <w:r>
        <w:rPr>
          <w:spacing w:val="-33"/>
        </w:rPr>
        <w:t> </w:t>
      </w:r>
      <w:r>
        <w:rPr>
          <w:spacing w:val="-33"/>
        </w:rPr>
      </w:r>
      <w:r>
        <w:rPr/>
        <w:t>计计提的损失准备</w:t>
      </w:r>
      <w:r>
        <w:rPr>
          <w:rFonts w:ascii="宋体" w:hAnsi="宋体" w:cs="宋体" w:eastAsia="宋体" w:hint="default"/>
        </w:rPr>
        <w:t>(</w:t>
      </w:r>
      <w:r>
        <w:rPr/>
        <w:t>仅适用于金融资产</w:t>
      </w:r>
      <w:r>
        <w:rPr>
          <w:rFonts w:ascii="宋体" w:hAnsi="宋体" w:cs="宋体" w:eastAsia="宋体" w:hint="default"/>
        </w:rPr>
        <w:t>)</w:t>
      </w:r>
      <w:r>
        <w:rPr/>
        <w:t>。</w:t>
      </w:r>
    </w:p>
    <w:p>
      <w:pPr>
        <w:spacing w:line="348" w:lineRule="auto" w:before="34"/>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、金融资产分类和计量</w:t>
      </w:r>
      <w:r>
        <w:rPr>
          <w:rFonts w:ascii="宋体" w:hAnsi="宋体" w:cs="宋体" w:eastAsia="宋体" w:hint="default"/>
          <w:b/>
          <w:bCs/>
          <w:spacing w:val="-103"/>
          <w:sz w:val="21"/>
          <w:szCs w:val="21"/>
        </w:rPr>
        <w:t> </w:t>
      </w:r>
      <w:r>
        <w:rPr>
          <w:rFonts w:ascii="宋体" w:hAnsi="宋体" w:cs="宋体" w:eastAsia="宋体" w:hint="default"/>
          <w:spacing w:val="-3"/>
          <w:sz w:val="21"/>
          <w:szCs w:val="21"/>
        </w:rPr>
        <w:t>本公司根据所管理金融资产的业务模式和金融资产的合同现金流量特征，将金融资产划分为以下三类：</w:t>
      </w:r>
    </w:p>
    <w:p>
      <w:pPr>
        <w:pStyle w:val="BodyText"/>
        <w:spacing w:line="240" w:lineRule="auto" w:before="29"/>
        <w:ind w:left="473" w:right="1002"/>
        <w:jc w:val="left"/>
      </w:pPr>
      <w:r>
        <w:rPr/>
        <w:t>（</w:t>
      </w:r>
      <w:r>
        <w:rPr>
          <w:rFonts w:ascii="宋体" w:hAnsi="宋体" w:cs="宋体" w:eastAsia="宋体" w:hint="default"/>
        </w:rPr>
        <w:t>1</w:t>
      </w:r>
      <w:r>
        <w:rPr/>
        <w:t>）以摊余成本计量的金融资产。</w:t>
      </w:r>
    </w:p>
    <w:p>
      <w:pPr>
        <w:pStyle w:val="BodyText"/>
        <w:spacing w:line="240" w:lineRule="auto" w:before="128"/>
        <w:ind w:left="473" w:right="1002"/>
        <w:jc w:val="left"/>
      </w:pPr>
      <w:r>
        <w:rPr/>
        <w:t>（</w:t>
      </w:r>
      <w:r>
        <w:rPr>
          <w:rFonts w:ascii="宋体" w:hAnsi="宋体" w:cs="宋体" w:eastAsia="宋体" w:hint="default"/>
        </w:rPr>
        <w:t>2</w:t>
      </w:r>
      <w:r>
        <w:rPr/>
        <w:t>）以公允价值计量且其变动计入其他综合收益的金融资产。</w:t>
      </w:r>
    </w:p>
    <w:p>
      <w:pPr>
        <w:pStyle w:val="BodyText"/>
        <w:spacing w:line="348" w:lineRule="auto" w:before="123"/>
        <w:ind w:left="473" w:right="1002"/>
        <w:jc w:val="left"/>
      </w:pPr>
      <w:r>
        <w:rPr/>
        <w:t>（</w:t>
      </w:r>
      <w:r>
        <w:rPr>
          <w:rFonts w:ascii="宋体" w:hAnsi="宋体" w:cs="宋体" w:eastAsia="宋体" w:hint="default"/>
        </w:rPr>
        <w:t>3</w:t>
      </w:r>
      <w:r>
        <w:rPr/>
        <w:t>）以公允价值计量且其变动计入当期损益的金融资产。</w:t>
      </w:r>
      <w:r>
        <w:rPr>
          <w:w w:val="100"/>
        </w:rPr>
        <w:t> </w:t>
      </w:r>
      <w:r>
        <w:rPr>
          <w:spacing w:val="-1"/>
        </w:rPr>
        <w:t>金融资产在初始确认时以公允价值计量，但是因销售商品或提供服务等产生的应收账款或应收票据未</w:t>
      </w:r>
    </w:p>
    <w:p>
      <w:pPr>
        <w:pStyle w:val="BodyText"/>
        <w:spacing w:line="348" w:lineRule="auto" w:before="34"/>
        <w:ind w:left="473" w:right="1002" w:hanging="360"/>
        <w:jc w:val="left"/>
      </w:pPr>
      <w:r>
        <w:rPr/>
        <w:t>包含重大融资成分或不考虑不超过一年的融资成分的，按照交易价格进行初始计量。</w:t>
      </w:r>
      <w:r>
        <w:rPr>
          <w:w w:val="100"/>
        </w:rPr>
        <w:t> </w:t>
      </w:r>
      <w:r>
        <w:rPr>
          <w:spacing w:val="-1"/>
        </w:rPr>
        <w:t>对于以公允价值计量且其变动计入当期损益的金融资产，相关交易费用直接计入当期损益，其他类别</w:t>
      </w:r>
    </w:p>
    <w:p>
      <w:pPr>
        <w:pStyle w:val="BodyText"/>
        <w:spacing w:line="352" w:lineRule="auto" w:before="29"/>
        <w:ind w:left="473" w:right="1002" w:hanging="360"/>
        <w:jc w:val="left"/>
      </w:pPr>
      <w:r>
        <w:rPr/>
        <w:t>的金融资产相关交易费用计入其初始确认金额。</w:t>
      </w:r>
      <w:r>
        <w:rPr>
          <w:spacing w:val="-99"/>
        </w:rPr>
        <w:t> </w:t>
      </w:r>
      <w:r>
        <w:rPr>
          <w:spacing w:val="-99"/>
        </w:rPr>
      </w:r>
      <w:r>
        <w:rPr>
          <w:spacing w:val="-1"/>
        </w:rPr>
        <w:t>金融资产的后续计量取决于其分类，当且仅当本公司改变管理金融资产的业务模式时，才对所有受影</w:t>
      </w:r>
    </w:p>
    <w:p>
      <w:pPr>
        <w:pStyle w:val="BodyText"/>
        <w:spacing w:line="240" w:lineRule="auto" w:before="25"/>
        <w:ind w:right="1002"/>
        <w:jc w:val="left"/>
      </w:pPr>
      <w:r>
        <w:rPr/>
        <w:t>响的相关金融资产进行重分类。</w:t>
      </w:r>
    </w:p>
    <w:p>
      <w:pPr>
        <w:pStyle w:val="BodyText"/>
        <w:spacing w:line="352" w:lineRule="auto" w:before="123"/>
        <w:ind w:left="473" w:right="1002"/>
        <w:jc w:val="left"/>
      </w:pPr>
      <w:r>
        <w:rPr/>
        <w:t>（</w:t>
      </w:r>
      <w:r>
        <w:rPr>
          <w:rFonts w:ascii="宋体" w:hAnsi="宋体" w:cs="宋体" w:eastAsia="宋体" w:hint="default"/>
        </w:rPr>
        <w:t>1</w:t>
      </w:r>
      <w:r>
        <w:rPr/>
        <w:t>）分类为以摊余成本计量的金融资产</w:t>
      </w:r>
      <w:r>
        <w:rPr>
          <w:spacing w:val="-99"/>
        </w:rPr>
        <w:t> </w:t>
      </w:r>
      <w:r>
        <w:rPr>
          <w:spacing w:val="-99"/>
        </w:rPr>
      </w:r>
      <w:r>
        <w:rPr>
          <w:spacing w:val="-1"/>
        </w:rPr>
        <w:t>金融资产的合同条款规定在特定日期产生的现金流量仅为对本金和以未偿付本金金额为基础的利息的</w:t>
      </w:r>
    </w:p>
    <w:p>
      <w:pPr>
        <w:pStyle w:val="BodyText"/>
        <w:spacing w:line="350" w:lineRule="auto" w:before="25"/>
        <w:ind w:right="1125"/>
        <w:jc w:val="both"/>
      </w:pPr>
      <w:r>
        <w:rPr>
          <w:spacing w:val="-2"/>
        </w:rPr>
        <w:t>支付，且管理该金融资产的业务模式是以收取合同现金流量为目标，则本公司将该金融资产分类为以摊余</w:t>
      </w:r>
      <w:r>
        <w:rPr>
          <w:spacing w:val="-33"/>
        </w:rPr>
        <w:t> </w:t>
      </w:r>
      <w:r>
        <w:rPr>
          <w:spacing w:val="-33"/>
        </w:rPr>
      </w:r>
      <w:r>
        <w:rPr>
          <w:spacing w:val="-2"/>
        </w:rPr>
        <w:t>成本计量的金融资产。本公司分类为以摊余成本计量的金融资产包括货币资金、应收票据及应收账款、其</w:t>
      </w:r>
      <w:r>
        <w:rPr>
          <w:spacing w:val="-33"/>
        </w:rPr>
        <w:t> </w:t>
      </w:r>
      <w:r>
        <w:rPr>
          <w:spacing w:val="-33"/>
        </w:rPr>
      </w:r>
      <w:r>
        <w:rPr/>
        <w:t>他应收款、长期应收款等。</w:t>
      </w:r>
    </w:p>
    <w:p>
      <w:pPr>
        <w:pStyle w:val="BodyText"/>
        <w:spacing w:line="350" w:lineRule="auto" w:before="27"/>
        <w:ind w:right="1126" w:firstLine="360"/>
        <w:jc w:val="both"/>
      </w:pPr>
      <w:r>
        <w:rPr>
          <w:spacing w:val="-1"/>
        </w:rPr>
        <w:t>本公司对此类金融资产采用实际利率法确认利息收入，按摊余成本进行后续计量，其发生减值时或终</w:t>
      </w:r>
      <w:r>
        <w:rPr>
          <w:w w:val="100"/>
        </w:rPr>
        <w:t> </w:t>
      </w:r>
      <w:r>
        <w:rPr>
          <w:spacing w:val="-2"/>
        </w:rPr>
        <w:t>止确认、修改产生的利得或损失，计入当期损益。除下列情况外，本公司根据金融资产账面余额乘以实际</w:t>
      </w:r>
      <w:r>
        <w:rPr>
          <w:spacing w:val="-33"/>
        </w:rPr>
        <w:t> </w:t>
      </w:r>
      <w:r>
        <w:rPr>
          <w:spacing w:val="-33"/>
        </w:rPr>
      </w:r>
      <w:r>
        <w:rPr/>
        <w:t>利率计算确定利息收入：</w:t>
      </w:r>
    </w:p>
    <w:p>
      <w:pPr>
        <w:pStyle w:val="BodyText"/>
        <w:spacing w:line="348" w:lineRule="auto" w:before="27"/>
        <w:ind w:right="1126" w:firstLine="360"/>
        <w:jc w:val="both"/>
      </w:pPr>
      <w:r>
        <w:rPr>
          <w:rFonts w:ascii="宋体" w:hAnsi="宋体" w:cs="宋体" w:eastAsia="宋体" w:hint="default"/>
          <w:spacing w:val="-3"/>
        </w:rPr>
        <w:t>1</w:t>
      </w:r>
      <w:r>
        <w:rPr>
          <w:spacing w:val="-3"/>
        </w:rPr>
        <w:t>）对于购入或源生的已发生信用减值的金融资产，本公司自初始确认起，按照该金融资产的摊余成本</w:t>
      </w:r>
      <w:r>
        <w:rPr>
          <w:w w:val="100"/>
        </w:rPr>
        <w:t> </w:t>
      </w:r>
      <w:r>
        <w:rPr/>
        <w:t>和经信用调整的实际利率计算确定其利息收入。</w:t>
      </w:r>
    </w:p>
    <w:p>
      <w:pPr>
        <w:pStyle w:val="BodyText"/>
        <w:spacing w:line="348" w:lineRule="auto" w:before="34"/>
        <w:ind w:right="1125" w:firstLine="360"/>
        <w:jc w:val="both"/>
      </w:pPr>
      <w:r>
        <w:rPr>
          <w:rFonts w:ascii="宋体" w:hAnsi="宋体" w:cs="宋体" w:eastAsia="宋体" w:hint="default"/>
          <w:spacing w:val="-3"/>
        </w:rPr>
        <w:t>2</w:t>
      </w:r>
      <w:r>
        <w:rPr>
          <w:spacing w:val="-3"/>
        </w:rPr>
        <w:t>）对于购入或源生的未发生信用减值、但在后续期间成为已发生信用减值的金融资产，本公司在后续</w:t>
      </w:r>
      <w:r>
        <w:rPr>
          <w:w w:val="100"/>
        </w:rPr>
        <w:t> </w:t>
      </w:r>
      <w:r>
        <w:rPr>
          <w:spacing w:val="-2"/>
        </w:rPr>
        <w:t>期间，按照该金融资产的摊余成本和实际利率计算确定其利息收入。若该金融工具在后续期间因其信用风</w:t>
      </w:r>
      <w:r>
        <w:rPr>
          <w:spacing w:val="-33"/>
        </w:rPr>
        <w:t> </w:t>
      </w:r>
      <w:r>
        <w:rPr>
          <w:spacing w:val="-33"/>
        </w:rPr>
      </w:r>
      <w:r>
        <w:rPr/>
        <w:t>险有所改善而不再存在信用减值，本公司转按实际利率乘以该金融资产账面余额来计算确定利息收入。</w:t>
      </w:r>
    </w:p>
    <w:p>
      <w:pPr>
        <w:pStyle w:val="BodyText"/>
        <w:spacing w:line="348" w:lineRule="auto" w:before="34"/>
        <w:ind w:left="473" w:right="1002"/>
        <w:jc w:val="left"/>
      </w:pPr>
      <w:r>
        <w:rPr/>
        <w:t>（</w:t>
      </w:r>
      <w:r>
        <w:rPr>
          <w:rFonts w:ascii="宋体" w:hAnsi="宋体" w:cs="宋体" w:eastAsia="宋体" w:hint="default"/>
        </w:rPr>
        <w:t>2</w:t>
      </w:r>
      <w:r>
        <w:rPr/>
        <w:t>）分类为以公允价值计量且其变动计入其他综合收益的金融资产</w:t>
      </w:r>
      <w:r>
        <w:rPr>
          <w:w w:val="100"/>
        </w:rPr>
        <w:t> </w:t>
      </w:r>
      <w:r>
        <w:rPr>
          <w:spacing w:val="-1"/>
        </w:rPr>
        <w:t>金融资产的合同条款规定在特定日期产生的现金流量仅为对本金和以未偿付本金金额为基础的利息的</w:t>
      </w:r>
    </w:p>
    <w:p>
      <w:pPr>
        <w:pStyle w:val="BodyText"/>
        <w:spacing w:line="352" w:lineRule="auto" w:before="29"/>
        <w:ind w:right="1125"/>
        <w:jc w:val="both"/>
      </w:pPr>
      <w:r>
        <w:rPr>
          <w:spacing w:val="-2"/>
        </w:rPr>
        <w:t>支付，且管理该金融资产的业务模式既以收取合同现金流量为目标又以出售该金融资产为目标，则本公司</w:t>
      </w:r>
      <w:r>
        <w:rPr>
          <w:spacing w:val="-33"/>
        </w:rPr>
        <w:t> </w:t>
      </w:r>
      <w:r>
        <w:rPr>
          <w:spacing w:val="-33"/>
        </w:rPr>
      </w:r>
      <w:r>
        <w:rPr/>
        <w:t>将该金融资产分类为以公允价值计量且其变动计入其他综合收益的金融资产。</w:t>
      </w:r>
    </w:p>
    <w:p>
      <w:pPr>
        <w:pStyle w:val="BodyText"/>
        <w:spacing w:line="350" w:lineRule="auto" w:before="25"/>
        <w:ind w:right="1123" w:firstLine="360"/>
        <w:jc w:val="both"/>
      </w:pPr>
      <w:r>
        <w:rPr>
          <w:spacing w:val="-1"/>
        </w:rPr>
        <w:t>本公司对此类金融资产采用实际利率法确认利息收入。除利息收入、减值损失及汇兑差额确认为当期</w:t>
      </w:r>
      <w:r>
        <w:rPr>
          <w:w w:val="100"/>
        </w:rPr>
        <w:t> </w:t>
      </w:r>
      <w:r>
        <w:rPr>
          <w:spacing w:val="-2"/>
        </w:rPr>
        <w:t>损益外，其余公允价值变动计入其他综合收益。当该金融资产终止确认时，之前计入其他综合收益的累计</w:t>
      </w:r>
      <w:r>
        <w:rPr>
          <w:spacing w:val="-31"/>
        </w:rPr>
        <w:t> </w:t>
      </w:r>
      <w:r>
        <w:rPr>
          <w:spacing w:val="-31"/>
        </w:rPr>
      </w:r>
      <w:r>
        <w:rPr/>
        <w:t>利得或损失从其他综合收益中转出，计入当期损益。</w:t>
      </w:r>
    </w:p>
    <w:p>
      <w:pPr>
        <w:pStyle w:val="BodyText"/>
        <w:spacing w:line="240" w:lineRule="auto" w:before="27"/>
        <w:ind w:left="473" w:right="1002"/>
        <w:jc w:val="left"/>
      </w:pPr>
      <w:r>
        <w:rPr/>
        <w:t>以公允价值计量且变动计入其他综合收益的应收票据及应收账款列报为应收款项融资，其他此类金融</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right="1125"/>
        <w:jc w:val="both"/>
      </w:pPr>
      <w:r>
        <w:rPr>
          <w:spacing w:val="-2"/>
        </w:rPr>
        <w:t>资产列报为其他债权投资，其中：自资产负债表日起一年内到期的其他债权投资列报为一年内到期的非流</w:t>
      </w:r>
      <w:r>
        <w:rPr>
          <w:spacing w:val="-33"/>
        </w:rPr>
        <w:t> </w:t>
      </w:r>
      <w:r>
        <w:rPr>
          <w:spacing w:val="-33"/>
        </w:rPr>
      </w:r>
      <w:r>
        <w:rPr/>
        <w:t>动资产，原到期日在一年以内的其他债权投资列报为其他流动资产。</w:t>
      </w:r>
    </w:p>
    <w:p>
      <w:pPr>
        <w:pStyle w:val="BodyText"/>
        <w:spacing w:line="348" w:lineRule="auto" w:before="34"/>
        <w:ind w:left="473" w:right="1002"/>
        <w:jc w:val="left"/>
      </w:pPr>
      <w:r>
        <w:rPr/>
        <w:t>（</w:t>
      </w:r>
      <w:r>
        <w:rPr>
          <w:rFonts w:ascii="宋体" w:hAnsi="宋体" w:cs="宋体" w:eastAsia="宋体" w:hint="default"/>
        </w:rPr>
        <w:t>3</w:t>
      </w:r>
      <w:r>
        <w:rPr/>
        <w:t>）指定为以公允价值计量且其变动计入其他综合收益的金融资产</w:t>
      </w:r>
      <w:r>
        <w:rPr>
          <w:w w:val="100"/>
        </w:rPr>
        <w:t> </w:t>
      </w:r>
      <w:r>
        <w:rPr>
          <w:spacing w:val="-1"/>
        </w:rPr>
        <w:t>在初始确认时，本公司可以单项金融资产为基础不可撤销地将非交易性权益工具投资指定为以公允价</w:t>
      </w:r>
    </w:p>
    <w:p>
      <w:pPr>
        <w:pStyle w:val="BodyText"/>
        <w:spacing w:line="352" w:lineRule="auto" w:before="29"/>
        <w:ind w:left="473" w:right="1002" w:hanging="360"/>
        <w:jc w:val="left"/>
      </w:pPr>
      <w:r>
        <w:rPr/>
        <w:t>值计量且其变动计入其他综合收益的金融资产。</w:t>
      </w:r>
      <w:r>
        <w:rPr>
          <w:spacing w:val="-99"/>
        </w:rPr>
        <w:t> </w:t>
      </w:r>
      <w:r>
        <w:rPr>
          <w:spacing w:val="-99"/>
        </w:rPr>
      </w:r>
      <w:r>
        <w:rPr>
          <w:spacing w:val="-1"/>
        </w:rPr>
        <w:t>此类金融资产的公允价值变动计入其他综合收益，不需计提减值准备。该金融资产终止确认时，之前</w:t>
      </w:r>
    </w:p>
    <w:p>
      <w:pPr>
        <w:pStyle w:val="BodyText"/>
        <w:spacing w:line="350" w:lineRule="auto" w:before="25"/>
        <w:ind w:right="1125"/>
        <w:jc w:val="both"/>
      </w:pPr>
      <w:r>
        <w:rPr>
          <w:spacing w:val="-2"/>
        </w:rPr>
        <w:t>计入其他综合收益的累计利得或损失从其他综合收益中转出，计入留存收益。本公司持有该权益工具投资</w:t>
      </w:r>
      <w:r>
        <w:rPr>
          <w:spacing w:val="-33"/>
        </w:rPr>
        <w:t> </w:t>
      </w:r>
      <w:r>
        <w:rPr>
          <w:spacing w:val="-33"/>
        </w:rPr>
      </w:r>
      <w:r>
        <w:rPr>
          <w:spacing w:val="-2"/>
        </w:rPr>
        <w:t>期间，在本公司收取股利的权利已经确立，与股利相关的经济利益很可能流入本公司，且股利的金额能够</w:t>
      </w:r>
      <w:r>
        <w:rPr>
          <w:spacing w:val="-33"/>
        </w:rPr>
        <w:t> </w:t>
      </w:r>
      <w:r>
        <w:rPr>
          <w:spacing w:val="-33"/>
        </w:rPr>
      </w:r>
      <w:r>
        <w:rPr/>
        <w:t>可靠计量时，确认股利收入并计入当期损益。本公司对此类金融资产在其他权益工具投资项目下列报。</w:t>
      </w:r>
    </w:p>
    <w:p>
      <w:pPr>
        <w:pStyle w:val="BodyText"/>
        <w:spacing w:line="350" w:lineRule="auto" w:before="27"/>
        <w:ind w:right="1123" w:firstLine="360"/>
        <w:jc w:val="both"/>
      </w:pPr>
      <w:r>
        <w:rPr>
          <w:spacing w:val="-1"/>
        </w:rPr>
        <w:t>权益工具投资满足下列条件之一的，属于以公允价值计量且其变动计入当期损益的金融资产：取得该</w:t>
      </w:r>
      <w:r>
        <w:rPr>
          <w:w w:val="100"/>
        </w:rPr>
        <w:t> </w:t>
      </w:r>
      <w:r>
        <w:rPr>
          <w:spacing w:val="-2"/>
        </w:rPr>
        <w:t>金融资产的目的主要是为了近期出售；初始确认时属于集中管理的可辨认金融资产工具组合的一部分，且</w:t>
      </w:r>
      <w:r>
        <w:rPr>
          <w:spacing w:val="-31"/>
        </w:rPr>
        <w:t> </w:t>
      </w:r>
      <w:r>
        <w:rPr>
          <w:spacing w:val="-31"/>
        </w:rPr>
      </w:r>
      <w:r>
        <w:rPr>
          <w:spacing w:val="-2"/>
        </w:rPr>
        <w:t>有客观证据表明近期实际存在短期获利模式；属于衍生工具（符合财务担保合同定义的以及被指定为有效</w:t>
      </w:r>
      <w:r>
        <w:rPr>
          <w:spacing w:val="-33"/>
        </w:rPr>
        <w:t> </w:t>
      </w:r>
      <w:r>
        <w:rPr>
          <w:spacing w:val="-33"/>
        </w:rPr>
      </w:r>
      <w:r>
        <w:rPr>
          <w:spacing w:val="-9"/>
          <w:w w:val="100"/>
        </w:rPr>
        <w:t>套期工具的衍生工具除外）。</w:t>
      </w:r>
    </w:p>
    <w:p>
      <w:pPr>
        <w:pStyle w:val="BodyText"/>
        <w:spacing w:line="352" w:lineRule="auto" w:before="27"/>
        <w:ind w:left="473" w:right="1002"/>
        <w:jc w:val="left"/>
      </w:pPr>
      <w:r>
        <w:rPr/>
        <w:t>（</w:t>
      </w:r>
      <w:r>
        <w:rPr>
          <w:rFonts w:ascii="宋体" w:hAnsi="宋体" w:cs="宋体" w:eastAsia="宋体" w:hint="default"/>
        </w:rPr>
        <w:t>4</w:t>
      </w:r>
      <w:r>
        <w:rPr/>
        <w:t>）分类为以公允价值计量且其变动计入当期损益的金融资产</w:t>
      </w:r>
      <w:r>
        <w:rPr>
          <w:spacing w:val="-102"/>
        </w:rPr>
        <w:t> </w:t>
      </w:r>
      <w:r>
        <w:rPr>
          <w:spacing w:val="-102"/>
        </w:rPr>
      </w:r>
      <w:r>
        <w:rPr>
          <w:spacing w:val="-1"/>
        </w:rPr>
        <w:t>不符合分类为以摊余成本计量或以公允价值计量且其变动计入其他综合收益的金融资产条件、亦不指</w:t>
      </w:r>
    </w:p>
    <w:p>
      <w:pPr>
        <w:pStyle w:val="BodyText"/>
        <w:spacing w:line="348" w:lineRule="auto" w:before="25"/>
        <w:ind w:right="1134"/>
        <w:jc w:val="both"/>
      </w:pPr>
      <w:r>
        <w:rPr/>
        <w:t>定为以公允价值计量且其变动计入其他综合收益的金融资产均分类为以公允价值计量且其变动计入当期</w:t>
      </w:r>
      <w:r>
        <w:rPr>
          <w:spacing w:val="60"/>
        </w:rPr>
        <w:t> </w:t>
      </w:r>
      <w:r>
        <w:rPr>
          <w:spacing w:val="60"/>
        </w:rPr>
      </w:r>
      <w:r>
        <w:rPr/>
        <w:t>损益的金融资产。</w:t>
      </w:r>
    </w:p>
    <w:p>
      <w:pPr>
        <w:pStyle w:val="BodyText"/>
        <w:spacing w:line="348" w:lineRule="auto" w:before="34"/>
        <w:ind w:right="1130" w:firstLine="360"/>
        <w:jc w:val="both"/>
      </w:pPr>
      <w:r>
        <w:rPr>
          <w:spacing w:val="-1"/>
        </w:rPr>
        <w:t>本公司对此类金融资产采用公允价值进行后续计量，将公允价值变动形成的利得或损失以及与此类金</w:t>
      </w:r>
      <w:r>
        <w:rPr>
          <w:w w:val="100"/>
        </w:rPr>
        <w:t> </w:t>
      </w:r>
      <w:r>
        <w:rPr/>
        <w:t>融资产相关的股利和利息收入计入当期损益。</w:t>
      </w:r>
    </w:p>
    <w:p>
      <w:pPr>
        <w:pStyle w:val="BodyText"/>
        <w:spacing w:line="240" w:lineRule="auto" w:before="29"/>
        <w:ind w:left="473" w:right="1002"/>
        <w:jc w:val="left"/>
      </w:pPr>
      <w:r>
        <w:rPr/>
        <w:t>本公司对此类金融资产根据其流动性在交易性金融资产、其他非流动金融资产项目列报。</w:t>
      </w:r>
    </w:p>
    <w:p>
      <w:pPr>
        <w:pStyle w:val="BodyText"/>
        <w:spacing w:line="348" w:lineRule="auto" w:before="128"/>
        <w:ind w:left="473" w:right="1002"/>
        <w:jc w:val="left"/>
      </w:pPr>
      <w:r>
        <w:rPr/>
        <w:t>（</w:t>
      </w:r>
      <w:r>
        <w:rPr>
          <w:rFonts w:ascii="宋体" w:hAnsi="宋体" w:cs="宋体" w:eastAsia="宋体" w:hint="default"/>
        </w:rPr>
        <w:t>5</w:t>
      </w:r>
      <w:r>
        <w:rPr/>
        <w:t>）指定为以公允价值计量且其变动计入当期损益的金融资产</w:t>
      </w:r>
      <w:r>
        <w:rPr>
          <w:spacing w:val="-102"/>
        </w:rPr>
        <w:t> </w:t>
      </w:r>
      <w:r>
        <w:rPr>
          <w:spacing w:val="-102"/>
        </w:rPr>
      </w:r>
      <w:r>
        <w:rPr>
          <w:spacing w:val="-1"/>
        </w:rPr>
        <w:t>在初始确认时，本公司为了消除或显著减少会计错配，可以单项金融资产为基础不可撤销地将金融资</w:t>
      </w:r>
    </w:p>
    <w:p>
      <w:pPr>
        <w:pStyle w:val="BodyText"/>
        <w:spacing w:line="352" w:lineRule="auto" w:before="29"/>
        <w:ind w:left="473" w:right="1002" w:hanging="360"/>
        <w:jc w:val="left"/>
      </w:pPr>
      <w:r>
        <w:rPr/>
        <w:t>产指定为以公允价值计量且其变动计入当期损益的金融资产。</w:t>
      </w:r>
      <w:r>
        <w:rPr>
          <w:spacing w:val="-103"/>
        </w:rPr>
        <w:t> </w:t>
      </w:r>
      <w:r>
        <w:rPr>
          <w:spacing w:val="-103"/>
        </w:rPr>
      </w:r>
      <w:r>
        <w:rPr>
          <w:spacing w:val="-1"/>
        </w:rPr>
        <w:t>混合合同包含一项或多项嵌入衍生工具，且其主合同不属于以上金融资产的，本公司可以将其整体指</w:t>
      </w:r>
    </w:p>
    <w:p>
      <w:pPr>
        <w:pStyle w:val="BodyText"/>
        <w:spacing w:line="348" w:lineRule="auto" w:before="25"/>
        <w:ind w:left="473" w:right="1002" w:hanging="360"/>
        <w:jc w:val="left"/>
      </w:pPr>
      <w:r>
        <w:rPr>
          <w:spacing w:val="-2"/>
        </w:rPr>
        <w:t>定为以公允价值计量且其变动计入当期损益的金融工具。但下列情况除外：</w:t>
      </w:r>
      <w:r>
        <w:rPr>
          <w:spacing w:val="-40"/>
        </w:rPr>
        <w:t> </w:t>
      </w:r>
      <w:r>
        <w:rPr>
          <w:spacing w:val="-40"/>
        </w:rPr>
      </w:r>
      <w:r>
        <w:rPr>
          <w:rFonts w:ascii="宋体" w:hAnsi="宋体" w:cs="宋体" w:eastAsia="宋体" w:hint="default"/>
        </w:rPr>
        <w:t>1</w:t>
      </w:r>
      <w:r>
        <w:rPr/>
        <w:t>）嵌入衍生工具不会对混合合同的现金流量产生重大改变。</w:t>
      </w:r>
    </w:p>
    <w:p>
      <w:pPr>
        <w:pStyle w:val="BodyText"/>
        <w:spacing w:line="348" w:lineRule="auto" w:before="34"/>
        <w:ind w:right="1125" w:firstLine="360"/>
        <w:jc w:val="both"/>
      </w:pPr>
      <w:r>
        <w:rPr>
          <w:rFonts w:ascii="宋体" w:hAnsi="宋体" w:cs="宋体" w:eastAsia="宋体" w:hint="default"/>
          <w:spacing w:val="-3"/>
        </w:rPr>
        <w:t>2</w:t>
      </w:r>
      <w:r>
        <w:rPr>
          <w:spacing w:val="-3"/>
        </w:rPr>
        <w:t>）在初次确定类似的混合合同是否需要分拆时，几乎不需分析就能明确其包含的嵌入衍生工具不应分</w:t>
      </w:r>
      <w:r>
        <w:rPr>
          <w:w w:val="100"/>
        </w:rPr>
        <w:t> </w:t>
      </w:r>
      <w:r>
        <w:rPr>
          <w:spacing w:val="-2"/>
        </w:rPr>
        <w:t>拆。如嵌入贷款的提前还款权，允许持有人以接近摊余成本的金额提前偿还贷款，该提前还款权不需要分</w:t>
      </w:r>
      <w:r>
        <w:rPr>
          <w:spacing w:val="-33"/>
        </w:rPr>
        <w:t> </w:t>
      </w:r>
      <w:r>
        <w:rPr>
          <w:spacing w:val="-33"/>
        </w:rPr>
      </w:r>
      <w:r>
        <w:rPr/>
        <w:t>拆。</w:t>
      </w:r>
    </w:p>
    <w:p>
      <w:pPr>
        <w:pStyle w:val="BodyText"/>
        <w:spacing w:line="348" w:lineRule="auto" w:before="34"/>
        <w:ind w:right="1130" w:firstLine="360"/>
        <w:jc w:val="both"/>
      </w:pPr>
      <w:r>
        <w:rPr>
          <w:spacing w:val="-1"/>
        </w:rPr>
        <w:t>本公司对此类金融资产采用公允价值进行后续计量，将公允价值变动形成的利得或损失以及与此类金</w:t>
      </w:r>
      <w:r>
        <w:rPr>
          <w:w w:val="100"/>
        </w:rPr>
        <w:t> </w:t>
      </w:r>
      <w:r>
        <w:rPr/>
        <w:t>融资产相关的股利和利息收入计入当期损益。</w:t>
      </w:r>
    </w:p>
    <w:p>
      <w:pPr>
        <w:pStyle w:val="BodyText"/>
        <w:spacing w:line="240" w:lineRule="auto" w:before="29"/>
        <w:ind w:left="473" w:right="1002"/>
        <w:jc w:val="left"/>
      </w:pPr>
      <w:r>
        <w:rPr/>
        <w:t>本公司对此类金融资产根据其流动性在交易性金融资产、其他非流动金融资产项目列报。</w:t>
      </w:r>
    </w:p>
    <w:p>
      <w:pPr>
        <w:spacing w:line="240" w:lineRule="auto" w:before="0"/>
        <w:rPr>
          <w:rFonts w:ascii="宋体" w:hAnsi="宋体" w:cs="宋体" w:eastAsia="宋体" w:hint="default"/>
          <w:sz w:val="19"/>
          <w:szCs w:val="19"/>
        </w:rPr>
      </w:pPr>
    </w:p>
    <w:p>
      <w:pPr>
        <w:spacing w:line="348" w:lineRule="auto" w:before="0"/>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、金融负债分类和计量</w:t>
      </w:r>
      <w:r>
        <w:rPr>
          <w:rFonts w:ascii="宋体" w:hAnsi="宋体" w:cs="宋体" w:eastAsia="宋体" w:hint="default"/>
          <w:b/>
          <w:bCs/>
          <w:spacing w:val="-103"/>
          <w:sz w:val="21"/>
          <w:szCs w:val="21"/>
        </w:rPr>
        <w:t> </w:t>
      </w:r>
      <w:r>
        <w:rPr>
          <w:rFonts w:ascii="宋体" w:hAnsi="宋体" w:cs="宋体" w:eastAsia="宋体" w:hint="default"/>
          <w:spacing w:val="-1"/>
          <w:sz w:val="21"/>
          <w:szCs w:val="21"/>
        </w:rPr>
        <w:t>本公司根据所发行金融工具的合同条款及其所反映的经济实质而非仅以法律形式，结合金融负债和权</w:t>
      </w:r>
    </w:p>
    <w:p>
      <w:pPr>
        <w:spacing w:after="0" w:line="348"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25"/>
        <w:jc w:val="both"/>
      </w:pPr>
      <w:r>
        <w:rPr>
          <w:spacing w:val="-2"/>
        </w:rPr>
        <w:t>益工具的定义，在初始确认时将该金融工具或其组成部分分类为金融负债或权益工具。金融负债在初始确</w:t>
      </w:r>
      <w:r>
        <w:rPr>
          <w:spacing w:val="-33"/>
        </w:rPr>
        <w:t> </w:t>
      </w:r>
      <w:r>
        <w:rPr>
          <w:spacing w:val="-33"/>
        </w:rPr>
      </w:r>
      <w:r>
        <w:rPr>
          <w:spacing w:val="-2"/>
        </w:rPr>
        <w:t>认时分类为：以公允价值计量且其变动计入当期损益的金融负债、其他金融负债、被指定为有效套期工具</w:t>
      </w:r>
      <w:r>
        <w:rPr>
          <w:spacing w:val="-33"/>
        </w:rPr>
        <w:t> </w:t>
      </w:r>
      <w:r>
        <w:rPr>
          <w:spacing w:val="-33"/>
        </w:rPr>
      </w:r>
      <w:r>
        <w:rPr/>
        <w:t>的衍生工具。</w:t>
      </w:r>
    </w:p>
    <w:p>
      <w:pPr>
        <w:pStyle w:val="BodyText"/>
        <w:spacing w:line="348" w:lineRule="auto" w:before="27"/>
        <w:ind w:right="1130" w:firstLine="360"/>
        <w:jc w:val="both"/>
      </w:pPr>
      <w:r>
        <w:rPr>
          <w:spacing w:val="-1"/>
        </w:rPr>
        <w:t>金融负债在初始确认时以公允价值计量。对于以公允价值计量且其变动计入当期损益的金融负债，相</w:t>
      </w:r>
      <w:r>
        <w:rPr>
          <w:w w:val="100"/>
        </w:rPr>
        <w:t> </w:t>
      </w:r>
      <w:r>
        <w:rPr/>
        <w:t>关的交易费用直接计入当期损益；对于其他类别的金融负债，相关交易费用计入初始确认金额。</w:t>
      </w:r>
    </w:p>
    <w:p>
      <w:pPr>
        <w:pStyle w:val="BodyText"/>
        <w:spacing w:line="240" w:lineRule="auto" w:before="34"/>
        <w:ind w:left="473" w:right="1002"/>
        <w:jc w:val="left"/>
      </w:pPr>
      <w:r>
        <w:rPr/>
        <w:t>金融负债的后续计量取决于其分类：</w:t>
      </w:r>
    </w:p>
    <w:p>
      <w:pPr>
        <w:pStyle w:val="BodyText"/>
        <w:spacing w:line="348" w:lineRule="auto" w:before="123"/>
        <w:ind w:left="473" w:right="1002"/>
        <w:jc w:val="left"/>
      </w:pPr>
      <w:r>
        <w:rPr/>
        <w:t>（</w:t>
      </w:r>
      <w:r>
        <w:rPr>
          <w:rFonts w:ascii="宋体" w:hAnsi="宋体" w:cs="宋体" w:eastAsia="宋体" w:hint="default"/>
        </w:rPr>
        <w:t>1</w:t>
      </w:r>
      <w:r>
        <w:rPr/>
        <w:t>）以公允价值计量且其变动计入当期损益的金融负债</w:t>
      </w:r>
      <w:r>
        <w:rPr>
          <w:w w:val="100"/>
        </w:rPr>
        <w:t> </w:t>
      </w:r>
      <w:r>
        <w:rPr>
          <w:spacing w:val="-1"/>
        </w:rPr>
        <w:t>此类金融负债包括交易性金融负债（含属于金融负债的衍生工具）和初始确认时指定为以公允价值计</w:t>
      </w:r>
    </w:p>
    <w:p>
      <w:pPr>
        <w:pStyle w:val="BodyText"/>
        <w:spacing w:line="348" w:lineRule="auto" w:before="34"/>
        <w:ind w:left="473" w:right="1002" w:hanging="360"/>
        <w:jc w:val="left"/>
      </w:pPr>
      <w:r>
        <w:rPr/>
        <w:t>量且其变动计入当期损益的金融负债。</w:t>
      </w:r>
      <w:r>
        <w:rPr>
          <w:spacing w:val="-100"/>
        </w:rPr>
        <w:t> </w:t>
      </w:r>
      <w:r>
        <w:rPr>
          <w:spacing w:val="-100"/>
        </w:rPr>
      </w:r>
      <w:r>
        <w:rPr>
          <w:spacing w:val="-1"/>
        </w:rPr>
        <w:t>满足下列条件之一的，属于交易性金融负债：承担相关金融负债的目的主要是为了在近期内出售或回</w:t>
      </w:r>
    </w:p>
    <w:p>
      <w:pPr>
        <w:pStyle w:val="BodyText"/>
        <w:spacing w:line="350" w:lineRule="auto" w:before="29"/>
        <w:ind w:right="1106"/>
        <w:jc w:val="both"/>
      </w:pPr>
      <w:r>
        <w:rPr>
          <w:spacing w:val="-2"/>
        </w:rPr>
        <w:t>购；属于集中管理的可辨认金融工具组合的一部分，且有客观证据表明企业近期采用短期获利方式模式；</w:t>
      </w:r>
      <w:r>
        <w:rPr>
          <w:spacing w:val="-13"/>
        </w:rPr>
        <w:t> </w:t>
      </w:r>
      <w:r>
        <w:rPr>
          <w:spacing w:val="-13"/>
        </w:rPr>
      </w:r>
      <w:r>
        <w:rPr>
          <w:spacing w:val="-2"/>
        </w:rPr>
        <w:t>属于衍生工具，但是，被指定且为有效套期工具的衍生工具、符合财务担保合同的衍生工具除外。交易性</w:t>
      </w:r>
      <w:r>
        <w:rPr>
          <w:spacing w:val="-33"/>
        </w:rPr>
        <w:t> </w:t>
      </w:r>
      <w:r>
        <w:rPr>
          <w:spacing w:val="-33"/>
        </w:rPr>
      </w:r>
      <w:r>
        <w:rPr>
          <w:spacing w:val="-2"/>
          <w:w w:val="100"/>
        </w:rPr>
        <w:t>金融负债（含属于金融负债的衍生工具），按照公允价值进行后续计量，除与套期会计有关外，所有公允</w:t>
      </w:r>
      <w:r>
        <w:rPr>
          <w:spacing w:val="-99"/>
          <w:w w:val="100"/>
        </w:rPr>
        <w:t> </w:t>
      </w:r>
      <w:r>
        <w:rPr>
          <w:spacing w:val="-99"/>
          <w:w w:val="100"/>
        </w:rPr>
      </w:r>
      <w:r>
        <w:rPr/>
        <w:t>价值变动均计入当期损益。</w:t>
      </w:r>
    </w:p>
    <w:p>
      <w:pPr>
        <w:pStyle w:val="BodyText"/>
        <w:spacing w:line="348" w:lineRule="auto" w:before="31"/>
        <w:ind w:right="1128" w:firstLine="360"/>
        <w:jc w:val="both"/>
      </w:pPr>
      <w:r>
        <w:rPr>
          <w:spacing w:val="-1"/>
        </w:rPr>
        <w:t>在初始确认时，为了提供更相关的会计信息，本公司将满足下列条件之一的金融负债不可撤销地指定</w:t>
      </w:r>
      <w:r>
        <w:rPr>
          <w:w w:val="100"/>
        </w:rPr>
        <w:t> </w:t>
      </w:r>
      <w:r>
        <w:rPr/>
        <w:t>为以公允价值计量且其变动计入当期损益的金融负债：</w:t>
      </w:r>
    </w:p>
    <w:p>
      <w:pPr>
        <w:pStyle w:val="BodyText"/>
        <w:spacing w:line="240" w:lineRule="auto" w:before="29"/>
        <w:ind w:left="473" w:right="1002"/>
        <w:jc w:val="left"/>
      </w:pPr>
      <w:r>
        <w:rPr>
          <w:rFonts w:ascii="宋体" w:hAnsi="宋体" w:cs="宋体" w:eastAsia="宋体" w:hint="default"/>
        </w:rPr>
        <w:t>1</w:t>
      </w:r>
      <w:r>
        <w:rPr/>
        <w:t>）能够消除或显著减少会计错配。</w:t>
      </w:r>
    </w:p>
    <w:p>
      <w:pPr>
        <w:pStyle w:val="BodyText"/>
        <w:spacing w:line="348" w:lineRule="auto" w:before="128"/>
        <w:ind w:right="1126" w:firstLine="360"/>
        <w:jc w:val="both"/>
      </w:pPr>
      <w:r>
        <w:rPr>
          <w:rFonts w:ascii="宋体" w:hAnsi="宋体" w:cs="宋体" w:eastAsia="宋体" w:hint="default"/>
          <w:spacing w:val="-3"/>
        </w:rPr>
        <w:t>2</w:t>
      </w:r>
      <w:r>
        <w:rPr>
          <w:spacing w:val="-3"/>
        </w:rPr>
        <w:t>）根据正式书面文件载明的企业风险管理或投资策略，以公允价值为基础对金融负债组合或金融资产</w:t>
      </w:r>
      <w:r>
        <w:rPr>
          <w:w w:val="100"/>
        </w:rPr>
        <w:t> </w:t>
      </w:r>
      <w:r>
        <w:rPr/>
        <w:t>和金融负债组合进行管理和业绩评价，并在企业内部以此为基础向关键管理人员报告。</w:t>
      </w:r>
    </w:p>
    <w:p>
      <w:pPr>
        <w:pStyle w:val="BodyText"/>
        <w:spacing w:line="350" w:lineRule="auto" w:before="29"/>
        <w:ind w:right="1124" w:firstLine="360"/>
        <w:jc w:val="both"/>
      </w:pPr>
      <w:r>
        <w:rPr>
          <w:spacing w:val="-1"/>
        </w:rPr>
        <w:t>本公司对此类金融负债采用公允价值进行后续计量，除由本公司自身信用风险变动引起的公允价值变</w:t>
      </w:r>
      <w:r>
        <w:rPr>
          <w:w w:val="100"/>
        </w:rPr>
        <w:t> </w:t>
      </w:r>
      <w:r>
        <w:rPr>
          <w:spacing w:val="-2"/>
        </w:rPr>
        <w:t>动计入其他综合收益之外，其他公允价值变动计入当期损益。除非由本公司自身信用风险变动引起的公允</w:t>
      </w:r>
      <w:r>
        <w:rPr>
          <w:spacing w:val="-33"/>
        </w:rPr>
        <w:t> </w:t>
      </w:r>
      <w:r>
        <w:rPr>
          <w:spacing w:val="-33"/>
        </w:rPr>
      </w:r>
      <w:r>
        <w:rPr>
          <w:spacing w:val="-2"/>
        </w:rPr>
        <w:t>价值变动计入其他综合收益会造成或扩大损益中的会计错配，本公司将所有公允价值变动（包括自身信用</w:t>
      </w:r>
      <w:r>
        <w:rPr>
          <w:spacing w:val="-32"/>
        </w:rPr>
        <w:t> </w:t>
      </w:r>
      <w:r>
        <w:rPr>
          <w:spacing w:val="-32"/>
        </w:rPr>
      </w:r>
      <w:r>
        <w:rPr/>
        <w:t>风险变动的影响金额）计入当期损益。</w:t>
      </w:r>
    </w:p>
    <w:p>
      <w:pPr>
        <w:pStyle w:val="BodyText"/>
        <w:spacing w:line="348" w:lineRule="auto" w:before="32"/>
        <w:ind w:left="473" w:right="1002"/>
        <w:jc w:val="left"/>
      </w:pPr>
      <w:r>
        <w:rPr/>
        <w:t>（</w:t>
      </w:r>
      <w:r>
        <w:rPr>
          <w:rFonts w:ascii="宋体" w:hAnsi="宋体" w:cs="宋体" w:eastAsia="宋体" w:hint="default"/>
        </w:rPr>
        <w:t>2</w:t>
      </w:r>
      <w:r>
        <w:rPr/>
        <w:t>）其他金融负债</w:t>
      </w:r>
      <w:r>
        <w:rPr>
          <w:spacing w:val="-100"/>
        </w:rPr>
        <w:t> </w:t>
      </w:r>
      <w:r>
        <w:rPr>
          <w:spacing w:val="-100"/>
        </w:rPr>
      </w:r>
      <w:r>
        <w:rPr>
          <w:spacing w:val="-3"/>
        </w:rPr>
        <w:t>除下列各项外，公司将金融负债分类为以摊余成本计量的金融负债，对此类金融负债采用实际利率法，</w:t>
      </w:r>
    </w:p>
    <w:p>
      <w:pPr>
        <w:pStyle w:val="BodyText"/>
        <w:spacing w:line="352" w:lineRule="auto" w:before="29"/>
        <w:ind w:left="473" w:right="1002" w:hanging="360"/>
        <w:jc w:val="left"/>
      </w:pPr>
      <w:r>
        <w:rPr>
          <w:spacing w:val="-2"/>
        </w:rPr>
        <w:t>按照摊余成本进行后续计量，终止确认或摊销产生的利得或损失计入当期损益：</w:t>
      </w:r>
      <w:r>
        <w:rPr>
          <w:spacing w:val="-33"/>
        </w:rPr>
        <w:t> </w:t>
      </w:r>
      <w:r>
        <w:rPr>
          <w:spacing w:val="-33"/>
        </w:rPr>
      </w:r>
      <w:r>
        <w:rPr>
          <w:rFonts w:ascii="宋体" w:hAnsi="宋体" w:cs="宋体" w:eastAsia="宋体" w:hint="default"/>
        </w:rPr>
        <w:t>1</w:t>
      </w:r>
      <w:r>
        <w:rPr/>
        <w:t>）以公允价值计量且其变动计入当期损益的金融负债。</w:t>
      </w:r>
    </w:p>
    <w:p>
      <w:pPr>
        <w:pStyle w:val="BodyText"/>
        <w:spacing w:line="240" w:lineRule="auto" w:before="25"/>
        <w:ind w:left="473" w:right="1002"/>
        <w:jc w:val="left"/>
      </w:pPr>
      <w:r>
        <w:rPr>
          <w:rFonts w:ascii="宋体" w:hAnsi="宋体" w:cs="宋体" w:eastAsia="宋体" w:hint="default"/>
        </w:rPr>
        <w:t>2</w:t>
      </w:r>
      <w:r>
        <w:rPr/>
        <w:t>）金融资产转移不符合终止确认条件或继续涉入被转移金融资产所形成的金融负债。</w:t>
      </w:r>
    </w:p>
    <w:p>
      <w:pPr>
        <w:pStyle w:val="BodyText"/>
        <w:spacing w:line="352" w:lineRule="auto" w:before="124"/>
        <w:ind w:right="1128" w:firstLine="360"/>
        <w:jc w:val="both"/>
      </w:pPr>
      <w:r>
        <w:rPr>
          <w:rFonts w:ascii="宋体" w:hAnsi="宋体" w:cs="宋体" w:eastAsia="宋体" w:hint="default"/>
          <w:spacing w:val="-1"/>
        </w:rPr>
        <w:t>3</w:t>
      </w:r>
      <w:r>
        <w:rPr>
          <w:spacing w:val="-1"/>
        </w:rPr>
        <w:t>）不属于本条前两类情形的财务担保合同，以及不属于本条第</w:t>
      </w:r>
      <w:r>
        <w:rPr>
          <w:rFonts w:ascii="宋体" w:hAnsi="宋体" w:cs="宋体" w:eastAsia="宋体" w:hint="default"/>
          <w:spacing w:val="-1"/>
        </w:rPr>
        <w:t>1</w:t>
      </w:r>
      <w:r>
        <w:rPr>
          <w:spacing w:val="-1"/>
        </w:rPr>
        <w:t>）类情形的以低于市场利率贷款的贷</w:t>
      </w:r>
      <w:r>
        <w:rPr>
          <w:w w:val="100"/>
        </w:rPr>
        <w:t> </w:t>
      </w:r>
      <w:r>
        <w:rPr/>
        <w:t>款承诺。</w:t>
      </w:r>
    </w:p>
    <w:p>
      <w:pPr>
        <w:pStyle w:val="BodyText"/>
        <w:spacing w:line="350" w:lineRule="auto" w:before="25"/>
        <w:ind w:right="1126" w:firstLine="360"/>
        <w:jc w:val="both"/>
      </w:pPr>
      <w:r>
        <w:rPr>
          <w:spacing w:val="-1"/>
        </w:rPr>
        <w:t>财务担保合同是指当特定债务人到期不能按照最初或修改后的债务工具条款偿付债务时，要求发行方</w:t>
      </w:r>
      <w:r>
        <w:rPr>
          <w:w w:val="100"/>
        </w:rPr>
        <w:t> </w:t>
      </w:r>
      <w:r>
        <w:rPr>
          <w:spacing w:val="-2"/>
        </w:rPr>
        <w:t>向蒙受损失的合同持有人赔付特定金额的合同。不属于指定为以公允价值计量且其变动计入当期损益的金</w:t>
      </w:r>
      <w:r>
        <w:rPr>
          <w:spacing w:val="-33"/>
        </w:rPr>
        <w:t> </w:t>
      </w:r>
      <w:r>
        <w:rPr>
          <w:spacing w:val="-33"/>
        </w:rPr>
      </w:r>
      <w:r>
        <w:rPr>
          <w:spacing w:val="-2"/>
        </w:rPr>
        <w:t>融负债的财务担保合同，在初始确认后按照损失准备金额以及初始确认金额扣除担保期内的累计摊销额后</w:t>
      </w:r>
      <w:r>
        <w:rPr>
          <w:spacing w:val="-33"/>
        </w:rPr>
        <w:t> </w:t>
      </w:r>
      <w:r>
        <w:rPr>
          <w:spacing w:val="-33"/>
        </w:rPr>
      </w:r>
      <w:r>
        <w:rPr/>
        <w:t>的余额孰高进行计量。</w:t>
      </w:r>
    </w:p>
    <w:p>
      <w:pPr>
        <w:spacing w:after="0" w:line="35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Heading5"/>
        <w:spacing w:line="240" w:lineRule="auto" w:before="36"/>
        <w:ind w:left="473" w:right="1002"/>
        <w:jc w:val="left"/>
        <w:rPr>
          <w:b w:val="0"/>
          <w:bCs w:val="0"/>
        </w:rPr>
      </w:pPr>
      <w:r>
        <w:rPr>
          <w:rFonts w:ascii="宋体" w:hAnsi="宋体" w:cs="宋体" w:eastAsia="宋体" w:hint="default"/>
        </w:rPr>
        <w:t>3</w:t>
      </w:r>
      <w:r>
        <w:rPr/>
        <w:t>、金融资产和金融负债的终止确认</w:t>
      </w:r>
      <w:r>
        <w:rPr>
          <w:b w:val="0"/>
          <w:bCs w:val="0"/>
        </w:rPr>
      </w:r>
    </w:p>
    <w:p>
      <w:pPr>
        <w:pStyle w:val="BodyText"/>
        <w:spacing w:line="352" w:lineRule="auto" w:before="123"/>
        <w:ind w:left="473" w:right="1002"/>
        <w:jc w:val="left"/>
      </w:pPr>
      <w:r>
        <w:rPr>
          <w:spacing w:val="-2"/>
        </w:rPr>
        <w:t>（</w:t>
      </w:r>
      <w:r>
        <w:rPr>
          <w:rFonts w:ascii="宋体" w:hAnsi="宋体" w:cs="宋体" w:eastAsia="宋体" w:hint="default"/>
          <w:spacing w:val="-2"/>
        </w:rPr>
        <w:t>1</w:t>
      </w:r>
      <w:r>
        <w:rPr>
          <w:spacing w:val="-2"/>
        </w:rPr>
        <w:t>）金融资产满足下列条件之一的，终止确认金融资产，即从其账户和资产负债表内予以转销：</w:t>
      </w:r>
      <w:r>
        <w:rPr>
          <w:spacing w:val="-19"/>
        </w:rPr>
        <w:t> </w:t>
      </w:r>
      <w:r>
        <w:rPr>
          <w:spacing w:val="-19"/>
        </w:rPr>
      </w:r>
      <w:r>
        <w:rPr>
          <w:rFonts w:ascii="宋体" w:hAnsi="宋体" w:cs="宋体" w:eastAsia="宋体" w:hint="default"/>
        </w:rPr>
        <w:t>1</w:t>
      </w:r>
      <w:r>
        <w:rPr/>
        <w:t>）收取该金融资产现金流量的合同权利终止。</w:t>
      </w:r>
    </w:p>
    <w:p>
      <w:pPr>
        <w:pStyle w:val="BodyText"/>
        <w:spacing w:line="240" w:lineRule="auto" w:before="25"/>
        <w:ind w:left="473" w:right="1002"/>
        <w:jc w:val="left"/>
      </w:pPr>
      <w:r>
        <w:rPr>
          <w:rFonts w:ascii="宋体" w:hAnsi="宋体" w:cs="宋体" w:eastAsia="宋体" w:hint="default"/>
        </w:rPr>
        <w:t>2</w:t>
      </w:r>
      <w:r>
        <w:rPr/>
        <w:t>）该金融资产已转移，且该转移满足金融资产终止确认的规定。</w:t>
      </w:r>
    </w:p>
    <w:p>
      <w:pPr>
        <w:pStyle w:val="BodyText"/>
        <w:spacing w:line="350" w:lineRule="auto" w:before="123"/>
        <w:ind w:left="473" w:right="1002"/>
        <w:jc w:val="left"/>
      </w:pPr>
      <w:r>
        <w:rPr/>
        <w:t>（</w:t>
      </w:r>
      <w:r>
        <w:rPr>
          <w:rFonts w:ascii="宋体" w:hAnsi="宋体" w:cs="宋体" w:eastAsia="宋体" w:hint="default"/>
        </w:rPr>
        <w:t>2</w:t>
      </w:r>
      <w:r>
        <w:rPr/>
        <w:t>）金融负债终止确认条件</w:t>
      </w:r>
      <w:r>
        <w:rPr>
          <w:spacing w:val="-100"/>
        </w:rPr>
        <w:t> </w:t>
      </w:r>
      <w:r>
        <w:rPr>
          <w:spacing w:val="-100"/>
        </w:rPr>
      </w:r>
      <w:r>
        <w:rPr>
          <w:spacing w:val="-4"/>
          <w:w w:val="100"/>
        </w:rPr>
        <w:t>金融负债（或其一部分）的现时义务已经解除的，则终止确认该金融负债（或该部分金融负债）。</w:t>
      </w:r>
      <w:r>
        <w:rPr>
          <w:spacing w:val="-90"/>
          <w:w w:val="100"/>
        </w:rPr>
        <w:t> </w:t>
      </w:r>
      <w:r>
        <w:rPr>
          <w:spacing w:val="-90"/>
          <w:w w:val="100"/>
        </w:rPr>
      </w:r>
      <w:r>
        <w:rPr>
          <w:spacing w:val="-1"/>
        </w:rPr>
        <w:t>本公司与借出方之间签订协议，以承担新金融负债方式替换原金融负债，且新金融负债与原金融负债</w:t>
      </w:r>
    </w:p>
    <w:p>
      <w:pPr>
        <w:pStyle w:val="BodyText"/>
        <w:spacing w:line="350" w:lineRule="auto" w:before="27"/>
        <w:ind w:right="1126"/>
        <w:jc w:val="both"/>
      </w:pPr>
      <w:r>
        <w:rPr>
          <w:spacing w:val="-2"/>
        </w:rPr>
        <w:t>的合同条款实质上不同的，或对原金融负债（或其一部分）的合同条款做出实质性修改的，则终止确认原</w:t>
      </w:r>
      <w:r>
        <w:rPr>
          <w:spacing w:val="-33"/>
        </w:rPr>
        <w:t> </w:t>
      </w:r>
      <w:r>
        <w:rPr>
          <w:spacing w:val="-33"/>
        </w:rPr>
      </w:r>
      <w:r>
        <w:rPr>
          <w:spacing w:val="-2"/>
        </w:rPr>
        <w:t>金融负债，同时确认一项新金融负债，账面价值与支付的对价（包括转出的非现金资产或承担的负债）之</w:t>
      </w:r>
      <w:r>
        <w:rPr>
          <w:spacing w:val="-33"/>
        </w:rPr>
        <w:t> </w:t>
      </w:r>
      <w:r>
        <w:rPr>
          <w:spacing w:val="-33"/>
        </w:rPr>
      </w:r>
      <w:r>
        <w:rPr/>
        <w:t>间的差额，计入当期损益。</w:t>
      </w:r>
    </w:p>
    <w:p>
      <w:pPr>
        <w:pStyle w:val="BodyText"/>
        <w:spacing w:line="350" w:lineRule="auto" w:before="27"/>
        <w:ind w:right="1126" w:firstLine="360"/>
        <w:jc w:val="both"/>
      </w:pPr>
      <w:r>
        <w:rPr>
          <w:spacing w:val="-1"/>
        </w:rPr>
        <w:t>本公司回购金融负债一部分的，按照继续确认部分和终止确认部分在回购日各自的公允价值占整体公</w:t>
      </w:r>
      <w:r>
        <w:rPr>
          <w:w w:val="100"/>
        </w:rPr>
        <w:t> </w:t>
      </w:r>
      <w:r>
        <w:rPr>
          <w:spacing w:val="-7"/>
        </w:rPr>
        <w:t>允价值的比例，对该金融负债整体的账面价值进行分配。分配给终止确认部分的账面价值与支付的对价（包</w:t>
      </w:r>
      <w:r>
        <w:rPr>
          <w:spacing w:val="-6"/>
        </w:rPr>
        <w:t> </w:t>
      </w:r>
      <w:r>
        <w:rPr>
          <w:spacing w:val="-6"/>
        </w:rPr>
      </w:r>
      <w:r>
        <w:rPr/>
        <w:t>括转出的非现金资产或承担的负债）之间的差额，应当计入当期损益。</w:t>
      </w:r>
    </w:p>
    <w:p>
      <w:pPr>
        <w:spacing w:line="352" w:lineRule="auto" w:before="27"/>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、金融资产转移的确认依据和计量方法</w:t>
      </w:r>
      <w:r>
        <w:rPr>
          <w:rFonts w:ascii="宋体" w:hAnsi="宋体" w:cs="宋体" w:eastAsia="宋体" w:hint="default"/>
          <w:b/>
          <w:bCs/>
          <w:spacing w:val="-100"/>
          <w:sz w:val="21"/>
          <w:szCs w:val="21"/>
        </w:rPr>
        <w:t> </w:t>
      </w:r>
      <w:r>
        <w:rPr>
          <w:rFonts w:ascii="宋体" w:hAnsi="宋体" w:cs="宋体" w:eastAsia="宋体" w:hint="default"/>
          <w:spacing w:val="-1"/>
          <w:sz w:val="21"/>
          <w:szCs w:val="21"/>
        </w:rPr>
        <w:t>本公司在发生金融资产转移时，评估其保留金融资产所有权上的风险和报酬的程度，并分别下列情形</w:t>
      </w:r>
    </w:p>
    <w:p>
      <w:pPr>
        <w:pStyle w:val="BodyText"/>
        <w:spacing w:line="240" w:lineRule="auto" w:before="25"/>
        <w:ind w:right="0"/>
        <w:jc w:val="both"/>
      </w:pPr>
      <w:r>
        <w:rPr/>
        <w:t>处理：</w:t>
      </w:r>
    </w:p>
    <w:p>
      <w:pPr>
        <w:pStyle w:val="BodyText"/>
        <w:spacing w:line="352" w:lineRule="auto" w:before="123"/>
        <w:ind w:right="1130" w:firstLine="360"/>
        <w:jc w:val="both"/>
      </w:pPr>
      <w:r>
        <w:rPr>
          <w:spacing w:val="-3"/>
        </w:rPr>
        <w:t>（</w:t>
      </w:r>
      <w:r>
        <w:rPr>
          <w:rFonts w:ascii="宋体" w:hAnsi="宋体" w:cs="宋体" w:eastAsia="宋体" w:hint="default"/>
          <w:spacing w:val="-3"/>
        </w:rPr>
        <w:t>1</w:t>
      </w:r>
      <w:r>
        <w:rPr>
          <w:spacing w:val="-3"/>
        </w:rPr>
        <w:t>）转移了金融资产所有权上几乎所有风险和报酬的，则终止确认该金融资产，并将转移中产生或保</w:t>
      </w:r>
      <w:r>
        <w:rPr>
          <w:w w:val="100"/>
        </w:rPr>
        <w:t> </w:t>
      </w:r>
      <w:r>
        <w:rPr/>
        <w:t>留的权利和义务单独确认为资产或负债。</w:t>
      </w:r>
    </w:p>
    <w:p>
      <w:pPr>
        <w:pStyle w:val="BodyText"/>
        <w:spacing w:line="240" w:lineRule="auto" w:before="25"/>
        <w:ind w:left="473" w:right="1002"/>
        <w:jc w:val="left"/>
      </w:pPr>
      <w:r>
        <w:rPr/>
        <w:t>（</w:t>
      </w:r>
      <w:r>
        <w:rPr>
          <w:rFonts w:ascii="宋体" w:hAnsi="宋体" w:cs="宋体" w:eastAsia="宋体" w:hint="default"/>
        </w:rPr>
        <w:t>2</w:t>
      </w:r>
      <w:r>
        <w:rPr/>
        <w:t>）保留了金融资产所有权上几乎所有风险和报酬的，则继续确认该金融资产。</w:t>
      </w:r>
    </w:p>
    <w:p>
      <w:pPr>
        <w:pStyle w:val="BodyText"/>
        <w:spacing w:line="352" w:lineRule="auto" w:before="124"/>
        <w:ind w:right="1127" w:firstLine="360"/>
        <w:jc w:val="both"/>
      </w:pPr>
      <w:r>
        <w:rPr>
          <w:w w:val="100"/>
        </w:rPr>
        <w:t>（</w:t>
      </w:r>
      <w:r>
        <w:rPr>
          <w:rFonts w:ascii="宋体" w:hAnsi="宋体" w:cs="宋体" w:eastAsia="宋体" w:hint="default"/>
          <w:w w:val="100"/>
        </w:rPr>
        <w:t>3</w:t>
      </w:r>
      <w:r>
        <w:rPr>
          <w:spacing w:val="-15"/>
          <w:w w:val="100"/>
        </w:rPr>
        <w:t>）</w:t>
      </w:r>
      <w:r>
        <w:rPr>
          <w:w w:val="100"/>
        </w:rPr>
        <w:t>既没有</w:t>
      </w:r>
      <w:r>
        <w:rPr>
          <w:spacing w:val="-5"/>
          <w:w w:val="100"/>
        </w:rPr>
        <w:t>转</w:t>
      </w:r>
      <w:r>
        <w:rPr>
          <w:w w:val="100"/>
        </w:rPr>
        <w:t>移也没</w:t>
      </w:r>
      <w:r>
        <w:rPr>
          <w:spacing w:val="-5"/>
          <w:w w:val="100"/>
        </w:rPr>
        <w:t>有</w:t>
      </w:r>
      <w:r>
        <w:rPr>
          <w:w w:val="100"/>
        </w:rPr>
        <w:t>保留</w:t>
      </w:r>
      <w:r>
        <w:rPr>
          <w:spacing w:val="-5"/>
          <w:w w:val="100"/>
        </w:rPr>
        <w:t>金</w:t>
      </w:r>
      <w:r>
        <w:rPr>
          <w:w w:val="100"/>
        </w:rPr>
        <w:t>融资产</w:t>
      </w:r>
      <w:r>
        <w:rPr>
          <w:spacing w:val="-5"/>
          <w:w w:val="100"/>
        </w:rPr>
        <w:t>所</w:t>
      </w:r>
      <w:r>
        <w:rPr>
          <w:w w:val="100"/>
        </w:rPr>
        <w:t>有权上</w:t>
      </w:r>
      <w:r>
        <w:rPr>
          <w:spacing w:val="-5"/>
          <w:w w:val="100"/>
        </w:rPr>
        <w:t>几乎</w:t>
      </w:r>
      <w:r>
        <w:rPr>
          <w:w w:val="100"/>
        </w:rPr>
        <w:t>所有风险</w:t>
      </w:r>
      <w:r>
        <w:rPr>
          <w:spacing w:val="-5"/>
          <w:w w:val="100"/>
        </w:rPr>
        <w:t>和</w:t>
      </w:r>
      <w:r>
        <w:rPr>
          <w:w w:val="100"/>
        </w:rPr>
        <w:t>报酬</w:t>
      </w:r>
      <w:r>
        <w:rPr>
          <w:spacing w:val="-15"/>
          <w:w w:val="100"/>
        </w:rPr>
        <w:t>的</w:t>
      </w:r>
      <w:r>
        <w:rPr>
          <w:w w:val="100"/>
        </w:rPr>
        <w:t>（</w:t>
      </w:r>
      <w:r>
        <w:rPr>
          <w:spacing w:val="-5"/>
          <w:w w:val="100"/>
        </w:rPr>
        <w:t>即</w:t>
      </w:r>
      <w:r>
        <w:rPr>
          <w:w w:val="100"/>
        </w:rPr>
        <w:t>除本</w:t>
      </w:r>
      <w:r>
        <w:rPr>
          <w:spacing w:val="-15"/>
          <w:w w:val="100"/>
        </w:rPr>
        <w:t>条</w:t>
      </w:r>
      <w:r>
        <w:rPr>
          <w:spacing w:val="2"/>
          <w:w w:val="100"/>
        </w:rPr>
        <w:t>（</w:t>
      </w:r>
      <w:r>
        <w:rPr>
          <w:rFonts w:ascii="宋体" w:hAnsi="宋体" w:cs="宋体" w:eastAsia="宋体" w:hint="default"/>
          <w:w w:val="100"/>
        </w:rPr>
        <w:t>1</w:t>
      </w:r>
      <w:r>
        <w:rPr>
          <w:spacing w:val="-111"/>
          <w:w w:val="100"/>
        </w:rPr>
        <w:t>）</w:t>
      </w:r>
      <w:r>
        <w:rPr>
          <w:spacing w:val="-120"/>
          <w:w w:val="100"/>
        </w:rPr>
        <w:t>、</w:t>
      </w:r>
      <w:r>
        <w:rPr>
          <w:w w:val="100"/>
        </w:rPr>
        <w:t>（</w:t>
      </w:r>
      <w:r>
        <w:rPr>
          <w:rFonts w:ascii="宋体" w:hAnsi="宋体" w:cs="宋体" w:eastAsia="宋体" w:hint="default"/>
          <w:w w:val="100"/>
        </w:rPr>
        <w:t>2</w:t>
      </w:r>
      <w:r>
        <w:rPr>
          <w:spacing w:val="-15"/>
          <w:w w:val="100"/>
        </w:rPr>
        <w:t>）</w:t>
      </w:r>
      <w:r>
        <w:rPr>
          <w:w w:val="100"/>
        </w:rPr>
        <w:t>之</w:t>
      </w:r>
      <w:r>
        <w:rPr>
          <w:spacing w:val="-5"/>
          <w:w w:val="100"/>
        </w:rPr>
        <w:t>外</w:t>
      </w:r>
      <w:r>
        <w:rPr>
          <w:w w:val="100"/>
        </w:rPr>
        <w:t>的其</w:t>
      </w:r>
      <w:r>
        <w:rPr>
          <w:w w:val="100"/>
        </w:rPr>
        <w:t> 他情形</w:t>
      </w:r>
      <w:r>
        <w:rPr>
          <w:spacing w:val="-106"/>
          <w:w w:val="100"/>
        </w:rPr>
        <w:t>）</w:t>
      </w:r>
      <w:r>
        <w:rPr>
          <w:w w:val="100"/>
        </w:rPr>
        <w:t>，</w:t>
      </w:r>
      <w:r>
        <w:rPr>
          <w:spacing w:val="-5"/>
          <w:w w:val="100"/>
        </w:rPr>
        <w:t>则</w:t>
      </w:r>
      <w:r>
        <w:rPr>
          <w:w w:val="100"/>
        </w:rPr>
        <w:t>根据其</w:t>
      </w:r>
      <w:r>
        <w:rPr>
          <w:spacing w:val="-5"/>
          <w:w w:val="100"/>
        </w:rPr>
        <w:t>是</w:t>
      </w:r>
      <w:r>
        <w:rPr>
          <w:w w:val="100"/>
        </w:rPr>
        <w:t>否保留</w:t>
      </w:r>
      <w:r>
        <w:rPr>
          <w:spacing w:val="-5"/>
          <w:w w:val="100"/>
        </w:rPr>
        <w:t>了</w:t>
      </w:r>
      <w:r>
        <w:rPr>
          <w:w w:val="100"/>
        </w:rPr>
        <w:t>对金融</w:t>
      </w:r>
      <w:r>
        <w:rPr>
          <w:spacing w:val="-5"/>
          <w:w w:val="100"/>
        </w:rPr>
        <w:t>资</w:t>
      </w:r>
      <w:r>
        <w:rPr>
          <w:w w:val="100"/>
        </w:rPr>
        <w:t>产的</w:t>
      </w:r>
      <w:r>
        <w:rPr>
          <w:spacing w:val="-5"/>
          <w:w w:val="100"/>
        </w:rPr>
        <w:t>控</w:t>
      </w:r>
      <w:r>
        <w:rPr>
          <w:w w:val="100"/>
        </w:rPr>
        <w:t>制</w:t>
      </w:r>
      <w:r>
        <w:rPr>
          <w:spacing w:val="-5"/>
          <w:w w:val="100"/>
        </w:rPr>
        <w:t>，</w:t>
      </w:r>
      <w:r>
        <w:rPr>
          <w:w w:val="100"/>
        </w:rPr>
        <w:t>分别下列</w:t>
      </w:r>
      <w:r>
        <w:rPr>
          <w:spacing w:val="-5"/>
          <w:w w:val="100"/>
        </w:rPr>
        <w:t>情</w:t>
      </w:r>
      <w:r>
        <w:rPr>
          <w:w w:val="100"/>
        </w:rPr>
        <w:t>形处理：</w:t>
      </w:r>
    </w:p>
    <w:p>
      <w:pPr>
        <w:pStyle w:val="BodyText"/>
        <w:spacing w:line="348" w:lineRule="auto" w:before="25"/>
        <w:ind w:right="1126" w:firstLine="360"/>
        <w:jc w:val="both"/>
      </w:pPr>
      <w:r>
        <w:rPr>
          <w:rFonts w:ascii="宋体" w:hAnsi="宋体" w:cs="宋体" w:eastAsia="宋体" w:hint="default"/>
          <w:spacing w:val="-3"/>
        </w:rPr>
        <w:t>1</w:t>
      </w:r>
      <w:r>
        <w:rPr>
          <w:spacing w:val="-3"/>
        </w:rPr>
        <w:t>）未保留对该金融资产控制的，则终止确认该金融资产，并将转移中产生或保留的权利和义务单独确</w:t>
      </w:r>
      <w:r>
        <w:rPr>
          <w:w w:val="100"/>
        </w:rPr>
        <w:t> </w:t>
      </w:r>
      <w:r>
        <w:rPr/>
        <w:t>认为资产或负债。</w:t>
      </w:r>
    </w:p>
    <w:p>
      <w:pPr>
        <w:pStyle w:val="BodyText"/>
        <w:spacing w:line="348" w:lineRule="auto" w:before="34"/>
        <w:ind w:right="1125" w:firstLine="360"/>
        <w:jc w:val="both"/>
      </w:pPr>
      <w:r>
        <w:rPr>
          <w:rFonts w:ascii="宋体" w:hAnsi="宋体" w:cs="宋体" w:eastAsia="宋体" w:hint="default"/>
          <w:spacing w:val="-3"/>
        </w:rPr>
        <w:t>2</w:t>
      </w:r>
      <w:r>
        <w:rPr>
          <w:spacing w:val="-3"/>
        </w:rPr>
        <w:t>）保留了对该金融资产控制的，则按照其继续涉入被转移金融资产的程度继续确认有关金融资产，并</w:t>
      </w:r>
      <w:r>
        <w:rPr>
          <w:w w:val="100"/>
        </w:rPr>
        <w:t> </w:t>
      </w:r>
      <w:r>
        <w:rPr>
          <w:spacing w:val="-2"/>
        </w:rPr>
        <w:t>相应确认相关负债。继续涉入被转移金融资产的程度，是指本公司承担的被转移金融资产价值变动风险或</w:t>
      </w:r>
      <w:r>
        <w:rPr>
          <w:spacing w:val="-33"/>
        </w:rPr>
        <w:t> </w:t>
      </w:r>
      <w:r>
        <w:rPr>
          <w:spacing w:val="-33"/>
        </w:rPr>
      </w:r>
      <w:r>
        <w:rPr/>
        <w:t>报酬的程度。</w:t>
      </w:r>
    </w:p>
    <w:p>
      <w:pPr>
        <w:pStyle w:val="BodyText"/>
        <w:spacing w:line="348" w:lineRule="auto" w:before="34"/>
        <w:ind w:right="1127" w:firstLine="360"/>
        <w:jc w:val="both"/>
      </w:pPr>
      <w:r>
        <w:rPr>
          <w:spacing w:val="-1"/>
        </w:rPr>
        <w:t>在判断金融资产转移是否满足上述金融资产终止确认条件时，采用实质重于形式的原则。公司将金融</w:t>
      </w:r>
      <w:r>
        <w:rPr>
          <w:w w:val="100"/>
        </w:rPr>
        <w:t> </w:t>
      </w:r>
      <w:r>
        <w:rPr/>
        <w:t>资产转移区分为金融资产整体转移和部分转移。</w:t>
      </w:r>
    </w:p>
    <w:p>
      <w:pPr>
        <w:pStyle w:val="BodyText"/>
        <w:spacing w:line="352" w:lineRule="auto" w:before="29"/>
        <w:ind w:left="473" w:right="1002"/>
        <w:jc w:val="left"/>
      </w:pPr>
      <w:r>
        <w:rPr>
          <w:spacing w:val="-2"/>
        </w:rPr>
        <w:t>（</w:t>
      </w:r>
      <w:r>
        <w:rPr>
          <w:rFonts w:ascii="宋体" w:hAnsi="宋体" w:cs="宋体" w:eastAsia="宋体" w:hint="default"/>
          <w:spacing w:val="-2"/>
        </w:rPr>
        <w:t>1</w:t>
      </w:r>
      <w:r>
        <w:rPr>
          <w:spacing w:val="-2"/>
        </w:rPr>
        <w:t>）金融资产整体转移满足终止确认条件的，将下列两项金额的差额计入当期损益：</w:t>
      </w:r>
      <w:r>
        <w:rPr>
          <w:spacing w:val="-29"/>
        </w:rPr>
        <w:t> </w:t>
      </w:r>
      <w:r>
        <w:rPr>
          <w:spacing w:val="-29"/>
        </w:rPr>
      </w:r>
      <w:r>
        <w:rPr>
          <w:rFonts w:ascii="宋体" w:hAnsi="宋体" w:cs="宋体" w:eastAsia="宋体" w:hint="default"/>
        </w:rPr>
        <w:t>1</w:t>
      </w:r>
      <w:r>
        <w:rPr/>
        <w:t>）被转移金融资产在终止确认日的账面价值。</w:t>
      </w:r>
    </w:p>
    <w:p>
      <w:pPr>
        <w:pStyle w:val="BodyText"/>
        <w:spacing w:line="348" w:lineRule="auto" w:before="25"/>
        <w:ind w:right="1126" w:firstLine="360"/>
        <w:jc w:val="both"/>
      </w:pPr>
      <w:r>
        <w:rPr>
          <w:rFonts w:ascii="宋体" w:hAnsi="宋体" w:cs="宋体" w:eastAsia="宋体" w:hint="default"/>
          <w:spacing w:val="-3"/>
        </w:rPr>
        <w:t>2</w:t>
      </w:r>
      <w:r>
        <w:rPr>
          <w:spacing w:val="-3"/>
        </w:rPr>
        <w:t>）因转移金融资产而收到的对价，与原直接计入其他综合收益的公允价值变动累计额中对应终止确认</w:t>
      </w:r>
      <w:r>
        <w:rPr>
          <w:w w:val="100"/>
        </w:rPr>
        <w:t> </w:t>
      </w:r>
      <w:r>
        <w:rPr/>
        <w:t>部分的金额（涉及转移的金融资产为以公允价值计量且其变动计入其他综合收益的金融资产）之和。</w:t>
      </w:r>
    </w:p>
    <w:p>
      <w:pPr>
        <w:pStyle w:val="BodyText"/>
        <w:spacing w:line="348" w:lineRule="auto" w:before="34"/>
        <w:ind w:right="1011" w:firstLine="360"/>
        <w:jc w:val="left"/>
      </w:pPr>
      <w:r>
        <w:rPr>
          <w:spacing w:val="-5"/>
          <w:w w:val="100"/>
        </w:rPr>
        <w:t>（</w:t>
      </w:r>
      <w:r>
        <w:rPr>
          <w:rFonts w:ascii="宋体" w:hAnsi="宋体" w:cs="宋体" w:eastAsia="宋体" w:hint="default"/>
          <w:spacing w:val="-5"/>
          <w:w w:val="100"/>
        </w:rPr>
        <w:t>2</w:t>
      </w:r>
      <w:r>
        <w:rPr>
          <w:spacing w:val="-5"/>
          <w:w w:val="100"/>
        </w:rPr>
        <w:t>）金融资产部分转移且该被转移部分整体满足终止确认条件的，将转移前金融资产整体的账面价值，</w:t>
      </w:r>
      <w:r>
        <w:rPr>
          <w:w w:val="100"/>
        </w:rPr>
        <w:t> </w:t>
      </w:r>
      <w:r>
        <w:rPr>
          <w:spacing w:val="-4"/>
        </w:rPr>
        <w:t>在终止确认部分和继续确认部分（在此种情形下，所保留的服务资产应当视同继续确认金融资产的一部分）</w:t>
      </w:r>
    </w:p>
    <w:p>
      <w:pPr>
        <w:spacing w:after="0" w:line="348"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left="473" w:right="1002" w:hanging="360"/>
        <w:jc w:val="left"/>
      </w:pPr>
      <w:r>
        <w:rPr>
          <w:spacing w:val="-2"/>
        </w:rPr>
        <w:t>之间，按照转移日各自的相对公允价值进行分摊，并将下列两项金额的差额计入当期损益：</w:t>
      </w:r>
      <w:r>
        <w:rPr>
          <w:spacing w:val="-22"/>
        </w:rPr>
        <w:t> </w:t>
      </w:r>
      <w:r>
        <w:rPr>
          <w:spacing w:val="-22"/>
        </w:rPr>
      </w:r>
      <w:r>
        <w:rPr>
          <w:rFonts w:ascii="宋体" w:hAnsi="宋体" w:cs="宋体" w:eastAsia="宋体" w:hint="default"/>
        </w:rPr>
        <w:t>1</w:t>
      </w:r>
      <w:r>
        <w:rPr/>
        <w:t>）终止确认部分在终止确认日的账面价值。</w:t>
      </w:r>
    </w:p>
    <w:p>
      <w:pPr>
        <w:pStyle w:val="BodyText"/>
        <w:spacing w:line="348" w:lineRule="auto" w:before="34"/>
        <w:ind w:right="1126" w:firstLine="360"/>
        <w:jc w:val="both"/>
      </w:pPr>
      <w:r>
        <w:rPr>
          <w:rFonts w:ascii="宋体" w:hAnsi="宋体" w:cs="宋体" w:eastAsia="宋体" w:hint="default"/>
          <w:spacing w:val="-3"/>
        </w:rPr>
        <w:t>2</w:t>
      </w:r>
      <w:r>
        <w:rPr>
          <w:spacing w:val="-3"/>
        </w:rPr>
        <w:t>）终止确认部分收到的对价，与原计入其他综合收益的公允价值变动累计额中对应终止确认部分的金</w:t>
      </w:r>
      <w:r>
        <w:rPr>
          <w:w w:val="100"/>
        </w:rPr>
        <w:t> </w:t>
      </w:r>
      <w:r>
        <w:rPr/>
        <w:t>额（涉及转移的金融资产为以公允价值计量且其变动计入其他综合收益的金融资产）之和。</w:t>
      </w:r>
    </w:p>
    <w:p>
      <w:pPr>
        <w:pStyle w:val="BodyText"/>
        <w:spacing w:line="350" w:lineRule="auto" w:before="29"/>
        <w:ind w:left="473" w:right="1002"/>
        <w:jc w:val="left"/>
      </w:pPr>
      <w:r>
        <w:rPr/>
        <w:t>金融资产转移不满足终止确认条件的，继续确认该金融资产，所收到的对价确认为一项金融负债。</w:t>
      </w:r>
      <w:r>
        <w:rPr>
          <w:w w:val="100"/>
        </w:rPr>
        <w:t> </w:t>
      </w:r>
      <w:r>
        <w:rPr>
          <w:rFonts w:ascii="宋体" w:hAnsi="宋体" w:cs="宋体" w:eastAsia="宋体" w:hint="default"/>
          <w:b/>
          <w:bCs/>
        </w:rPr>
        <w:t>5</w:t>
      </w:r>
      <w:r>
        <w:rPr>
          <w:rFonts w:ascii="宋体" w:hAnsi="宋体" w:cs="宋体" w:eastAsia="宋体" w:hint="default"/>
          <w:b/>
          <w:bCs/>
        </w:rPr>
        <w:t>、金融资产和金融负债公允价值的确定方法</w:t>
      </w:r>
      <w:r>
        <w:rPr>
          <w:rFonts w:ascii="宋体" w:hAnsi="宋体" w:cs="宋体" w:eastAsia="宋体" w:hint="default"/>
          <w:b/>
          <w:bCs/>
          <w:w w:val="100"/>
        </w:rPr>
        <w:t> </w:t>
      </w:r>
      <w:r>
        <w:rPr>
          <w:spacing w:val="-1"/>
        </w:rPr>
        <w:t>存在活跃市场的金融资产或金融负债，以活跃市场的报价确定其公允价值，除非该项金融资产存在针</w:t>
      </w:r>
    </w:p>
    <w:p>
      <w:pPr>
        <w:pStyle w:val="BodyText"/>
        <w:spacing w:line="350" w:lineRule="auto" w:before="27"/>
        <w:ind w:right="1002"/>
        <w:jc w:val="left"/>
      </w:pPr>
      <w:r>
        <w:rPr>
          <w:spacing w:val="-2"/>
        </w:rPr>
        <w:t>对资产本身的限售期。对于针对资产本身的限售的金融资产，按照活跃市场的报价扣除市场参与者因承担</w:t>
      </w:r>
      <w:r>
        <w:rPr>
          <w:spacing w:val="-33"/>
        </w:rPr>
        <w:t> </w:t>
      </w:r>
      <w:r>
        <w:rPr>
          <w:spacing w:val="-33"/>
        </w:rPr>
      </w:r>
      <w:r>
        <w:rPr>
          <w:spacing w:val="-2"/>
        </w:rPr>
        <w:t>指定期间内无法在公开市场上出售该金融资产的风险而要求获得的补偿金额后确定。活跃市场的报价包括</w:t>
      </w:r>
      <w:r>
        <w:rPr>
          <w:spacing w:val="-33"/>
        </w:rPr>
        <w:t> </w:t>
      </w:r>
      <w:r>
        <w:rPr>
          <w:spacing w:val="-33"/>
        </w:rPr>
      </w:r>
      <w:r>
        <w:rPr>
          <w:spacing w:val="-4"/>
        </w:rPr>
        <w:t>易于且可定期从交易所、交易商、经纪人、行业集团、定价机构或监管机构等获得相关资产或负债的报价，</w:t>
      </w:r>
      <w:r>
        <w:rPr>
          <w:spacing w:val="-47"/>
        </w:rPr>
        <w:t> </w:t>
      </w:r>
      <w:r>
        <w:rPr>
          <w:spacing w:val="-47"/>
        </w:rPr>
      </w:r>
      <w:r>
        <w:rPr/>
        <w:t>且能代表在公平交易基础上实际并经常发生的市场交易。</w:t>
      </w:r>
    </w:p>
    <w:p>
      <w:pPr>
        <w:pStyle w:val="BodyText"/>
        <w:spacing w:line="348" w:lineRule="auto" w:before="32"/>
        <w:ind w:left="473" w:right="1002"/>
        <w:jc w:val="left"/>
      </w:pPr>
      <w:r>
        <w:rPr/>
        <w:t>初始取得或衍生的金融资产或承担的金融负债，以市场交易价格作为确定其公允价值的基础。</w:t>
      </w:r>
      <w:r>
        <w:rPr>
          <w:w w:val="100"/>
        </w:rPr>
        <w:t> </w:t>
      </w:r>
      <w:r>
        <w:rPr>
          <w:spacing w:val="-1"/>
        </w:rPr>
        <w:t>不存在活跃市场的金融资产或金融负债，采用估值技术确定其公允价值。在估值时，本公司采用在当</w:t>
      </w:r>
    </w:p>
    <w:p>
      <w:pPr>
        <w:pStyle w:val="BodyText"/>
        <w:spacing w:line="350" w:lineRule="auto" w:before="29"/>
        <w:ind w:right="1125"/>
        <w:jc w:val="both"/>
      </w:pPr>
      <w:r>
        <w:rPr>
          <w:spacing w:val="-2"/>
        </w:rPr>
        <w:t>前情况下适用并且有足够可利用数据和其他信息支持的估值技术，选择与市场参与者在相关资产或负债的</w:t>
      </w:r>
      <w:r>
        <w:rPr>
          <w:spacing w:val="-33"/>
        </w:rPr>
        <w:t> </w:t>
      </w:r>
      <w:r>
        <w:rPr>
          <w:spacing w:val="-33"/>
        </w:rPr>
      </w:r>
      <w:r>
        <w:rPr>
          <w:spacing w:val="-2"/>
        </w:rPr>
        <w:t>交易中所考虑的资产或负债特征相一致的输入值，并尽可能优先使用相关可观察输入值。在相关可观察输</w:t>
      </w:r>
      <w:r>
        <w:rPr>
          <w:spacing w:val="-33"/>
        </w:rPr>
        <w:t> </w:t>
      </w:r>
      <w:r>
        <w:rPr>
          <w:spacing w:val="-33"/>
        </w:rPr>
      </w:r>
      <w:r>
        <w:rPr/>
        <w:t>入值无法取得或取得不切实可行的情况下，使用不可观察输入值。</w:t>
      </w:r>
    </w:p>
    <w:p>
      <w:pPr>
        <w:pStyle w:val="BodyText"/>
        <w:spacing w:line="352" w:lineRule="auto" w:before="27"/>
        <w:ind w:left="473" w:right="1002"/>
        <w:jc w:val="left"/>
      </w:pPr>
      <w:r>
        <w:rPr>
          <w:rFonts w:ascii="宋体" w:hAnsi="宋体" w:cs="宋体" w:eastAsia="宋体" w:hint="default"/>
          <w:b/>
          <w:bCs/>
        </w:rPr>
        <w:t>6</w:t>
      </w:r>
      <w:r>
        <w:rPr>
          <w:rFonts w:ascii="宋体" w:hAnsi="宋体" w:cs="宋体" w:eastAsia="宋体" w:hint="default"/>
          <w:b/>
          <w:bCs/>
        </w:rPr>
        <w:t>、金融工具减值</w:t>
      </w:r>
      <w:r>
        <w:rPr>
          <w:rFonts w:ascii="宋体" w:hAnsi="宋体" w:cs="宋体" w:eastAsia="宋体" w:hint="default"/>
          <w:b/>
          <w:bCs/>
          <w:spacing w:val="-104"/>
        </w:rPr>
        <w:t> </w:t>
      </w:r>
      <w:r>
        <w:rPr>
          <w:spacing w:val="-1"/>
        </w:rPr>
        <w:t>本公司以预期信用损失为基础，对分类为以摊余成本计量的金融资产、分类为以公允价值计量且其变</w:t>
      </w:r>
    </w:p>
    <w:p>
      <w:pPr>
        <w:pStyle w:val="BodyText"/>
        <w:spacing w:line="348" w:lineRule="auto" w:before="25"/>
        <w:ind w:left="473" w:right="1002" w:hanging="360"/>
        <w:jc w:val="left"/>
      </w:pPr>
      <w:r>
        <w:rPr/>
        <w:t>动计入其他综合收益的金融资产以及财务担保合同，进行减值会计处理并确认损失准备。</w:t>
      </w:r>
      <w:r>
        <w:rPr>
          <w:w w:val="100"/>
        </w:rPr>
        <w:t> </w:t>
      </w:r>
      <w:r>
        <w:rPr>
          <w:spacing w:val="-1"/>
        </w:rPr>
        <w:t>预期信用损失，是指以发生违约的风险为权重的金融工具信用损失的加权平均值。信用损失，是指本</w:t>
      </w:r>
    </w:p>
    <w:p>
      <w:pPr>
        <w:pStyle w:val="BodyText"/>
        <w:spacing w:line="348" w:lineRule="auto" w:before="34"/>
        <w:ind w:right="1106"/>
        <w:jc w:val="both"/>
      </w:pPr>
      <w:r>
        <w:rPr>
          <w:spacing w:val="-2"/>
        </w:rPr>
        <w:t>公司按照原实际利率折现的、根据合同应收的所有合同现金流量与预期收取的所有现金流量之间的差额，</w:t>
      </w:r>
      <w:r>
        <w:rPr>
          <w:spacing w:val="-13"/>
        </w:rPr>
        <w:t> </w:t>
      </w:r>
      <w:r>
        <w:rPr>
          <w:spacing w:val="-13"/>
        </w:rPr>
      </w:r>
      <w:r>
        <w:rPr>
          <w:spacing w:val="-2"/>
        </w:rPr>
        <w:t>即全部现金短缺的现值。其中，对于本公司购买或源生的已发生信用减值的金融资产，应按照该金融资产</w:t>
      </w:r>
      <w:r>
        <w:rPr>
          <w:spacing w:val="-33"/>
        </w:rPr>
        <w:t> </w:t>
      </w:r>
      <w:r>
        <w:rPr>
          <w:spacing w:val="-33"/>
        </w:rPr>
      </w:r>
      <w:r>
        <w:rPr/>
        <w:t>经信用调整的实际利率折现。</w:t>
      </w:r>
    </w:p>
    <w:p>
      <w:pPr>
        <w:pStyle w:val="BodyText"/>
        <w:spacing w:line="348" w:lineRule="auto" w:before="34"/>
        <w:ind w:right="1130" w:firstLine="360"/>
        <w:jc w:val="both"/>
      </w:pPr>
      <w:r>
        <w:rPr>
          <w:spacing w:val="-1"/>
        </w:rPr>
        <w:t>对由收入准则规范的交易形成的应收款项，本公司运用简化计量方法，按照相当于整个存续期内预期</w:t>
      </w:r>
      <w:r>
        <w:rPr>
          <w:w w:val="100"/>
        </w:rPr>
        <w:t> </w:t>
      </w:r>
      <w:r>
        <w:rPr/>
        <w:t>信用损失的金额计量损失准备。</w:t>
      </w:r>
    </w:p>
    <w:p>
      <w:pPr>
        <w:pStyle w:val="BodyText"/>
        <w:spacing w:line="350" w:lineRule="auto" w:before="29"/>
        <w:ind w:right="1123" w:firstLine="360"/>
        <w:jc w:val="both"/>
      </w:pPr>
      <w:r>
        <w:rPr>
          <w:spacing w:val="-1"/>
        </w:rPr>
        <w:t>对于购买或源生的已发生信用减值的金融资产，在资产负债表日仅将自初始确认后整个存续期内预期</w:t>
      </w:r>
      <w:r>
        <w:rPr>
          <w:w w:val="100"/>
        </w:rPr>
        <w:t> </w:t>
      </w:r>
      <w:r>
        <w:rPr>
          <w:spacing w:val="-2"/>
        </w:rPr>
        <w:t>信用损失的累计变动确认为损失准备。在每个资产负债表日，将整个存续期内预期信用损失的变动金额作</w:t>
      </w:r>
      <w:r>
        <w:rPr>
          <w:spacing w:val="-31"/>
        </w:rPr>
        <w:t> </w:t>
      </w:r>
      <w:r>
        <w:rPr>
          <w:spacing w:val="-31"/>
        </w:rPr>
      </w:r>
      <w:r>
        <w:rPr>
          <w:spacing w:val="-2"/>
        </w:rPr>
        <w:t>为减值损失或利得计入当期损益。即使该资产负债表日确定的整个存续期内预期信用损失小于初始确认时</w:t>
      </w:r>
      <w:r>
        <w:rPr>
          <w:spacing w:val="-33"/>
        </w:rPr>
        <w:t> </w:t>
      </w:r>
      <w:r>
        <w:rPr>
          <w:spacing w:val="-33"/>
        </w:rPr>
      </w:r>
      <w:r>
        <w:rPr/>
        <w:t>估计现金流量所反映的预期信用损失的金额，也将预期信用损失的有利变动确认为减值利得。</w:t>
      </w:r>
    </w:p>
    <w:p>
      <w:pPr>
        <w:pStyle w:val="BodyText"/>
        <w:spacing w:line="348" w:lineRule="auto" w:before="31"/>
        <w:ind w:right="1130" w:firstLine="360"/>
        <w:jc w:val="both"/>
      </w:pPr>
      <w:r>
        <w:rPr>
          <w:spacing w:val="-1"/>
        </w:rPr>
        <w:t>除上述采用简化计量方法和购买或源生的已发生信用减值以外的其他金融资产，本公司在每个资产负</w:t>
      </w:r>
      <w:r>
        <w:rPr>
          <w:w w:val="100"/>
        </w:rPr>
        <w:t> </w:t>
      </w:r>
      <w:r>
        <w:rPr/>
        <w:t>债表日评估相关金融工具的信用风险自初始确认后是否已显著增加，并按照下列情形分别计量其损失准</w:t>
      </w:r>
      <w:r>
        <w:rPr>
          <w:spacing w:val="60"/>
        </w:rPr>
        <w:t> </w:t>
      </w:r>
      <w:r>
        <w:rPr>
          <w:spacing w:val="60"/>
        </w:rPr>
      </w:r>
      <w:r>
        <w:rPr/>
        <w:t>备、确认预期信用损失及其变动：</w:t>
      </w:r>
    </w:p>
    <w:p>
      <w:pPr>
        <w:pStyle w:val="BodyText"/>
        <w:spacing w:line="348" w:lineRule="auto" w:before="34"/>
        <w:ind w:right="1127" w:firstLine="360"/>
        <w:jc w:val="both"/>
      </w:pPr>
      <w:r>
        <w:rPr>
          <w:spacing w:val="-3"/>
        </w:rPr>
        <w:t>（</w:t>
      </w:r>
      <w:r>
        <w:rPr>
          <w:rFonts w:ascii="宋体" w:hAnsi="宋体" w:cs="宋体" w:eastAsia="宋体" w:hint="default"/>
          <w:spacing w:val="-3"/>
        </w:rPr>
        <w:t>1</w:t>
      </w:r>
      <w:r>
        <w:rPr>
          <w:spacing w:val="-3"/>
        </w:rPr>
        <w:t>）如果该金融工具的信用风险自初始确认后并未显著增加，处于第一阶段，则按照相当于该金融工</w:t>
      </w:r>
      <w:r>
        <w:rPr>
          <w:w w:val="100"/>
        </w:rPr>
        <w:t> </w:t>
      </w:r>
      <w:r>
        <w:rPr/>
        <w:t>具未来 </w:t>
      </w:r>
      <w:r>
        <w:rPr>
          <w:rFonts w:ascii="宋体" w:hAnsi="宋体" w:cs="宋体" w:eastAsia="宋体" w:hint="default"/>
        </w:rPr>
        <w:t>12</w:t>
      </w:r>
      <w:r>
        <w:rPr>
          <w:rFonts w:ascii="宋体" w:hAnsi="宋体" w:cs="宋体" w:eastAsia="宋体" w:hint="default"/>
          <w:spacing w:val="2"/>
        </w:rPr>
        <w:t> </w:t>
      </w:r>
      <w:r>
        <w:rPr/>
        <w:t>个月内预期信用损失的金额计量其损失准备，并按照账面余额和实际利率计算利息收入。</w:t>
      </w:r>
    </w:p>
    <w:p>
      <w:pPr>
        <w:spacing w:after="0" w:line="348"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26" w:firstLine="360"/>
        <w:jc w:val="both"/>
      </w:pPr>
      <w:r>
        <w:rPr>
          <w:spacing w:val="-3"/>
        </w:rPr>
        <w:t>（</w:t>
      </w:r>
      <w:r>
        <w:rPr>
          <w:rFonts w:ascii="宋体" w:hAnsi="宋体" w:cs="宋体" w:eastAsia="宋体" w:hint="default"/>
          <w:spacing w:val="-3"/>
        </w:rPr>
        <w:t>2</w:t>
      </w:r>
      <w:r>
        <w:rPr>
          <w:spacing w:val="-3"/>
        </w:rPr>
        <w:t>）如果该金融工具的信用风险自初始确认后已显著增加但尚未发生信用减值的，处于第二阶段，则</w:t>
      </w:r>
      <w:r>
        <w:rPr>
          <w:w w:val="100"/>
        </w:rPr>
        <w:t> </w:t>
      </w:r>
      <w:r>
        <w:rPr>
          <w:spacing w:val="-2"/>
        </w:rPr>
        <w:t>按照相当于该金融工具整个存续期内预期信用损失的金额计量其损失准备，并按照账面余额和实际利率计</w:t>
      </w:r>
      <w:r>
        <w:rPr>
          <w:spacing w:val="-33"/>
        </w:rPr>
        <w:t> </w:t>
      </w:r>
      <w:r>
        <w:rPr>
          <w:spacing w:val="-33"/>
        </w:rPr>
      </w:r>
      <w:r>
        <w:rPr/>
        <w:t>算利息收入。</w:t>
      </w:r>
    </w:p>
    <w:p>
      <w:pPr>
        <w:pStyle w:val="BodyText"/>
        <w:spacing w:line="348" w:lineRule="auto" w:before="27"/>
        <w:ind w:right="1131" w:firstLine="360"/>
        <w:jc w:val="both"/>
      </w:pPr>
      <w:r>
        <w:rPr>
          <w:spacing w:val="-3"/>
        </w:rPr>
        <w:t>（</w:t>
      </w:r>
      <w:r>
        <w:rPr>
          <w:rFonts w:ascii="宋体" w:hAnsi="宋体" w:cs="宋体" w:eastAsia="宋体" w:hint="default"/>
          <w:spacing w:val="-3"/>
        </w:rPr>
        <w:t>3</w:t>
      </w:r>
      <w:r>
        <w:rPr>
          <w:spacing w:val="-3"/>
        </w:rPr>
        <w:t>）如果该金融工具自初始确认后已经发生信用减值的，处于第三阶段，本公司按照相当于该金融工</w:t>
      </w:r>
      <w:r>
        <w:rPr>
          <w:w w:val="100"/>
        </w:rPr>
        <w:t> </w:t>
      </w:r>
      <w:r>
        <w:rPr/>
        <w:t>具整个存续期内预期信用损失的金额计量其损失准备，并按照摊余成本和实际利率计算利息收入。</w:t>
      </w:r>
    </w:p>
    <w:p>
      <w:pPr>
        <w:pStyle w:val="BodyText"/>
        <w:spacing w:line="350" w:lineRule="auto" w:before="34"/>
        <w:ind w:right="1125" w:firstLine="360"/>
        <w:jc w:val="both"/>
      </w:pPr>
      <w:r>
        <w:rPr>
          <w:spacing w:val="-1"/>
        </w:rPr>
        <w:t>金融工具信用损失准备的增加或转回金额，作为减值损失或利得计入当期损益。除分类为以公允价值</w:t>
      </w:r>
      <w:r>
        <w:rPr>
          <w:w w:val="100"/>
        </w:rPr>
        <w:t> </w:t>
      </w:r>
      <w:r>
        <w:rPr>
          <w:spacing w:val="-2"/>
        </w:rPr>
        <w:t>计量且其变动计入其他综合收益的金融资产外，信用损失准备抵减金融资产的账面余额。对于分类为以公</w:t>
      </w:r>
      <w:r>
        <w:rPr>
          <w:spacing w:val="-33"/>
        </w:rPr>
        <w:t> </w:t>
      </w:r>
      <w:r>
        <w:rPr>
          <w:spacing w:val="-33"/>
        </w:rPr>
      </w:r>
      <w:r>
        <w:rPr>
          <w:spacing w:val="-2"/>
        </w:rPr>
        <w:t>允价值计量且其变动计入其他综合收益的金融资产，本公司在其他综合收益中确认其信用损失准备，不减</w:t>
      </w:r>
      <w:r>
        <w:rPr>
          <w:spacing w:val="-33"/>
        </w:rPr>
        <w:t> </w:t>
      </w:r>
      <w:r>
        <w:rPr>
          <w:spacing w:val="-33"/>
        </w:rPr>
      </w:r>
      <w:r>
        <w:rPr/>
        <w:t>少该金融资产在资产负债表中列示的账面价值。</w:t>
      </w:r>
    </w:p>
    <w:p>
      <w:pPr>
        <w:pStyle w:val="BodyText"/>
        <w:spacing w:line="350" w:lineRule="auto" w:before="27"/>
        <w:ind w:right="1123" w:firstLine="360"/>
        <w:jc w:val="both"/>
      </w:pPr>
      <w:r>
        <w:rPr>
          <w:spacing w:val="-1"/>
        </w:rPr>
        <w:t>本公司在前一会计期间已经按照相当于金融工具整个存续期内预期信用损失的金额计量了损失准备，</w:t>
      </w:r>
      <w:r>
        <w:rPr>
          <w:w w:val="100"/>
        </w:rPr>
        <w:t> </w:t>
      </w:r>
      <w:r>
        <w:rPr>
          <w:spacing w:val="-2"/>
        </w:rPr>
        <w:t>但在当期资产负债表日，该金融工具已不再属于自初始确认后信用风险显著增加的情形的，本公司在当期</w:t>
      </w:r>
      <w:r>
        <w:rPr>
          <w:spacing w:val="-33"/>
        </w:rPr>
        <w:t> </w:t>
      </w:r>
      <w:r>
        <w:rPr>
          <w:spacing w:val="-33"/>
        </w:rPr>
      </w:r>
      <w:r>
        <w:rPr>
          <w:spacing w:val="-2"/>
        </w:rPr>
        <w:t>资产负债表日按照相当于未来</w:t>
      </w:r>
      <w:r>
        <w:rPr>
          <w:rFonts w:ascii="宋体" w:hAnsi="宋体" w:cs="宋体" w:eastAsia="宋体" w:hint="default"/>
          <w:spacing w:val="-2"/>
        </w:rPr>
        <w:t>12</w:t>
      </w:r>
      <w:r>
        <w:rPr>
          <w:spacing w:val="-2"/>
        </w:rPr>
        <w:t>个月内预期信用损失的金额计量该金融工具的损失准备，由此形成的损失</w:t>
      </w:r>
      <w:r>
        <w:rPr>
          <w:spacing w:val="-29"/>
        </w:rPr>
        <w:t> </w:t>
      </w:r>
      <w:r>
        <w:rPr>
          <w:spacing w:val="-29"/>
        </w:rPr>
      </w:r>
      <w:r>
        <w:rPr/>
        <w:t>准备的转回金额作为减值利得计入当期损益。</w:t>
      </w:r>
    </w:p>
    <w:p>
      <w:pPr>
        <w:pStyle w:val="BodyText"/>
        <w:spacing w:line="352" w:lineRule="auto" w:before="27"/>
        <w:ind w:left="473" w:right="1002"/>
        <w:jc w:val="left"/>
      </w:pPr>
      <w:r>
        <w:rPr/>
        <w:t>（</w:t>
      </w:r>
      <w:r>
        <w:rPr>
          <w:rFonts w:ascii="宋体" w:hAnsi="宋体" w:cs="宋体" w:eastAsia="宋体" w:hint="default"/>
        </w:rPr>
        <w:t>1</w:t>
      </w:r>
      <w:r>
        <w:rPr/>
        <w:t>）信用风险显著增加</w:t>
      </w:r>
      <w:r>
        <w:rPr>
          <w:spacing w:val="-103"/>
        </w:rPr>
        <w:t> </w:t>
      </w:r>
      <w:r>
        <w:rPr>
          <w:spacing w:val="-103"/>
        </w:rPr>
      </w:r>
      <w:r>
        <w:rPr>
          <w:spacing w:val="-1"/>
        </w:rPr>
        <w:t>本公司利用可获得的合理且有依据的前瞻性信息，通过比较金融工具在资产负债表日发生违约的风险</w:t>
      </w:r>
    </w:p>
    <w:p>
      <w:pPr>
        <w:pStyle w:val="BodyText"/>
        <w:spacing w:line="348" w:lineRule="auto" w:before="25"/>
        <w:ind w:right="1025"/>
        <w:jc w:val="both"/>
      </w:pPr>
      <w:r>
        <w:rPr>
          <w:spacing w:val="-2"/>
        </w:rPr>
        <w:t>与在初始确认日发生违约的风险，以确定金融工具的信用风险自初始确认后是否已显著增加。对于财务担</w:t>
      </w:r>
      <w:r>
        <w:rPr>
          <w:spacing w:val="-33"/>
        </w:rPr>
        <w:t> </w:t>
      </w:r>
      <w:r>
        <w:rPr>
          <w:spacing w:val="-33"/>
        </w:rPr>
      </w:r>
      <w:r>
        <w:rPr>
          <w:spacing w:val="-4"/>
        </w:rPr>
        <w:t>保合同，本公司在应用金融工具减值规定时，将本公司成为做出不可撤销承诺的一方之日作为初始确认日。</w:t>
      </w:r>
    </w:p>
    <w:p>
      <w:pPr>
        <w:pStyle w:val="BodyText"/>
        <w:spacing w:line="348" w:lineRule="auto" w:before="34"/>
        <w:ind w:left="473" w:right="1002"/>
        <w:jc w:val="left"/>
      </w:pPr>
      <w:r>
        <w:rPr>
          <w:spacing w:val="-2"/>
        </w:rPr>
        <w:t>本公司在评估信用风险是否显著增加时会考虑如下因素：</w:t>
      </w:r>
      <w:r>
        <w:rPr>
          <w:spacing w:val="-55"/>
        </w:rPr>
        <w:t> </w:t>
      </w:r>
      <w:r>
        <w:rPr>
          <w:spacing w:val="-55"/>
        </w:rPr>
      </w:r>
      <w:r>
        <w:rPr>
          <w:rFonts w:ascii="宋体" w:hAnsi="宋体" w:cs="宋体" w:eastAsia="宋体" w:hint="default"/>
        </w:rPr>
        <w:t>1</w:t>
      </w:r>
      <w:r>
        <w:rPr/>
        <w:t>）债务人经营成果实际或预期是否发生显著变化；</w:t>
      </w:r>
    </w:p>
    <w:p>
      <w:pPr>
        <w:pStyle w:val="BodyText"/>
        <w:spacing w:line="240" w:lineRule="auto" w:before="29"/>
        <w:ind w:left="473" w:right="1002"/>
        <w:jc w:val="left"/>
      </w:pPr>
      <w:r>
        <w:rPr>
          <w:rFonts w:ascii="宋体" w:hAnsi="宋体" w:cs="宋体" w:eastAsia="宋体" w:hint="default"/>
        </w:rPr>
        <w:t>2</w:t>
      </w:r>
      <w:r>
        <w:rPr/>
        <w:t>）债务人所处的监管、经济或技术环境是否发生显著不利变化；</w:t>
      </w:r>
    </w:p>
    <w:p>
      <w:pPr>
        <w:pStyle w:val="BodyText"/>
        <w:spacing w:line="348" w:lineRule="auto" w:before="128"/>
        <w:ind w:right="1126" w:firstLine="360"/>
        <w:jc w:val="both"/>
      </w:pPr>
      <w:r>
        <w:rPr>
          <w:rFonts w:ascii="宋体" w:hAnsi="宋体" w:cs="宋体" w:eastAsia="宋体" w:hint="default"/>
          <w:spacing w:val="-3"/>
        </w:rPr>
        <w:t>3</w:t>
      </w:r>
      <w:r>
        <w:rPr>
          <w:spacing w:val="-3"/>
        </w:rPr>
        <w:t>）作为债务抵押的担保物价值或第三方提供的担保或信用增级质量是否发生显著变化，这些变化预期</w:t>
      </w:r>
      <w:r>
        <w:rPr>
          <w:w w:val="100"/>
        </w:rPr>
        <w:t> </w:t>
      </w:r>
      <w:r>
        <w:rPr/>
        <w:t>将降低债务人按合同规定期限还款的经济动机或者影响违约概率；</w:t>
      </w:r>
    </w:p>
    <w:p>
      <w:pPr>
        <w:pStyle w:val="BodyText"/>
        <w:spacing w:line="240" w:lineRule="auto" w:before="29"/>
        <w:ind w:left="473" w:right="1002"/>
        <w:jc w:val="left"/>
      </w:pPr>
      <w:r>
        <w:rPr>
          <w:rFonts w:ascii="宋体" w:hAnsi="宋体" w:cs="宋体" w:eastAsia="宋体" w:hint="default"/>
        </w:rPr>
        <w:t>4</w:t>
      </w:r>
      <w:r>
        <w:rPr/>
        <w:t>）债务人预期表现和还款行为是否发生显著变化；</w:t>
      </w:r>
    </w:p>
    <w:p>
      <w:pPr>
        <w:pStyle w:val="BodyText"/>
        <w:spacing w:line="348" w:lineRule="auto" w:before="129"/>
        <w:ind w:left="473" w:right="1002"/>
        <w:jc w:val="left"/>
      </w:pPr>
      <w:r>
        <w:rPr>
          <w:rFonts w:ascii="宋体" w:hAnsi="宋体" w:cs="宋体" w:eastAsia="宋体" w:hint="default"/>
        </w:rPr>
        <w:t>5</w:t>
      </w:r>
      <w:r>
        <w:rPr/>
        <w:t>）本公司对金融工具信用管理方法是否发生变化等。</w:t>
      </w:r>
      <w:r>
        <w:rPr>
          <w:w w:val="100"/>
        </w:rPr>
        <w:t> </w:t>
      </w:r>
      <w:r>
        <w:rPr>
          <w:spacing w:val="-1"/>
        </w:rPr>
        <w:t>于资产负债表日，若本公司判断金融工具只具有较低的信用风险，则本公司假定该金融工具的信用风</w:t>
      </w:r>
    </w:p>
    <w:p>
      <w:pPr>
        <w:pStyle w:val="BodyText"/>
        <w:spacing w:line="350" w:lineRule="auto" w:before="29"/>
        <w:ind w:right="1123"/>
        <w:jc w:val="both"/>
      </w:pPr>
      <w:r>
        <w:rPr>
          <w:spacing w:val="-2"/>
        </w:rPr>
        <w:t>险自初始确认后并未显著增加。如果金融工具的违约风险较低，借款人在短期内履行其合同现金流量义务</w:t>
      </w:r>
      <w:r>
        <w:rPr>
          <w:spacing w:val="-33"/>
        </w:rPr>
        <w:t> </w:t>
      </w:r>
      <w:r>
        <w:rPr>
          <w:spacing w:val="-33"/>
        </w:rPr>
      </w:r>
      <w:r>
        <w:rPr>
          <w:spacing w:val="-2"/>
        </w:rPr>
        <w:t>的能力很强，并且即使较长时期内经济形势和经营环境存在不利变化，但未必一定降低借款人履行其合同</w:t>
      </w:r>
      <w:r>
        <w:rPr>
          <w:spacing w:val="-31"/>
        </w:rPr>
        <w:t> </w:t>
      </w:r>
      <w:r>
        <w:rPr>
          <w:spacing w:val="-31"/>
        </w:rPr>
      </w:r>
      <w:r>
        <w:rPr/>
        <w:t>现金流量义务的能力，则该金融工具被视为具有较低的信用风险。</w:t>
      </w:r>
    </w:p>
    <w:p>
      <w:pPr>
        <w:pStyle w:val="BodyText"/>
        <w:spacing w:line="352" w:lineRule="auto" w:before="27"/>
        <w:ind w:left="473" w:right="1002"/>
        <w:jc w:val="left"/>
      </w:pPr>
      <w:r>
        <w:rPr/>
        <w:t>（</w:t>
      </w:r>
      <w:r>
        <w:rPr>
          <w:rFonts w:ascii="宋体" w:hAnsi="宋体" w:cs="宋体" w:eastAsia="宋体" w:hint="default"/>
        </w:rPr>
        <w:t>2</w:t>
      </w:r>
      <w:r>
        <w:rPr/>
        <w:t>）已发生信用减值的金融资产</w:t>
      </w:r>
      <w:r>
        <w:rPr>
          <w:spacing w:val="-103"/>
        </w:rPr>
        <w:t> </w:t>
      </w:r>
      <w:r>
        <w:rPr>
          <w:spacing w:val="-103"/>
        </w:rPr>
      </w:r>
      <w:r>
        <w:rPr>
          <w:spacing w:val="-1"/>
        </w:rPr>
        <w:t>当对金融资产预期未来现金流量具有不利影响的一项或多项事件发生时，该金融资产成为已发生信用</w:t>
      </w:r>
    </w:p>
    <w:p>
      <w:pPr>
        <w:pStyle w:val="BodyText"/>
        <w:spacing w:line="348" w:lineRule="auto" w:before="25"/>
        <w:ind w:left="473" w:right="1002" w:hanging="360"/>
        <w:jc w:val="left"/>
      </w:pPr>
      <w:r>
        <w:rPr>
          <w:spacing w:val="-2"/>
        </w:rPr>
        <w:t>减值的金融资产。金融资产已发生信用减值的证据包括下列可观察信息：</w:t>
      </w:r>
      <w:r>
        <w:rPr>
          <w:spacing w:val="-38"/>
        </w:rPr>
        <w:t> </w:t>
      </w:r>
      <w:r>
        <w:rPr>
          <w:spacing w:val="-38"/>
        </w:rPr>
      </w:r>
      <w:r>
        <w:rPr>
          <w:rFonts w:ascii="宋体" w:hAnsi="宋体" w:cs="宋体" w:eastAsia="宋体" w:hint="default"/>
        </w:rPr>
        <w:t>1</w:t>
      </w:r>
      <w:r>
        <w:rPr/>
        <w:t>）发行方或债务人发生重大财务困难；</w:t>
      </w:r>
    </w:p>
    <w:p>
      <w:pPr>
        <w:pStyle w:val="BodyText"/>
        <w:spacing w:line="240" w:lineRule="auto" w:before="34"/>
        <w:ind w:left="473" w:right="1002"/>
        <w:jc w:val="left"/>
      </w:pPr>
      <w:r>
        <w:rPr>
          <w:rFonts w:ascii="宋体" w:hAnsi="宋体" w:cs="宋体" w:eastAsia="宋体" w:hint="default"/>
        </w:rPr>
        <w:t>2</w:t>
      </w:r>
      <w:r>
        <w:rPr/>
        <w:t>）债务人违反合同，如偿付利息或本金违约或逾期等；</w:t>
      </w:r>
    </w:p>
    <w:p>
      <w:pPr>
        <w:pStyle w:val="BodyText"/>
        <w:spacing w:line="240" w:lineRule="auto" w:before="123"/>
        <w:ind w:left="473" w:right="1002"/>
        <w:jc w:val="left"/>
      </w:pPr>
      <w:r>
        <w:rPr>
          <w:rFonts w:ascii="宋体" w:hAnsi="宋体" w:cs="宋体" w:eastAsia="宋体" w:hint="default"/>
          <w:spacing w:val="-3"/>
        </w:rPr>
        <w:t>3</w:t>
      </w:r>
      <w:r>
        <w:rPr>
          <w:spacing w:val="-3"/>
        </w:rPr>
        <w:t>）债权人出于与债务人财务困难有关的经济或合同考虑，给予债务人在任何其他情况下都不会做出的</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240" w:lineRule="auto"/>
        <w:ind w:right="1002"/>
        <w:jc w:val="left"/>
      </w:pPr>
      <w:r>
        <w:rPr/>
        <w:t>让步；</w:t>
      </w:r>
    </w:p>
    <w:p>
      <w:pPr>
        <w:pStyle w:val="BodyText"/>
        <w:spacing w:line="240" w:lineRule="auto" w:before="123"/>
        <w:ind w:left="473" w:right="1002"/>
        <w:jc w:val="left"/>
      </w:pPr>
      <w:r>
        <w:rPr>
          <w:rFonts w:ascii="宋体" w:hAnsi="宋体" w:cs="宋体" w:eastAsia="宋体" w:hint="default"/>
        </w:rPr>
        <w:t>4</w:t>
      </w:r>
      <w:r>
        <w:rPr/>
        <w:t>）债务人很可能破产或进行其他财务重组；</w:t>
      </w:r>
    </w:p>
    <w:p>
      <w:pPr>
        <w:pStyle w:val="BodyText"/>
        <w:spacing w:line="240" w:lineRule="auto" w:before="129"/>
        <w:ind w:left="473" w:right="1002"/>
        <w:jc w:val="left"/>
      </w:pPr>
      <w:r>
        <w:rPr>
          <w:rFonts w:ascii="宋体" w:hAnsi="宋体" w:cs="宋体" w:eastAsia="宋体" w:hint="default"/>
        </w:rPr>
        <w:t>5</w:t>
      </w:r>
      <w:r>
        <w:rPr/>
        <w:t>）发行方或债务人财务困难导致该金融资产的活跃市场消失；</w:t>
      </w:r>
    </w:p>
    <w:p>
      <w:pPr>
        <w:pStyle w:val="BodyText"/>
        <w:spacing w:line="348" w:lineRule="auto" w:before="123"/>
        <w:ind w:left="473" w:right="1002"/>
        <w:jc w:val="left"/>
      </w:pPr>
      <w:r>
        <w:rPr>
          <w:rFonts w:ascii="宋体" w:hAnsi="宋体" w:cs="宋体" w:eastAsia="宋体" w:hint="default"/>
        </w:rPr>
        <w:t>6</w:t>
      </w:r>
      <w:r>
        <w:rPr/>
        <w:t>）以大幅折扣购买或源生一项金融资产，该折扣反映了发生信用损失的事实。</w:t>
      </w:r>
      <w:r>
        <w:rPr>
          <w:w w:val="100"/>
        </w:rPr>
        <w:t> </w:t>
      </w:r>
      <w:r>
        <w:rPr>
          <w:spacing w:val="-2"/>
        </w:rPr>
        <w:t>金融资产发生信用减值，有可能是多个事件的共同作用所致，未必是可单独识别的事件所致。</w:t>
      </w:r>
    </w:p>
    <w:p>
      <w:pPr>
        <w:pStyle w:val="BodyText"/>
        <w:spacing w:line="348" w:lineRule="auto" w:before="34"/>
        <w:ind w:left="473" w:right="1002"/>
        <w:jc w:val="left"/>
      </w:pPr>
      <w:r>
        <w:rPr/>
        <w:t>（</w:t>
      </w:r>
      <w:r>
        <w:rPr>
          <w:rFonts w:ascii="宋体" w:hAnsi="宋体" w:cs="宋体" w:eastAsia="宋体" w:hint="default"/>
        </w:rPr>
        <w:t>3</w:t>
      </w:r>
      <w:r>
        <w:rPr/>
        <w:t>）预期信用损失的确定</w:t>
      </w:r>
      <w:r>
        <w:rPr>
          <w:spacing w:val="-102"/>
        </w:rPr>
        <w:t> </w:t>
      </w:r>
      <w:r>
        <w:rPr>
          <w:spacing w:val="-102"/>
        </w:rPr>
      </w:r>
      <w:r>
        <w:rPr>
          <w:spacing w:val="-1"/>
        </w:rPr>
        <w:t>本公司基于单项和组合评估金融工具的预期信用损失，在评估预期信用损失时，考虑有关过去事项、</w:t>
      </w:r>
    </w:p>
    <w:p>
      <w:pPr>
        <w:pStyle w:val="BodyText"/>
        <w:spacing w:line="352" w:lineRule="auto" w:before="29"/>
        <w:ind w:left="473" w:right="1002" w:hanging="360"/>
        <w:jc w:val="left"/>
      </w:pPr>
      <w:r>
        <w:rPr/>
        <w:t>当前状况以及未来经济状况预测的合理且有依据的信息。</w:t>
      </w:r>
      <w:r>
        <w:rPr>
          <w:w w:val="100"/>
        </w:rPr>
        <w:t> </w:t>
      </w:r>
      <w:r>
        <w:rPr>
          <w:spacing w:val="-1"/>
        </w:rPr>
        <w:t>本公司以共同信用风险特征为依据，将金融工具分为不同组合。本公司采用的共同信用风险特征包括</w:t>
      </w:r>
    </w:p>
    <w:p>
      <w:pPr>
        <w:pStyle w:val="BodyText"/>
        <w:spacing w:line="348" w:lineRule="auto" w:before="25"/>
        <w:ind w:right="1002"/>
        <w:jc w:val="left"/>
      </w:pPr>
      <w:r>
        <w:rPr>
          <w:spacing w:val="-2"/>
        </w:rPr>
        <w:t>金融工具类型、信用风险评级、账龄组合等。相关金融工具的单项评估标准和组合信用风险特征详见相关</w:t>
      </w:r>
      <w:r>
        <w:rPr>
          <w:spacing w:val="-31"/>
        </w:rPr>
        <w:t> </w:t>
      </w:r>
      <w:r>
        <w:rPr>
          <w:spacing w:val="-31"/>
        </w:rPr>
      </w:r>
      <w:r>
        <w:rPr/>
        <w:t>金融工具的会计政策。</w:t>
      </w:r>
    </w:p>
    <w:p>
      <w:pPr>
        <w:pStyle w:val="BodyText"/>
        <w:spacing w:line="348" w:lineRule="auto" w:before="34"/>
        <w:ind w:left="473" w:right="1002"/>
        <w:jc w:val="left"/>
      </w:pPr>
      <w:r>
        <w:rPr/>
        <w:t>本公司按照下列方法确定相关金融工具的预期信用损失：</w:t>
      </w:r>
      <w:r>
        <w:rPr>
          <w:w w:val="100"/>
        </w:rPr>
        <w:t> </w:t>
      </w:r>
      <w:r>
        <w:rPr>
          <w:rFonts w:ascii="宋体" w:hAnsi="宋体" w:cs="宋体" w:eastAsia="宋体" w:hint="default"/>
          <w:spacing w:val="-2"/>
        </w:rPr>
        <w:t>1</w:t>
      </w:r>
      <w:r>
        <w:rPr>
          <w:spacing w:val="-2"/>
        </w:rPr>
        <w:t>）对于金融资产，信用损失为本公司应收取的合同现金流量与预期收取的现金流量之间差额的现值。</w:t>
      </w:r>
    </w:p>
    <w:p>
      <w:pPr>
        <w:pStyle w:val="BodyText"/>
        <w:spacing w:line="352" w:lineRule="auto" w:before="29"/>
        <w:ind w:right="1011" w:firstLine="360"/>
        <w:jc w:val="left"/>
      </w:pPr>
      <w:r>
        <w:rPr>
          <w:rFonts w:ascii="宋体" w:hAnsi="宋体" w:cs="宋体" w:eastAsia="宋体" w:hint="default"/>
          <w:spacing w:val="-5"/>
          <w:w w:val="100"/>
        </w:rPr>
        <w:t>2</w:t>
      </w:r>
      <w:r>
        <w:rPr>
          <w:spacing w:val="-5"/>
          <w:w w:val="100"/>
        </w:rPr>
        <w:t>）对于财务担保合同，信用损失为本公司就该合同持有人发生的信用损失向其做出赔付的预计付款额，</w:t>
      </w:r>
      <w:r>
        <w:rPr>
          <w:w w:val="100"/>
        </w:rPr>
        <w:t> </w:t>
      </w:r>
      <w:r>
        <w:rPr/>
        <w:t>减去本公司预期向该合同持有人、债务人或任何其他方收取的金额之间差额的现值。</w:t>
      </w:r>
    </w:p>
    <w:p>
      <w:pPr>
        <w:pStyle w:val="BodyText"/>
        <w:spacing w:line="348" w:lineRule="auto" w:before="25"/>
        <w:ind w:right="1002" w:firstLine="360"/>
        <w:jc w:val="left"/>
      </w:pPr>
      <w:r>
        <w:rPr>
          <w:rFonts w:ascii="宋体" w:hAnsi="宋体" w:cs="宋体" w:eastAsia="宋体" w:hint="default"/>
          <w:spacing w:val="-3"/>
        </w:rPr>
        <w:t>3</w:t>
      </w:r>
      <w:r>
        <w:rPr>
          <w:spacing w:val="-3"/>
        </w:rPr>
        <w:t>）对于资产负债表日已发生信用减值但并非购买或源生已发生信用减值的金融资产，信用损失为该金</w:t>
      </w:r>
      <w:r>
        <w:rPr>
          <w:w w:val="100"/>
        </w:rPr>
        <w:t> </w:t>
      </w:r>
      <w:r>
        <w:rPr/>
        <w:t>融资产账面余额与按原实际利率折现的估计未来现金流量的现值之间的差额。</w:t>
      </w:r>
    </w:p>
    <w:p>
      <w:pPr>
        <w:pStyle w:val="BodyText"/>
        <w:spacing w:line="348" w:lineRule="auto" w:before="34"/>
        <w:ind w:right="1125" w:firstLine="360"/>
        <w:jc w:val="both"/>
      </w:pPr>
      <w:r>
        <w:rPr>
          <w:spacing w:val="-1"/>
        </w:rPr>
        <w:t>本公司计量金融工具预期信用损失的方法反映的因素包括：通过评价一系列可能的结果而确定的无偏</w:t>
      </w:r>
      <w:r>
        <w:rPr>
          <w:w w:val="100"/>
        </w:rPr>
        <w:t> </w:t>
      </w:r>
      <w:r>
        <w:rPr>
          <w:spacing w:val="-2"/>
        </w:rPr>
        <w:t>概率加权平均金额；货币时间价值；在资产负债表日无须付出不必要的额外成本或努力即可获得的有关过</w:t>
      </w:r>
      <w:r>
        <w:rPr>
          <w:spacing w:val="-33"/>
        </w:rPr>
        <w:t> </w:t>
      </w:r>
      <w:r>
        <w:rPr>
          <w:spacing w:val="-33"/>
        </w:rPr>
      </w:r>
      <w:r>
        <w:rPr/>
        <w:t>去事项、当前状况以及未来经济状况预测的合理且有依据的信息。</w:t>
      </w:r>
    </w:p>
    <w:p>
      <w:pPr>
        <w:pStyle w:val="BodyText"/>
        <w:spacing w:line="348" w:lineRule="auto" w:before="34"/>
        <w:ind w:left="473" w:right="1002"/>
        <w:jc w:val="left"/>
      </w:pPr>
      <w:r>
        <w:rPr/>
        <w:t>（</w:t>
      </w:r>
      <w:r>
        <w:rPr>
          <w:rFonts w:ascii="宋体" w:hAnsi="宋体" w:cs="宋体" w:eastAsia="宋体" w:hint="default"/>
        </w:rPr>
        <w:t>4</w:t>
      </w:r>
      <w:r>
        <w:rPr/>
        <w:t>）减记金融资产</w:t>
      </w:r>
      <w:r>
        <w:rPr>
          <w:spacing w:val="-100"/>
        </w:rPr>
        <w:t> </w:t>
      </w:r>
      <w:r>
        <w:rPr>
          <w:spacing w:val="-100"/>
        </w:rPr>
      </w:r>
      <w:r>
        <w:rPr>
          <w:spacing w:val="-1"/>
        </w:rPr>
        <w:t>当本公司不再合理预期金融资产合同现金流量能够全部或部分收回的，直接减记该金融资产的账面余</w:t>
      </w:r>
    </w:p>
    <w:p>
      <w:pPr>
        <w:spacing w:line="352" w:lineRule="auto" w:before="29"/>
        <w:ind w:left="473" w:right="5730" w:hanging="360"/>
        <w:jc w:val="left"/>
        <w:rPr>
          <w:rFonts w:ascii="宋体" w:hAnsi="宋体" w:cs="宋体" w:eastAsia="宋体" w:hint="default"/>
          <w:sz w:val="21"/>
          <w:szCs w:val="21"/>
        </w:rPr>
      </w:pPr>
      <w:r>
        <w:rPr>
          <w:rFonts w:ascii="宋体" w:hAnsi="宋体" w:cs="宋体" w:eastAsia="宋体" w:hint="default"/>
          <w:spacing w:val="-1"/>
          <w:sz w:val="21"/>
          <w:szCs w:val="21"/>
        </w:rPr>
        <w:t>额。这种减记构成相关金融资产的终止确认。</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sz w:val="21"/>
          <w:szCs w:val="21"/>
        </w:rPr>
      </w:r>
    </w:p>
    <w:p>
      <w:pPr>
        <w:pStyle w:val="BodyText"/>
        <w:spacing w:line="348" w:lineRule="auto" w:before="25"/>
        <w:ind w:right="1002" w:firstLine="360"/>
        <w:jc w:val="left"/>
      </w:pPr>
      <w:r>
        <w:rPr>
          <w:spacing w:val="-1"/>
        </w:rPr>
        <w:t>金融资产和金融负债在资产负债表内分别列示，没有相互抵销。但是，同时满足下列条件的，以相互</w:t>
      </w:r>
      <w:r>
        <w:rPr>
          <w:w w:val="100"/>
        </w:rPr>
        <w:t> </w:t>
      </w:r>
      <w:r>
        <w:rPr/>
        <w:t>抵销后的净额在资产负债表内列示：</w:t>
      </w:r>
    </w:p>
    <w:p>
      <w:pPr>
        <w:pStyle w:val="BodyText"/>
        <w:spacing w:line="240" w:lineRule="auto" w:before="34"/>
        <w:ind w:left="473" w:right="1002"/>
        <w:jc w:val="left"/>
      </w:pPr>
      <w:r>
        <w:rPr/>
        <w:t>（</w:t>
      </w:r>
      <w:r>
        <w:rPr>
          <w:rFonts w:ascii="宋体" w:hAnsi="宋体" w:cs="宋体" w:eastAsia="宋体" w:hint="default"/>
        </w:rPr>
        <w:t>1</w:t>
      </w:r>
      <w:r>
        <w:rPr/>
        <w:t>）本公司具有抵销已确认金额的法定权利，且该种法定权利是当前可执行的；</w:t>
      </w:r>
    </w:p>
    <w:p>
      <w:pPr>
        <w:pStyle w:val="BodyText"/>
        <w:spacing w:line="240" w:lineRule="auto" w:before="123"/>
        <w:ind w:left="473" w:right="1002"/>
        <w:jc w:val="left"/>
      </w:pPr>
      <w:r>
        <w:rPr/>
        <w:t>（</w:t>
      </w:r>
      <w:r>
        <w:rPr>
          <w:rFonts w:ascii="宋体" w:hAnsi="宋体" w:cs="宋体" w:eastAsia="宋体" w:hint="default"/>
        </w:rPr>
        <w:t>2</w:t>
      </w:r>
      <w:r>
        <w:rPr/>
        <w:t>）本公司计划以净额结算，或同时变现该金融资产和清偿该金融负债。</w:t>
      </w:r>
    </w:p>
    <w:p>
      <w:pPr>
        <w:pStyle w:val="BodyText"/>
        <w:spacing w:line="700" w:lineRule="atLeast" w:before="12"/>
        <w:ind w:left="473" w:right="1002" w:hanging="360"/>
        <w:jc w:val="left"/>
      </w:pPr>
      <w:bookmarkStart w:name="11、应收票据" w:id="186"/>
      <w:bookmarkEnd w:id="186"/>
      <w:r>
        <w:rPr/>
      </w:r>
      <w:r>
        <w:rPr>
          <w:rFonts w:ascii="Times New Roman" w:hAnsi="Times New Roman" w:cs="Times New Roman" w:eastAsia="Times New Roman" w:hint="default"/>
          <w:b/>
          <w:bCs/>
        </w:rPr>
        <w:t>11</w:t>
      </w:r>
      <w:r>
        <w:rPr>
          <w:rFonts w:ascii="宋体" w:hAnsi="宋体" w:cs="宋体" w:eastAsia="宋体" w:hint="default"/>
          <w:b/>
          <w:bCs/>
        </w:rPr>
        <w:t>、应收票据</w:t>
      </w:r>
      <w:r>
        <w:rPr>
          <w:rFonts w:ascii="宋体" w:hAnsi="宋体" w:cs="宋体" w:eastAsia="宋体" w:hint="default"/>
          <w:b/>
          <w:bCs/>
          <w:spacing w:val="-103"/>
        </w:rPr>
        <w:t> </w:t>
      </w:r>
      <w:r>
        <w:rPr/>
        <w:t>本公司对应收票据的预期信用损失的确定方法及会计处理方法详见审计报告附注四／（九）</w:t>
      </w:r>
      <w:r>
        <w:rPr>
          <w:rFonts w:ascii="宋体" w:hAnsi="宋体" w:cs="宋体" w:eastAsia="宋体" w:hint="default"/>
        </w:rPr>
        <w:t>6</w:t>
      </w:r>
      <w:r>
        <w:rPr>
          <w:rFonts w:ascii="Times New Roman" w:hAnsi="Times New Roman" w:cs="Times New Roman" w:eastAsia="Times New Roman" w:hint="default"/>
        </w:rPr>
        <w:t>.</w:t>
      </w:r>
      <w:r>
        <w:rPr/>
        <w:t>金融工</w:t>
      </w:r>
    </w:p>
    <w:p>
      <w:pPr>
        <w:pStyle w:val="BodyText"/>
        <w:spacing w:line="240" w:lineRule="auto" w:before="108"/>
        <w:ind w:right="1002"/>
        <w:jc w:val="left"/>
      </w:pPr>
      <w:r>
        <w:rPr/>
        <w:t>具减值。</w:t>
      </w:r>
    </w:p>
    <w:p>
      <w:pPr>
        <w:pStyle w:val="BodyText"/>
        <w:tabs>
          <w:tab w:pos="953" w:val="left" w:leader="none"/>
        </w:tabs>
        <w:spacing w:line="352" w:lineRule="auto" w:before="123"/>
        <w:ind w:right="1130" w:firstLine="360"/>
        <w:jc w:val="left"/>
      </w:pPr>
      <w:r>
        <w:rPr>
          <w:spacing w:val="-1"/>
        </w:rPr>
        <w:t>本公司对在初始确认后已经发生信用减值、在单项工具层面能以合理成本评估预期信用损失的充分证</w:t>
      </w:r>
      <w:r>
        <w:rPr>
          <w:w w:val="100"/>
        </w:rPr>
        <w:t> </w:t>
      </w:r>
      <w:r>
        <w:rPr/>
        <w:t>据的</w:t>
        <w:tab/>
        <w:t>应收票据单独确定其信用损失。</w:t>
      </w:r>
    </w:p>
    <w:p>
      <w:pPr>
        <w:spacing w:after="0" w:line="352"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25" w:firstLine="360"/>
        <w:jc w:val="both"/>
      </w:pPr>
      <w:r>
        <w:rPr/>
        <w:pict>
          <v:shape style="position:absolute;margin-left:56.183998pt;margin-top:58.01368pt;width:478.15pt;height:145.9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5"/>
                    <w:gridCol w:w="4005"/>
                    <w:gridCol w:w="4192"/>
                  </w:tblGrid>
                  <w:tr>
                    <w:trPr>
                      <w:trHeight w:val="437"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4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262"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1234"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86"/>
                          <w:ind w:left="4" w:right="-3"/>
                          <w:jc w:val="left"/>
                          <w:rPr>
                            <w:rFonts w:ascii="宋体" w:hAnsi="宋体" w:cs="宋体" w:eastAsia="宋体" w:hint="default"/>
                            <w:sz w:val="21"/>
                            <w:szCs w:val="21"/>
                          </w:rPr>
                        </w:pPr>
                        <w:r>
                          <w:rPr>
                            <w:rFonts w:ascii="宋体" w:hAnsi="宋体" w:cs="宋体" w:eastAsia="宋体" w:hint="default"/>
                            <w:spacing w:val="9"/>
                            <w:sz w:val="21"/>
                            <w:szCs w:val="21"/>
                          </w:rPr>
                          <w:t>无风险银行承</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兑票据组合</w:t>
                        </w:r>
                      </w:p>
                    </w:tc>
                    <w:tc>
                      <w:tcPr>
                        <w:tcW w:w="4005"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86"/>
                          <w:ind w:left="4" w:right="-4"/>
                          <w:jc w:val="both"/>
                          <w:rPr>
                            <w:rFonts w:ascii="宋体" w:hAnsi="宋体" w:cs="宋体" w:eastAsia="宋体" w:hint="default"/>
                            <w:sz w:val="21"/>
                            <w:szCs w:val="21"/>
                          </w:rPr>
                        </w:pPr>
                        <w:r>
                          <w:rPr>
                            <w:rFonts w:ascii="宋体" w:hAnsi="宋体" w:cs="宋体" w:eastAsia="宋体" w:hint="default"/>
                            <w:spacing w:val="-2"/>
                            <w:sz w:val="21"/>
                            <w:szCs w:val="21"/>
                          </w:rPr>
                          <w:t>出票人具有较高的信用评级，历史上未发生</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票据违约，信用损失风险极低，在短期内履</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行其支付合同现金流量义务的能力很强</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86"/>
                          <w:ind w:left="9" w:right="-4"/>
                          <w:jc w:val="left"/>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未来经济状况的预期计量预期信用损失</w:t>
                        </w:r>
                      </w:p>
                    </w:tc>
                  </w:tr>
                  <w:tr>
                    <w:trPr>
                      <w:trHeight w:val="1234"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6"/>
                          <w:jc w:val="center"/>
                          <w:rPr>
                            <w:rFonts w:ascii="宋体" w:hAnsi="宋体" w:cs="宋体" w:eastAsia="宋体" w:hint="default"/>
                            <w:sz w:val="21"/>
                            <w:szCs w:val="21"/>
                          </w:rPr>
                        </w:pPr>
                        <w:r>
                          <w:rPr>
                            <w:rFonts w:ascii="宋体" w:hAnsi="宋体" w:cs="宋体" w:eastAsia="宋体" w:hint="default"/>
                            <w:sz w:val="21"/>
                            <w:szCs w:val="21"/>
                          </w:rPr>
                          <w:t>商业承兑汇票</w:t>
                        </w:r>
                      </w:p>
                    </w:tc>
                    <w:tc>
                      <w:tcPr>
                        <w:tcW w:w="40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信用风险较高的企业</w:t>
                        </w:r>
                      </w:p>
                    </w:tc>
                    <w:tc>
                      <w:tcPr>
                        <w:tcW w:w="4192"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86"/>
                          <w:ind w:left="9" w:right="-5"/>
                          <w:jc w:val="both"/>
                          <w:rPr>
                            <w:rFonts w:ascii="宋体" w:hAnsi="宋体" w:cs="宋体" w:eastAsia="宋体" w:hint="default"/>
                            <w:sz w:val="21"/>
                            <w:szCs w:val="21"/>
                          </w:rPr>
                        </w:pPr>
                        <w:r>
                          <w:rPr>
                            <w:rFonts w:ascii="宋体" w:hAnsi="宋体" w:cs="宋体" w:eastAsia="宋体" w:hint="default"/>
                            <w:spacing w:val="-3"/>
                            <w:sz w:val="21"/>
                            <w:szCs w:val="21"/>
                          </w:rPr>
                          <w:t>参考历史信用损失经验，结合当前状况以及对</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3"/>
                            <w:sz w:val="21"/>
                            <w:szCs w:val="21"/>
                          </w:rPr>
                          <w:t>未来经济状况的预测，通过违约风险敞口和整</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个存续期预期信用损失率，计算预期信用损失</w:t>
                        </w:r>
                      </w:p>
                    </w:tc>
                  </w:tr>
                </w:tbl>
                <w:p>
                  <w:pPr/>
                </w:p>
              </w:txbxContent>
            </v:textbox>
            <w10:wrap type="none"/>
          </v:shape>
        </w:pict>
      </w:r>
      <w:r>
        <w:rPr>
          <w:spacing w:val="-1"/>
        </w:rPr>
        <w:t>当在单项工具层面无法以合理成本评估预期信用损失的充分证据时，本公司参考历史信用损失经验，</w:t>
      </w:r>
      <w:r>
        <w:rPr>
          <w:w w:val="100"/>
        </w:rPr>
        <w:t> </w:t>
      </w:r>
      <w:r>
        <w:rPr>
          <w:spacing w:val="-2"/>
        </w:rPr>
        <w:t>结合当前状况以及对未来经济状况的判断，依据信用风险特征将应收票据划分为若干组合，在组合基础上</w:t>
      </w:r>
      <w:r>
        <w:rPr>
          <w:spacing w:val="-33"/>
        </w:rPr>
        <w:t> </w:t>
      </w:r>
      <w:r>
        <w:rPr>
          <w:spacing w:val="-33"/>
        </w:rPr>
      </w:r>
      <w:r>
        <w:rPr/>
        <w:t>计算预期信用损失。确定组合的依据如下：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Heading5"/>
        <w:spacing w:line="240" w:lineRule="auto" w:before="36"/>
        <w:ind w:right="1002"/>
        <w:jc w:val="left"/>
        <w:rPr>
          <w:b w:val="0"/>
          <w:bCs w:val="0"/>
        </w:rPr>
      </w:pPr>
      <w:bookmarkStart w:name="12、应收账款" w:id="187"/>
      <w:bookmarkEnd w:id="187"/>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9"/>
        <w:rPr>
          <w:rFonts w:ascii="宋体" w:hAnsi="宋体" w:cs="宋体" w:eastAsia="宋体" w:hint="default"/>
          <w:b/>
          <w:bCs/>
          <w:sz w:val="31"/>
          <w:szCs w:val="31"/>
        </w:rPr>
      </w:pPr>
    </w:p>
    <w:p>
      <w:pPr>
        <w:pStyle w:val="BodyText"/>
        <w:spacing w:line="328" w:lineRule="auto" w:before="0"/>
        <w:ind w:right="1131" w:firstLine="360"/>
        <w:jc w:val="both"/>
      </w:pPr>
      <w:r>
        <w:rPr/>
        <w:t>本公司对应收账款的预期信用损失的确定方法及会计处理方法详见审计报告附注四／（九）</w:t>
      </w:r>
      <w:r>
        <w:rPr>
          <w:rFonts w:ascii="宋体" w:hAnsi="宋体" w:cs="宋体" w:eastAsia="宋体" w:hint="default"/>
        </w:rPr>
        <w:t>6</w:t>
      </w:r>
      <w:r>
        <w:rPr>
          <w:rFonts w:ascii="Times New Roman" w:hAnsi="Times New Roman" w:cs="Times New Roman" w:eastAsia="Times New Roman" w:hint="default"/>
        </w:rPr>
        <w:t>.</w:t>
      </w:r>
      <w:r>
        <w:rPr/>
        <w:t>金融工</w:t>
      </w:r>
      <w:r>
        <w:rPr>
          <w:w w:val="100"/>
        </w:rPr>
        <w:t> </w:t>
      </w:r>
      <w:r>
        <w:rPr/>
        <w:t>具减值。</w:t>
      </w:r>
    </w:p>
    <w:p>
      <w:pPr>
        <w:pStyle w:val="BodyText"/>
        <w:spacing w:line="352" w:lineRule="auto" w:before="46"/>
        <w:ind w:right="1130" w:firstLine="360"/>
        <w:jc w:val="both"/>
      </w:pPr>
      <w:r>
        <w:rPr>
          <w:spacing w:val="-1"/>
        </w:rPr>
        <w:t>本公司对在初始确认后已经发生信用减值、在单项工具层面能以合理成本评估预期信用损失的充分证</w:t>
      </w:r>
      <w:r>
        <w:rPr>
          <w:w w:val="100"/>
        </w:rPr>
        <w:t> </w:t>
      </w:r>
      <w:r>
        <w:rPr/>
        <w:t>据的应收账款单独确定其信用损失。</w:t>
      </w:r>
    </w:p>
    <w:p>
      <w:pPr>
        <w:pStyle w:val="BodyText"/>
        <w:spacing w:line="350" w:lineRule="auto" w:before="25"/>
        <w:ind w:right="1125" w:firstLine="360"/>
        <w:jc w:val="both"/>
      </w:pPr>
      <w:r>
        <w:rPr/>
        <w:pict>
          <v:shape style="position:absolute;margin-left:56.183998pt;margin-top:57.453674pt;width:475.05pt;height:126.0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5"/>
                    <w:gridCol w:w="5047"/>
                    <w:gridCol w:w="3087"/>
                  </w:tblGrid>
                  <w:tr>
                    <w:trPr>
                      <w:trHeight w:val="437"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44"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5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1234"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86"/>
                          <w:ind w:left="4" w:right="-3"/>
                          <w:jc w:val="left"/>
                          <w:rPr>
                            <w:rFonts w:ascii="宋体" w:hAnsi="宋体" w:cs="宋体" w:eastAsia="宋体" w:hint="default"/>
                            <w:sz w:val="21"/>
                            <w:szCs w:val="21"/>
                          </w:rPr>
                        </w:pPr>
                        <w:r>
                          <w:rPr>
                            <w:rFonts w:ascii="宋体" w:hAnsi="宋体" w:cs="宋体" w:eastAsia="宋体" w:hint="default"/>
                            <w:spacing w:val="9"/>
                            <w:sz w:val="21"/>
                            <w:szCs w:val="21"/>
                          </w:rPr>
                          <w:t>合并范围内关</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联方资金</w:t>
                        </w:r>
                      </w:p>
                    </w:tc>
                    <w:tc>
                      <w:tcPr>
                        <w:tcW w:w="50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纳入合并范围的关联方组合</w:t>
                        </w:r>
                      </w:p>
                    </w:tc>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86"/>
                          <w:ind w:left="4" w:right="-4"/>
                          <w:jc w:val="both"/>
                          <w:rPr>
                            <w:rFonts w:ascii="宋体" w:hAnsi="宋体" w:cs="宋体" w:eastAsia="宋体" w:hint="default"/>
                            <w:sz w:val="21"/>
                            <w:szCs w:val="21"/>
                          </w:rPr>
                        </w:pPr>
                        <w:r>
                          <w:rPr>
                            <w:rFonts w:ascii="宋体" w:hAnsi="宋体" w:cs="宋体" w:eastAsia="宋体" w:hint="default"/>
                            <w:spacing w:val="-7"/>
                            <w:sz w:val="21"/>
                            <w:szCs w:val="21"/>
                          </w:rPr>
                          <w:t>参考历史信用损失经验，结合当前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6"/>
                            <w:sz w:val="21"/>
                            <w:szCs w:val="21"/>
                          </w:rPr>
                          <w:t>状况以及对未来经济状况的预期</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计量预期信用损失</w:t>
                        </w:r>
                      </w:p>
                    </w:tc>
                  </w:tr>
                  <w:tr>
                    <w:trPr>
                      <w:trHeight w:val="835"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504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86"/>
                          <w:ind w:left="4" w:right="0"/>
                          <w:jc w:val="left"/>
                          <w:rPr>
                            <w:rFonts w:ascii="宋体" w:hAnsi="宋体" w:cs="宋体" w:eastAsia="宋体" w:hint="default"/>
                            <w:sz w:val="21"/>
                            <w:szCs w:val="21"/>
                          </w:rPr>
                        </w:pPr>
                        <w:r>
                          <w:rPr>
                            <w:rFonts w:ascii="宋体" w:hAnsi="宋体" w:cs="宋体" w:eastAsia="宋体" w:hint="default"/>
                            <w:spacing w:val="5"/>
                            <w:sz w:val="21"/>
                            <w:szCs w:val="21"/>
                          </w:rPr>
                          <w:t>本公司根据以往的历史经验对应收款项计提比例作出</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最佳估计，参考应收款项的账龄进行信用风险组合分类</w:t>
                        </w:r>
                      </w:p>
                    </w:tc>
                    <w:tc>
                      <w:tcPr>
                        <w:tcW w:w="308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86"/>
                          <w:ind w:left="4" w:right="-4"/>
                          <w:jc w:val="left"/>
                          <w:rPr>
                            <w:rFonts w:ascii="宋体" w:hAnsi="宋体" w:cs="宋体" w:eastAsia="宋体" w:hint="default"/>
                            <w:sz w:val="21"/>
                            <w:szCs w:val="21"/>
                          </w:rPr>
                        </w:pPr>
                        <w:r>
                          <w:rPr>
                            <w:rFonts w:ascii="宋体" w:hAnsi="宋体" w:cs="宋体" w:eastAsia="宋体" w:hint="default"/>
                            <w:spacing w:val="6"/>
                            <w:sz w:val="21"/>
                            <w:szCs w:val="21"/>
                          </w:rPr>
                          <w:t>按账龄与整个存续期预期信用损</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失率对照表计提</w:t>
                        </w:r>
                      </w:p>
                    </w:tc>
                  </w:tr>
                </w:tbl>
                <w:p>
                  <w:pPr/>
                </w:p>
              </w:txbxContent>
            </v:textbox>
            <w10:wrap type="none"/>
          </v:shape>
        </w:pict>
      </w:r>
      <w:r>
        <w:rPr>
          <w:spacing w:val="-1"/>
        </w:rPr>
        <w:t>当在单项工具层面无法以合理成本评估预期信用损失的充分证据时，本公司参考历史信用损失经验，</w:t>
      </w:r>
      <w:r>
        <w:rPr>
          <w:w w:val="100"/>
        </w:rPr>
        <w:t> </w:t>
      </w:r>
      <w:r>
        <w:rPr>
          <w:spacing w:val="-2"/>
        </w:rPr>
        <w:t>结合当前状况以及对未来经济状况的判断，依据信用风险特征将应收账款划分为若干组合，在组合基础上</w:t>
      </w:r>
      <w:r>
        <w:rPr>
          <w:spacing w:val="-33"/>
        </w:rPr>
        <w:t> </w:t>
      </w:r>
      <w:r>
        <w:rPr>
          <w:spacing w:val="-33"/>
        </w:rPr>
      </w:r>
      <w:r>
        <w:rPr/>
        <w:t>计算预期信用损失。确定组合的依据如下：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5"/>
        <w:spacing w:line="240" w:lineRule="auto" w:before="36"/>
        <w:ind w:right="1002"/>
        <w:jc w:val="left"/>
        <w:rPr>
          <w:b w:val="0"/>
          <w:bCs w:val="0"/>
        </w:rPr>
      </w:pPr>
      <w:bookmarkStart w:name="13、应收款项融资" w:id="188"/>
      <w:bookmarkEnd w:id="188"/>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5"/>
        <w:rPr>
          <w:rFonts w:ascii="宋体" w:hAnsi="宋体" w:cs="宋体" w:eastAsia="宋体" w:hint="default"/>
          <w:b/>
          <w:bCs/>
          <w:sz w:val="31"/>
          <w:szCs w:val="31"/>
        </w:rPr>
      </w:pPr>
    </w:p>
    <w:p>
      <w:pPr>
        <w:pStyle w:val="BodyText"/>
        <w:spacing w:line="333" w:lineRule="auto" w:before="0"/>
        <w:ind w:right="1002" w:firstLine="360"/>
        <w:jc w:val="left"/>
      </w:pPr>
      <w:r>
        <w:rPr/>
        <w:t>本公司对应收款项融资的预期信用损失的确定方法及会计处理方法详见审计报告附注四／（九）</w:t>
      </w:r>
      <w:r>
        <w:rPr>
          <w:rFonts w:ascii="宋体" w:hAnsi="宋体" w:cs="宋体" w:eastAsia="宋体" w:hint="default"/>
        </w:rPr>
        <w:t>6</w:t>
      </w:r>
      <w:r>
        <w:rPr>
          <w:rFonts w:ascii="Times New Roman" w:hAnsi="Times New Roman" w:cs="Times New Roman" w:eastAsia="Times New Roman" w:hint="default"/>
        </w:rPr>
        <w:t>.</w:t>
      </w:r>
      <w:r>
        <w:rPr/>
        <w:t>金</w:t>
      </w:r>
      <w:r>
        <w:rPr>
          <w:w w:val="100"/>
        </w:rPr>
        <w:t> </w:t>
      </w:r>
      <w:r>
        <w:rPr/>
        <w:t>融工具减值。</w:t>
      </w:r>
    </w:p>
    <w:p>
      <w:pPr>
        <w:spacing w:line="240" w:lineRule="auto" w:before="12"/>
        <w:rPr>
          <w:rFonts w:ascii="宋体" w:hAnsi="宋体" w:cs="宋体" w:eastAsia="宋体" w:hint="default"/>
          <w:sz w:val="25"/>
          <w:szCs w:val="25"/>
        </w:rPr>
      </w:pPr>
    </w:p>
    <w:p>
      <w:pPr>
        <w:spacing w:line="578" w:lineRule="auto" w:before="0"/>
        <w:ind w:left="113" w:right="5730" w:firstLine="0"/>
        <w:jc w:val="left"/>
        <w:rPr>
          <w:rFonts w:ascii="宋体" w:hAnsi="宋体" w:cs="宋体" w:eastAsia="宋体" w:hint="default"/>
          <w:sz w:val="21"/>
          <w:szCs w:val="21"/>
        </w:rPr>
      </w:pPr>
      <w:bookmarkStart w:name="14、其他应收款" w:id="189"/>
      <w:bookmarkEnd w:id="189"/>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、其他应收款</w:t>
      </w:r>
      <w:r>
        <w:rPr>
          <w:rFonts w:ascii="宋体" w:hAnsi="宋体" w:cs="宋体" w:eastAsia="宋体" w:hint="default"/>
          <w:b/>
          <w:bCs/>
          <w:spacing w:val="-103"/>
          <w:sz w:val="21"/>
          <w:szCs w:val="21"/>
        </w:rPr>
        <w:t> </w:t>
      </w:r>
      <w:r>
        <w:rPr>
          <w:rFonts w:ascii="宋体" w:hAnsi="宋体" w:cs="宋体" w:eastAsia="宋体" w:hint="default"/>
          <w:spacing w:val="-2"/>
          <w:sz w:val="21"/>
          <w:szCs w:val="21"/>
        </w:rPr>
        <w:t>其他应收款的预期信用损失的确定方法及会计处理方法</w:t>
      </w:r>
    </w:p>
    <w:p>
      <w:pPr>
        <w:spacing w:after="0" w:line="578"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28" w:lineRule="auto"/>
        <w:ind w:right="1131" w:firstLine="360"/>
        <w:jc w:val="both"/>
      </w:pPr>
      <w:r>
        <w:rPr/>
        <w:t>本公司对其他应收款的预期信用损失的确定方法及会计处理方法详见审计报告附注四／（九）</w:t>
      </w:r>
      <w:r>
        <w:rPr>
          <w:rFonts w:ascii="宋体" w:hAnsi="宋体" w:cs="宋体" w:eastAsia="宋体" w:hint="default"/>
        </w:rPr>
        <w:t>6</w:t>
      </w:r>
      <w:r>
        <w:rPr>
          <w:rFonts w:ascii="Times New Roman" w:hAnsi="Times New Roman" w:cs="Times New Roman" w:eastAsia="Times New Roman" w:hint="default"/>
        </w:rPr>
        <w:t>.</w:t>
      </w:r>
      <w:r>
        <w:rPr/>
        <w:t>金融</w:t>
      </w:r>
      <w:r>
        <w:rPr>
          <w:w w:val="100"/>
        </w:rPr>
        <w:t> </w:t>
      </w:r>
      <w:r>
        <w:rPr/>
        <w:t>工具减值。</w:t>
      </w:r>
    </w:p>
    <w:p>
      <w:pPr>
        <w:pStyle w:val="BodyText"/>
        <w:spacing w:line="348" w:lineRule="auto" w:before="51"/>
        <w:ind w:right="1130" w:firstLine="360"/>
        <w:jc w:val="both"/>
      </w:pPr>
      <w:r>
        <w:rPr>
          <w:spacing w:val="-1"/>
        </w:rPr>
        <w:t>本公司对在初始确认后已经发生信用减值、在单项工具层面能以合理成本评估预期信用损失的充分证</w:t>
      </w:r>
      <w:r>
        <w:rPr>
          <w:w w:val="100"/>
        </w:rPr>
        <w:t> </w:t>
      </w:r>
      <w:r>
        <w:rPr/>
        <w:t>据的其他应收款单独确定其信用损失。</w:t>
      </w:r>
    </w:p>
    <w:p>
      <w:pPr>
        <w:pStyle w:val="BodyText"/>
        <w:spacing w:line="350" w:lineRule="auto" w:before="29"/>
        <w:ind w:right="1125" w:firstLine="360"/>
        <w:jc w:val="both"/>
      </w:pPr>
      <w:r>
        <w:rPr/>
        <w:pict>
          <v:shape style="position:absolute;margin-left:56.183998pt;margin-top:57.653667pt;width:489.45pt;height:146.2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5"/>
                    <w:gridCol w:w="4471"/>
                    <w:gridCol w:w="3952"/>
                  </w:tblGrid>
                  <w:tr>
                    <w:trPr>
                      <w:trHeight w:val="437"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244"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4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3"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3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835"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404" w:lineRule="exact" w:before="8"/>
                          <w:ind w:left="4" w:right="-3"/>
                          <w:jc w:val="left"/>
                          <w:rPr>
                            <w:rFonts w:ascii="宋体" w:hAnsi="宋体" w:cs="宋体" w:eastAsia="宋体" w:hint="default"/>
                            <w:sz w:val="21"/>
                            <w:szCs w:val="21"/>
                          </w:rPr>
                        </w:pPr>
                        <w:r>
                          <w:rPr>
                            <w:rFonts w:ascii="宋体" w:hAnsi="宋体" w:cs="宋体" w:eastAsia="宋体" w:hint="default"/>
                            <w:spacing w:val="9"/>
                            <w:sz w:val="21"/>
                            <w:szCs w:val="21"/>
                          </w:rPr>
                          <w:t>合并范围内关</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联方资金</w:t>
                        </w:r>
                      </w:p>
                    </w:tc>
                    <w:tc>
                      <w:tcPr>
                        <w:tcW w:w="4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纳入合并范围的关联方组合</w:t>
                        </w:r>
                      </w:p>
                    </w:tc>
                    <w:tc>
                      <w:tcPr>
                        <w:tcW w:w="3952" w:type="dxa"/>
                        <w:tcBorders>
                          <w:top w:val="single" w:sz="6" w:space="0" w:color="000000"/>
                          <w:left w:val="single" w:sz="6" w:space="0" w:color="000000"/>
                          <w:bottom w:val="single" w:sz="6" w:space="0" w:color="000000"/>
                          <w:right w:val="single" w:sz="6" w:space="0" w:color="000000"/>
                        </w:tcBorders>
                      </w:tcPr>
                      <w:p>
                        <w:pPr>
                          <w:pStyle w:val="TableParagraph"/>
                          <w:spacing w:line="404" w:lineRule="exact" w:before="8"/>
                          <w:ind w:left="4" w:right="1"/>
                          <w:jc w:val="left"/>
                          <w:rPr>
                            <w:rFonts w:ascii="宋体" w:hAnsi="宋体" w:cs="宋体" w:eastAsia="宋体" w:hint="default"/>
                            <w:sz w:val="21"/>
                            <w:szCs w:val="21"/>
                          </w:rPr>
                        </w:pPr>
                        <w:r>
                          <w:rPr>
                            <w:rFonts w:ascii="宋体" w:hAnsi="宋体" w:cs="宋体" w:eastAsia="宋体" w:hint="default"/>
                            <w:spacing w:val="-5"/>
                            <w:sz w:val="21"/>
                            <w:szCs w:val="21"/>
                          </w:rPr>
                          <w:t>参考历史信用损失经验，结合当前状况以及</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对未来经济状况的预期计量预期信用损失</w:t>
                        </w:r>
                      </w:p>
                    </w:tc>
                  </w:tr>
                  <w:tr>
                    <w:trPr>
                      <w:trHeight w:val="1637" w:hRule="exact"/>
                    </w:trPr>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4471"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86"/>
                          <w:ind w:left="4" w:right="4"/>
                          <w:jc w:val="both"/>
                          <w:rPr>
                            <w:rFonts w:ascii="宋体" w:hAnsi="宋体" w:cs="宋体" w:eastAsia="宋体" w:hint="default"/>
                            <w:sz w:val="21"/>
                            <w:szCs w:val="21"/>
                          </w:rPr>
                        </w:pPr>
                        <w:r>
                          <w:rPr>
                            <w:rFonts w:ascii="宋体" w:hAnsi="宋体" w:cs="宋体" w:eastAsia="宋体" w:hint="default"/>
                            <w:sz w:val="21"/>
                            <w:szCs w:val="21"/>
                          </w:rPr>
                          <w:t>本公司根据以往的历史经验对应收款项计提比例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作出最佳估计，参考应收款项的账龄进行信用风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险组合分类</w:t>
                        </w:r>
                      </w:p>
                    </w:tc>
                    <w:tc>
                      <w:tcPr>
                        <w:tcW w:w="3952" w:type="dxa"/>
                        <w:tcBorders>
                          <w:top w:val="single" w:sz="6" w:space="0" w:color="000000"/>
                          <w:left w:val="single" w:sz="6" w:space="0" w:color="000000"/>
                          <w:bottom w:val="single" w:sz="6" w:space="0" w:color="000000"/>
                          <w:right w:val="single" w:sz="6" w:space="0" w:color="000000"/>
                        </w:tcBorders>
                      </w:tcPr>
                      <w:p>
                        <w:pPr>
                          <w:pStyle w:val="TableParagraph"/>
                          <w:spacing w:line="350" w:lineRule="auto" w:before="86"/>
                          <w:ind w:left="4" w:right="1"/>
                          <w:jc w:val="both"/>
                          <w:rPr>
                            <w:rFonts w:ascii="宋体" w:hAnsi="宋体" w:cs="宋体" w:eastAsia="宋体" w:hint="default"/>
                            <w:sz w:val="21"/>
                            <w:szCs w:val="21"/>
                          </w:rPr>
                        </w:pPr>
                        <w:r>
                          <w:rPr>
                            <w:rFonts w:ascii="宋体" w:hAnsi="宋体" w:cs="宋体" w:eastAsia="宋体" w:hint="default"/>
                            <w:spacing w:val="-5"/>
                            <w:sz w:val="21"/>
                            <w:szCs w:val="21"/>
                          </w:rPr>
                          <w:t>参考历史信用损失经验，结合当前状况以及</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对未来经济状况的预测，通过违约风险敞口</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5"/>
                            <w:sz w:val="21"/>
                            <w:szCs w:val="21"/>
                          </w:rPr>
                          <w:t>和未来</w:t>
                        </w:r>
                        <w:r>
                          <w:rPr>
                            <w:rFonts w:ascii="宋体" w:hAnsi="宋体" w:cs="宋体" w:eastAsia="宋体" w:hint="default"/>
                            <w:spacing w:val="5"/>
                            <w:sz w:val="21"/>
                            <w:szCs w:val="21"/>
                          </w:rPr>
                          <w:t>12</w:t>
                        </w:r>
                        <w:r>
                          <w:rPr>
                            <w:rFonts w:ascii="宋体" w:hAnsi="宋体" w:cs="宋体" w:eastAsia="宋体" w:hint="default"/>
                            <w:spacing w:val="5"/>
                            <w:sz w:val="21"/>
                            <w:szCs w:val="21"/>
                          </w:rPr>
                          <w:t>个月内或整个存续期预期信用损</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失率，计算预期信用损失</w:t>
                        </w:r>
                      </w:p>
                    </w:tc>
                  </w:tr>
                </w:tbl>
                <w:p>
                  <w:pPr/>
                </w:p>
              </w:txbxContent>
            </v:textbox>
            <w10:wrap type="none"/>
          </v:shape>
        </w:pict>
      </w:r>
      <w:r>
        <w:rPr>
          <w:spacing w:val="-1"/>
        </w:rPr>
        <w:t>当在单项工具层面无法以合理成本评估预期信用损失的充分证据时，本公司参考历史信用损失经验，</w:t>
      </w:r>
      <w:r>
        <w:rPr>
          <w:w w:val="100"/>
        </w:rPr>
        <w:t> </w:t>
      </w:r>
      <w:r>
        <w:rPr>
          <w:spacing w:val="-2"/>
        </w:rPr>
        <w:t>结合当前状况以及对未来经济状况的判断，依据信用风险特征将其他应收款划分为若干组合，在组合基础</w:t>
      </w:r>
      <w:r>
        <w:rPr>
          <w:spacing w:val="-33"/>
        </w:rPr>
        <w:t> </w:t>
      </w:r>
      <w:r>
        <w:rPr>
          <w:spacing w:val="-33"/>
        </w:rPr>
      </w:r>
      <w:r>
        <w:rPr/>
        <w:t>上计算预期信用损失。确定组合的依据如下：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pStyle w:val="Heading5"/>
        <w:spacing w:line="240" w:lineRule="auto" w:before="36"/>
        <w:ind w:right="1002"/>
        <w:jc w:val="left"/>
        <w:rPr>
          <w:b w:val="0"/>
          <w:bCs w:val="0"/>
        </w:rPr>
      </w:pPr>
      <w:bookmarkStart w:name="15、存货" w:id="190"/>
      <w:bookmarkEnd w:id="190"/>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31"/>
          <w:szCs w:val="31"/>
        </w:rPr>
      </w:pPr>
    </w:p>
    <w:p>
      <w:pPr>
        <w:pStyle w:val="BodyText"/>
        <w:spacing w:line="348" w:lineRule="auto" w:before="0"/>
        <w:ind w:left="473" w:right="1002"/>
        <w:jc w:val="left"/>
      </w:pPr>
      <w:r>
        <w:rPr>
          <w:rFonts w:ascii="宋体" w:hAnsi="宋体" w:cs="宋体" w:eastAsia="宋体" w:hint="default"/>
          <w:b/>
          <w:bCs/>
        </w:rPr>
        <w:t>1</w:t>
      </w:r>
      <w:r>
        <w:rPr>
          <w:rFonts w:ascii="宋体" w:hAnsi="宋体" w:cs="宋体" w:eastAsia="宋体" w:hint="default"/>
          <w:b/>
          <w:bCs/>
        </w:rPr>
        <w:t>、存货的分类</w:t>
      </w:r>
      <w:r>
        <w:rPr>
          <w:rFonts w:ascii="宋体" w:hAnsi="宋体" w:cs="宋体" w:eastAsia="宋体" w:hint="default"/>
          <w:b/>
          <w:bCs/>
          <w:spacing w:val="-104"/>
        </w:rPr>
        <w:t> </w:t>
      </w:r>
      <w:r>
        <w:rPr>
          <w:spacing w:val="-1"/>
        </w:rPr>
        <w:t>存货是指本公司在日常活动中持有以备出售的产成品或商品、处在生产过程中的在产品、在生产过程</w:t>
      </w:r>
    </w:p>
    <w:p>
      <w:pPr>
        <w:pStyle w:val="BodyText"/>
        <w:spacing w:line="348" w:lineRule="auto" w:before="34"/>
        <w:ind w:right="1002"/>
        <w:jc w:val="left"/>
      </w:pPr>
      <w:r>
        <w:rPr>
          <w:spacing w:val="-2"/>
        </w:rPr>
        <w:t>或提供劳务过程中耗用的材料和物料等。主要包括原材料、周转材料、委托加工材料、在产品、自制半成</w:t>
      </w:r>
      <w:r>
        <w:rPr>
          <w:spacing w:val="-35"/>
        </w:rPr>
        <w:t> </w:t>
      </w:r>
      <w:r>
        <w:rPr>
          <w:spacing w:val="-35"/>
        </w:rPr>
      </w:r>
      <w:r>
        <w:rPr>
          <w:spacing w:val="-7"/>
          <w:w w:val="100"/>
        </w:rPr>
        <w:t>品、产成品（库存商品）、发出商品等。</w:t>
      </w:r>
    </w:p>
    <w:p>
      <w:pPr>
        <w:pStyle w:val="BodyText"/>
        <w:spacing w:line="352" w:lineRule="auto" w:before="29"/>
        <w:ind w:left="473" w:right="1002"/>
        <w:jc w:val="left"/>
      </w:pPr>
      <w:r>
        <w:rPr>
          <w:rFonts w:ascii="宋体" w:hAnsi="宋体" w:cs="宋体" w:eastAsia="宋体" w:hint="default"/>
          <w:b/>
          <w:bCs/>
        </w:rPr>
        <w:t>2</w:t>
      </w:r>
      <w:r>
        <w:rPr>
          <w:rFonts w:ascii="宋体" w:hAnsi="宋体" w:cs="宋体" w:eastAsia="宋体" w:hint="default"/>
          <w:b/>
          <w:bCs/>
        </w:rPr>
        <w:t>、存货的计价方法</w:t>
      </w:r>
      <w:r>
        <w:rPr>
          <w:rFonts w:ascii="宋体" w:hAnsi="宋体" w:cs="宋体" w:eastAsia="宋体" w:hint="default"/>
          <w:b/>
          <w:bCs/>
          <w:spacing w:val="-103"/>
        </w:rPr>
        <w:t> </w:t>
      </w:r>
      <w:r>
        <w:rPr>
          <w:spacing w:val="-1"/>
        </w:rPr>
        <w:t>存货在取得时，按成本进行初始计量，包括采购成本、加工成本和其他成本。存货发出时按月末一次</w:t>
      </w:r>
    </w:p>
    <w:p>
      <w:pPr>
        <w:spacing w:line="348" w:lineRule="auto" w:before="25"/>
        <w:ind w:left="473" w:right="3760" w:hanging="360"/>
        <w:jc w:val="left"/>
        <w:rPr>
          <w:rFonts w:ascii="宋体" w:hAnsi="宋体" w:cs="宋体" w:eastAsia="宋体" w:hint="default"/>
          <w:sz w:val="21"/>
          <w:szCs w:val="21"/>
        </w:rPr>
      </w:pPr>
      <w:r>
        <w:rPr>
          <w:rFonts w:ascii="宋体" w:hAnsi="宋体" w:cs="宋体" w:eastAsia="宋体" w:hint="default"/>
          <w:sz w:val="21"/>
          <w:szCs w:val="21"/>
        </w:rPr>
        <w:t>加权平均法计价。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pacing w:val="-1"/>
          <w:sz w:val="21"/>
          <w:szCs w:val="21"/>
        </w:rPr>
        <w:t>3</w:t>
      </w:r>
      <w:r>
        <w:rPr>
          <w:rFonts w:ascii="宋体" w:hAnsi="宋体" w:cs="宋体" w:eastAsia="宋体" w:hint="default"/>
          <w:b/>
          <w:bCs/>
          <w:spacing w:val="-1"/>
          <w:sz w:val="21"/>
          <w:szCs w:val="21"/>
        </w:rPr>
        <w:t>、存货可变现净值的确定依据及存货跌价准备的计提方法</w:t>
      </w:r>
      <w:r>
        <w:rPr>
          <w:rFonts w:ascii="宋体" w:hAnsi="宋体" w:cs="宋体" w:eastAsia="宋体" w:hint="default"/>
          <w:spacing w:val="-1"/>
          <w:sz w:val="21"/>
          <w:szCs w:val="21"/>
        </w:rPr>
      </w:r>
    </w:p>
    <w:p>
      <w:pPr>
        <w:pStyle w:val="BodyText"/>
        <w:spacing w:line="350" w:lineRule="auto" w:before="34"/>
        <w:ind w:right="1122" w:firstLine="360"/>
        <w:jc w:val="both"/>
      </w:pPr>
      <w:r>
        <w:rPr>
          <w:spacing w:val="-1"/>
        </w:rPr>
        <w:t>期末对存货进行全面清查后，按存货的成本与可变现净值孰低提取或调整存货跌价准备。产成品、库</w:t>
      </w:r>
      <w:r>
        <w:rPr>
          <w:w w:val="100"/>
        </w:rPr>
        <w:t> </w:t>
      </w:r>
      <w:r>
        <w:rPr>
          <w:spacing w:val="-2"/>
        </w:rPr>
        <w:t>存商品和用于出售的材料等直接用于出售的商品存货，在正常生产经营过程中，以该存货的估计售价减去</w:t>
      </w:r>
      <w:r>
        <w:rPr>
          <w:spacing w:val="-33"/>
        </w:rPr>
        <w:t> </w:t>
      </w:r>
      <w:r>
        <w:rPr>
          <w:spacing w:val="-33"/>
        </w:rPr>
      </w:r>
      <w:r>
        <w:rPr>
          <w:spacing w:val="-2"/>
        </w:rPr>
        <w:t>估计的销售费用和相关税费后的金额，确定其可变现净值；需要经过加工的材料存货，在正常生产经营过</w:t>
      </w:r>
      <w:r>
        <w:rPr>
          <w:spacing w:val="-30"/>
        </w:rPr>
        <w:t> </w:t>
      </w:r>
      <w:r>
        <w:rPr>
          <w:spacing w:val="-30"/>
        </w:rPr>
      </w:r>
      <w:r>
        <w:rPr>
          <w:spacing w:val="-2"/>
        </w:rPr>
        <w:t>程中，以所生产的产成品的估计售价减去至完工时估计将要发生的成本、估计的销售费用和相关税费后的</w:t>
      </w:r>
      <w:r>
        <w:rPr>
          <w:spacing w:val="-33"/>
        </w:rPr>
        <w:t> </w:t>
      </w:r>
      <w:r>
        <w:rPr>
          <w:spacing w:val="-33"/>
        </w:rPr>
      </w:r>
      <w:r>
        <w:rPr>
          <w:spacing w:val="-2"/>
        </w:rPr>
        <w:t>金额，确定其可变现净值；为执行销售合同或者劳务合同而持有的存货，其可变现净值以合同价格为基础</w:t>
      </w:r>
      <w:r>
        <w:rPr>
          <w:spacing w:val="-33"/>
        </w:rPr>
        <w:t> </w:t>
      </w:r>
      <w:r>
        <w:rPr>
          <w:spacing w:val="-33"/>
        </w:rPr>
      </w:r>
      <w:r>
        <w:rPr>
          <w:spacing w:val="-2"/>
        </w:rPr>
        <w:t>计算，若持有存货的数量多于销售合同订购数量的，超出部分的存货的可变现净值以一般销售价格为基础</w:t>
      </w:r>
      <w:r>
        <w:rPr>
          <w:spacing w:val="-33"/>
        </w:rPr>
        <w:t> </w:t>
      </w:r>
      <w:r>
        <w:rPr>
          <w:spacing w:val="-33"/>
        </w:rPr>
      </w:r>
      <w:r>
        <w:rPr/>
        <w:t>计算。</w:t>
      </w:r>
    </w:p>
    <w:p>
      <w:pPr>
        <w:pStyle w:val="BodyText"/>
        <w:spacing w:line="350" w:lineRule="auto" w:before="27"/>
        <w:ind w:right="1125" w:firstLine="360"/>
        <w:jc w:val="both"/>
      </w:pPr>
      <w:r>
        <w:rPr>
          <w:spacing w:val="-1"/>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货跌价准备；与在同一地区生产和销售的产品系列相关、具有相同或类似最终用途或目的，且难以与其他</w:t>
      </w:r>
      <w:r>
        <w:rPr>
          <w:spacing w:val="-33"/>
        </w:rPr>
        <w:t> </w:t>
      </w:r>
      <w:r>
        <w:rPr>
          <w:spacing w:val="-33"/>
        </w:rPr>
      </w:r>
      <w:r>
        <w:rPr/>
        <w:t>项目分开计量的存货，则合并计提存货跌价准备。</w:t>
      </w:r>
    </w:p>
    <w:p>
      <w:pPr>
        <w:spacing w:after="0" w:line="35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right="1002" w:firstLine="360"/>
        <w:jc w:val="left"/>
      </w:pPr>
      <w:r>
        <w:rPr>
          <w:spacing w:val="-1"/>
        </w:rPr>
        <w:t>以前减记存货价值的影响因素已经消失的，减记的金额予以恢复，并在原已计提的存货跌价准备金额</w:t>
      </w:r>
      <w:r>
        <w:rPr>
          <w:w w:val="100"/>
        </w:rPr>
        <w:t> </w:t>
      </w:r>
      <w:r>
        <w:rPr/>
        <w:t>内转回，转回的金额计入当期损益。</w:t>
      </w:r>
    </w:p>
    <w:p>
      <w:pPr>
        <w:spacing w:line="348" w:lineRule="auto" w:before="34"/>
        <w:ind w:left="473" w:right="712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03"/>
          <w:sz w:val="21"/>
          <w:szCs w:val="21"/>
        </w:rPr>
        <w:t> </w:t>
      </w:r>
      <w:r>
        <w:rPr>
          <w:rFonts w:ascii="宋体" w:hAnsi="宋体" w:cs="宋体" w:eastAsia="宋体" w:hint="default"/>
          <w:sz w:val="21"/>
          <w:szCs w:val="21"/>
        </w:rPr>
        <w:t>采用永续盘存制。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z w:val="21"/>
          <w:szCs w:val="21"/>
        </w:rPr>
        <w:t>5</w:t>
      </w:r>
      <w:r>
        <w:rPr>
          <w:rFonts w:ascii="宋体" w:hAnsi="宋体" w:cs="宋体" w:eastAsia="宋体" w:hint="default"/>
          <w:b/>
          <w:bCs/>
          <w:sz w:val="21"/>
          <w:szCs w:val="21"/>
        </w:rPr>
        <w:t>、低值易耗品和包装物的摊销方法</w:t>
      </w:r>
      <w:r>
        <w:rPr>
          <w:rFonts w:ascii="宋体" w:hAnsi="宋体" w:cs="宋体" w:eastAsia="宋体" w:hint="default"/>
          <w:sz w:val="21"/>
          <w:szCs w:val="21"/>
        </w:rPr>
      </w:r>
    </w:p>
    <w:p>
      <w:pPr>
        <w:pStyle w:val="BodyText"/>
        <w:spacing w:line="240" w:lineRule="auto" w:before="34"/>
        <w:ind w:left="473" w:right="1002"/>
        <w:jc w:val="left"/>
      </w:pPr>
      <w:r>
        <w:rPr/>
        <w:t>（</w:t>
      </w:r>
      <w:r>
        <w:rPr>
          <w:rFonts w:ascii="宋体" w:hAnsi="宋体" w:cs="宋体" w:eastAsia="宋体" w:hint="default"/>
        </w:rPr>
        <w:t>1</w:t>
      </w:r>
      <w:r>
        <w:rPr/>
        <w:t>）低值易耗品采用一次转销法；</w:t>
      </w:r>
    </w:p>
    <w:p>
      <w:pPr>
        <w:pStyle w:val="BodyText"/>
        <w:spacing w:line="240" w:lineRule="auto" w:before="123"/>
        <w:ind w:left="473" w:right="1002"/>
        <w:jc w:val="left"/>
      </w:pPr>
      <w:r>
        <w:rPr/>
        <w:t>（</w:t>
      </w:r>
      <w:r>
        <w:rPr>
          <w:rFonts w:ascii="宋体" w:hAnsi="宋体" w:cs="宋体" w:eastAsia="宋体" w:hint="default"/>
        </w:rPr>
        <w:t>2</w:t>
      </w:r>
      <w:r>
        <w:rPr/>
        <w:t>）包装物采用一次转销法。</w:t>
      </w:r>
    </w:p>
    <w:p>
      <w:pPr>
        <w:pStyle w:val="BodyText"/>
        <w:spacing w:line="240" w:lineRule="auto" w:before="124"/>
        <w:ind w:left="473" w:right="1002"/>
        <w:jc w:val="left"/>
      </w:pPr>
      <w:r>
        <w:rPr/>
        <w:t>（</w:t>
      </w:r>
      <w:r>
        <w:rPr>
          <w:rFonts w:ascii="宋体" w:hAnsi="宋体" w:cs="宋体" w:eastAsia="宋体" w:hint="default"/>
        </w:rPr>
        <w:t>3</w:t>
      </w:r>
      <w:r>
        <w:rPr/>
        <w:t>）其他周转材料采用一次转销法摊销。</w:t>
      </w:r>
    </w:p>
    <w:p>
      <w:pPr>
        <w:spacing w:line="240" w:lineRule="auto" w:before="0"/>
        <w:rPr>
          <w:rFonts w:ascii="宋体" w:hAnsi="宋体" w:cs="宋体" w:eastAsia="宋体" w:hint="default"/>
          <w:sz w:val="20"/>
          <w:szCs w:val="20"/>
        </w:rPr>
      </w:pPr>
    </w:p>
    <w:p>
      <w:pPr>
        <w:pStyle w:val="Heading5"/>
        <w:spacing w:line="240" w:lineRule="auto" w:before="164"/>
        <w:ind w:right="1002"/>
        <w:jc w:val="left"/>
        <w:rPr>
          <w:b w:val="0"/>
          <w:bCs w:val="0"/>
        </w:rPr>
      </w:pPr>
      <w:bookmarkStart w:name="16、合同资产" w:id="191"/>
      <w:bookmarkEnd w:id="191"/>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0"/>
        <w:rPr>
          <w:rFonts w:ascii="宋体" w:hAnsi="宋体" w:cs="宋体" w:eastAsia="宋体" w:hint="default"/>
          <w:b/>
          <w:bCs/>
          <w:sz w:val="31"/>
          <w:szCs w:val="31"/>
        </w:rPr>
      </w:pPr>
    </w:p>
    <w:p>
      <w:pPr>
        <w:pStyle w:val="Heading5"/>
        <w:spacing w:line="240" w:lineRule="auto"/>
        <w:ind w:right="1002"/>
        <w:jc w:val="left"/>
        <w:rPr>
          <w:b w:val="0"/>
          <w:bCs w:val="0"/>
        </w:rPr>
      </w:pPr>
      <w:bookmarkStart w:name="17、合同成本" w:id="192"/>
      <w:bookmarkEnd w:id="192"/>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4"/>
        <w:rPr>
          <w:rFonts w:ascii="宋体" w:hAnsi="宋体" w:cs="宋体" w:eastAsia="宋体" w:hint="default"/>
          <w:b/>
          <w:bCs/>
          <w:sz w:val="31"/>
          <w:szCs w:val="31"/>
        </w:rPr>
      </w:pPr>
    </w:p>
    <w:p>
      <w:pPr>
        <w:pStyle w:val="Heading5"/>
        <w:spacing w:line="240" w:lineRule="auto"/>
        <w:ind w:right="1002"/>
        <w:jc w:val="left"/>
        <w:rPr>
          <w:b w:val="0"/>
          <w:bCs w:val="0"/>
        </w:rPr>
      </w:pPr>
      <w:bookmarkStart w:name="18、持有待售资产" w:id="193"/>
      <w:bookmarkEnd w:id="193"/>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9"/>
        <w:rPr>
          <w:rFonts w:ascii="宋体" w:hAnsi="宋体" w:cs="宋体" w:eastAsia="宋体" w:hint="default"/>
          <w:b/>
          <w:bCs/>
          <w:sz w:val="31"/>
          <w:szCs w:val="31"/>
        </w:rPr>
      </w:pPr>
    </w:p>
    <w:p>
      <w:pPr>
        <w:spacing w:line="348" w:lineRule="auto" w:before="0"/>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、划分为持有待售确认标准</w:t>
      </w:r>
      <w:r>
        <w:rPr>
          <w:rFonts w:ascii="宋体" w:hAnsi="宋体" w:cs="宋体" w:eastAsia="宋体" w:hint="default"/>
          <w:b/>
          <w:bCs/>
          <w:spacing w:val="-102"/>
          <w:sz w:val="21"/>
          <w:szCs w:val="21"/>
        </w:rPr>
        <w:t> </w:t>
      </w:r>
      <w:r>
        <w:rPr>
          <w:rFonts w:ascii="宋体" w:hAnsi="宋体" w:cs="宋体" w:eastAsia="宋体" w:hint="default"/>
          <w:spacing w:val="-2"/>
          <w:sz w:val="21"/>
          <w:szCs w:val="21"/>
        </w:rPr>
        <w:t>本公司将同时满足下列条件的非流动资产或处置组确认为持有待售组成部分：</w:t>
      </w:r>
    </w:p>
    <w:p>
      <w:pPr>
        <w:pStyle w:val="BodyText"/>
        <w:spacing w:line="240" w:lineRule="auto" w:before="29"/>
        <w:ind w:left="473" w:right="1002"/>
        <w:jc w:val="left"/>
      </w:pPr>
      <w:r>
        <w:rPr/>
        <w:t>（</w:t>
      </w:r>
      <w:r>
        <w:rPr>
          <w:rFonts w:ascii="宋体" w:hAnsi="宋体" w:cs="宋体" w:eastAsia="宋体" w:hint="default"/>
        </w:rPr>
        <w:t>1</w:t>
      </w:r>
      <w:r>
        <w:rPr/>
        <w:t>）根据类似交易中出售此类资产或处置组的惯例，在当前状况下即可立即出售；</w:t>
      </w:r>
    </w:p>
    <w:p>
      <w:pPr>
        <w:pStyle w:val="BodyText"/>
        <w:spacing w:line="348" w:lineRule="auto" w:before="128"/>
        <w:ind w:right="1002" w:firstLine="360"/>
        <w:jc w:val="left"/>
      </w:pPr>
      <w:r>
        <w:rPr>
          <w:spacing w:val="-3"/>
        </w:rPr>
        <w:t>（</w:t>
      </w:r>
      <w:r>
        <w:rPr>
          <w:rFonts w:ascii="宋体" w:hAnsi="宋体" w:cs="宋体" w:eastAsia="宋体" w:hint="default"/>
          <w:spacing w:val="-3"/>
        </w:rPr>
        <w:t>2</w:t>
      </w:r>
      <w:r>
        <w:rPr>
          <w:spacing w:val="-3"/>
        </w:rPr>
        <w:t>）出售极可能发生，即本公司已经就一项出售计划作出决议，并已获得监管部门批准，且获得确定</w:t>
      </w:r>
      <w:r>
        <w:rPr>
          <w:w w:val="100"/>
        </w:rPr>
        <w:t> </w:t>
      </w:r>
      <w:r>
        <w:rPr/>
        <w:t>的购买承诺，预计出售将在一年内完成。</w:t>
      </w:r>
    </w:p>
    <w:p>
      <w:pPr>
        <w:pStyle w:val="BodyText"/>
        <w:spacing w:line="352" w:lineRule="auto" w:before="29"/>
        <w:ind w:right="1002" w:firstLine="360"/>
        <w:jc w:val="left"/>
      </w:pPr>
      <w:r>
        <w:rPr>
          <w:spacing w:val="-1"/>
        </w:rPr>
        <w:t>确定的购买承诺，是指本公司与其他方签订的具有法律约束力的购买协议，该协议包含交易价格、时</w:t>
      </w:r>
      <w:r>
        <w:rPr>
          <w:w w:val="100"/>
        </w:rPr>
        <w:t> </w:t>
      </w:r>
      <w:r>
        <w:rPr/>
        <w:t>间和足够严厉的违约惩罚等重要条款，使协议出现重大调整或者撤销的可能性极小。</w:t>
      </w:r>
    </w:p>
    <w:p>
      <w:pPr>
        <w:pStyle w:val="BodyText"/>
        <w:spacing w:line="348" w:lineRule="auto" w:before="25"/>
        <w:ind w:left="473" w:right="1002"/>
        <w:jc w:val="left"/>
      </w:pPr>
      <w:r>
        <w:rPr>
          <w:rFonts w:ascii="宋体" w:hAnsi="宋体" w:cs="宋体" w:eastAsia="宋体" w:hint="default"/>
          <w:b/>
          <w:bCs/>
        </w:rPr>
        <w:t>2</w:t>
      </w:r>
      <w:r>
        <w:rPr>
          <w:rFonts w:ascii="宋体" w:hAnsi="宋体" w:cs="宋体" w:eastAsia="宋体" w:hint="default"/>
          <w:b/>
          <w:bCs/>
        </w:rPr>
        <w:t>、持有待售核算方法</w:t>
      </w:r>
      <w:r>
        <w:rPr>
          <w:rFonts w:ascii="宋体" w:hAnsi="宋体" w:cs="宋体" w:eastAsia="宋体" w:hint="default"/>
          <w:b/>
          <w:bCs/>
          <w:spacing w:val="-103"/>
        </w:rPr>
        <w:t> </w:t>
      </w:r>
      <w:r>
        <w:rPr>
          <w:spacing w:val="-1"/>
        </w:rPr>
        <w:t>本公司对于持有待售的非流动资产或处置组不计提折旧或摊销，其账面价值高于公允价值减去出售费</w:t>
      </w:r>
    </w:p>
    <w:p>
      <w:pPr>
        <w:pStyle w:val="BodyText"/>
        <w:spacing w:line="348" w:lineRule="auto" w:before="34"/>
        <w:ind w:right="1002"/>
        <w:jc w:val="left"/>
      </w:pPr>
      <w:r>
        <w:rPr>
          <w:spacing w:val="-4"/>
        </w:rPr>
        <w:t>用后的净额的，应当将账面价值减记至公允价值减去出售费用后的净额，减记的金额确认为资产减值损失，</w:t>
      </w:r>
      <w:r>
        <w:rPr>
          <w:spacing w:val="-39"/>
        </w:rPr>
        <w:t> </w:t>
      </w:r>
      <w:r>
        <w:rPr>
          <w:spacing w:val="-39"/>
        </w:rPr>
      </w:r>
      <w:r>
        <w:rPr/>
        <w:t>计入当期损益，同时计提持有待售资产减值准备。</w:t>
      </w:r>
    </w:p>
    <w:p>
      <w:pPr>
        <w:pStyle w:val="BodyText"/>
        <w:spacing w:line="352" w:lineRule="auto" w:before="29"/>
        <w:ind w:right="1002" w:firstLine="360"/>
        <w:jc w:val="left"/>
      </w:pPr>
      <w:r>
        <w:rPr>
          <w:spacing w:val="-1"/>
        </w:rPr>
        <w:t>对于取得日划分为持有待售类别的非流动资产或处置组，在初始计量时比较假定其不划分为持有待售</w:t>
      </w:r>
      <w:r>
        <w:rPr>
          <w:w w:val="100"/>
        </w:rPr>
        <w:t> </w:t>
      </w:r>
      <w:r>
        <w:rPr/>
        <w:t>类别情况下的初始计量金额和公允价值减去出售费用后的净额，以两者孰低计量。</w:t>
      </w:r>
    </w:p>
    <w:p>
      <w:pPr>
        <w:pStyle w:val="BodyText"/>
        <w:spacing w:line="350" w:lineRule="auto" w:before="25"/>
        <w:ind w:right="1125" w:firstLine="360"/>
        <w:jc w:val="both"/>
      </w:pPr>
      <w:r>
        <w:rPr>
          <w:spacing w:val="-1"/>
        </w:rPr>
        <w:t>上述原则适用于所有非流动资产，但不包括采用公允价值模式进行后续计量的投资性房地产、采用公</w:t>
      </w:r>
      <w:r>
        <w:rPr>
          <w:w w:val="100"/>
        </w:rPr>
        <w:t> </w:t>
      </w:r>
      <w:r>
        <w:rPr>
          <w:spacing w:val="-2"/>
        </w:rPr>
        <w:t>允价值减去出售费用后的净额计量的生物资产、职工薪酬形成的资产、递延所得税资产、由金融工具相关</w:t>
      </w:r>
      <w:r>
        <w:rPr>
          <w:spacing w:val="-33"/>
        </w:rPr>
        <w:t> </w:t>
      </w:r>
      <w:r>
        <w:rPr>
          <w:spacing w:val="-33"/>
        </w:rPr>
      </w:r>
      <w:r>
        <w:rPr/>
        <w:t>会计准则规范的金融资产、由保险合同相关会计准则规范的保险合同所产生的权利。</w:t>
      </w:r>
    </w:p>
    <w:p>
      <w:pPr>
        <w:spacing w:after="0" w:line="35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Heading5"/>
        <w:spacing w:line="240" w:lineRule="auto" w:before="36"/>
        <w:ind w:right="1002"/>
        <w:jc w:val="left"/>
        <w:rPr>
          <w:b w:val="0"/>
          <w:bCs w:val="0"/>
        </w:rPr>
      </w:pPr>
      <w:bookmarkStart w:name="19、债权投资" w:id="194"/>
      <w:bookmarkEnd w:id="194"/>
      <w:r>
        <w:rPr>
          <w:b w:val="0"/>
          <w:bCs w:val="0"/>
        </w:rPr>
      </w:r>
      <w:r>
        <w:rPr>
          <w:rFonts w:ascii="Times New Roman" w:hAnsi="Times New Roman" w:cs="Times New Roman" w:eastAsia="Times New Roman" w:hint="default"/>
        </w:rPr>
        <w:t>19</w:t>
      </w:r>
      <w:r>
        <w:rPr/>
        <w:t>、债权投资</w:t>
      </w:r>
      <w:r>
        <w:rPr>
          <w:b w:val="0"/>
          <w:bCs w:val="0"/>
        </w:rPr>
      </w:r>
    </w:p>
    <w:p>
      <w:pPr>
        <w:pStyle w:val="BodyText"/>
        <w:spacing w:line="706" w:lineRule="exact" w:before="85"/>
        <w:ind w:left="473" w:right="1002" w:hanging="360"/>
        <w:jc w:val="left"/>
      </w:pPr>
      <w:bookmarkStart w:name="20、其他债权投资" w:id="195"/>
      <w:bookmarkEnd w:id="195"/>
      <w:r>
        <w:rPr/>
      </w:r>
      <w:r>
        <w:rPr>
          <w:rFonts w:ascii="Times New Roman" w:hAnsi="Times New Roman" w:cs="Times New Roman" w:eastAsia="Times New Roman" w:hint="default"/>
          <w:b/>
          <w:bCs/>
        </w:rPr>
        <w:t>20</w:t>
      </w:r>
      <w:r>
        <w:rPr>
          <w:rFonts w:ascii="宋体" w:hAnsi="宋体" w:cs="宋体" w:eastAsia="宋体" w:hint="default"/>
          <w:b/>
          <w:bCs/>
        </w:rPr>
        <w:t>、其他债权投资</w:t>
      </w:r>
      <w:r>
        <w:rPr>
          <w:rFonts w:ascii="宋体" w:hAnsi="宋体" w:cs="宋体" w:eastAsia="宋体" w:hint="default"/>
          <w:b/>
          <w:bCs/>
          <w:spacing w:val="-102"/>
        </w:rPr>
        <w:t> </w:t>
      </w:r>
      <w:r>
        <w:rPr/>
        <w:t>本公司对其他债权投资的预期信用损失的确定方法及会计处理方法详见审计报告附注四／（九）</w:t>
      </w:r>
      <w:r>
        <w:rPr>
          <w:rFonts w:ascii="宋体" w:hAnsi="宋体" w:cs="宋体" w:eastAsia="宋体" w:hint="default"/>
        </w:rPr>
        <w:t>6</w:t>
      </w:r>
      <w:r>
        <w:rPr>
          <w:rFonts w:ascii="Times New Roman" w:hAnsi="Times New Roman" w:cs="Times New Roman" w:eastAsia="Times New Roman" w:hint="default"/>
        </w:rPr>
        <w:t>.</w:t>
      </w:r>
      <w:r>
        <w:rPr/>
        <w:t>金</w:t>
      </w:r>
    </w:p>
    <w:p>
      <w:pPr>
        <w:pStyle w:val="BodyText"/>
        <w:spacing w:line="240" w:lineRule="auto" w:before="12"/>
        <w:ind w:right="1002"/>
        <w:jc w:val="left"/>
      </w:pPr>
      <w:r>
        <w:rPr/>
        <w:t>融工具减值。</w:t>
      </w:r>
    </w:p>
    <w:p>
      <w:pPr>
        <w:pStyle w:val="BodyText"/>
        <w:spacing w:line="700" w:lineRule="atLeast" w:before="12"/>
        <w:ind w:left="473" w:right="1002" w:hanging="360"/>
        <w:jc w:val="left"/>
      </w:pPr>
      <w:bookmarkStart w:name="21、长期应收款" w:id="196"/>
      <w:bookmarkEnd w:id="196"/>
      <w:r>
        <w:rPr/>
      </w:r>
      <w:r>
        <w:rPr>
          <w:rFonts w:ascii="Times New Roman" w:hAnsi="Times New Roman" w:cs="Times New Roman" w:eastAsia="Times New Roman" w:hint="default"/>
          <w:b/>
          <w:bCs/>
        </w:rPr>
        <w:t>21</w:t>
      </w:r>
      <w:r>
        <w:rPr>
          <w:rFonts w:ascii="宋体" w:hAnsi="宋体" w:cs="宋体" w:eastAsia="宋体" w:hint="default"/>
          <w:b/>
          <w:bCs/>
        </w:rPr>
        <w:t>、长期应收款</w:t>
      </w:r>
      <w:r>
        <w:rPr>
          <w:rFonts w:ascii="宋体" w:hAnsi="宋体" w:cs="宋体" w:eastAsia="宋体" w:hint="default"/>
          <w:b/>
          <w:bCs/>
          <w:spacing w:val="-103"/>
        </w:rPr>
        <w:t> </w:t>
      </w:r>
      <w:r>
        <w:rPr/>
        <w:t>本公司对长期应收款的预期信用损失的确定方法及会计处理方法详见审计报告附注四／（九）</w:t>
      </w:r>
      <w:r>
        <w:rPr>
          <w:rFonts w:ascii="宋体" w:hAnsi="宋体" w:cs="宋体" w:eastAsia="宋体" w:hint="default"/>
        </w:rPr>
        <w:t>6</w:t>
      </w:r>
      <w:r>
        <w:rPr>
          <w:rFonts w:ascii="Times New Roman" w:hAnsi="Times New Roman" w:cs="Times New Roman" w:eastAsia="Times New Roman" w:hint="default"/>
        </w:rPr>
        <w:t>.</w:t>
      </w:r>
      <w:r>
        <w:rPr/>
        <w:t>金融</w:t>
      </w:r>
    </w:p>
    <w:p>
      <w:pPr>
        <w:pStyle w:val="BodyText"/>
        <w:spacing w:line="240" w:lineRule="auto" w:before="107"/>
        <w:ind w:right="1002"/>
        <w:jc w:val="left"/>
      </w:pPr>
      <w:r>
        <w:rPr/>
        <w:t>工具减值。</w:t>
      </w:r>
    </w:p>
    <w:p>
      <w:pPr>
        <w:pStyle w:val="BodyText"/>
        <w:spacing w:line="352" w:lineRule="auto" w:before="123"/>
        <w:ind w:right="1002" w:firstLine="360"/>
        <w:jc w:val="left"/>
      </w:pPr>
      <w:r>
        <w:rPr>
          <w:spacing w:val="-1"/>
        </w:rPr>
        <w:t>本公司对单项金额重大且在初始确认后已经发生信用减值、在单项工具层面评估预期信用损失充分证</w:t>
      </w:r>
      <w:r>
        <w:rPr>
          <w:w w:val="100"/>
        </w:rPr>
        <w:t> </w:t>
      </w:r>
      <w:r>
        <w:rPr/>
        <w:t>据的长期应收款单独确定其信用损失。</w:t>
      </w:r>
    </w:p>
    <w:p>
      <w:pPr>
        <w:spacing w:line="240" w:lineRule="auto" w:before="8"/>
        <w:rPr>
          <w:rFonts w:ascii="宋体" w:hAnsi="宋体" w:cs="宋体" w:eastAsia="宋体" w:hint="default"/>
          <w:sz w:val="24"/>
          <w:szCs w:val="24"/>
        </w:rPr>
      </w:pPr>
    </w:p>
    <w:p>
      <w:pPr>
        <w:pStyle w:val="Heading5"/>
        <w:spacing w:line="240" w:lineRule="auto"/>
        <w:ind w:right="1002"/>
        <w:jc w:val="left"/>
        <w:rPr>
          <w:b w:val="0"/>
          <w:bCs w:val="0"/>
        </w:rPr>
      </w:pPr>
      <w:bookmarkStart w:name="22、长期股权投资" w:id="197"/>
      <w:bookmarkEnd w:id="197"/>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4"/>
        <w:rPr>
          <w:rFonts w:ascii="宋体" w:hAnsi="宋体" w:cs="宋体" w:eastAsia="宋体" w:hint="default"/>
          <w:b/>
          <w:bCs/>
          <w:sz w:val="31"/>
          <w:szCs w:val="31"/>
        </w:rPr>
      </w:pPr>
    </w:p>
    <w:p>
      <w:pPr>
        <w:pStyle w:val="Heading5"/>
        <w:spacing w:line="240" w:lineRule="auto"/>
        <w:ind w:left="473" w:right="1002"/>
        <w:jc w:val="left"/>
        <w:rPr>
          <w:b w:val="0"/>
          <w:bCs w:val="0"/>
        </w:rPr>
      </w:pPr>
      <w:r>
        <w:rPr>
          <w:rFonts w:ascii="宋体" w:hAnsi="宋体" w:cs="宋体" w:eastAsia="宋体" w:hint="default"/>
        </w:rPr>
        <w:t>1</w:t>
      </w:r>
      <w:r>
        <w:rPr/>
        <w:t>、初始投资成本的确定</w:t>
      </w:r>
      <w:r>
        <w:rPr>
          <w:b w:val="0"/>
          <w:bCs w:val="0"/>
        </w:rPr>
      </w:r>
    </w:p>
    <w:p>
      <w:pPr>
        <w:pStyle w:val="BodyText"/>
        <w:spacing w:line="348" w:lineRule="auto" w:before="128"/>
        <w:ind w:right="1002" w:firstLine="360"/>
        <w:jc w:val="left"/>
      </w:pPr>
      <w:r>
        <w:rPr>
          <w:spacing w:val="-3"/>
        </w:rPr>
        <w:t>（</w:t>
      </w:r>
      <w:r>
        <w:rPr>
          <w:rFonts w:ascii="宋体" w:hAnsi="宋体" w:cs="宋体" w:eastAsia="宋体" w:hint="default"/>
          <w:spacing w:val="-3"/>
        </w:rPr>
        <w:t>1</w:t>
      </w:r>
      <w:r>
        <w:rPr>
          <w:spacing w:val="-3"/>
        </w:rPr>
        <w:t>）企业合并形成的长期股权投资，具体会计政策详见审计报告附注四／（四）同一控制下和非同一</w:t>
      </w:r>
      <w:r>
        <w:rPr>
          <w:w w:val="100"/>
        </w:rPr>
        <w:t> </w:t>
      </w:r>
      <w:r>
        <w:rPr/>
        <w:t>控制下企业合并的会计处理方法。</w:t>
      </w:r>
    </w:p>
    <w:p>
      <w:pPr>
        <w:pStyle w:val="BodyText"/>
        <w:spacing w:line="352" w:lineRule="auto" w:before="29"/>
        <w:ind w:left="473" w:right="1002"/>
        <w:jc w:val="left"/>
      </w:pPr>
      <w:r>
        <w:rPr/>
        <w:t>（</w:t>
      </w:r>
      <w:r>
        <w:rPr>
          <w:rFonts w:ascii="宋体" w:hAnsi="宋体" w:cs="宋体" w:eastAsia="宋体" w:hint="default"/>
        </w:rPr>
        <w:t>2</w:t>
      </w:r>
      <w:r>
        <w:rPr/>
        <w:t>）其他方式取得的长期股权投资</w:t>
      </w:r>
      <w:r>
        <w:rPr>
          <w:spacing w:val="-102"/>
        </w:rPr>
        <w:t> </w:t>
      </w:r>
      <w:r>
        <w:rPr>
          <w:spacing w:val="-102"/>
        </w:rPr>
      </w:r>
      <w:r>
        <w:rPr>
          <w:spacing w:val="-1"/>
        </w:rPr>
        <w:t>以支付现金方式取得的长期股权投资，按照实际支付的购买价款作为初始投资成本。初始投资成本包</w:t>
      </w:r>
    </w:p>
    <w:p>
      <w:pPr>
        <w:pStyle w:val="BodyText"/>
        <w:spacing w:line="348" w:lineRule="auto" w:before="25"/>
        <w:ind w:left="473" w:right="1002" w:hanging="360"/>
        <w:jc w:val="left"/>
      </w:pPr>
      <w:r>
        <w:rPr/>
        <w:t>括与取得长期股权投资直接相关的费用、税金及其他必要支出。</w:t>
      </w:r>
      <w:r>
        <w:rPr>
          <w:spacing w:val="-102"/>
        </w:rPr>
        <w:t> </w:t>
      </w:r>
      <w:r>
        <w:rPr>
          <w:spacing w:val="-102"/>
        </w:rPr>
      </w:r>
      <w:r>
        <w:rPr>
          <w:spacing w:val="-1"/>
        </w:rPr>
        <w:t>以发行权益性证券取得的长期股权投资，按照发行权益性证券的公允价值作为初始投资成本；发行或</w:t>
      </w:r>
    </w:p>
    <w:p>
      <w:pPr>
        <w:pStyle w:val="BodyText"/>
        <w:spacing w:line="348" w:lineRule="auto" w:before="34"/>
        <w:ind w:left="473" w:right="1002" w:hanging="360"/>
        <w:jc w:val="left"/>
      </w:pPr>
      <w:r>
        <w:rPr/>
        <w:t>取得自身权益工具时发生的交易费用，可直接归属于权益性交易的从权益中扣减。</w:t>
      </w:r>
      <w:r>
        <w:rPr>
          <w:spacing w:val="-102"/>
        </w:rPr>
        <w:t> </w:t>
      </w:r>
      <w:r>
        <w:rPr>
          <w:spacing w:val="-102"/>
        </w:rPr>
      </w:r>
      <w:r>
        <w:rPr>
          <w:spacing w:val="-1"/>
        </w:rPr>
        <w:t>在非货币性资产交换具备商业实质和换入资产或换出资产的公允价值能够可靠计量的前提下，非货币</w:t>
      </w:r>
    </w:p>
    <w:p>
      <w:pPr>
        <w:pStyle w:val="BodyText"/>
        <w:spacing w:line="350" w:lineRule="auto" w:before="29"/>
        <w:ind w:right="1122"/>
        <w:jc w:val="both"/>
      </w:pPr>
      <w:r>
        <w:rPr>
          <w:spacing w:val="-2"/>
        </w:rPr>
        <w:t>性资产交换换入的长期股权投资以换出资产的公允价值为基础确定其初始投资成本，除非有确凿证据表明</w:t>
      </w:r>
      <w:r>
        <w:rPr>
          <w:spacing w:val="-30"/>
        </w:rPr>
        <w:t> </w:t>
      </w:r>
      <w:r>
        <w:rPr>
          <w:spacing w:val="-30"/>
        </w:rPr>
      </w:r>
      <w:r>
        <w:rPr>
          <w:spacing w:val="-2"/>
        </w:rPr>
        <w:t>换入资产的公允价值更加可靠；不满足上述前提的非货币性资产交换，以换出资产的账面价值和应支付的</w:t>
      </w:r>
      <w:r>
        <w:rPr>
          <w:spacing w:val="-33"/>
        </w:rPr>
        <w:t> </w:t>
      </w:r>
      <w:r>
        <w:rPr>
          <w:spacing w:val="-33"/>
        </w:rPr>
      </w:r>
      <w:r>
        <w:rPr/>
        <w:t>相关税费作为换入长期股权投资的初始投资成本。</w:t>
      </w:r>
    </w:p>
    <w:p>
      <w:pPr>
        <w:spacing w:line="352" w:lineRule="auto" w:before="27"/>
        <w:ind w:left="473" w:right="1002" w:firstLine="0"/>
        <w:jc w:val="left"/>
        <w:rPr>
          <w:rFonts w:ascii="宋体" w:hAnsi="宋体" w:cs="宋体" w:eastAsia="宋体" w:hint="default"/>
          <w:sz w:val="21"/>
          <w:szCs w:val="21"/>
        </w:rPr>
      </w:pPr>
      <w:r>
        <w:rPr>
          <w:rFonts w:ascii="宋体" w:hAnsi="宋体" w:cs="宋体" w:eastAsia="宋体" w:hint="default"/>
          <w:spacing w:val="-2"/>
          <w:sz w:val="21"/>
          <w:szCs w:val="21"/>
        </w:rPr>
        <w:t>通过债务重组取得的长期股权投资，其初始投资成本按照公允价值为基础确定。</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pStyle w:val="BodyText"/>
        <w:spacing w:line="348" w:lineRule="auto" w:before="25"/>
        <w:ind w:left="473" w:right="1002"/>
        <w:jc w:val="left"/>
      </w:pPr>
      <w:r>
        <w:rPr/>
        <w:t>（</w:t>
      </w:r>
      <w:r>
        <w:rPr>
          <w:rFonts w:ascii="宋体" w:hAnsi="宋体" w:cs="宋体" w:eastAsia="宋体" w:hint="default"/>
        </w:rPr>
        <w:t>1</w:t>
      </w:r>
      <w:r>
        <w:rPr/>
        <w:t>）成本法</w:t>
      </w:r>
      <w:r>
        <w:rPr>
          <w:spacing w:val="-99"/>
        </w:rPr>
        <w:t> </w:t>
      </w:r>
      <w:r>
        <w:rPr>
          <w:spacing w:val="-1"/>
        </w:rPr>
        <w:t>本公司能够对被投资单位实施控制的长期股权投资采用成本法核算，并按照初始投资成本计价，追加</w:t>
      </w:r>
    </w:p>
    <w:p>
      <w:pPr>
        <w:pStyle w:val="BodyText"/>
        <w:spacing w:line="348" w:lineRule="auto" w:before="34"/>
        <w:ind w:left="473" w:right="1002" w:hanging="360"/>
        <w:jc w:val="left"/>
      </w:pPr>
      <w:r>
        <w:rPr/>
        <w:t>或收回投资调整长期股权投资的成本。</w:t>
      </w:r>
      <w:r>
        <w:rPr>
          <w:spacing w:val="-100"/>
        </w:rPr>
        <w:t> </w:t>
      </w:r>
      <w:r>
        <w:rPr>
          <w:spacing w:val="-100"/>
        </w:rPr>
      </w:r>
      <w:r>
        <w:rPr>
          <w:spacing w:val="-1"/>
        </w:rPr>
        <w:t>除取得投资时实际支付的价款或对价中包含的已宣告但尚未发放的现金股利或利润外，本公司按照享</w:t>
      </w:r>
    </w:p>
    <w:p>
      <w:pPr>
        <w:pStyle w:val="BodyText"/>
        <w:spacing w:line="240" w:lineRule="auto" w:before="29"/>
        <w:ind w:right="1002"/>
        <w:jc w:val="left"/>
      </w:pPr>
      <w:r>
        <w:rPr/>
        <w:t>有被投资单位宣告分派的现金股利或利润确认为当期投资收益。</w:t>
      </w:r>
    </w:p>
    <w:p>
      <w:pPr>
        <w:pStyle w:val="BodyText"/>
        <w:spacing w:line="240" w:lineRule="auto" w:before="128"/>
        <w:ind w:left="473" w:right="1002"/>
        <w:jc w:val="left"/>
      </w:pPr>
      <w:r>
        <w:rPr/>
        <w:t>（</w:t>
      </w:r>
      <w:r>
        <w:rPr>
          <w:rFonts w:ascii="宋体" w:hAnsi="宋体" w:cs="宋体" w:eastAsia="宋体" w:hint="default"/>
        </w:rPr>
        <w:t>2</w:t>
      </w:r>
      <w:r>
        <w:rPr/>
        <w:t>）权益法</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25" w:firstLine="360"/>
        <w:jc w:val="both"/>
      </w:pPr>
      <w:r>
        <w:rPr>
          <w:spacing w:val="-1"/>
        </w:rPr>
        <w:t>本公司对联营企业和合营企业的长期股权投资采用权益法核算；对于其中一部分通过风险投资机构、</w:t>
      </w:r>
      <w:r>
        <w:rPr>
          <w:w w:val="100"/>
        </w:rPr>
        <w:t> </w:t>
      </w:r>
      <w:r>
        <w:rPr>
          <w:spacing w:val="-2"/>
        </w:rPr>
        <w:t>共同基金、信托公司或包括投连险基金在内的类似主体间接持有的联营企业的权益性投资，采用公允价值</w:t>
      </w:r>
      <w:r>
        <w:rPr>
          <w:spacing w:val="-33"/>
        </w:rPr>
        <w:t> </w:t>
      </w:r>
      <w:r>
        <w:rPr>
          <w:spacing w:val="-33"/>
        </w:rPr>
      </w:r>
      <w:r>
        <w:rPr/>
        <w:t>计量且其变动计入损益。</w:t>
      </w:r>
    </w:p>
    <w:p>
      <w:pPr>
        <w:pStyle w:val="BodyText"/>
        <w:spacing w:line="350" w:lineRule="auto" w:before="27"/>
        <w:ind w:right="1126" w:firstLine="360"/>
        <w:jc w:val="both"/>
      </w:pPr>
      <w:r>
        <w:rPr>
          <w:spacing w:val="-1"/>
        </w:rPr>
        <w:t>长期股权投资的初始投资成本大于投资时应享有被投资单位可辨认净资产公允价值份额的差额，不调</w:t>
      </w:r>
      <w:r>
        <w:rPr>
          <w:w w:val="100"/>
        </w:rPr>
        <w:t> </w:t>
      </w:r>
      <w:r>
        <w:rPr>
          <w:spacing w:val="-2"/>
        </w:rPr>
        <w:t>整长期股权投资的初始投资成本；初始投资成本小于投资时应享有被投资单位可辨认净资产公允价值份额</w:t>
      </w:r>
      <w:r>
        <w:rPr>
          <w:spacing w:val="-33"/>
        </w:rPr>
        <w:t> </w:t>
      </w:r>
      <w:r>
        <w:rPr>
          <w:spacing w:val="-33"/>
        </w:rPr>
      </w:r>
      <w:r>
        <w:rPr/>
        <w:t>的差额，计入当期损益。</w:t>
      </w:r>
    </w:p>
    <w:p>
      <w:pPr>
        <w:pStyle w:val="BodyText"/>
        <w:spacing w:line="350" w:lineRule="auto" w:before="27"/>
        <w:ind w:right="1002" w:firstLine="360"/>
        <w:jc w:val="left"/>
      </w:pPr>
      <w:r>
        <w:rPr>
          <w:spacing w:val="-3"/>
        </w:rPr>
        <w:t>本公司取得长期股权投资后，按照应享有或应分担的被投资单位实现的净损益和其他综合收益的份额，</w:t>
      </w:r>
      <w:r>
        <w:rPr>
          <w:w w:val="100"/>
        </w:rPr>
        <w:t> </w:t>
      </w:r>
      <w:r>
        <w:rPr/>
        <w:t>分别确认投资收益和其他综合收益，同时调整长期股权投资的账面价值；并按照被投资单位宣告分派的利</w:t>
      </w:r>
      <w:r>
        <w:rPr>
          <w:w w:val="100"/>
        </w:rPr>
        <w:t> </w:t>
      </w:r>
      <w:r>
        <w:rPr/>
        <w:t>润或现金股利计算应享有的部分，相应减少长期股权投资的账面价值；对于被投资单位除净损益、其他综</w:t>
      </w:r>
      <w:r>
        <w:rPr>
          <w:w w:val="100"/>
        </w:rPr>
        <w:t> </w:t>
      </w:r>
      <w:r>
        <w:rPr/>
        <w:t>合收益和利润分配以外所有者权益的其他变动，调整长期股权投资的账面价值并计入所有者权益。</w:t>
      </w:r>
    </w:p>
    <w:p>
      <w:pPr>
        <w:pStyle w:val="BodyText"/>
        <w:spacing w:line="350" w:lineRule="auto" w:before="27"/>
        <w:ind w:right="1125" w:firstLine="360"/>
        <w:jc w:val="both"/>
      </w:pPr>
      <w:r>
        <w:rPr>
          <w:spacing w:val="-1"/>
        </w:rPr>
        <w:t>本公司在确认应享有被投资单位净损益的份额时，以取得投资时被投资单位各项可辨认资产等的公允</w:t>
      </w:r>
      <w:r>
        <w:rPr>
          <w:w w:val="100"/>
        </w:rPr>
        <w:t> </w:t>
      </w:r>
      <w:r>
        <w:rPr>
          <w:spacing w:val="-2"/>
        </w:rPr>
        <w:t>价值为基础，对被投资单位的净利润进行调整后确认。本公司与联营企业、合营企业之间发生的未实现内</w:t>
      </w:r>
      <w:r>
        <w:rPr>
          <w:spacing w:val="-33"/>
        </w:rPr>
        <w:t> </w:t>
      </w:r>
      <w:r>
        <w:rPr>
          <w:spacing w:val="-33"/>
        </w:rPr>
      </w:r>
      <w:r>
        <w:rPr/>
        <w:t>部交易损益按照应享有的比例计算归属于本公司的部分予以抵销，在此基础上确认投资损益。</w:t>
      </w:r>
    </w:p>
    <w:p>
      <w:pPr>
        <w:pStyle w:val="BodyText"/>
        <w:spacing w:line="350" w:lineRule="auto" w:before="27"/>
        <w:ind w:right="1125" w:firstLine="360"/>
        <w:jc w:val="both"/>
      </w:pPr>
      <w:r>
        <w:rPr>
          <w:spacing w:val="-1"/>
        </w:rPr>
        <w:t>本公司确认应分担被投资单位发生的亏损时，按照以下顺序进行处理：首先，冲减长期股权投资的账</w:t>
      </w:r>
      <w:r>
        <w:rPr>
          <w:w w:val="100"/>
        </w:rPr>
        <w:t> </w:t>
      </w:r>
      <w:r>
        <w:rPr>
          <w:spacing w:val="-2"/>
        </w:rPr>
        <w:t>面价值。其次，长期股权投资的账面价值不足以冲减的，以其他实质上构成对被投资单位净投资的长期权</w:t>
      </w:r>
      <w:r>
        <w:rPr>
          <w:spacing w:val="-33"/>
        </w:rPr>
        <w:t> </w:t>
      </w:r>
      <w:r>
        <w:rPr>
          <w:spacing w:val="-33"/>
        </w:rPr>
      </w:r>
      <w:r>
        <w:rPr>
          <w:spacing w:val="-2"/>
        </w:rPr>
        <w:t>益账面价值为限继续确认投资损失，冲减长期应收项目等的账面价值。最后，经过上述处理，按照投资合</w:t>
      </w:r>
      <w:r>
        <w:rPr>
          <w:spacing w:val="-33"/>
        </w:rPr>
        <w:t> </w:t>
      </w:r>
      <w:r>
        <w:rPr>
          <w:spacing w:val="-33"/>
        </w:rPr>
      </w:r>
      <w:r>
        <w:rPr/>
        <w:t>同或协议约定企业仍承担额外义务的，按预计承担的义务确认预计负债，计入当期投资损失。</w:t>
      </w:r>
    </w:p>
    <w:p>
      <w:pPr>
        <w:pStyle w:val="BodyText"/>
        <w:spacing w:line="348" w:lineRule="auto" w:before="31"/>
        <w:ind w:right="1124" w:firstLine="360"/>
        <w:jc w:val="both"/>
      </w:pPr>
      <w:r>
        <w:rPr>
          <w:spacing w:val="-1"/>
        </w:rPr>
        <w:t>被投资单位以后期间实现盈利的，公司在扣除未确认的亏损分担额后，按与上述相反的顺序处理，减</w:t>
      </w:r>
      <w:r>
        <w:rPr>
          <w:w w:val="100"/>
        </w:rPr>
        <w:t> </w:t>
      </w:r>
      <w:r>
        <w:rPr>
          <w:spacing w:val="-2"/>
        </w:rPr>
        <w:t>记已确认预计负债的账面余额、恢复其他实质上构成对被投资单位净投资的长期权益及长期股权投资的账</w:t>
      </w:r>
      <w:r>
        <w:rPr>
          <w:spacing w:val="-32"/>
        </w:rPr>
        <w:t> </w:t>
      </w:r>
      <w:r>
        <w:rPr>
          <w:spacing w:val="-32"/>
        </w:rPr>
      </w:r>
      <w:r>
        <w:rPr/>
        <w:t>面价值后，恢复确认投资收益。</w:t>
      </w:r>
    </w:p>
    <w:p>
      <w:pPr>
        <w:pStyle w:val="Heading5"/>
        <w:spacing w:line="240" w:lineRule="auto" w:before="34"/>
        <w:ind w:left="473" w:right="1002"/>
        <w:jc w:val="left"/>
        <w:rPr>
          <w:b w:val="0"/>
          <w:bCs w:val="0"/>
        </w:rPr>
      </w:pPr>
      <w:r>
        <w:rPr>
          <w:rFonts w:ascii="宋体" w:hAnsi="宋体" w:cs="宋体" w:eastAsia="宋体" w:hint="default"/>
        </w:rPr>
        <w:t>3</w:t>
      </w:r>
      <w:r>
        <w:rPr/>
        <w:t>、长期股权投资核算方法的转换</w:t>
      </w:r>
      <w:r>
        <w:rPr>
          <w:b w:val="0"/>
          <w:bCs w:val="0"/>
        </w:rPr>
      </w:r>
    </w:p>
    <w:p>
      <w:pPr>
        <w:pStyle w:val="BodyText"/>
        <w:spacing w:line="348" w:lineRule="auto" w:before="123"/>
        <w:ind w:left="473" w:right="1002"/>
        <w:jc w:val="left"/>
      </w:pPr>
      <w:r>
        <w:rPr/>
        <w:t>（</w:t>
      </w:r>
      <w:r>
        <w:rPr>
          <w:rFonts w:ascii="宋体" w:hAnsi="宋体" w:cs="宋体" w:eastAsia="宋体" w:hint="default"/>
        </w:rPr>
        <w:t>1</w:t>
      </w:r>
      <w:r>
        <w:rPr/>
        <w:t>）公允价值计量转权益法核算</w:t>
      </w:r>
      <w:r>
        <w:rPr>
          <w:spacing w:val="-103"/>
        </w:rPr>
        <w:t> </w:t>
      </w:r>
      <w:r>
        <w:rPr>
          <w:spacing w:val="-103"/>
        </w:rPr>
      </w:r>
      <w:r>
        <w:rPr>
          <w:spacing w:val="-1"/>
        </w:rPr>
        <w:t>本公司原持有的对被投资单位不具有控制、共同控制或重大影响的按金融工具确认和计量准则进行会</w:t>
      </w:r>
    </w:p>
    <w:p>
      <w:pPr>
        <w:pStyle w:val="BodyText"/>
        <w:spacing w:line="348" w:lineRule="auto" w:before="34"/>
        <w:ind w:right="1124"/>
        <w:jc w:val="both"/>
      </w:pPr>
      <w:r>
        <w:rPr/>
        <w:t>计处理的权益性投资，因追加投资等原因能够对被投资单位施加重大影响或实施共同控制但不构成控制</w:t>
      </w:r>
      <w:r>
        <w:rPr>
          <w:spacing w:val="60"/>
        </w:rPr>
        <w:t> </w:t>
      </w:r>
      <w:r>
        <w:rPr>
          <w:spacing w:val="60"/>
        </w:rPr>
      </w:r>
      <w:r>
        <w:rPr>
          <w:spacing w:val="-2"/>
        </w:rPr>
        <w:t>的，按照《企业会计准则第</w:t>
      </w:r>
      <w:r>
        <w:rPr>
          <w:rFonts w:ascii="宋体" w:hAnsi="宋体" w:cs="宋体" w:eastAsia="宋体" w:hint="default"/>
          <w:spacing w:val="-2"/>
        </w:rPr>
        <w:t>22</w:t>
      </w:r>
      <w:r>
        <w:rPr>
          <w:spacing w:val="-2"/>
        </w:rPr>
        <w:t>号——金融工具确认和计量》确定的原持有的股权投资的公允价值加上新增</w:t>
      </w:r>
      <w:r>
        <w:rPr>
          <w:spacing w:val="-31"/>
        </w:rPr>
        <w:t> </w:t>
      </w:r>
      <w:r>
        <w:rPr>
          <w:spacing w:val="-31"/>
        </w:rPr>
      </w:r>
      <w:r>
        <w:rPr/>
        <w:t>投资成本之和，作为改按权益法核算的初始投资成本。</w:t>
      </w:r>
    </w:p>
    <w:p>
      <w:pPr>
        <w:pStyle w:val="BodyText"/>
        <w:spacing w:line="348" w:lineRule="auto" w:before="34"/>
        <w:ind w:right="1128" w:firstLine="360"/>
        <w:jc w:val="both"/>
      </w:pPr>
      <w:r>
        <w:rPr>
          <w:spacing w:val="-1"/>
        </w:rPr>
        <w:t>原持有的股权投资分类为可供出售金融资产的，其公允价值与账面价值之间的差额，以及原计入其他</w:t>
      </w:r>
      <w:r>
        <w:rPr>
          <w:w w:val="100"/>
        </w:rPr>
        <w:t> </w:t>
      </w:r>
      <w:r>
        <w:rPr/>
        <w:t>综合收益的累计公允价值变动转入改按权益法核算的当期损益。</w:t>
      </w:r>
    </w:p>
    <w:p>
      <w:pPr>
        <w:pStyle w:val="BodyText"/>
        <w:spacing w:line="352" w:lineRule="auto" w:before="29"/>
        <w:ind w:right="1002" w:firstLine="360"/>
        <w:jc w:val="left"/>
      </w:pPr>
      <w:r>
        <w:rPr/>
        <w:t>按权益法核算的初始投资成本小于按照追加投资后全新的持股比例计算确定的应享有被投资单位在追</w:t>
      </w:r>
      <w:r>
        <w:rPr>
          <w:w w:val="100"/>
        </w:rPr>
        <w:t> </w:t>
      </w:r>
      <w:r>
        <w:rPr>
          <w:spacing w:val="-4"/>
        </w:rPr>
        <w:t>加投资日可辨认净资产公允价值份额之间的差额，调整长期股权投资的账面价值，并计入当期营业外收入。</w:t>
      </w:r>
    </w:p>
    <w:p>
      <w:pPr>
        <w:pStyle w:val="BodyText"/>
        <w:spacing w:line="348" w:lineRule="auto" w:before="25"/>
        <w:ind w:left="473" w:right="1002"/>
        <w:jc w:val="left"/>
      </w:pPr>
      <w:r>
        <w:rPr/>
        <w:t>（</w:t>
      </w:r>
      <w:r>
        <w:rPr>
          <w:rFonts w:ascii="宋体" w:hAnsi="宋体" w:cs="宋体" w:eastAsia="宋体" w:hint="default"/>
        </w:rPr>
        <w:t>2</w:t>
      </w:r>
      <w:r>
        <w:rPr/>
        <w:t>）公允价值计量或权益法核算转成本法核算</w:t>
      </w:r>
      <w:r>
        <w:rPr>
          <w:spacing w:val="-101"/>
        </w:rPr>
        <w:t> </w:t>
      </w:r>
      <w:r>
        <w:rPr>
          <w:spacing w:val="-101"/>
        </w:rPr>
      </w:r>
      <w:r>
        <w:rPr>
          <w:spacing w:val="-1"/>
        </w:rPr>
        <w:t>本公司原持有的对被投资单位不具有控制、共同控制或重大影响的按金融工具确认和计量准则进行会</w:t>
      </w:r>
    </w:p>
    <w:p>
      <w:pPr>
        <w:pStyle w:val="BodyText"/>
        <w:spacing w:line="348" w:lineRule="auto" w:before="34"/>
        <w:ind w:right="1122"/>
        <w:jc w:val="both"/>
      </w:pPr>
      <w:r>
        <w:rPr>
          <w:spacing w:val="-2"/>
        </w:rPr>
        <w:t>计处理的权益性投资，或原持有对联营企业、合营企业的长期股权投资，因追加投资等原因能够对非同一</w:t>
      </w:r>
      <w:r>
        <w:rPr>
          <w:spacing w:val="-30"/>
        </w:rPr>
        <w:t> </w:t>
      </w:r>
      <w:r>
        <w:rPr>
          <w:spacing w:val="-30"/>
        </w:rPr>
      </w:r>
      <w:r>
        <w:rPr>
          <w:spacing w:val="-2"/>
        </w:rPr>
        <w:t>控制下的被投资单位实施控制的，在编制个别财务报表时，按照原持有的股权投资账面价值加上新增投资</w:t>
      </w:r>
    </w:p>
    <w:p>
      <w:pPr>
        <w:spacing w:after="0" w:line="348"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left="473" w:right="1002" w:hanging="360"/>
        <w:jc w:val="left"/>
      </w:pPr>
      <w:r>
        <w:rPr/>
        <w:t>成本之和，作为改按成本法核算的初始投资成本。</w:t>
      </w:r>
      <w:r>
        <w:rPr>
          <w:w w:val="100"/>
        </w:rPr>
        <w:t> </w:t>
      </w:r>
      <w:r>
        <w:rPr>
          <w:spacing w:val="-1"/>
        </w:rPr>
        <w:t>购买日之前持有的股权投资因采用权益法核算而确认的其他综合收益，在处置该项投资时采用与被投</w:t>
      </w:r>
    </w:p>
    <w:p>
      <w:pPr>
        <w:pStyle w:val="BodyText"/>
        <w:spacing w:line="348" w:lineRule="auto" w:before="34"/>
        <w:ind w:left="473" w:right="1002" w:hanging="360"/>
        <w:jc w:val="left"/>
      </w:pPr>
      <w:r>
        <w:rPr/>
        <w:t>资单位直接处置相关资产或负债相同的基础进行会计处理。</w:t>
      </w:r>
      <w:r>
        <w:rPr>
          <w:w w:val="100"/>
        </w:rPr>
        <w:t> </w:t>
      </w:r>
      <w:r>
        <w:rPr>
          <w:spacing w:val="-1"/>
        </w:rPr>
        <w:t>购买日之前持有的股权投资按照《企业会计准则第</w:t>
      </w:r>
      <w:r>
        <w:rPr>
          <w:rFonts w:ascii="宋体" w:hAnsi="宋体" w:cs="宋体" w:eastAsia="宋体" w:hint="default"/>
          <w:spacing w:val="-1"/>
        </w:rPr>
        <w:t>22</w:t>
      </w:r>
      <w:r>
        <w:rPr>
          <w:spacing w:val="-1"/>
        </w:rPr>
        <w:t>号——金融工具确认和计量》的有关规定进行会</w:t>
      </w:r>
    </w:p>
    <w:p>
      <w:pPr>
        <w:pStyle w:val="BodyText"/>
        <w:spacing w:line="240" w:lineRule="auto" w:before="29"/>
        <w:ind w:right="1002"/>
        <w:jc w:val="left"/>
      </w:pPr>
      <w:r>
        <w:rPr/>
        <w:t>计处理的，原计入其他综合收益的累计公允价值变动在改按成本法核算时转入当期损益。</w:t>
      </w:r>
    </w:p>
    <w:p>
      <w:pPr>
        <w:pStyle w:val="BodyText"/>
        <w:spacing w:line="348" w:lineRule="auto" w:before="128"/>
        <w:ind w:left="473" w:right="1002"/>
        <w:jc w:val="left"/>
      </w:pPr>
      <w:r>
        <w:rPr/>
        <w:t>（</w:t>
      </w:r>
      <w:r>
        <w:rPr>
          <w:rFonts w:ascii="宋体" w:hAnsi="宋体" w:cs="宋体" w:eastAsia="宋体" w:hint="default"/>
        </w:rPr>
        <w:t>3</w:t>
      </w:r>
      <w:r>
        <w:rPr/>
        <w:t>）权益法核算转公允价值计量</w:t>
      </w:r>
      <w:r>
        <w:rPr>
          <w:spacing w:val="-103"/>
        </w:rPr>
        <w:t> </w:t>
      </w:r>
      <w:r>
        <w:rPr>
          <w:spacing w:val="-103"/>
        </w:rPr>
      </w:r>
      <w:r>
        <w:rPr>
          <w:spacing w:val="-1"/>
        </w:rPr>
        <w:t>本公司因处置部分股权投资等原因丧失了对被投资单位的共同控制或重大影响的，处置后的剩余股权</w:t>
      </w:r>
    </w:p>
    <w:p>
      <w:pPr>
        <w:pStyle w:val="BodyText"/>
        <w:spacing w:line="352" w:lineRule="auto" w:before="29"/>
        <w:ind w:right="1002"/>
        <w:jc w:val="left"/>
      </w:pPr>
      <w:r>
        <w:rPr>
          <w:spacing w:val="-2"/>
        </w:rPr>
        <w:t>改按《企业会计准则第</w:t>
      </w:r>
      <w:r>
        <w:rPr>
          <w:rFonts w:ascii="宋体" w:hAnsi="宋体" w:cs="宋体" w:eastAsia="宋体" w:hint="default"/>
          <w:spacing w:val="-2"/>
        </w:rPr>
        <w:t>22</w:t>
      </w:r>
      <w:r>
        <w:rPr>
          <w:spacing w:val="-2"/>
        </w:rPr>
        <w:t>号——金融工具确认和计量》核算，其在丧失共同控制或重大影响之日的公允价</w:t>
      </w:r>
      <w:r>
        <w:rPr>
          <w:spacing w:val="-31"/>
        </w:rPr>
        <w:t> </w:t>
      </w:r>
      <w:r>
        <w:rPr>
          <w:spacing w:val="-31"/>
        </w:rPr>
      </w:r>
      <w:r>
        <w:rPr/>
        <w:t>值与账面价值之间的差额计入当期损益。</w:t>
      </w:r>
    </w:p>
    <w:p>
      <w:pPr>
        <w:pStyle w:val="BodyText"/>
        <w:spacing w:line="348" w:lineRule="auto" w:before="25"/>
        <w:ind w:right="1130" w:firstLine="360"/>
        <w:jc w:val="both"/>
      </w:pPr>
      <w:r>
        <w:rPr>
          <w:spacing w:val="-1"/>
        </w:rPr>
        <w:t>原股权投资因采用权益法核算而确认的其他综合收益，在终止采用权益法核算时采用与被投资单位直</w:t>
      </w:r>
      <w:r>
        <w:rPr>
          <w:w w:val="100"/>
        </w:rPr>
        <w:t> </w:t>
      </w:r>
      <w:r>
        <w:rPr/>
        <w:t>接处置相关资产或负债相同的基础进行会计处理。</w:t>
      </w:r>
    </w:p>
    <w:p>
      <w:pPr>
        <w:pStyle w:val="BodyText"/>
        <w:spacing w:line="348" w:lineRule="auto" w:before="34"/>
        <w:ind w:left="473" w:right="1002"/>
        <w:jc w:val="left"/>
      </w:pPr>
      <w:r>
        <w:rPr/>
        <w:t>（</w:t>
      </w:r>
      <w:r>
        <w:rPr>
          <w:rFonts w:ascii="宋体" w:hAnsi="宋体" w:cs="宋体" w:eastAsia="宋体" w:hint="default"/>
        </w:rPr>
        <w:t>4</w:t>
      </w:r>
      <w:r>
        <w:rPr/>
        <w:t>）成本法转权益法</w:t>
      </w:r>
      <w:r>
        <w:rPr>
          <w:spacing w:val="-99"/>
        </w:rPr>
        <w:t> </w:t>
      </w:r>
      <w:r>
        <w:rPr>
          <w:spacing w:val="-99"/>
        </w:rPr>
      </w:r>
      <w:r>
        <w:rPr>
          <w:spacing w:val="-1"/>
        </w:rPr>
        <w:t>本公司因处置部分权益性投资等原因丧失了对被投资单位的控制的，在编制个别财务报表时，处置后</w:t>
      </w:r>
    </w:p>
    <w:p>
      <w:pPr>
        <w:pStyle w:val="BodyText"/>
        <w:spacing w:line="352" w:lineRule="auto" w:before="29"/>
        <w:ind w:right="1002"/>
        <w:jc w:val="left"/>
      </w:pPr>
      <w:r>
        <w:rPr>
          <w:spacing w:val="-2"/>
        </w:rPr>
        <w:t>的剩余股权能够对被投资单位实施共同控制或施加重大影响的，改按权益法核算，并对该剩余股权视同自</w:t>
      </w:r>
      <w:r>
        <w:rPr>
          <w:spacing w:val="-30"/>
        </w:rPr>
        <w:t> </w:t>
      </w:r>
      <w:r>
        <w:rPr>
          <w:spacing w:val="-30"/>
        </w:rPr>
      </w:r>
      <w:r>
        <w:rPr/>
        <w:t>取得时即采用权益法核算进行调整。</w:t>
      </w:r>
    </w:p>
    <w:p>
      <w:pPr>
        <w:pStyle w:val="BodyText"/>
        <w:spacing w:line="348" w:lineRule="auto" w:before="25"/>
        <w:ind w:left="473" w:right="1002"/>
        <w:jc w:val="left"/>
      </w:pPr>
      <w:r>
        <w:rPr/>
        <w:t>（</w:t>
      </w:r>
      <w:r>
        <w:rPr>
          <w:rFonts w:ascii="宋体" w:hAnsi="宋体" w:cs="宋体" w:eastAsia="宋体" w:hint="default"/>
        </w:rPr>
        <w:t>5</w:t>
      </w:r>
      <w:r>
        <w:rPr/>
        <w:t>）成本法转公允价值计量</w:t>
      </w:r>
      <w:r>
        <w:rPr>
          <w:spacing w:val="-100"/>
        </w:rPr>
        <w:t> </w:t>
      </w:r>
      <w:r>
        <w:rPr>
          <w:spacing w:val="-100"/>
        </w:rPr>
      </w:r>
      <w:r>
        <w:rPr>
          <w:spacing w:val="-1"/>
        </w:rPr>
        <w:t>本公司因处置部分权益性投资等原因丧失了对被投资单位的控制的，在编制个别财务报表时，处置后</w:t>
      </w:r>
    </w:p>
    <w:p>
      <w:pPr>
        <w:pStyle w:val="BodyText"/>
        <w:spacing w:line="348" w:lineRule="auto" w:before="34"/>
        <w:ind w:right="1002"/>
        <w:jc w:val="left"/>
      </w:pPr>
      <w:r>
        <w:rPr/>
        <w:t>的剩余股权不能对被投资单位实施共同控制或施加重大影响的，改按《企业会计准则第</w:t>
      </w:r>
      <w:r>
        <w:rPr>
          <w:rFonts w:ascii="宋体" w:hAnsi="宋体" w:cs="宋体" w:eastAsia="宋体" w:hint="default"/>
        </w:rPr>
        <w:t>22</w:t>
      </w:r>
      <w:r>
        <w:rPr/>
        <w:t>号——金融工具</w:t>
      </w:r>
      <w:r>
        <w:rPr>
          <w:w w:val="100"/>
        </w:rPr>
        <w:t> </w:t>
      </w:r>
      <w:r>
        <w:rPr>
          <w:spacing w:val="-4"/>
        </w:rPr>
        <w:t>确认和计量》的有关规定进行会计处理，其在丧失控制之日的公允价值与账面价值间的差额计入当期损益。</w:t>
      </w:r>
    </w:p>
    <w:p>
      <w:pPr>
        <w:spacing w:line="352" w:lineRule="auto" w:before="29"/>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spacing w:val="-103"/>
          <w:sz w:val="21"/>
          <w:szCs w:val="21"/>
        </w:rPr>
        <w:t> </w:t>
      </w:r>
      <w:r>
        <w:rPr>
          <w:rFonts w:ascii="宋体" w:hAnsi="宋体" w:cs="宋体" w:eastAsia="宋体" w:hint="default"/>
          <w:spacing w:val="-1"/>
          <w:sz w:val="21"/>
          <w:szCs w:val="21"/>
        </w:rPr>
        <w:t>处置长期股权投资，其账面价值与实际取得价款之间的差额，应当计入当期损益。采用权益法核算的</w:t>
      </w:r>
    </w:p>
    <w:p>
      <w:pPr>
        <w:pStyle w:val="BodyText"/>
        <w:spacing w:line="348" w:lineRule="auto" w:before="25"/>
        <w:ind w:right="1002"/>
        <w:jc w:val="left"/>
      </w:pPr>
      <w:r>
        <w:rPr>
          <w:spacing w:val="-2"/>
        </w:rPr>
        <w:t>长期股权投资，在处置该项投资时，采用与被投资单位直接处置相关资产或负债相同的基础，按相应比例</w:t>
      </w:r>
      <w:r>
        <w:rPr>
          <w:spacing w:val="-32"/>
        </w:rPr>
        <w:t> </w:t>
      </w:r>
      <w:r>
        <w:rPr>
          <w:spacing w:val="-32"/>
        </w:rPr>
      </w:r>
      <w:r>
        <w:rPr/>
        <w:t>对原计入其他综合收益的部分进行会计处理。</w:t>
      </w:r>
    </w:p>
    <w:p>
      <w:pPr>
        <w:pStyle w:val="BodyText"/>
        <w:spacing w:line="348" w:lineRule="auto" w:before="34"/>
        <w:ind w:right="1130" w:firstLine="360"/>
        <w:jc w:val="both"/>
      </w:pPr>
      <w:r>
        <w:rPr>
          <w:spacing w:val="-1"/>
        </w:rPr>
        <w:t>处置对子公司股权投资的各项交易的条款、条件以及经济影响符合以下一种或多种情况，将多次交易</w:t>
      </w:r>
      <w:r>
        <w:rPr>
          <w:w w:val="100"/>
        </w:rPr>
        <w:t> </w:t>
      </w:r>
      <w:r>
        <w:rPr/>
        <w:t>事项作为一揽子交易进行会计处理：</w:t>
      </w:r>
    </w:p>
    <w:p>
      <w:pPr>
        <w:pStyle w:val="BodyText"/>
        <w:spacing w:line="240" w:lineRule="auto" w:before="29"/>
        <w:ind w:left="473" w:right="1002"/>
        <w:jc w:val="left"/>
      </w:pPr>
      <w:r>
        <w:rPr/>
        <w:t>（</w:t>
      </w:r>
      <w:r>
        <w:rPr>
          <w:rFonts w:ascii="宋体" w:hAnsi="宋体" w:cs="宋体" w:eastAsia="宋体" w:hint="default"/>
        </w:rPr>
        <w:t>1</w:t>
      </w:r>
      <w:r>
        <w:rPr/>
        <w:t>）这些交易是同时或者在考虑了彼此影响的情况下订立的；</w:t>
      </w:r>
    </w:p>
    <w:p>
      <w:pPr>
        <w:pStyle w:val="BodyText"/>
        <w:spacing w:line="240" w:lineRule="auto" w:before="128"/>
        <w:ind w:left="473" w:right="1002"/>
        <w:jc w:val="left"/>
      </w:pPr>
      <w:r>
        <w:rPr/>
        <w:t>（</w:t>
      </w:r>
      <w:r>
        <w:rPr>
          <w:rFonts w:ascii="宋体" w:hAnsi="宋体" w:cs="宋体" w:eastAsia="宋体" w:hint="default"/>
        </w:rPr>
        <w:t>2</w:t>
      </w:r>
      <w:r>
        <w:rPr/>
        <w:t>）这些交易整体才能达成一项完整的商业结果；</w:t>
      </w:r>
    </w:p>
    <w:p>
      <w:pPr>
        <w:pStyle w:val="BodyText"/>
        <w:spacing w:line="240" w:lineRule="auto" w:before="123"/>
        <w:ind w:left="473" w:right="1002"/>
        <w:jc w:val="left"/>
      </w:pPr>
      <w:r>
        <w:rPr/>
        <w:t>（</w:t>
      </w:r>
      <w:r>
        <w:rPr>
          <w:rFonts w:ascii="宋体" w:hAnsi="宋体" w:cs="宋体" w:eastAsia="宋体" w:hint="default"/>
        </w:rPr>
        <w:t>3</w:t>
      </w:r>
      <w:r>
        <w:rPr/>
        <w:t>）一项交易的发生取决于其他至少一项交易的发生；</w:t>
      </w:r>
    </w:p>
    <w:p>
      <w:pPr>
        <w:pStyle w:val="BodyText"/>
        <w:spacing w:line="352" w:lineRule="auto" w:before="124"/>
        <w:ind w:left="473" w:right="1002"/>
        <w:jc w:val="left"/>
      </w:pPr>
      <w:r>
        <w:rPr/>
        <w:t>（</w:t>
      </w:r>
      <w:r>
        <w:rPr>
          <w:rFonts w:ascii="宋体" w:hAnsi="宋体" w:cs="宋体" w:eastAsia="宋体" w:hint="default"/>
        </w:rPr>
        <w:t>4</w:t>
      </w:r>
      <w:r>
        <w:rPr/>
        <w:t>）一项交易单独看是不经济的，但是和其他交易一并考虑时是经济的。</w:t>
      </w:r>
      <w:r>
        <w:rPr>
          <w:w w:val="100"/>
        </w:rPr>
        <w:t> </w:t>
      </w:r>
      <w:r>
        <w:rPr>
          <w:spacing w:val="-1"/>
        </w:rPr>
        <w:t>因处置部分股权投资或其他原因丧失了对原有子公司控制权的，不属于一揽子交易的，区分个别财务</w:t>
      </w:r>
    </w:p>
    <w:p>
      <w:pPr>
        <w:pStyle w:val="BodyText"/>
        <w:spacing w:line="240" w:lineRule="auto" w:before="25"/>
        <w:ind w:right="1002"/>
        <w:jc w:val="left"/>
      </w:pPr>
      <w:r>
        <w:rPr/>
        <w:t>报表和合并财务报表进行相关会计处理：</w:t>
      </w:r>
    </w:p>
    <w:p>
      <w:pPr>
        <w:pStyle w:val="BodyText"/>
        <w:spacing w:line="350" w:lineRule="auto" w:before="123"/>
        <w:ind w:right="1125" w:firstLine="360"/>
        <w:jc w:val="both"/>
      </w:pPr>
      <w:r>
        <w:rPr>
          <w:spacing w:val="-3"/>
        </w:rPr>
        <w:t>（</w:t>
      </w:r>
      <w:r>
        <w:rPr>
          <w:rFonts w:ascii="宋体" w:hAnsi="宋体" w:cs="宋体" w:eastAsia="宋体" w:hint="default"/>
          <w:spacing w:val="-3"/>
        </w:rPr>
        <w:t>1</w:t>
      </w:r>
      <w:r>
        <w:rPr>
          <w:spacing w:val="-3"/>
        </w:rPr>
        <w:t>）在个别财务报表中，对于处置的股权，其账面价值与实际取得价款之间的差额计入当期损益。处</w:t>
      </w:r>
      <w:r>
        <w:rPr>
          <w:w w:val="100"/>
        </w:rPr>
        <w:t> </w:t>
      </w:r>
      <w:r>
        <w:rPr>
          <w:spacing w:val="-2"/>
        </w:rPr>
        <w:t>置后的剩余股权能够对被投资单位实施共同控制或施加重大影响的，改按权益法核算，并对该剩余股权视</w:t>
      </w:r>
      <w:r>
        <w:rPr>
          <w:spacing w:val="-33"/>
        </w:rPr>
        <w:t> </w:t>
      </w:r>
      <w:r>
        <w:rPr>
          <w:spacing w:val="-33"/>
        </w:rPr>
      </w:r>
      <w:r>
        <w:rPr>
          <w:spacing w:val="-2"/>
        </w:rPr>
        <w:t>同自取得时即采用权益法核算进行调整；处置后的剩余股权不能对被投资单位实施共同控制或施加重大影</w:t>
      </w:r>
    </w:p>
    <w:p>
      <w:pPr>
        <w:spacing w:after="0" w:line="35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right="1002"/>
        <w:jc w:val="left"/>
      </w:pPr>
      <w:r>
        <w:rPr>
          <w:spacing w:val="-2"/>
        </w:rPr>
        <w:t>响的，改按《企业会计准则第</w:t>
      </w:r>
      <w:r>
        <w:rPr>
          <w:rFonts w:ascii="宋体" w:hAnsi="宋体" w:cs="宋体" w:eastAsia="宋体" w:hint="default"/>
          <w:spacing w:val="-2"/>
        </w:rPr>
        <w:t>22</w:t>
      </w:r>
      <w:r>
        <w:rPr>
          <w:spacing w:val="-2"/>
        </w:rPr>
        <w:t>号——金融工具确认和计量》的有关规定进行会计处理，其在丧失控制之</w:t>
      </w:r>
      <w:r>
        <w:rPr>
          <w:spacing w:val="-30"/>
        </w:rPr>
        <w:t> </w:t>
      </w:r>
      <w:r>
        <w:rPr>
          <w:spacing w:val="-30"/>
        </w:rPr>
      </w:r>
      <w:r>
        <w:rPr/>
        <w:t>日的公允价值与账面价值间的差额计入当期损益。</w:t>
      </w:r>
    </w:p>
    <w:p>
      <w:pPr>
        <w:pStyle w:val="BodyText"/>
        <w:spacing w:line="348" w:lineRule="auto" w:before="34"/>
        <w:ind w:right="1012" w:firstLine="360"/>
        <w:jc w:val="left"/>
      </w:pPr>
      <w:r>
        <w:rPr>
          <w:spacing w:val="-3"/>
        </w:rPr>
        <w:t>（</w:t>
      </w:r>
      <w:r>
        <w:rPr>
          <w:rFonts w:ascii="宋体" w:hAnsi="宋体" w:cs="宋体" w:eastAsia="宋体" w:hint="default"/>
          <w:spacing w:val="-3"/>
        </w:rPr>
        <w:t>2</w:t>
      </w:r>
      <w:r>
        <w:rPr>
          <w:spacing w:val="-3"/>
        </w:rPr>
        <w:t>）在合并财务报表中，对于在丧失对子公司控制权以前的各项交易，处置价款与处置长期股权投资</w:t>
      </w:r>
      <w:r>
        <w:rPr>
          <w:w w:val="100"/>
        </w:rPr>
        <w:t> </w:t>
      </w:r>
      <w:r>
        <w:rPr>
          <w:spacing w:val="-4"/>
          <w:w w:val="100"/>
        </w:rPr>
        <w:t>相应对享有子公司自购买日或合并日开始持续计算的净资产份额之间的差额，调整资本公积（股本溢价），</w:t>
      </w:r>
      <w:r>
        <w:rPr>
          <w:spacing w:val="-99"/>
          <w:w w:val="100"/>
        </w:rPr>
        <w:t> </w:t>
      </w:r>
      <w:r>
        <w:rPr>
          <w:spacing w:val="-99"/>
          <w:w w:val="100"/>
        </w:rPr>
      </w:r>
      <w:r>
        <w:rPr/>
        <w:t>资本公积不足冲减的，调整留存收益；在丧失对子公司控制权时，对于剩余股权，按照其在丧失控制权日</w:t>
      </w:r>
      <w:r>
        <w:rPr>
          <w:w w:val="100"/>
        </w:rPr>
        <w:t> </w:t>
      </w:r>
      <w:r>
        <w:rPr/>
        <w:t>的公允价值进行重新计量。处置股权取得的对价与剩余股权公允价值之和，减去按原持股比例计算应享有</w:t>
      </w:r>
      <w:r>
        <w:rPr>
          <w:w w:val="100"/>
        </w:rPr>
        <w:t> </w:t>
      </w:r>
      <w:r>
        <w:rPr/>
        <w:t>原有子公司自购买日开始持续计算的净资产的份额之间的差额，计入丧失控制权当期的投资收益，同时冲</w:t>
      </w:r>
      <w:r>
        <w:rPr>
          <w:w w:val="100"/>
        </w:rPr>
        <w:t> </w:t>
      </w:r>
      <w:r>
        <w:rPr/>
        <w:t>减商誉。与原有子公司股权投资相关的其他综合收益等，在丧失控制权时转为当期投资收益。</w:t>
      </w:r>
    </w:p>
    <w:p>
      <w:pPr>
        <w:pStyle w:val="BodyText"/>
        <w:spacing w:line="348" w:lineRule="auto" w:before="34"/>
        <w:ind w:right="1002" w:firstLine="360"/>
        <w:jc w:val="left"/>
      </w:pPr>
      <w:r>
        <w:rPr>
          <w:spacing w:val="-1"/>
        </w:rPr>
        <w:t>处置对子公司股权投资直至丧失控制权的各项交易属于一揽子交易的，将各项交易作为一项处置子公</w:t>
      </w:r>
      <w:r>
        <w:rPr>
          <w:w w:val="100"/>
        </w:rPr>
        <w:t> </w:t>
      </w:r>
      <w:r>
        <w:rPr/>
        <w:t>司股权投资并丧失控制权的交易进行会计处理，区分个别财务报表和合并财务报表进行相关会计处理：</w:t>
      </w:r>
    </w:p>
    <w:p>
      <w:pPr>
        <w:pStyle w:val="BodyText"/>
        <w:spacing w:line="352" w:lineRule="auto" w:before="29"/>
        <w:ind w:right="1126" w:firstLine="360"/>
        <w:jc w:val="both"/>
      </w:pPr>
      <w:r>
        <w:rPr>
          <w:spacing w:val="-3"/>
        </w:rPr>
        <w:t>（</w:t>
      </w:r>
      <w:r>
        <w:rPr>
          <w:rFonts w:ascii="宋体" w:hAnsi="宋体" w:cs="宋体" w:eastAsia="宋体" w:hint="default"/>
          <w:spacing w:val="-3"/>
        </w:rPr>
        <w:t>1</w:t>
      </w:r>
      <w:r>
        <w:rPr>
          <w:spacing w:val="-3"/>
        </w:rPr>
        <w:t>）在个别财务报表中，在丧失控制权之前每一次处置价款与处置的股权对应的长期股权投资账面价</w:t>
      </w:r>
      <w:r>
        <w:rPr>
          <w:w w:val="100"/>
        </w:rPr>
        <w:t> </w:t>
      </w:r>
      <w:r>
        <w:rPr/>
        <w:t>值之间的差额，确认为其他综合收益，在丧失控制权时一并转入丧失控制权当期的损益。</w:t>
      </w:r>
    </w:p>
    <w:p>
      <w:pPr>
        <w:pStyle w:val="BodyText"/>
        <w:spacing w:line="348" w:lineRule="auto" w:before="25"/>
        <w:ind w:right="1126" w:firstLine="360"/>
        <w:jc w:val="both"/>
      </w:pPr>
      <w:r>
        <w:rPr>
          <w:spacing w:val="-3"/>
        </w:rPr>
        <w:t>（</w:t>
      </w:r>
      <w:r>
        <w:rPr>
          <w:rFonts w:ascii="宋体" w:hAnsi="宋体" w:cs="宋体" w:eastAsia="宋体" w:hint="default"/>
          <w:spacing w:val="-3"/>
        </w:rPr>
        <w:t>2</w:t>
      </w:r>
      <w:r>
        <w:rPr>
          <w:spacing w:val="-3"/>
        </w:rPr>
        <w:t>）在合并财务报表中，在丧失控制权之前每一次处置价款与处置投资对应的享有该子公司净资产份</w:t>
      </w:r>
      <w:r>
        <w:rPr>
          <w:w w:val="100"/>
        </w:rPr>
        <w:t> </w:t>
      </w:r>
      <w:r>
        <w:rPr/>
        <w:t>额的差额，确认为其他综合收益，在丧失控制权时一并转入丧失控制权当期的损益。</w:t>
      </w:r>
    </w:p>
    <w:p>
      <w:pPr>
        <w:spacing w:line="348" w:lineRule="auto" w:before="34"/>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spacing w:val="-101"/>
          <w:sz w:val="21"/>
          <w:szCs w:val="21"/>
        </w:rPr>
        <w:t> </w:t>
      </w:r>
      <w:r>
        <w:rPr>
          <w:rFonts w:ascii="宋体" w:hAnsi="宋体" w:cs="宋体" w:eastAsia="宋体" w:hint="default"/>
          <w:spacing w:val="-1"/>
          <w:sz w:val="21"/>
          <w:szCs w:val="21"/>
        </w:rPr>
        <w:t>如果本公司按照相关约定与其他参与方集体控制某项安排，并且对该安排回报具有重大影响的活动决</w:t>
      </w:r>
    </w:p>
    <w:p>
      <w:pPr>
        <w:pStyle w:val="BodyText"/>
        <w:spacing w:line="352" w:lineRule="auto" w:before="29"/>
        <w:ind w:right="1002"/>
        <w:jc w:val="left"/>
      </w:pPr>
      <w:r>
        <w:rPr>
          <w:spacing w:val="-2"/>
        </w:rPr>
        <w:t>策，需要经过分享控制权的参与方一致同意时才存在，则视为本公司与其他参与方共同控制某项安排，该</w:t>
      </w:r>
      <w:r>
        <w:rPr>
          <w:spacing w:val="-33"/>
        </w:rPr>
        <w:t> </w:t>
      </w:r>
      <w:r>
        <w:rPr>
          <w:spacing w:val="-33"/>
        </w:rPr>
      </w:r>
      <w:r>
        <w:rPr/>
        <w:t>安排即属于合营安排。</w:t>
      </w:r>
    </w:p>
    <w:p>
      <w:pPr>
        <w:pStyle w:val="BodyText"/>
        <w:spacing w:line="350" w:lineRule="auto" w:before="25"/>
        <w:ind w:right="1125" w:firstLine="360"/>
        <w:jc w:val="both"/>
      </w:pPr>
      <w:r>
        <w:rPr>
          <w:spacing w:val="-1"/>
        </w:rPr>
        <w:t>合营安排通过单独主体达成的，根据相关约定判断本公司对该单独主体的净资产享有权利时，将该单</w:t>
      </w:r>
      <w:r>
        <w:rPr>
          <w:w w:val="100"/>
        </w:rPr>
        <w:t> </w:t>
      </w:r>
      <w:r>
        <w:rPr>
          <w:spacing w:val="-2"/>
        </w:rPr>
        <w:t>独主体作为合营企业，采用权益法核算。若根据相关约定判断本公司并非对该单独主体的净资产享有权利</w:t>
      </w:r>
      <w:r>
        <w:rPr>
          <w:spacing w:val="-33"/>
        </w:rPr>
        <w:t> </w:t>
      </w:r>
      <w:r>
        <w:rPr>
          <w:spacing w:val="-33"/>
        </w:rPr>
      </w:r>
      <w:r>
        <w:rPr>
          <w:spacing w:val="-2"/>
        </w:rPr>
        <w:t>时，该单独主体作为共同经营，本公司确认与共同经营利益份额相关的项目，并按照相关企业会计准则的</w:t>
      </w:r>
      <w:r>
        <w:rPr>
          <w:spacing w:val="-33"/>
        </w:rPr>
        <w:t> </w:t>
      </w:r>
      <w:r>
        <w:rPr>
          <w:spacing w:val="-33"/>
        </w:rPr>
      </w:r>
      <w:r>
        <w:rPr/>
        <w:t>规定进行会计处理。</w:t>
      </w:r>
    </w:p>
    <w:p>
      <w:pPr>
        <w:pStyle w:val="BodyText"/>
        <w:spacing w:line="350" w:lineRule="auto" w:before="27"/>
        <w:ind w:right="1027" w:firstLine="360"/>
        <w:jc w:val="both"/>
      </w:pPr>
      <w:r>
        <w:rPr/>
        <w:t>重大影响，是指投资方对被投资单位的财务和经营政策有参与决策的权力，但并不能够控制或者与其</w:t>
      </w:r>
      <w:r>
        <w:rPr>
          <w:w w:val="100"/>
        </w:rPr>
        <w:t> </w:t>
      </w:r>
      <w:r>
        <w:rPr>
          <w:spacing w:val="-2"/>
        </w:rPr>
        <w:t>他方一起共同控制这些政策的制定。本公司通过以下一种或多种情形，并综合考虑所有事实和情况后，判</w:t>
      </w:r>
      <w:r>
        <w:rPr>
          <w:spacing w:val="-33"/>
        </w:rPr>
        <w:t> </w:t>
      </w:r>
      <w:r>
        <w:rPr>
          <w:spacing w:val="-33"/>
        </w:rPr>
      </w:r>
      <w:r>
        <w:rPr>
          <w:spacing w:val="-6"/>
          <w:w w:val="100"/>
        </w:rPr>
        <w:t>断对被投资单位具有重大影响：（</w:t>
      </w:r>
      <w:r>
        <w:rPr>
          <w:rFonts w:ascii="宋体" w:hAnsi="宋体" w:cs="宋体" w:eastAsia="宋体" w:hint="default"/>
          <w:spacing w:val="-6"/>
          <w:w w:val="100"/>
        </w:rPr>
        <w:t>1</w:t>
      </w:r>
      <w:r>
        <w:rPr>
          <w:spacing w:val="-6"/>
          <w:w w:val="100"/>
        </w:rPr>
        <w:t>）在被投资单位的董事会或类似权力机构中派有代表；（</w:t>
      </w:r>
      <w:r>
        <w:rPr>
          <w:rFonts w:ascii="宋体" w:hAnsi="宋体" w:cs="宋体" w:eastAsia="宋体" w:hint="default"/>
          <w:spacing w:val="-6"/>
          <w:w w:val="100"/>
        </w:rPr>
        <w:t>2</w:t>
      </w:r>
      <w:r>
        <w:rPr>
          <w:spacing w:val="-6"/>
          <w:w w:val="100"/>
        </w:rPr>
        <w:t>）参与被投资</w:t>
      </w:r>
      <w:r>
        <w:rPr>
          <w:spacing w:val="-103"/>
          <w:w w:val="100"/>
        </w:rPr>
        <w:t> </w:t>
      </w:r>
      <w:r>
        <w:rPr>
          <w:spacing w:val="-103"/>
          <w:w w:val="100"/>
        </w:rPr>
      </w:r>
      <w:r>
        <w:rPr>
          <w:spacing w:val="-4"/>
          <w:w w:val="100"/>
        </w:rPr>
        <w:t>单位财务和经营政策制定过程；（</w:t>
      </w:r>
      <w:r>
        <w:rPr>
          <w:rFonts w:ascii="宋体" w:hAnsi="宋体" w:cs="宋体" w:eastAsia="宋体" w:hint="default"/>
          <w:spacing w:val="-4"/>
          <w:w w:val="100"/>
        </w:rPr>
        <w:t>3</w:t>
      </w:r>
      <w:r>
        <w:rPr>
          <w:spacing w:val="-4"/>
          <w:w w:val="100"/>
        </w:rPr>
        <w:t>）与被投资单位之间发生重要交易；（</w:t>
      </w:r>
      <w:r>
        <w:rPr>
          <w:rFonts w:ascii="宋体" w:hAnsi="宋体" w:cs="宋体" w:eastAsia="宋体" w:hint="default"/>
          <w:spacing w:val="-4"/>
          <w:w w:val="100"/>
        </w:rPr>
        <w:t>4</w:t>
      </w:r>
      <w:r>
        <w:rPr>
          <w:spacing w:val="-4"/>
          <w:w w:val="100"/>
        </w:rPr>
        <w:t>）向被投资单位派出管理人员；</w:t>
      </w:r>
    </w:p>
    <w:p>
      <w:pPr>
        <w:pStyle w:val="BodyText"/>
        <w:spacing w:line="240" w:lineRule="auto" w:before="31"/>
        <w:ind w:right="1002"/>
        <w:jc w:val="left"/>
      </w:pPr>
      <w:r>
        <w:rPr/>
        <w:t>（</w:t>
      </w:r>
      <w:r>
        <w:rPr>
          <w:rFonts w:ascii="宋体" w:hAnsi="宋体" w:cs="宋体" w:eastAsia="宋体" w:hint="default"/>
        </w:rPr>
        <w:t>5</w:t>
      </w:r>
      <w:r>
        <w:rPr/>
        <w:t>）向被投资单位提供关键技术资料。</w:t>
      </w:r>
    </w:p>
    <w:p>
      <w:pPr>
        <w:spacing w:line="240" w:lineRule="auto" w:before="0"/>
        <w:rPr>
          <w:rFonts w:ascii="宋体" w:hAnsi="宋体" w:cs="宋体" w:eastAsia="宋体" w:hint="default"/>
          <w:sz w:val="20"/>
          <w:szCs w:val="20"/>
        </w:rPr>
      </w:pPr>
    </w:p>
    <w:p>
      <w:pPr>
        <w:pStyle w:val="Heading5"/>
        <w:spacing w:line="240" w:lineRule="auto" w:before="160"/>
        <w:ind w:right="1002"/>
        <w:jc w:val="left"/>
        <w:rPr>
          <w:b w:val="0"/>
          <w:bCs w:val="0"/>
        </w:rPr>
      </w:pPr>
      <w:bookmarkStart w:name="23、投资性房地产" w:id="198"/>
      <w:bookmarkEnd w:id="198"/>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31"/>
          <w:szCs w:val="31"/>
        </w:rPr>
      </w:pPr>
    </w:p>
    <w:p>
      <w:pPr>
        <w:pStyle w:val="BodyText"/>
        <w:spacing w:line="386" w:lineRule="auto" w:before="0"/>
        <w:ind w:right="8661"/>
        <w:jc w:val="left"/>
      </w:pPr>
      <w:r>
        <w:rPr>
          <w:spacing w:val="-1"/>
        </w:rPr>
        <w:t>投资性房地产计量模式</w:t>
      </w:r>
      <w:r>
        <w:rPr>
          <w:spacing w:val="-93"/>
        </w:rPr>
        <w:t> </w:t>
      </w:r>
      <w:r>
        <w:rPr>
          <w:spacing w:val="-93"/>
        </w:rPr>
      </w:r>
      <w:r>
        <w:rPr/>
        <w:t>成本法计量</w:t>
      </w:r>
      <w:r>
        <w:rPr>
          <w:spacing w:val="-99"/>
        </w:rPr>
        <w:t> </w:t>
      </w:r>
      <w:r>
        <w:rPr/>
        <w:t>折旧或摊销方法</w:t>
      </w:r>
    </w:p>
    <w:p>
      <w:pPr>
        <w:pStyle w:val="BodyText"/>
        <w:spacing w:line="352" w:lineRule="auto" w:before="34"/>
        <w:ind w:right="1125" w:firstLine="360"/>
        <w:jc w:val="both"/>
      </w:pPr>
      <w:r>
        <w:rPr>
          <w:spacing w:val="-1"/>
        </w:rPr>
        <w:t>投资性房地产是指为赚取租金或资本增值，或两者兼有而持有的房地产，包括已出租的土地使用权、</w:t>
      </w:r>
      <w:r>
        <w:rPr>
          <w:w w:val="100"/>
        </w:rPr>
        <w:t> </w:t>
      </w:r>
      <w:r>
        <w:rPr>
          <w:spacing w:val="-2"/>
        </w:rPr>
        <w:t>持有并准备增值后转让的土地使用权、已出租的建筑物。此外，对于本公司持有以备经营出租的空置建筑</w:t>
      </w:r>
    </w:p>
    <w:p>
      <w:pPr>
        <w:spacing w:after="0" w:line="352"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right="1002"/>
        <w:jc w:val="left"/>
      </w:pPr>
      <w:r>
        <w:rPr>
          <w:spacing w:val="-2"/>
        </w:rPr>
        <w:t>物，若董事会作出书面决议，明确表示将其用于经营出租且持有意图短期内不再发生变化的，也作为投资</w:t>
      </w:r>
      <w:r>
        <w:rPr>
          <w:spacing w:val="-33"/>
        </w:rPr>
        <w:t> </w:t>
      </w:r>
      <w:r>
        <w:rPr>
          <w:spacing w:val="-33"/>
        </w:rPr>
      </w:r>
      <w:r>
        <w:rPr/>
        <w:t>性房地产列报。</w:t>
      </w:r>
    </w:p>
    <w:p>
      <w:pPr>
        <w:pStyle w:val="BodyText"/>
        <w:spacing w:line="348" w:lineRule="auto" w:before="34"/>
        <w:ind w:right="1125" w:firstLine="360"/>
        <w:jc w:val="both"/>
      </w:pPr>
      <w:r>
        <w:rPr>
          <w:spacing w:val="-1"/>
        </w:rPr>
        <w:t>本公司的投资性房地产按其成本作为入账价值，外购投资性房地产的成本包括购买价款、相关税费和</w:t>
      </w:r>
      <w:r>
        <w:rPr>
          <w:w w:val="100"/>
        </w:rPr>
        <w:t> </w:t>
      </w:r>
      <w:r>
        <w:rPr>
          <w:spacing w:val="-2"/>
        </w:rPr>
        <w:t>可直接归属于该资产的其他支出；自行建造投资性房地产的成本，由建造该项资产达到预定可使用状态前</w:t>
      </w:r>
      <w:r>
        <w:rPr>
          <w:spacing w:val="-33"/>
        </w:rPr>
        <w:t> </w:t>
      </w:r>
      <w:r>
        <w:rPr>
          <w:spacing w:val="-33"/>
        </w:rPr>
      </w:r>
      <w:r>
        <w:rPr/>
        <w:t>所发生的必要支出构成。</w:t>
      </w:r>
    </w:p>
    <w:p>
      <w:pPr>
        <w:pStyle w:val="BodyText"/>
        <w:spacing w:line="348" w:lineRule="auto" w:before="34"/>
        <w:ind w:right="1128" w:firstLine="360"/>
        <w:jc w:val="both"/>
      </w:pPr>
      <w:r>
        <w:rPr>
          <w:spacing w:val="-1"/>
        </w:rPr>
        <w:t>本公司对投资性房地产采用成本模式进行后续计量，按其预计使用寿命及净残值率对建筑物和土地使</w:t>
      </w:r>
      <w:r>
        <w:rPr>
          <w:w w:val="100"/>
        </w:rPr>
        <w:t> </w:t>
      </w:r>
      <w:r>
        <w:rPr/>
        <w:t>用权计提折旧或摊销。投资性房地产的预计使用寿命、净残值率及年折旧（摊销）率列示如下：</w:t>
      </w:r>
    </w:p>
    <w:p>
      <w:pPr>
        <w:pStyle w:val="BodyText"/>
        <w:spacing w:line="240" w:lineRule="auto" w:before="58"/>
        <w:ind w:left="0" w:right="2168"/>
        <w:jc w:val="right"/>
      </w:pPr>
      <w:r>
        <w:rPr/>
        <w:pict>
          <v:shape style="position:absolute;margin-left:79.944pt;margin-top:-2.356355pt;width:404pt;height:44.4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2"/>
                    <w:gridCol w:w="1983"/>
                    <w:gridCol w:w="2271"/>
                    <w:gridCol w:w="2151"/>
                  </w:tblGrid>
                  <w:tr>
                    <w:trPr>
                      <w:trHeight w:val="437"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98"/>
                          <w:jc w:val="right"/>
                          <w:rPr>
                            <w:rFonts w:ascii="宋体" w:hAnsi="宋体" w:cs="宋体" w:eastAsia="宋体" w:hint="default"/>
                            <w:sz w:val="21"/>
                            <w:szCs w:val="21"/>
                          </w:rPr>
                        </w:pPr>
                        <w:r>
                          <w:rPr>
                            <w:rFonts w:ascii="宋体" w:hAnsi="宋体" w:cs="宋体" w:eastAsia="宋体" w:hint="default"/>
                            <w:sz w:val="21"/>
                            <w:szCs w:val="21"/>
                          </w:rPr>
                          <w:t>类别</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center"/>
                          <w:rPr>
                            <w:rFonts w:ascii="宋体" w:hAnsi="宋体" w:cs="宋体" w:eastAsia="宋体" w:hint="default"/>
                            <w:sz w:val="21"/>
                            <w:szCs w:val="21"/>
                          </w:rPr>
                        </w:pPr>
                        <w:r>
                          <w:rPr>
                            <w:rFonts w:ascii="宋体" w:hAnsi="宋体" w:cs="宋体" w:eastAsia="宋体" w:hint="default"/>
                            <w:sz w:val="21"/>
                            <w:szCs w:val="21"/>
                          </w:rPr>
                          <w:t>预计使用寿命（年）</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4" w:right="0"/>
                          <w:jc w:val="center"/>
                          <w:rPr>
                            <w:rFonts w:ascii="宋体" w:hAnsi="宋体" w:cs="宋体" w:eastAsia="宋体" w:hint="default"/>
                            <w:sz w:val="21"/>
                            <w:szCs w:val="21"/>
                          </w:rPr>
                        </w:pPr>
                        <w:r>
                          <w:rPr>
                            <w:rFonts w:ascii="宋体" w:hAnsi="宋体" w:cs="宋体" w:eastAsia="宋体" w:hint="default"/>
                            <w:sz w:val="21"/>
                            <w:szCs w:val="21"/>
                          </w:rPr>
                          <w:t>预计净残值率（</w:t>
                        </w:r>
                        <w:r>
                          <w:rPr>
                            <w:rFonts w:ascii="宋体" w:hAnsi="宋体" w:cs="宋体" w:eastAsia="宋体" w:hint="default"/>
                            <w:sz w:val="21"/>
                            <w:szCs w:val="21"/>
                          </w:rPr>
                          <w:t>%</w:t>
                        </w:r>
                        <w:r>
                          <w:rPr>
                            <w:rFonts w:ascii="宋体" w:hAnsi="宋体" w:cs="宋体" w:eastAsia="宋体" w:hint="default"/>
                            <w:sz w:val="21"/>
                            <w:szCs w:val="21"/>
                          </w:rPr>
                          <w:t>）</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23"/>
                          <w:jc w:val="center"/>
                          <w:rPr>
                            <w:rFonts w:ascii="宋体" w:hAnsi="宋体" w:cs="宋体" w:eastAsia="宋体" w:hint="default"/>
                            <w:sz w:val="21"/>
                            <w:szCs w:val="21"/>
                          </w:rPr>
                        </w:pPr>
                        <w:r>
                          <w:rPr>
                            <w:rFonts w:ascii="宋体" w:hAnsi="宋体" w:cs="宋体" w:eastAsia="宋体" w:hint="default"/>
                            <w:sz w:val="21"/>
                            <w:szCs w:val="21"/>
                          </w:rPr>
                          <w:t>年折旧（摊销）率（</w:t>
                        </w:r>
                        <w:r>
                          <w:rPr>
                            <w:rFonts w:ascii="宋体" w:hAnsi="宋体" w:cs="宋体" w:eastAsia="宋体" w:hint="default"/>
                            <w:sz w:val="21"/>
                            <w:szCs w:val="21"/>
                          </w:rPr>
                          <w:t>%</w:t>
                        </w:r>
                      </w:p>
                    </w:tc>
                  </w:tr>
                  <w:tr>
                    <w:trPr>
                      <w:trHeight w:val="437"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70"/>
                          <w:jc w:val="right"/>
                          <w:rPr>
                            <w:rFonts w:ascii="宋体" w:hAnsi="宋体" w:cs="宋体" w:eastAsia="宋体" w:hint="default"/>
                            <w:sz w:val="21"/>
                            <w:szCs w:val="21"/>
                          </w:rPr>
                        </w:pPr>
                        <w:r>
                          <w:rPr>
                            <w:rFonts w:ascii="宋体" w:hAnsi="宋体" w:cs="宋体" w:eastAsia="宋体" w:hint="default"/>
                            <w:sz w:val="21"/>
                            <w:szCs w:val="21"/>
                          </w:rPr>
                          <w:t>房屋建筑物</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sz w:val="21"/>
                          </w:rPr>
                          <w:t>20</w:t>
                        </w:r>
                      </w:p>
                    </w:tc>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 w:right="0"/>
                          <w:jc w:val="center"/>
                          <w:rPr>
                            <w:rFonts w:ascii="宋体" w:hAnsi="宋体" w:cs="宋体" w:eastAsia="宋体" w:hint="default"/>
                            <w:sz w:val="21"/>
                            <w:szCs w:val="21"/>
                          </w:rPr>
                        </w:pPr>
                        <w:r>
                          <w:rPr>
                            <w:rFonts w:ascii="宋体"/>
                            <w:sz w:val="21"/>
                          </w:rPr>
                          <w:t>5%</w:t>
                        </w:r>
                      </w:p>
                    </w:tc>
                    <w:tc>
                      <w:tcPr>
                        <w:tcW w:w="2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 w:right="0"/>
                          <w:jc w:val="center"/>
                          <w:rPr>
                            <w:rFonts w:ascii="宋体" w:hAnsi="宋体" w:cs="宋体" w:eastAsia="宋体" w:hint="default"/>
                            <w:sz w:val="21"/>
                            <w:szCs w:val="21"/>
                          </w:rPr>
                        </w:pPr>
                        <w:r>
                          <w:rPr>
                            <w:rFonts w:ascii="宋体"/>
                            <w:sz w:val="21"/>
                          </w:rPr>
                          <w:t>4.75%</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348" w:lineRule="auto"/>
        <w:ind w:right="1125" w:firstLine="360"/>
        <w:jc w:val="both"/>
      </w:pPr>
      <w:r>
        <w:rPr>
          <w:spacing w:val="-1"/>
        </w:rPr>
        <w:t>投资性房地产的用途改变为自用时，自改变之日起，本公司将该投资性房地产转换为固定资产或无形</w:t>
      </w:r>
      <w:r>
        <w:rPr>
          <w:w w:val="100"/>
        </w:rPr>
        <w:t> </w:t>
      </w:r>
      <w:r>
        <w:rPr>
          <w:spacing w:val="-2"/>
        </w:rPr>
        <w:t>资产。自用房地产的用途改变为赚取租金或资本增值时，自改变之日起，本公司将固定资产或无形资产转</w:t>
      </w:r>
      <w:r>
        <w:rPr>
          <w:spacing w:val="-33"/>
        </w:rPr>
        <w:t> </w:t>
      </w:r>
      <w:r>
        <w:rPr>
          <w:spacing w:val="-33"/>
        </w:rPr>
      </w:r>
      <w:r>
        <w:rPr/>
        <w:t>换为投资性房地产。发生转换时，以转换前的账面价值作为转换后的入账价值。</w:t>
      </w:r>
    </w:p>
    <w:p>
      <w:pPr>
        <w:pStyle w:val="BodyText"/>
        <w:spacing w:line="348" w:lineRule="auto" w:before="34"/>
        <w:ind w:right="1125" w:firstLine="360"/>
        <w:jc w:val="both"/>
      </w:pPr>
      <w:r>
        <w:rPr>
          <w:spacing w:val="-1"/>
        </w:rPr>
        <w:t>当投资性房地产被处置，或者永久退出使用且预计不能从其处置中取得经济利益时，终止确认该项投</w:t>
      </w:r>
      <w:r>
        <w:rPr>
          <w:w w:val="100"/>
        </w:rPr>
        <w:t> </w:t>
      </w:r>
      <w:r>
        <w:rPr>
          <w:spacing w:val="-2"/>
        </w:rPr>
        <w:t>资性房地产。投资性房地产出售、转让、报废或毁损的处置收入扣除其账面价值和相关税费后的金额计入</w:t>
      </w:r>
      <w:r>
        <w:rPr>
          <w:spacing w:val="-33"/>
        </w:rPr>
        <w:t> </w:t>
      </w:r>
      <w:r>
        <w:rPr>
          <w:spacing w:val="-33"/>
        </w:rPr>
      </w:r>
      <w:r>
        <w:rPr/>
        <w:t>当期损益。</w:t>
      </w:r>
    </w:p>
    <w:p>
      <w:pPr>
        <w:spacing w:line="240" w:lineRule="auto" w:before="5"/>
        <w:rPr>
          <w:rFonts w:ascii="宋体" w:hAnsi="宋体" w:cs="宋体" w:eastAsia="宋体" w:hint="default"/>
          <w:sz w:val="25"/>
          <w:szCs w:val="25"/>
        </w:rPr>
      </w:pPr>
    </w:p>
    <w:p>
      <w:pPr>
        <w:pStyle w:val="Heading5"/>
        <w:spacing w:line="240" w:lineRule="auto"/>
        <w:ind w:right="1002"/>
        <w:jc w:val="left"/>
        <w:rPr>
          <w:b w:val="0"/>
          <w:bCs w:val="0"/>
        </w:rPr>
      </w:pPr>
      <w:bookmarkStart w:name="24、固定资产" w:id="199"/>
      <w:bookmarkEnd w:id="199"/>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3"/>
        <w:rPr>
          <w:rFonts w:ascii="宋体" w:hAnsi="宋体" w:cs="宋体" w:eastAsia="宋体" w:hint="default"/>
          <w:b/>
          <w:bCs/>
          <w:sz w:val="30"/>
          <w:szCs w:val="30"/>
        </w:rPr>
      </w:pPr>
    </w:p>
    <w:p>
      <w:pPr>
        <w:pStyle w:val="Heading5"/>
        <w:spacing w:line="240" w:lineRule="auto"/>
        <w:ind w:right="1002"/>
        <w:jc w:val="left"/>
        <w:rPr>
          <w:b w:val="0"/>
          <w:bCs w:val="0"/>
        </w:rPr>
      </w:pPr>
      <w:bookmarkStart w:name="（1）确认条件" w:id="200"/>
      <w:bookmarkEnd w:id="20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10"/>
        <w:rPr>
          <w:rFonts w:ascii="宋体" w:hAnsi="宋体" w:cs="宋体" w:eastAsia="宋体" w:hint="default"/>
          <w:b/>
          <w:bCs/>
          <w:sz w:val="31"/>
          <w:szCs w:val="31"/>
        </w:rPr>
      </w:pPr>
    </w:p>
    <w:p>
      <w:pPr>
        <w:pStyle w:val="BodyText"/>
        <w:spacing w:line="364" w:lineRule="auto" w:before="0"/>
        <w:ind w:left="535" w:right="1002"/>
        <w:jc w:val="left"/>
      </w:pPr>
      <w:r>
        <w:rPr>
          <w:rFonts w:ascii="Times New Roman" w:hAnsi="Times New Roman" w:cs="Times New Roman" w:eastAsia="Times New Roman" w:hint="default"/>
        </w:rPr>
        <w:t>1</w:t>
      </w:r>
      <w:r>
        <w:rPr/>
        <w:t>、固定资产确认条件</w:t>
      </w:r>
      <w:r>
        <w:rPr>
          <w:spacing w:val="-99"/>
        </w:rPr>
        <w:t> </w:t>
      </w:r>
      <w:r>
        <w:rPr>
          <w:spacing w:val="-99"/>
        </w:rPr>
      </w:r>
      <w:r>
        <w:rPr>
          <w:spacing w:val="-2"/>
        </w:rPr>
        <w:t>固定资产指为生产商品、提供劳务、出租或经营管理而持有，并且使用寿命超过一个会计年度的有形</w:t>
      </w:r>
    </w:p>
    <w:p>
      <w:pPr>
        <w:pStyle w:val="BodyText"/>
        <w:spacing w:line="240" w:lineRule="auto" w:before="14"/>
        <w:ind w:right="1002"/>
        <w:jc w:val="left"/>
      </w:pPr>
      <w:r>
        <w:rPr/>
        <w:t>资产。固定资产在同时满足下列条件时予以确认：</w:t>
      </w:r>
    </w:p>
    <w:p>
      <w:pPr>
        <w:pStyle w:val="BodyText"/>
        <w:spacing w:line="240" w:lineRule="auto" w:before="166"/>
        <w:ind w:left="535" w:right="1002"/>
        <w:jc w:val="left"/>
      </w:pPr>
      <w:r>
        <w:rPr/>
        <w:t>（</w:t>
      </w:r>
      <w:r>
        <w:rPr>
          <w:rFonts w:ascii="Times New Roman" w:hAnsi="Times New Roman" w:cs="Times New Roman" w:eastAsia="Times New Roman" w:hint="default"/>
        </w:rPr>
        <w:t>1</w:t>
      </w:r>
      <w:r>
        <w:rPr/>
        <w:t>）与该固定资产有关的经济利益很可能流入企业；</w:t>
      </w:r>
    </w:p>
    <w:p>
      <w:pPr>
        <w:pStyle w:val="BodyText"/>
        <w:spacing w:line="240" w:lineRule="auto" w:before="146"/>
        <w:ind w:left="535" w:right="1002"/>
        <w:jc w:val="left"/>
      </w:pPr>
      <w:r>
        <w:rPr/>
        <w:t>（</w:t>
      </w:r>
      <w:r>
        <w:rPr>
          <w:rFonts w:ascii="Times New Roman" w:hAnsi="Times New Roman" w:cs="Times New Roman" w:eastAsia="Times New Roman" w:hint="default"/>
        </w:rPr>
        <w:t>2</w:t>
      </w:r>
      <w:r>
        <w:rPr/>
        <w:t>）该固定资产的成本能够可靠地计量。</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3"/>
          <w:szCs w:val="23"/>
        </w:rPr>
      </w:pPr>
    </w:p>
    <w:p>
      <w:pPr>
        <w:pStyle w:val="BodyText"/>
        <w:spacing w:line="360" w:lineRule="auto" w:before="0"/>
        <w:ind w:left="535" w:right="5730"/>
        <w:jc w:val="left"/>
      </w:pPr>
      <w:r>
        <w:rPr>
          <w:rFonts w:ascii="Times New Roman" w:hAnsi="Times New Roman" w:cs="Times New Roman" w:eastAsia="Times New Roman" w:hint="default"/>
        </w:rPr>
        <w:t>2</w:t>
      </w:r>
      <w:r>
        <w:rPr/>
        <w:t>、固定资产初始计量</w:t>
      </w:r>
      <w:r>
        <w:rPr>
          <w:spacing w:val="-99"/>
        </w:rPr>
        <w:t> </w:t>
      </w:r>
      <w:r>
        <w:rPr>
          <w:spacing w:val="-99"/>
        </w:rPr>
      </w:r>
      <w:r>
        <w:rPr>
          <w:spacing w:val="-1"/>
        </w:rPr>
        <w:t>本公司固定资产按成本进行初始计量。</w:t>
      </w:r>
    </w:p>
    <w:p>
      <w:pPr>
        <w:pStyle w:val="BodyText"/>
        <w:spacing w:line="328" w:lineRule="auto" w:before="62"/>
        <w:ind w:right="1207" w:firstLine="422"/>
        <w:jc w:val="both"/>
      </w:pPr>
      <w:r>
        <w:rPr>
          <w:spacing w:val="-2"/>
        </w:rPr>
        <w:t>（</w:t>
      </w:r>
      <w:r>
        <w:rPr>
          <w:rFonts w:ascii="Times New Roman" w:hAnsi="Times New Roman" w:cs="Times New Roman" w:eastAsia="Times New Roman" w:hint="default"/>
          <w:spacing w:val="-2"/>
        </w:rPr>
        <w:t>1</w:t>
      </w:r>
      <w:r>
        <w:rPr>
          <w:spacing w:val="-2"/>
        </w:rPr>
        <w:t>）外购的固定资产的成本包括买价、进口关税等相关税费，以及为使固定资产达到预定可使用状</w:t>
      </w:r>
      <w:r>
        <w:rPr>
          <w:w w:val="100"/>
        </w:rPr>
        <w:t> </w:t>
      </w:r>
      <w:r>
        <w:rPr/>
        <w:t>态前所发生的可直接归属于该资产的其他支出。</w:t>
      </w:r>
    </w:p>
    <w:p>
      <w:pPr>
        <w:pStyle w:val="BodyText"/>
        <w:spacing w:line="240" w:lineRule="auto" w:before="89"/>
        <w:ind w:left="535" w:right="1002"/>
        <w:jc w:val="left"/>
      </w:pPr>
      <w:r>
        <w:rPr/>
        <w:t>（</w:t>
      </w:r>
      <w:r>
        <w:rPr>
          <w:rFonts w:ascii="Times New Roman" w:hAnsi="Times New Roman" w:cs="Times New Roman" w:eastAsia="Times New Roman" w:hint="default"/>
        </w:rPr>
        <w:t>2</w:t>
      </w:r>
      <w:r>
        <w:rPr/>
        <w:t>）自行建造固定资产的成本，由建造该项资产达到预定可使用状态前所发生的必要支出构成。</w:t>
      </w:r>
    </w:p>
    <w:p>
      <w:pPr>
        <w:pStyle w:val="BodyText"/>
        <w:spacing w:line="328" w:lineRule="auto" w:before="151"/>
        <w:ind w:right="1207" w:firstLine="422"/>
        <w:jc w:val="both"/>
      </w:pPr>
      <w:r>
        <w:rPr>
          <w:spacing w:val="-2"/>
        </w:rPr>
        <w:t>（</w:t>
      </w:r>
      <w:r>
        <w:rPr>
          <w:rFonts w:ascii="Times New Roman" w:hAnsi="Times New Roman" w:cs="Times New Roman" w:eastAsia="Times New Roman" w:hint="default"/>
          <w:spacing w:val="-2"/>
        </w:rPr>
        <w:t>3</w:t>
      </w:r>
      <w:r>
        <w:rPr>
          <w:spacing w:val="-2"/>
        </w:rPr>
        <w:t>）投资者投入的固定资产，按投资合同或协议约定的价值作为入账价值，但合同或协议约定价值</w:t>
      </w:r>
      <w:r>
        <w:rPr>
          <w:w w:val="100"/>
        </w:rPr>
        <w:t> </w:t>
      </w:r>
      <w:r>
        <w:rPr/>
        <w:t>不公允的按公允价值入账。</w:t>
      </w:r>
    </w:p>
    <w:p>
      <w:pPr>
        <w:pStyle w:val="BodyText"/>
        <w:spacing w:line="240" w:lineRule="auto" w:before="89"/>
        <w:ind w:left="535" w:right="1002"/>
        <w:jc w:val="left"/>
      </w:pPr>
      <w:r>
        <w:rPr/>
        <w:t>（</w:t>
      </w:r>
      <w:r>
        <w:rPr>
          <w:rFonts w:ascii="Times New Roman" w:hAnsi="Times New Roman" w:cs="Times New Roman" w:eastAsia="Times New Roman" w:hint="default"/>
        </w:rPr>
        <w:t>4</w:t>
      </w:r>
      <w:r>
        <w:rPr/>
        <w:t>）购买固定资产的价款超过正常信用条件延期支付，实质上具有融资性质的，固定资产的成本以</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right="1002"/>
        <w:jc w:val="left"/>
      </w:pPr>
      <w:r>
        <w:rPr>
          <w:spacing w:val="-2"/>
        </w:rPr>
        <w:t>购买价款的现值为基础确定。实际支付的价款与购买价款的现值之间的差额，除应予资本化的以外，在信</w:t>
      </w:r>
      <w:r>
        <w:rPr>
          <w:spacing w:val="-33"/>
        </w:rPr>
        <w:t> </w:t>
      </w:r>
      <w:r>
        <w:rPr>
          <w:spacing w:val="-33"/>
        </w:rPr>
      </w:r>
      <w:r>
        <w:rPr/>
        <w:t>用期间内计入当期损益。</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0"/>
        <w:ind w:left="535" w:right="1002"/>
        <w:jc w:val="left"/>
      </w:pPr>
      <w:r>
        <w:rPr>
          <w:rFonts w:ascii="Times New Roman" w:hAnsi="Times New Roman" w:cs="Times New Roman" w:eastAsia="Times New Roman" w:hint="default"/>
        </w:rPr>
        <w:t>3</w:t>
      </w:r>
      <w:r>
        <w:rPr/>
        <w:t>、固定资产后续计量及处置</w:t>
      </w:r>
    </w:p>
    <w:p>
      <w:pPr>
        <w:pStyle w:val="BodyText"/>
        <w:spacing w:line="364" w:lineRule="auto" w:before="146"/>
        <w:ind w:left="535" w:right="1002"/>
        <w:jc w:val="left"/>
      </w:pPr>
      <w:r>
        <w:rPr/>
        <w:t>（</w:t>
      </w:r>
      <w:r>
        <w:rPr>
          <w:rFonts w:ascii="Times New Roman" w:hAnsi="Times New Roman" w:cs="Times New Roman" w:eastAsia="Times New Roman" w:hint="default"/>
        </w:rPr>
        <w:t>1</w:t>
      </w:r>
      <w:r>
        <w:rPr/>
        <w:t>）固定资产折旧</w:t>
      </w:r>
      <w:r>
        <w:rPr>
          <w:spacing w:val="-100"/>
        </w:rPr>
        <w:t> </w:t>
      </w:r>
      <w:r>
        <w:rPr>
          <w:spacing w:val="-100"/>
        </w:rPr>
      </w:r>
      <w:r>
        <w:rPr>
          <w:spacing w:val="-2"/>
        </w:rPr>
        <w:t>固定资产折旧按其入账价值减去预计净残值后在预计使用寿命内计提。对计提了减值准备的固定资</w:t>
      </w:r>
    </w:p>
    <w:p>
      <w:pPr>
        <w:pStyle w:val="BodyText"/>
        <w:spacing w:line="352" w:lineRule="auto" w:before="14"/>
        <w:ind w:right="1002"/>
        <w:jc w:val="left"/>
      </w:pPr>
      <w:r>
        <w:rPr>
          <w:spacing w:val="-2"/>
        </w:rPr>
        <w:t>产，则在未来期间按扣除减值准备后的账面价值及依据尚可使用年限确定折旧额；已提足折旧仍继续使用</w:t>
      </w:r>
      <w:r>
        <w:rPr>
          <w:spacing w:val="-33"/>
        </w:rPr>
        <w:t> </w:t>
      </w:r>
      <w:r>
        <w:rPr>
          <w:spacing w:val="-33"/>
        </w:rPr>
      </w:r>
      <w:r>
        <w:rPr/>
        <w:t>的固定资产不计提折旧。</w:t>
      </w:r>
    </w:p>
    <w:p>
      <w:pPr>
        <w:pStyle w:val="BodyText"/>
        <w:spacing w:line="352" w:lineRule="auto" w:before="63"/>
        <w:ind w:right="1002" w:firstLine="422"/>
        <w:jc w:val="left"/>
      </w:pPr>
      <w:r>
        <w:rPr>
          <w:spacing w:val="-2"/>
        </w:rPr>
        <w:t>利用专项储备支出形成的固定资产，按照形成固定资产的成本冲减专项储备，并确认相同金额的累计</w:t>
      </w:r>
      <w:r>
        <w:rPr>
          <w:w w:val="100"/>
        </w:rPr>
        <w:t> </w:t>
      </w:r>
      <w:r>
        <w:rPr/>
        <w:t>折旧，该固定资产在以后期间不再计提折旧。</w:t>
      </w:r>
    </w:p>
    <w:p>
      <w:pPr>
        <w:pStyle w:val="BodyText"/>
        <w:spacing w:line="352" w:lineRule="auto" w:before="64"/>
        <w:ind w:right="1002" w:firstLine="422"/>
        <w:jc w:val="left"/>
      </w:pPr>
      <w:r>
        <w:rPr>
          <w:spacing w:val="-2"/>
        </w:rPr>
        <w:t>本公司根据固定资产的性质和使用情况，确定固定资产的使用寿命和预计净残值。并在年度终了，对</w:t>
      </w:r>
      <w:r>
        <w:rPr>
          <w:w w:val="100"/>
        </w:rPr>
        <w:t> </w:t>
      </w:r>
      <w:r>
        <w:rPr>
          <w:spacing w:val="-2"/>
        </w:rPr>
        <w:t>固定资产的使用寿命、预计净残值和折旧方法进行复核，如与原先估计数存在差异的，进行相应的调整。</w:t>
      </w:r>
    </w:p>
    <w:p>
      <w:pPr>
        <w:pStyle w:val="BodyText"/>
        <w:spacing w:line="364" w:lineRule="auto" w:before="63"/>
        <w:ind w:left="535" w:right="1002"/>
        <w:jc w:val="left"/>
      </w:pPr>
      <w:r>
        <w:rPr/>
        <w:t>（</w:t>
      </w:r>
      <w:r>
        <w:rPr>
          <w:rFonts w:ascii="Times New Roman" w:hAnsi="Times New Roman" w:cs="Times New Roman" w:eastAsia="Times New Roman" w:hint="default"/>
        </w:rPr>
        <w:t>2</w:t>
      </w:r>
      <w:r>
        <w:rPr/>
        <w:t>）固定资产的后续支出</w:t>
      </w:r>
      <w:r>
        <w:rPr>
          <w:spacing w:val="-102"/>
        </w:rPr>
        <w:t> </w:t>
      </w:r>
      <w:r>
        <w:rPr>
          <w:spacing w:val="-102"/>
        </w:rPr>
      </w:r>
      <w:r>
        <w:rPr>
          <w:spacing w:val="-2"/>
        </w:rPr>
        <w:t>与固定资产有关的后续支出，符合固定资产确认条件的，计入固定资产成本；不符合固定资产确认条</w:t>
      </w:r>
    </w:p>
    <w:p>
      <w:pPr>
        <w:pStyle w:val="BodyText"/>
        <w:spacing w:line="240" w:lineRule="auto" w:before="14"/>
        <w:ind w:right="1002"/>
        <w:jc w:val="left"/>
      </w:pPr>
      <w:r>
        <w:rPr/>
        <w:t>件的，在发生时计入当期损益。</w:t>
      </w:r>
    </w:p>
    <w:p>
      <w:pPr>
        <w:pStyle w:val="BodyText"/>
        <w:spacing w:line="364" w:lineRule="auto" w:before="166"/>
        <w:ind w:left="535" w:right="1002"/>
        <w:jc w:val="left"/>
      </w:pPr>
      <w:r>
        <w:rPr/>
        <w:t>（</w:t>
      </w:r>
      <w:r>
        <w:rPr>
          <w:rFonts w:ascii="Times New Roman" w:hAnsi="Times New Roman" w:cs="Times New Roman" w:eastAsia="Times New Roman" w:hint="default"/>
        </w:rPr>
        <w:t>3</w:t>
      </w:r>
      <w:r>
        <w:rPr/>
        <w:t>）固定资产处置</w:t>
      </w:r>
      <w:r>
        <w:rPr>
          <w:spacing w:val="-100"/>
        </w:rPr>
        <w:t> </w:t>
      </w:r>
      <w:r>
        <w:rPr>
          <w:spacing w:val="-100"/>
        </w:rPr>
      </w:r>
      <w:r>
        <w:rPr>
          <w:spacing w:val="-2"/>
        </w:rPr>
        <w:t>当固定资产被处置、或者预期通过使用或处置不能产生经济利益时，终止确认该固定资产。固定资产</w:t>
      </w:r>
    </w:p>
    <w:p>
      <w:pPr>
        <w:pStyle w:val="BodyText"/>
        <w:spacing w:line="240" w:lineRule="auto" w:before="14"/>
        <w:ind w:right="1002"/>
        <w:jc w:val="left"/>
      </w:pPr>
      <w:r>
        <w:rPr/>
        <w:t>出售、转让、报废或毁损的处置收入扣除其账面价值和相关税费后的金额计入当期损益。</w:t>
      </w:r>
    </w:p>
    <w:p>
      <w:pPr>
        <w:spacing w:line="240" w:lineRule="auto" w:before="0"/>
        <w:rPr>
          <w:rFonts w:ascii="宋体" w:hAnsi="宋体" w:cs="宋体" w:eastAsia="宋体" w:hint="default"/>
          <w:sz w:val="20"/>
          <w:szCs w:val="20"/>
        </w:rPr>
      </w:pPr>
    </w:p>
    <w:p>
      <w:pPr>
        <w:pStyle w:val="Heading5"/>
        <w:spacing w:line="240" w:lineRule="auto" w:before="164"/>
        <w:ind w:right="1002"/>
        <w:jc w:val="left"/>
        <w:rPr>
          <w:b w:val="0"/>
          <w:bCs w:val="0"/>
        </w:rPr>
      </w:pPr>
      <w:bookmarkStart w:name="（2）折旧方法" w:id="201"/>
      <w:bookmarkEnd w:id="20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9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528"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527" w:right="0"/>
              <w:jc w:val="left"/>
              <w:rPr>
                <w:rFonts w:ascii="宋体" w:hAnsi="宋体" w:cs="宋体" w:eastAsia="宋体" w:hint="default"/>
                <w:sz w:val="21"/>
                <w:szCs w:val="21"/>
              </w:rPr>
            </w:pPr>
            <w:r>
              <w:rPr>
                <w:rFonts w:ascii="宋体" w:hAnsi="宋体" w:cs="宋体" w:eastAsia="宋体" w:hint="default"/>
                <w:sz w:val="21"/>
                <w:szCs w:val="21"/>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638" w:right="0"/>
              <w:jc w:val="left"/>
              <w:rPr>
                <w:rFonts w:ascii="宋体" w:hAnsi="宋体" w:cs="宋体" w:eastAsia="宋体" w:hint="default"/>
                <w:sz w:val="21"/>
                <w:szCs w:val="21"/>
              </w:rPr>
            </w:pPr>
            <w:r>
              <w:rPr>
                <w:rFonts w:ascii="宋体" w:hAnsi="宋体" w:cs="宋体" w:eastAsia="宋体" w:hint="default"/>
                <w:sz w:val="21"/>
                <w:szCs w:val="21"/>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532" w:right="0"/>
              <w:jc w:val="left"/>
              <w:rPr>
                <w:rFonts w:ascii="宋体" w:hAnsi="宋体" w:cs="宋体" w:eastAsia="宋体" w:hint="default"/>
                <w:sz w:val="21"/>
                <w:szCs w:val="21"/>
              </w:rPr>
            </w:pPr>
            <w:r>
              <w:rPr>
                <w:rFonts w:ascii="宋体" w:hAnsi="宋体" w:cs="宋体" w:eastAsia="宋体" w:hint="default"/>
                <w:sz w:val="21"/>
                <w:szCs w:val="21"/>
              </w:rPr>
              <w:t>年折旧率</w:t>
            </w:r>
          </w:p>
        </w:tc>
      </w:tr>
      <w:tr>
        <w:trPr>
          <w:trHeight w:val="49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0" w:right="0"/>
              <w:jc w:val="left"/>
              <w:rPr>
                <w:rFonts w:ascii="Times New Roman" w:hAnsi="Times New Roman" w:cs="Times New Roman" w:eastAsia="Times New Roman" w:hint="default"/>
                <w:sz w:val="21"/>
                <w:szCs w:val="21"/>
              </w:rPr>
            </w:pPr>
            <w:r>
              <w:rPr>
                <w:rFonts w:ascii="Times New Roman"/>
                <w:sz w:val="21"/>
              </w:rPr>
              <w:t>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5" w:right="0"/>
              <w:jc w:val="left"/>
              <w:rPr>
                <w:rFonts w:ascii="Times New Roman" w:hAnsi="Times New Roman" w:cs="Times New Roman" w:eastAsia="Times New Roman" w:hint="default"/>
                <w:sz w:val="21"/>
                <w:szCs w:val="21"/>
              </w:rPr>
            </w:pPr>
            <w:r>
              <w:rPr>
                <w:rFonts w:ascii="Times New Roman"/>
                <w:w w:val="100"/>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5" w:right="0"/>
              <w:jc w:val="left"/>
              <w:rPr>
                <w:rFonts w:ascii="Times New Roman" w:hAnsi="Times New Roman" w:cs="Times New Roman" w:eastAsia="Times New Roman" w:hint="default"/>
                <w:sz w:val="21"/>
                <w:szCs w:val="21"/>
              </w:rPr>
            </w:pPr>
            <w:r>
              <w:rPr>
                <w:rFonts w:ascii="Times New Roman"/>
                <w:sz w:val="21"/>
              </w:rPr>
              <w:t>4.75</w:t>
            </w:r>
          </w:p>
        </w:tc>
      </w:tr>
      <w:tr>
        <w:trPr>
          <w:trHeight w:val="49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0" w:right="0"/>
              <w:jc w:val="left"/>
              <w:rPr>
                <w:rFonts w:ascii="Times New Roman" w:hAnsi="Times New Roman" w:cs="Times New Roman" w:eastAsia="Times New Roman" w:hint="default"/>
                <w:sz w:val="21"/>
                <w:szCs w:val="21"/>
              </w:rPr>
            </w:pPr>
            <w:r>
              <w:rPr>
                <w:rFonts w:ascii="Times New Roman"/>
                <w:sz w:val="21"/>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5" w:right="0"/>
              <w:jc w:val="left"/>
              <w:rPr>
                <w:rFonts w:ascii="Times New Roman" w:hAnsi="Times New Roman" w:cs="Times New Roman" w:eastAsia="Times New Roman" w:hint="default"/>
                <w:sz w:val="21"/>
                <w:szCs w:val="21"/>
              </w:rPr>
            </w:pPr>
            <w:r>
              <w:rPr>
                <w:rFonts w:ascii="Times New Roman"/>
                <w:w w:val="100"/>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5" w:right="0"/>
              <w:jc w:val="left"/>
              <w:rPr>
                <w:rFonts w:ascii="Times New Roman" w:hAnsi="Times New Roman" w:cs="Times New Roman" w:eastAsia="Times New Roman" w:hint="default"/>
                <w:sz w:val="21"/>
                <w:szCs w:val="21"/>
              </w:rPr>
            </w:pPr>
            <w:r>
              <w:rPr>
                <w:rFonts w:ascii="Times New Roman"/>
                <w:sz w:val="21"/>
              </w:rPr>
              <w:t>9.5-19</w:t>
            </w:r>
          </w:p>
        </w:tc>
      </w:tr>
      <w:tr>
        <w:trPr>
          <w:trHeight w:val="49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0" w:right="0"/>
              <w:jc w:val="left"/>
              <w:rPr>
                <w:rFonts w:ascii="Times New Roman" w:hAnsi="Times New Roman" w:cs="Times New Roman" w:eastAsia="Times New Roman" w:hint="default"/>
                <w:sz w:val="21"/>
                <w:szCs w:val="21"/>
              </w:rPr>
            </w:pPr>
            <w:r>
              <w:rPr>
                <w:rFonts w:ascii="Times New Roman"/>
                <w:w w:val="100"/>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5" w:right="0"/>
              <w:jc w:val="left"/>
              <w:rPr>
                <w:rFonts w:ascii="Times New Roman" w:hAnsi="Times New Roman" w:cs="Times New Roman" w:eastAsia="Times New Roman" w:hint="default"/>
                <w:sz w:val="21"/>
                <w:szCs w:val="21"/>
              </w:rPr>
            </w:pPr>
            <w:r>
              <w:rPr>
                <w:rFonts w:ascii="Times New Roman"/>
                <w:w w:val="100"/>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5" w:right="0"/>
              <w:jc w:val="left"/>
              <w:rPr>
                <w:rFonts w:ascii="Times New Roman" w:hAnsi="Times New Roman" w:cs="Times New Roman" w:eastAsia="Times New Roman" w:hint="default"/>
                <w:sz w:val="21"/>
                <w:szCs w:val="21"/>
              </w:rPr>
            </w:pPr>
            <w:r>
              <w:rPr>
                <w:rFonts w:ascii="Times New Roman"/>
                <w:sz w:val="21"/>
              </w:rPr>
              <w:t>19</w:t>
            </w:r>
          </w:p>
        </w:tc>
      </w:tr>
      <w:tr>
        <w:trPr>
          <w:trHeight w:val="49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0" w:right="0"/>
              <w:jc w:val="left"/>
              <w:rPr>
                <w:rFonts w:ascii="Times New Roman" w:hAnsi="Times New Roman" w:cs="Times New Roman" w:eastAsia="Times New Roman" w:hint="default"/>
                <w:sz w:val="21"/>
                <w:szCs w:val="21"/>
              </w:rPr>
            </w:pPr>
            <w:r>
              <w:rPr>
                <w:rFonts w:ascii="Times New Roman"/>
                <w:sz w:val="21"/>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5" w:right="0"/>
              <w:jc w:val="left"/>
              <w:rPr>
                <w:rFonts w:ascii="Times New Roman" w:hAnsi="Times New Roman" w:cs="Times New Roman" w:eastAsia="Times New Roman" w:hint="default"/>
                <w:sz w:val="21"/>
                <w:szCs w:val="21"/>
              </w:rPr>
            </w:pPr>
            <w:r>
              <w:rPr>
                <w:rFonts w:ascii="Times New Roman"/>
                <w:w w:val="100"/>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5" w:right="0"/>
              <w:jc w:val="left"/>
              <w:rPr>
                <w:rFonts w:ascii="Times New Roman" w:hAnsi="Times New Roman" w:cs="Times New Roman" w:eastAsia="Times New Roman" w:hint="default"/>
                <w:sz w:val="21"/>
                <w:szCs w:val="21"/>
              </w:rPr>
            </w:pPr>
            <w:r>
              <w:rPr>
                <w:rFonts w:ascii="Times New Roman"/>
                <w:sz w:val="21"/>
              </w:rPr>
              <w:t>19-31.67</w:t>
            </w:r>
          </w:p>
        </w:tc>
      </w:tr>
    </w:tbl>
    <w:p>
      <w:pPr>
        <w:spacing w:line="240" w:lineRule="auto" w:before="11"/>
        <w:rPr>
          <w:rFonts w:ascii="宋体" w:hAnsi="宋体" w:cs="宋体" w:eastAsia="宋体" w:hint="default"/>
          <w:b/>
          <w:bCs/>
          <w:sz w:val="25"/>
          <w:szCs w:val="25"/>
        </w:rPr>
      </w:pPr>
    </w:p>
    <w:p>
      <w:pPr>
        <w:pStyle w:val="Heading5"/>
        <w:spacing w:line="240" w:lineRule="auto" w:before="36"/>
        <w:ind w:right="1002"/>
        <w:jc w:val="left"/>
        <w:rPr>
          <w:b w:val="0"/>
          <w:bCs w:val="0"/>
        </w:rPr>
      </w:pPr>
      <w:bookmarkStart w:name="（3）融资租入固定资产的认定依据、计价和折旧方法" w:id="202"/>
      <w:bookmarkEnd w:id="20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31"/>
          <w:szCs w:val="31"/>
        </w:rPr>
      </w:pPr>
    </w:p>
    <w:p>
      <w:pPr>
        <w:pStyle w:val="BodyText"/>
        <w:spacing w:line="240" w:lineRule="auto" w:before="0"/>
        <w:ind w:left="535" w:right="1002"/>
        <w:jc w:val="left"/>
      </w:pPr>
      <w:r>
        <w:rPr/>
        <w:t>当本公司租入的固定资产符合下列一项或数项标准时，确认为融资租入固定资产：</w:t>
      </w:r>
    </w:p>
    <w:p>
      <w:pPr>
        <w:pStyle w:val="BodyText"/>
        <w:spacing w:line="240" w:lineRule="auto" w:before="162"/>
        <w:ind w:left="535" w:right="1002"/>
        <w:jc w:val="left"/>
      </w:pPr>
      <w:r>
        <w:rPr/>
        <w:t>（</w:t>
      </w:r>
      <w:r>
        <w:rPr>
          <w:rFonts w:ascii="Times New Roman" w:hAnsi="Times New Roman" w:cs="Times New Roman" w:eastAsia="Times New Roman" w:hint="default"/>
        </w:rPr>
        <w:t>1</w:t>
      </w:r>
      <w:r>
        <w:rPr/>
        <w:t>）在租赁期届满时，租赁资产的所有权转移给本公司。</w:t>
      </w:r>
    </w:p>
    <w:p>
      <w:pPr>
        <w:pStyle w:val="BodyText"/>
        <w:spacing w:line="328" w:lineRule="auto" w:before="151"/>
        <w:ind w:right="1002" w:firstLine="422"/>
        <w:jc w:val="left"/>
      </w:pPr>
      <w:r>
        <w:rPr>
          <w:spacing w:val="-2"/>
        </w:rPr>
        <w:t>（</w:t>
      </w:r>
      <w:r>
        <w:rPr>
          <w:rFonts w:ascii="Times New Roman" w:hAnsi="Times New Roman" w:cs="Times New Roman" w:eastAsia="Times New Roman" w:hint="default"/>
          <w:spacing w:val="-2"/>
        </w:rPr>
        <w:t>2</w:t>
      </w:r>
      <w:r>
        <w:rPr>
          <w:spacing w:val="-2"/>
        </w:rPr>
        <w:t>）本公司有购买租赁资产的选择权，所订立的购买价款预计将远低于行使选择权时租赁资产的公</w:t>
      </w:r>
      <w:r>
        <w:rPr>
          <w:w w:val="100"/>
        </w:rPr>
        <w:t> </w:t>
      </w:r>
      <w:r>
        <w:rPr/>
        <w:t>允价值，因而在租赁开始日就可以合理确定本公司将会行使这种选择权。</w:t>
      </w:r>
    </w:p>
    <w:p>
      <w:pPr>
        <w:spacing w:after="0" w:line="328"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240" w:lineRule="auto"/>
        <w:ind w:left="535" w:right="1002"/>
        <w:jc w:val="left"/>
      </w:pPr>
      <w:r>
        <w:rPr/>
        <w:t>（</w:t>
      </w:r>
      <w:r>
        <w:rPr>
          <w:rFonts w:ascii="Times New Roman" w:hAnsi="Times New Roman" w:cs="Times New Roman" w:eastAsia="Times New Roman" w:hint="default"/>
        </w:rPr>
        <w:t>3</w:t>
      </w:r>
      <w:r>
        <w:rPr/>
        <w:t>）即使资产的所有权不转移，但租赁期占租赁资产使用寿命的大部分。</w:t>
      </w:r>
    </w:p>
    <w:p>
      <w:pPr>
        <w:pStyle w:val="BodyText"/>
        <w:spacing w:line="240" w:lineRule="auto" w:before="151"/>
        <w:ind w:left="535" w:right="1002"/>
        <w:jc w:val="left"/>
      </w:pPr>
      <w:r>
        <w:rPr/>
        <w:t>（</w:t>
      </w:r>
      <w:r>
        <w:rPr>
          <w:rFonts w:ascii="Times New Roman" w:hAnsi="Times New Roman" w:cs="Times New Roman" w:eastAsia="Times New Roman" w:hint="default"/>
        </w:rPr>
        <w:t>4</w:t>
      </w:r>
      <w:r>
        <w:rPr/>
        <w:t>）本公司在租赁开始日的最低租赁付款额现值，几乎相当于租赁开始日租赁资产公允价值。</w:t>
      </w:r>
    </w:p>
    <w:p>
      <w:pPr>
        <w:pStyle w:val="BodyText"/>
        <w:spacing w:line="364" w:lineRule="auto" w:before="146"/>
        <w:ind w:left="535" w:right="1002"/>
        <w:jc w:val="left"/>
      </w:pPr>
      <w:r>
        <w:rPr/>
        <w:t>（</w:t>
      </w:r>
      <w:r>
        <w:rPr>
          <w:rFonts w:ascii="Times New Roman" w:hAnsi="Times New Roman" w:cs="Times New Roman" w:eastAsia="Times New Roman" w:hint="default"/>
        </w:rPr>
        <w:t>5</w:t>
      </w:r>
      <w:r>
        <w:rPr/>
        <w:t>）租赁资产性质特殊，如果不作较大改造，只有本公司才能使用。</w:t>
      </w:r>
      <w:r>
        <w:rPr>
          <w:w w:val="100"/>
        </w:rPr>
        <w:t> </w:t>
      </w:r>
      <w:r>
        <w:rPr>
          <w:spacing w:val="-2"/>
        </w:rPr>
        <w:t>融资租赁租入的固定资产，按租赁开始日租赁资产公允价值与最低租赁付款额的现值两者中较低者，</w:t>
      </w:r>
    </w:p>
    <w:p>
      <w:pPr>
        <w:pStyle w:val="BodyText"/>
        <w:spacing w:line="350" w:lineRule="auto" w:before="14"/>
        <w:ind w:right="1125"/>
        <w:jc w:val="both"/>
      </w:pPr>
      <w:r>
        <w:rPr>
          <w:spacing w:val="-2"/>
        </w:rPr>
        <w:t>作为入账价值。最低租赁付款额作为长期应付款的入账价值，其差额作为未确认融资费用。在租赁谈判和</w:t>
      </w:r>
      <w:r>
        <w:rPr>
          <w:spacing w:val="-33"/>
        </w:rPr>
        <w:t> </w:t>
      </w:r>
      <w:r>
        <w:rPr>
          <w:spacing w:val="-33"/>
        </w:rPr>
      </w:r>
      <w:r>
        <w:rPr>
          <w:spacing w:val="-2"/>
        </w:rPr>
        <w:t>签订租赁合同过程中发生的，可归属于租赁项目的手续费、律师费、差旅费、印花税等初始直接费用，计</w:t>
      </w:r>
      <w:r>
        <w:rPr>
          <w:spacing w:val="-38"/>
        </w:rPr>
        <w:t> </w:t>
      </w:r>
      <w:r>
        <w:rPr>
          <w:spacing w:val="-38"/>
        </w:rPr>
      </w:r>
      <w:r>
        <w:rPr/>
        <w:t>入租入资产价值。未确认融资费用在租赁期内各个期间采用实际利率法进行分摊。</w:t>
      </w:r>
    </w:p>
    <w:p>
      <w:pPr>
        <w:pStyle w:val="BodyText"/>
        <w:spacing w:line="348" w:lineRule="auto" w:before="70"/>
        <w:ind w:right="1125" w:firstLine="422"/>
        <w:jc w:val="both"/>
      </w:pPr>
      <w:r>
        <w:rPr>
          <w:spacing w:val="-2"/>
        </w:rPr>
        <w:t>本公司采用与自有固定资产相一致的折旧政策计提融资租入固定资产折旧。能够合理确定租赁期届满</w:t>
      </w:r>
      <w:r>
        <w:rPr>
          <w:w w:val="100"/>
        </w:rPr>
        <w:t> </w:t>
      </w:r>
      <w:r>
        <w:rPr>
          <w:spacing w:val="-2"/>
        </w:rPr>
        <w:t>时取得租赁资产所有权的，在租赁资产使用寿命内计提折旧。无法合理确定租赁期届满时能够取得租赁资</w:t>
      </w:r>
      <w:r>
        <w:rPr>
          <w:spacing w:val="-33"/>
        </w:rPr>
        <w:t> </w:t>
      </w:r>
      <w:r>
        <w:rPr>
          <w:spacing w:val="-33"/>
        </w:rPr>
      </w:r>
      <w:r>
        <w:rPr/>
        <w:t>产所有权的，在租赁期与租赁资产使用寿命两者中较短的期间内计提折旧。</w:t>
      </w:r>
    </w:p>
    <w:p>
      <w:pPr>
        <w:spacing w:line="240" w:lineRule="auto" w:before="5"/>
        <w:rPr>
          <w:rFonts w:ascii="宋体" w:hAnsi="宋体" w:cs="宋体" w:eastAsia="宋体" w:hint="default"/>
          <w:sz w:val="25"/>
          <w:szCs w:val="25"/>
        </w:rPr>
      </w:pPr>
    </w:p>
    <w:p>
      <w:pPr>
        <w:pStyle w:val="Heading5"/>
        <w:spacing w:line="240" w:lineRule="auto"/>
        <w:ind w:right="0"/>
        <w:jc w:val="both"/>
        <w:rPr>
          <w:b w:val="0"/>
          <w:bCs w:val="0"/>
        </w:rPr>
      </w:pPr>
      <w:bookmarkStart w:name="25、在建工程" w:id="203"/>
      <w:bookmarkEnd w:id="203"/>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4"/>
        <w:rPr>
          <w:rFonts w:ascii="宋体" w:hAnsi="宋体" w:cs="宋体" w:eastAsia="宋体" w:hint="default"/>
          <w:b/>
          <w:bCs/>
          <w:sz w:val="31"/>
          <w:szCs w:val="31"/>
        </w:rPr>
      </w:pPr>
    </w:p>
    <w:p>
      <w:pPr>
        <w:pStyle w:val="BodyText"/>
        <w:spacing w:line="348" w:lineRule="auto" w:before="0"/>
        <w:ind w:left="473" w:right="1002"/>
        <w:jc w:val="left"/>
      </w:pPr>
      <w:r>
        <w:rPr>
          <w:rFonts w:ascii="宋体" w:hAnsi="宋体" w:cs="宋体" w:eastAsia="宋体" w:hint="default"/>
          <w:b/>
          <w:bCs/>
        </w:rPr>
        <w:t>1</w:t>
      </w:r>
      <w:r>
        <w:rPr>
          <w:rFonts w:ascii="宋体" w:hAnsi="宋体" w:cs="宋体" w:eastAsia="宋体" w:hint="default"/>
          <w:b/>
          <w:bCs/>
        </w:rPr>
        <w:t>、在建工程初始计量</w:t>
      </w:r>
      <w:r>
        <w:rPr>
          <w:rFonts w:ascii="宋体" w:hAnsi="宋体" w:cs="宋体" w:eastAsia="宋体" w:hint="default"/>
          <w:b/>
          <w:bCs/>
          <w:spacing w:val="-103"/>
        </w:rPr>
        <w:t> </w:t>
      </w:r>
      <w:r>
        <w:rPr>
          <w:spacing w:val="-1"/>
        </w:rPr>
        <w:t>本公司自行建造的在建工程按实际成本计价，实际成本由建造该项资产达到预定可使用状态前所发生</w:t>
      </w:r>
    </w:p>
    <w:p>
      <w:pPr>
        <w:pStyle w:val="BodyText"/>
        <w:spacing w:line="348" w:lineRule="auto" w:before="34"/>
        <w:ind w:right="1126"/>
        <w:jc w:val="both"/>
      </w:pPr>
      <w:r>
        <w:rPr>
          <w:spacing w:val="-2"/>
        </w:rPr>
        <w:t>的必要支出构成，包括工程用物资成本、人工成本、交纳的相关税费、应予资本化的借款费用以及应分摊</w:t>
      </w:r>
      <w:r>
        <w:rPr>
          <w:spacing w:val="-33"/>
        </w:rPr>
        <w:t> </w:t>
      </w:r>
      <w:r>
        <w:rPr>
          <w:spacing w:val="-33"/>
        </w:rPr>
      </w:r>
      <w:r>
        <w:rPr/>
        <w:t>的间接费用等。</w:t>
      </w:r>
    </w:p>
    <w:p>
      <w:pPr>
        <w:spacing w:line="352" w:lineRule="auto" w:before="29"/>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1"/>
          <w:sz w:val="21"/>
          <w:szCs w:val="21"/>
        </w:rPr>
        <w:t>在建工程项目按建造该项资产达到预定可使用状态前所发生的全部支出，作为固定资产的入账价值。</w:t>
      </w:r>
    </w:p>
    <w:p>
      <w:pPr>
        <w:pStyle w:val="BodyText"/>
        <w:spacing w:line="350" w:lineRule="auto" w:before="25"/>
        <w:ind w:right="1125"/>
        <w:jc w:val="both"/>
      </w:pPr>
      <w:r>
        <w:rPr>
          <w:spacing w:val="-2"/>
        </w:rPr>
        <w:t>所建造的在建工程已达到预定可使用状态，但尚未办理竣工决算的，自达到预定可使用状态之日起，根据</w:t>
      </w:r>
      <w:r>
        <w:rPr>
          <w:spacing w:val="-33"/>
        </w:rPr>
        <w:t> </w:t>
      </w:r>
      <w:r>
        <w:rPr>
          <w:spacing w:val="-33"/>
        </w:rPr>
      </w:r>
      <w:r>
        <w:rPr>
          <w:spacing w:val="-2"/>
        </w:rPr>
        <w:t>工程预算、造价或者工程实际成本等，按估计的价值转入固定资产，并按本公司固定资产折旧政策计提固</w:t>
      </w:r>
      <w:r>
        <w:rPr>
          <w:spacing w:val="-33"/>
        </w:rPr>
        <w:t> </w:t>
      </w:r>
      <w:r>
        <w:rPr>
          <w:spacing w:val="-33"/>
        </w:rPr>
      </w:r>
      <w:r>
        <w:rPr/>
        <w:t>定资产的折旧，待办理竣工决算后，再按实际成本调整原来的暂估价值，但不调整原已计提的折旧额。</w:t>
      </w:r>
    </w:p>
    <w:p>
      <w:pPr>
        <w:spacing w:line="240" w:lineRule="auto" w:before="11"/>
        <w:rPr>
          <w:rFonts w:ascii="宋体" w:hAnsi="宋体" w:cs="宋体" w:eastAsia="宋体" w:hint="default"/>
          <w:sz w:val="24"/>
          <w:szCs w:val="24"/>
        </w:rPr>
      </w:pPr>
    </w:p>
    <w:p>
      <w:pPr>
        <w:pStyle w:val="Heading5"/>
        <w:spacing w:line="240" w:lineRule="auto"/>
        <w:ind w:right="0"/>
        <w:jc w:val="both"/>
        <w:rPr>
          <w:b w:val="0"/>
          <w:bCs w:val="0"/>
        </w:rPr>
      </w:pPr>
      <w:bookmarkStart w:name="26、借款费用" w:id="204"/>
      <w:bookmarkEnd w:id="204"/>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5"/>
        <w:rPr>
          <w:rFonts w:ascii="宋体" w:hAnsi="宋体" w:cs="宋体" w:eastAsia="宋体" w:hint="default"/>
          <w:b/>
          <w:bCs/>
          <w:sz w:val="31"/>
          <w:szCs w:val="31"/>
        </w:rPr>
      </w:pPr>
    </w:p>
    <w:p>
      <w:pPr>
        <w:spacing w:line="352" w:lineRule="auto" w:before="0"/>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spacing w:val="-102"/>
          <w:sz w:val="21"/>
          <w:szCs w:val="21"/>
        </w:rPr>
        <w:t> </w:t>
      </w:r>
      <w:r>
        <w:rPr>
          <w:rFonts w:ascii="宋体" w:hAnsi="宋体" w:cs="宋体" w:eastAsia="宋体" w:hint="default"/>
          <w:spacing w:val="-1"/>
          <w:sz w:val="21"/>
          <w:szCs w:val="21"/>
        </w:rPr>
        <w:t>本公司发生的借款费用，可直接归属于符合资本化条件的资产的购建或者生产的，予以资本化，计入</w:t>
      </w:r>
    </w:p>
    <w:p>
      <w:pPr>
        <w:pStyle w:val="BodyText"/>
        <w:spacing w:line="348" w:lineRule="auto" w:before="25"/>
        <w:ind w:left="473" w:right="1002" w:hanging="360"/>
        <w:jc w:val="left"/>
      </w:pPr>
      <w:r>
        <w:rPr/>
        <w:t>相关资产成本；其他借款费用，在发生时根据其发生额确认为费用，计入当期损益。</w:t>
      </w:r>
      <w:r>
        <w:rPr>
          <w:w w:val="100"/>
        </w:rPr>
        <w:t> </w:t>
      </w:r>
      <w:r>
        <w:rPr>
          <w:spacing w:val="-1"/>
        </w:rPr>
        <w:t>符合资本化条件的资产，是指需要经过相当长时间的购建或者生产活动才能达到预定可使用或者可销</w:t>
      </w:r>
    </w:p>
    <w:p>
      <w:pPr>
        <w:pStyle w:val="BodyText"/>
        <w:spacing w:line="348" w:lineRule="auto" w:before="34"/>
        <w:ind w:left="473" w:right="5730" w:hanging="360"/>
        <w:jc w:val="left"/>
      </w:pPr>
      <w:r>
        <w:rPr>
          <w:spacing w:val="-2"/>
        </w:rPr>
        <w:t>售状态的固定资产、投资性房地产和存货等资产。</w:t>
      </w:r>
      <w:r>
        <w:rPr>
          <w:spacing w:val="-60"/>
        </w:rPr>
        <w:t> </w:t>
      </w:r>
      <w:r>
        <w:rPr>
          <w:spacing w:val="-60"/>
        </w:rPr>
      </w:r>
      <w:r>
        <w:rPr/>
        <w:t>借款费用同时满足下列条件时开始资本化：</w:t>
      </w:r>
    </w:p>
    <w:p>
      <w:pPr>
        <w:pStyle w:val="BodyText"/>
        <w:spacing w:line="352" w:lineRule="auto" w:before="29"/>
        <w:ind w:right="1002" w:firstLine="360"/>
        <w:jc w:val="left"/>
      </w:pPr>
      <w:r>
        <w:rPr>
          <w:spacing w:val="-3"/>
        </w:rPr>
        <w:t>（</w:t>
      </w:r>
      <w:r>
        <w:rPr>
          <w:rFonts w:ascii="宋体" w:hAnsi="宋体" w:cs="宋体" w:eastAsia="宋体" w:hint="default"/>
          <w:spacing w:val="-3"/>
        </w:rPr>
        <w:t>1</w:t>
      </w:r>
      <w:r>
        <w:rPr>
          <w:spacing w:val="-3"/>
        </w:rPr>
        <w:t>）资产支出已经发生，资产支出包括为购建或者生产符合资本化条件的资产而以支付现金、转移非</w:t>
      </w:r>
      <w:r>
        <w:rPr>
          <w:w w:val="100"/>
        </w:rPr>
        <w:t> </w:t>
      </w:r>
      <w:r>
        <w:rPr/>
        <w:t>现金资产或者承担带息债务形式发生的支出；</w:t>
      </w:r>
    </w:p>
    <w:p>
      <w:pPr>
        <w:pStyle w:val="BodyText"/>
        <w:spacing w:line="240" w:lineRule="auto" w:before="25"/>
        <w:ind w:left="473" w:right="1002"/>
        <w:jc w:val="left"/>
      </w:pPr>
      <w:r>
        <w:rPr/>
        <w:t>（</w:t>
      </w:r>
      <w:r>
        <w:rPr>
          <w:rFonts w:ascii="宋体" w:hAnsi="宋体" w:cs="宋体" w:eastAsia="宋体" w:hint="default"/>
        </w:rPr>
        <w:t>2</w:t>
      </w:r>
      <w:r>
        <w:rPr/>
        <w:t>）借款费用已经发生；</w:t>
      </w:r>
    </w:p>
    <w:p>
      <w:pPr>
        <w:pStyle w:val="BodyText"/>
        <w:spacing w:line="240" w:lineRule="auto" w:before="123"/>
        <w:ind w:left="473" w:right="1002"/>
        <w:jc w:val="left"/>
      </w:pPr>
      <w:r>
        <w:rPr/>
        <w:t>（</w:t>
      </w:r>
      <w:r>
        <w:rPr>
          <w:rFonts w:ascii="宋体" w:hAnsi="宋体" w:cs="宋体" w:eastAsia="宋体" w:hint="default"/>
        </w:rPr>
        <w:t>3</w:t>
      </w:r>
      <w:r>
        <w:rPr/>
        <w:t>）为使资产达到预定可使用或者可销售状态所必要的购建或者生产活动已经开始。</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spacing w:line="348" w:lineRule="auto" w:before="36"/>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spacing w:val="-103"/>
          <w:sz w:val="21"/>
          <w:szCs w:val="21"/>
        </w:rPr>
        <w:t> </w:t>
      </w:r>
      <w:r>
        <w:rPr>
          <w:rFonts w:ascii="宋体" w:hAnsi="宋体" w:cs="宋体" w:eastAsia="宋体" w:hint="default"/>
          <w:spacing w:val="-1"/>
          <w:sz w:val="21"/>
          <w:szCs w:val="21"/>
        </w:rPr>
        <w:t>资本化期间，指从借款费用开始资本化时点到停止资本化时点的期间，借款费用暂停资本化的期间不</w:t>
      </w:r>
    </w:p>
    <w:p>
      <w:pPr>
        <w:pStyle w:val="BodyText"/>
        <w:spacing w:line="240" w:lineRule="auto" w:before="34"/>
        <w:ind w:right="0"/>
        <w:jc w:val="both"/>
      </w:pPr>
      <w:r>
        <w:rPr/>
        <w:t>包括在内。</w:t>
      </w:r>
    </w:p>
    <w:p>
      <w:pPr>
        <w:pStyle w:val="BodyText"/>
        <w:spacing w:line="348" w:lineRule="auto" w:before="123"/>
        <w:ind w:left="473" w:right="1002"/>
        <w:jc w:val="left"/>
      </w:pPr>
      <w:r>
        <w:rPr/>
        <w:t>当购建或者生产符合资本化条件的资产达到预定可使用或者可销售状态时，借款费用停止资本化。</w:t>
      </w:r>
      <w:r>
        <w:rPr>
          <w:w w:val="100"/>
        </w:rPr>
        <w:t> </w:t>
      </w:r>
      <w:r>
        <w:rPr>
          <w:spacing w:val="-1"/>
        </w:rPr>
        <w:t>当购建或者生产符合资本化条件的资产中部分项目分别完工且可单独使用时，该部分资产借款费用停</w:t>
      </w:r>
    </w:p>
    <w:p>
      <w:pPr>
        <w:pStyle w:val="BodyText"/>
        <w:spacing w:line="240" w:lineRule="auto" w:before="34"/>
        <w:ind w:right="0"/>
        <w:jc w:val="both"/>
      </w:pPr>
      <w:r>
        <w:rPr/>
        <w:t>止资本化。</w:t>
      </w:r>
    </w:p>
    <w:p>
      <w:pPr>
        <w:pStyle w:val="BodyText"/>
        <w:spacing w:line="348" w:lineRule="auto" w:before="123"/>
        <w:ind w:right="1002" w:firstLine="360"/>
        <w:jc w:val="left"/>
      </w:pPr>
      <w:r>
        <w:rPr>
          <w:spacing w:val="-1"/>
        </w:rPr>
        <w:t>购建或者生产的资产的各部分分别完工，但必须等到整体完工后才可使用或可对外销售的，在该资产</w:t>
      </w:r>
      <w:r>
        <w:rPr>
          <w:w w:val="100"/>
        </w:rPr>
        <w:t> </w:t>
      </w:r>
      <w:r>
        <w:rPr/>
        <w:t>整体完工时停止借款费用资本化。</w:t>
      </w:r>
    </w:p>
    <w:p>
      <w:pPr>
        <w:pStyle w:val="BodyText"/>
        <w:spacing w:line="348" w:lineRule="auto" w:before="34"/>
        <w:ind w:left="473" w:right="1002"/>
        <w:jc w:val="left"/>
      </w:pPr>
      <w:r>
        <w:rPr>
          <w:rFonts w:ascii="宋体" w:hAnsi="宋体" w:cs="宋体" w:eastAsia="宋体" w:hint="default"/>
          <w:b/>
          <w:bCs/>
        </w:rPr>
        <w:t>3</w:t>
      </w:r>
      <w:r>
        <w:rPr>
          <w:rFonts w:ascii="宋体" w:hAnsi="宋体" w:cs="宋体" w:eastAsia="宋体" w:hint="default"/>
          <w:b/>
          <w:bCs/>
        </w:rPr>
        <w:t>、暂停资本化期间</w:t>
      </w:r>
      <w:r>
        <w:rPr>
          <w:rFonts w:ascii="宋体" w:hAnsi="宋体" w:cs="宋体" w:eastAsia="宋体" w:hint="default"/>
          <w:b/>
          <w:bCs/>
          <w:spacing w:val="-103"/>
        </w:rPr>
        <w:t> </w:t>
      </w:r>
      <w:r>
        <w:rPr>
          <w:spacing w:val="-3"/>
        </w:rPr>
        <w:t>符合资本化条件的资产在购建或生产过程中发生的非正常中断、且中断时间连续超过</w:t>
      </w:r>
      <w:r>
        <w:rPr>
          <w:rFonts w:ascii="宋体" w:hAnsi="宋体" w:cs="宋体" w:eastAsia="宋体" w:hint="default"/>
          <w:spacing w:val="-3"/>
        </w:rPr>
        <w:t>3</w:t>
      </w:r>
      <w:r>
        <w:rPr>
          <w:spacing w:val="-3"/>
        </w:rPr>
        <w:t>个月的，则借款</w:t>
      </w:r>
    </w:p>
    <w:p>
      <w:pPr>
        <w:pStyle w:val="BodyText"/>
        <w:spacing w:line="350" w:lineRule="auto" w:before="29"/>
        <w:ind w:right="1125"/>
        <w:jc w:val="both"/>
      </w:pPr>
      <w:r>
        <w:rPr>
          <w:spacing w:val="-2"/>
        </w:rPr>
        <w:t>费用暂停资本化；该项中断如是所购建或生产的符合资本化条件的资产达到预定可使用状态或者可销售状</w:t>
      </w:r>
      <w:r>
        <w:rPr>
          <w:spacing w:val="-33"/>
        </w:rPr>
        <w:t> </w:t>
      </w:r>
      <w:r>
        <w:rPr>
          <w:spacing w:val="-33"/>
        </w:rPr>
      </w:r>
      <w:r>
        <w:rPr>
          <w:spacing w:val="-2"/>
        </w:rPr>
        <w:t>态必要的程序，则借款费用继续资本化。在中断期间发生的借款费用确认为当期损益，直至资产的购建或</w:t>
      </w:r>
      <w:r>
        <w:rPr>
          <w:spacing w:val="-33"/>
        </w:rPr>
        <w:t> </w:t>
      </w:r>
      <w:r>
        <w:rPr>
          <w:spacing w:val="-33"/>
        </w:rPr>
      </w:r>
      <w:r>
        <w:rPr/>
        <w:t>者生产活动重新开始后借款费用继续资本化。</w:t>
      </w:r>
    </w:p>
    <w:p>
      <w:pPr>
        <w:spacing w:line="352" w:lineRule="auto" w:before="27"/>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spacing w:val="-101"/>
          <w:sz w:val="21"/>
          <w:szCs w:val="21"/>
        </w:rPr>
        <w:t> </w:t>
      </w:r>
      <w:r>
        <w:rPr>
          <w:rFonts w:ascii="宋体" w:hAnsi="宋体" w:cs="宋体" w:eastAsia="宋体" w:hint="default"/>
          <w:spacing w:val="-1"/>
          <w:sz w:val="21"/>
          <w:szCs w:val="21"/>
        </w:rPr>
        <w:t>专门借款的利息费用（扣除尚未动用的借款资金存入银行取得的利息收入或者进行暂时性投资取得的</w:t>
      </w:r>
    </w:p>
    <w:p>
      <w:pPr>
        <w:pStyle w:val="BodyText"/>
        <w:spacing w:line="348" w:lineRule="auto" w:before="25"/>
        <w:ind w:right="1002"/>
        <w:jc w:val="left"/>
      </w:pPr>
      <w:r>
        <w:rPr>
          <w:spacing w:val="-2"/>
        </w:rPr>
        <w:t>投资收益）及其辅助费用在所购建或者生产的符合资本化条件的资产达到预定可使用或者可销售状态前，</w:t>
      </w:r>
      <w:r>
        <w:rPr>
          <w:spacing w:val="-13"/>
        </w:rPr>
        <w:t> </w:t>
      </w:r>
      <w:r>
        <w:rPr>
          <w:spacing w:val="-13"/>
        </w:rPr>
      </w:r>
      <w:r>
        <w:rPr/>
        <w:t>予以资本化。</w:t>
      </w:r>
    </w:p>
    <w:p>
      <w:pPr>
        <w:pStyle w:val="BodyText"/>
        <w:spacing w:line="350" w:lineRule="auto" w:before="34"/>
        <w:ind w:right="1002" w:firstLine="360"/>
        <w:jc w:val="left"/>
      </w:pPr>
      <w:r>
        <w:rPr>
          <w:spacing w:val="-1"/>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r>
        <w:rPr>
          <w:w w:val="100"/>
        </w:rPr>
        <w:t> </w:t>
      </w:r>
      <w:r>
        <w:rPr>
          <w:spacing w:val="-2"/>
        </w:rPr>
        <w:t>借款存在折价或者溢价的，按照实际利率法确定每一会计期间应摊销的折价或者溢价金额，调整每期利息</w:t>
      </w:r>
      <w:r>
        <w:rPr>
          <w:spacing w:val="-33"/>
        </w:rPr>
        <w:t> </w:t>
      </w:r>
      <w:r>
        <w:rPr>
          <w:spacing w:val="-33"/>
        </w:rPr>
      </w:r>
      <w:r>
        <w:rPr/>
        <w:t>金额。</w:t>
      </w:r>
    </w:p>
    <w:p>
      <w:pPr>
        <w:spacing w:line="240" w:lineRule="auto" w:before="11"/>
        <w:rPr>
          <w:rFonts w:ascii="宋体" w:hAnsi="宋体" w:cs="宋体" w:eastAsia="宋体" w:hint="default"/>
          <w:sz w:val="24"/>
          <w:szCs w:val="24"/>
        </w:rPr>
      </w:pPr>
    </w:p>
    <w:p>
      <w:pPr>
        <w:pStyle w:val="Heading5"/>
        <w:spacing w:line="240" w:lineRule="auto"/>
        <w:ind w:right="0"/>
        <w:jc w:val="both"/>
        <w:rPr>
          <w:b w:val="0"/>
          <w:bCs w:val="0"/>
        </w:rPr>
      </w:pPr>
      <w:bookmarkStart w:name="27、生物资产" w:id="205"/>
      <w:bookmarkEnd w:id="205"/>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0"/>
        <w:rPr>
          <w:rFonts w:ascii="宋体" w:hAnsi="宋体" w:cs="宋体" w:eastAsia="宋体" w:hint="default"/>
          <w:b/>
          <w:bCs/>
          <w:sz w:val="31"/>
          <w:szCs w:val="31"/>
        </w:rPr>
      </w:pPr>
    </w:p>
    <w:p>
      <w:pPr>
        <w:pStyle w:val="Heading5"/>
        <w:spacing w:line="240" w:lineRule="auto"/>
        <w:ind w:right="0"/>
        <w:jc w:val="both"/>
        <w:rPr>
          <w:b w:val="0"/>
          <w:bCs w:val="0"/>
        </w:rPr>
      </w:pPr>
      <w:bookmarkStart w:name="28、油气资产" w:id="206"/>
      <w:bookmarkEnd w:id="206"/>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4"/>
        <w:rPr>
          <w:rFonts w:ascii="宋体" w:hAnsi="宋体" w:cs="宋体" w:eastAsia="宋体" w:hint="default"/>
          <w:b/>
          <w:bCs/>
          <w:sz w:val="31"/>
          <w:szCs w:val="31"/>
        </w:rPr>
      </w:pPr>
    </w:p>
    <w:p>
      <w:pPr>
        <w:pStyle w:val="Heading5"/>
        <w:spacing w:line="240" w:lineRule="auto"/>
        <w:ind w:right="0"/>
        <w:jc w:val="both"/>
        <w:rPr>
          <w:b w:val="0"/>
          <w:bCs w:val="0"/>
        </w:rPr>
      </w:pPr>
      <w:bookmarkStart w:name="29、使用权资产" w:id="207"/>
      <w:bookmarkEnd w:id="207"/>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4"/>
        <w:rPr>
          <w:rFonts w:ascii="宋体" w:hAnsi="宋体" w:cs="宋体" w:eastAsia="宋体" w:hint="default"/>
          <w:b/>
          <w:bCs/>
          <w:sz w:val="31"/>
          <w:szCs w:val="31"/>
        </w:rPr>
      </w:pPr>
    </w:p>
    <w:p>
      <w:pPr>
        <w:pStyle w:val="Heading5"/>
        <w:spacing w:line="240" w:lineRule="auto"/>
        <w:ind w:right="0"/>
        <w:jc w:val="both"/>
        <w:rPr>
          <w:b w:val="0"/>
          <w:bCs w:val="0"/>
        </w:rPr>
      </w:pPr>
      <w:bookmarkStart w:name="30、无形资产" w:id="208"/>
      <w:bookmarkEnd w:id="208"/>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5"/>
        <w:rPr>
          <w:rFonts w:ascii="宋体" w:hAnsi="宋体" w:cs="宋体" w:eastAsia="宋体" w:hint="default"/>
          <w:b/>
          <w:bCs/>
          <w:sz w:val="31"/>
          <w:szCs w:val="31"/>
        </w:rPr>
      </w:pPr>
    </w:p>
    <w:p>
      <w:pPr>
        <w:pStyle w:val="Heading5"/>
        <w:spacing w:line="240" w:lineRule="auto"/>
        <w:ind w:right="0"/>
        <w:jc w:val="both"/>
        <w:rPr>
          <w:b w:val="0"/>
          <w:bCs w:val="0"/>
        </w:rPr>
      </w:pPr>
      <w:bookmarkStart w:name="（1）计价方法、使用寿命、减值测试" w:id="209"/>
      <w:bookmarkEnd w:id="20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31"/>
          <w:szCs w:val="31"/>
        </w:rPr>
      </w:pPr>
    </w:p>
    <w:p>
      <w:pPr>
        <w:pStyle w:val="BodyText"/>
        <w:spacing w:line="348" w:lineRule="auto" w:before="0"/>
        <w:ind w:left="473" w:right="1002"/>
        <w:jc w:val="left"/>
      </w:pPr>
      <w:r>
        <w:rPr>
          <w:spacing w:val="-3"/>
        </w:rPr>
        <w:t>无形资产是指本公司拥有或者控制的没有实物形态的可辨认非货币性资产，包括土地使用权、软件等。</w:t>
      </w:r>
      <w:r>
        <w:rPr>
          <w:spacing w:val="-34"/>
        </w:rPr>
        <w:t> </w:t>
      </w:r>
      <w:r>
        <w:rPr>
          <w:spacing w:val="-34"/>
        </w:rPr>
      </w:r>
      <w:r>
        <w:rPr>
          <w:rFonts w:ascii="宋体" w:hAnsi="宋体" w:cs="宋体" w:eastAsia="宋体" w:hint="default"/>
          <w:b/>
          <w:bCs/>
        </w:rPr>
        <w:t>1</w:t>
      </w:r>
      <w:r>
        <w:rPr>
          <w:rFonts w:ascii="宋体" w:hAnsi="宋体" w:cs="宋体" w:eastAsia="宋体" w:hint="default"/>
          <w:b/>
          <w:bCs/>
        </w:rPr>
        <w:t>、无形资产的初始计量</w:t>
      </w:r>
      <w:r>
        <w:rPr>
          <w:rFonts w:ascii="宋体" w:hAnsi="宋体" w:cs="宋体" w:eastAsia="宋体" w:hint="default"/>
          <w:b/>
          <w:bCs/>
          <w:spacing w:val="-103"/>
        </w:rPr>
        <w:t> </w:t>
      </w:r>
      <w:r>
        <w:rPr/>
        <w:t>外购无形资产的成本，包括购买价款、相关税费以及直接归属于使该项资产达到预定用途所发生的其</w:t>
      </w:r>
    </w:p>
    <w:p>
      <w:pPr>
        <w:pStyle w:val="BodyText"/>
        <w:spacing w:line="240" w:lineRule="auto" w:before="34"/>
        <w:ind w:right="0"/>
        <w:jc w:val="both"/>
      </w:pPr>
      <w:r>
        <w:rPr/>
        <w:t>他支出。购买无形资产的价款超过正常信用条件延期支付，实质上具有融资性质的，无形资产的成本以购</w:t>
      </w:r>
    </w:p>
    <w:p>
      <w:pPr>
        <w:spacing w:after="0" w:line="24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left="473" w:right="1002" w:hanging="360"/>
        <w:jc w:val="left"/>
      </w:pPr>
      <w:r>
        <w:rPr/>
        <w:t>买价款的现值为基础确定。</w:t>
      </w:r>
      <w:r>
        <w:rPr>
          <w:spacing w:val="-101"/>
        </w:rPr>
        <w:t> </w:t>
      </w:r>
      <w:r>
        <w:rPr>
          <w:spacing w:val="-101"/>
        </w:rPr>
      </w:r>
      <w:r>
        <w:rPr>
          <w:spacing w:val="-1"/>
        </w:rPr>
        <w:t>债务重组取得债务人用以抵债的无形资产，以该无形资产的公允价值为基础确定其入账价值，并将重</w:t>
      </w:r>
    </w:p>
    <w:p>
      <w:pPr>
        <w:pStyle w:val="BodyText"/>
        <w:spacing w:line="348" w:lineRule="auto" w:before="34"/>
        <w:ind w:left="473" w:right="1002" w:hanging="360"/>
        <w:jc w:val="left"/>
      </w:pPr>
      <w:r>
        <w:rPr/>
        <w:t>组债务的账面价值与该用以抵债的无形资产公允价值之间的差额，计入当期损益。</w:t>
      </w:r>
      <w:r>
        <w:rPr>
          <w:spacing w:val="-102"/>
        </w:rPr>
        <w:t> </w:t>
      </w:r>
      <w:r>
        <w:rPr>
          <w:spacing w:val="-102"/>
        </w:rPr>
      </w:r>
      <w:r>
        <w:rPr>
          <w:spacing w:val="-1"/>
        </w:rPr>
        <w:t>在非货币性资产交换具备商业实质且换入资产或换出资产的公允价值能够可靠计量的前提下，非货币</w:t>
      </w:r>
    </w:p>
    <w:p>
      <w:pPr>
        <w:pStyle w:val="BodyText"/>
        <w:spacing w:line="350" w:lineRule="auto" w:before="29"/>
        <w:ind w:right="1124"/>
        <w:jc w:val="both"/>
      </w:pPr>
      <w:r>
        <w:rPr>
          <w:spacing w:val="-2"/>
        </w:rPr>
        <w:t>性资产交换换入的无形资产以换出资产的公允价值为基础确定其入账价值，除非有确凿证据表明换入资产</w:t>
      </w:r>
      <w:r>
        <w:rPr>
          <w:spacing w:val="-33"/>
        </w:rPr>
        <w:t> </w:t>
      </w:r>
      <w:r>
        <w:rPr>
          <w:spacing w:val="-33"/>
        </w:rPr>
      </w:r>
      <w:r>
        <w:rPr>
          <w:spacing w:val="-2"/>
        </w:rPr>
        <w:t>的公允价值更加可靠；不满足上述前提的非货币性资产交换，以换出资产的账面价值和应支付的相关税费</w:t>
      </w:r>
      <w:r>
        <w:rPr>
          <w:spacing w:val="-32"/>
        </w:rPr>
        <w:t> </w:t>
      </w:r>
      <w:r>
        <w:rPr>
          <w:spacing w:val="-32"/>
        </w:rPr>
      </w:r>
      <w:r>
        <w:rPr/>
        <w:t>作为换入无形资产的成本，不确认损益。</w:t>
      </w:r>
    </w:p>
    <w:p>
      <w:pPr>
        <w:pStyle w:val="BodyText"/>
        <w:spacing w:line="352" w:lineRule="auto" w:before="27"/>
        <w:ind w:right="1130" w:firstLine="360"/>
        <w:jc w:val="both"/>
      </w:pPr>
      <w:r>
        <w:rPr>
          <w:spacing w:val="-1"/>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350" w:lineRule="auto" w:before="25"/>
        <w:ind w:right="1126" w:firstLine="360"/>
        <w:jc w:val="both"/>
      </w:pPr>
      <w:r>
        <w:rPr>
          <w:spacing w:val="-1"/>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33"/>
        </w:rPr>
        <w:t> </w:t>
      </w:r>
      <w:r>
        <w:rPr>
          <w:spacing w:val="-33"/>
        </w:rPr>
      </w:r>
      <w:r>
        <w:rPr/>
        <w:t>用途前所发生的其他直接费用。</w:t>
      </w:r>
    </w:p>
    <w:p>
      <w:pPr>
        <w:spacing w:line="348" w:lineRule="auto" w:before="27"/>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本公司在取得无形资产时分析判断其使用寿命，划分为使用寿命有限和使用寿命不确定的无形资产。</w:t>
      </w:r>
    </w:p>
    <w:p>
      <w:pPr>
        <w:pStyle w:val="BodyText"/>
        <w:spacing w:line="348" w:lineRule="auto" w:before="34"/>
        <w:ind w:left="473" w:right="1002"/>
        <w:jc w:val="left"/>
      </w:pPr>
      <w:r>
        <w:rPr/>
        <w:t>（</w:t>
      </w:r>
      <w:r>
        <w:rPr>
          <w:rFonts w:ascii="宋体" w:hAnsi="宋体" w:cs="宋体" w:eastAsia="宋体" w:hint="default"/>
        </w:rPr>
        <w:t>1</w:t>
      </w:r>
      <w:r>
        <w:rPr/>
        <w:t>）使用寿命有限的无形资产</w:t>
      </w:r>
      <w:r>
        <w:rPr>
          <w:spacing w:val="-99"/>
        </w:rPr>
        <w:t> </w:t>
      </w:r>
      <w:r>
        <w:rPr>
          <w:spacing w:val="-99"/>
        </w:rPr>
      </w:r>
      <w:r>
        <w:rPr>
          <w:spacing w:val="-1"/>
        </w:rPr>
        <w:t>对于使用寿命有限的无形资产，在为企业带来经济利益的期限内按直线法摊销。使用寿命有限的无形</w:t>
      </w:r>
    </w:p>
    <w:p>
      <w:pPr>
        <w:pStyle w:val="BodyText"/>
        <w:spacing w:line="240" w:lineRule="auto" w:before="29"/>
        <w:ind w:right="1002"/>
        <w:jc w:val="left"/>
      </w:pPr>
      <w:r>
        <w:rPr/>
        <w:t>资产预计寿命及依据如下：</w:t>
      </w:r>
    </w:p>
    <w:p>
      <w:pPr>
        <w:spacing w:line="240" w:lineRule="auto" w:before="13"/>
        <w:rPr>
          <w:rFonts w:ascii="宋体" w:hAnsi="宋体" w:cs="宋体" w:eastAsia="宋体" w:hint="default"/>
          <w:sz w:val="3"/>
          <w:szCs w:val="3"/>
        </w:rPr>
      </w:pPr>
    </w:p>
    <w:tbl>
      <w:tblPr>
        <w:tblW w:w="0" w:type="auto"/>
        <w:jc w:val="left"/>
        <w:tblInd w:w="430" w:type="dxa"/>
        <w:tblLayout w:type="fixed"/>
        <w:tblCellMar>
          <w:top w:w="0" w:type="dxa"/>
          <w:left w:w="0" w:type="dxa"/>
          <w:bottom w:w="0" w:type="dxa"/>
          <w:right w:w="0" w:type="dxa"/>
        </w:tblCellMar>
        <w:tblLook w:val="01E0"/>
      </w:tblPr>
      <w:tblGrid>
        <w:gridCol w:w="2483"/>
        <w:gridCol w:w="2814"/>
        <w:gridCol w:w="3078"/>
      </w:tblGrid>
      <w:tr>
        <w:trPr>
          <w:trHeight w:val="432"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 w:right="0"/>
              <w:jc w:val="center"/>
              <w:rPr>
                <w:rFonts w:ascii="宋体" w:hAnsi="宋体" w:cs="宋体" w:eastAsia="宋体" w:hint="default"/>
                <w:sz w:val="21"/>
                <w:szCs w:val="21"/>
              </w:rPr>
            </w:pPr>
            <w:r>
              <w:rPr>
                <w:rFonts w:ascii="宋体" w:hAnsi="宋体" w:cs="宋体" w:eastAsia="宋体" w:hint="default"/>
                <w:sz w:val="21"/>
                <w:szCs w:val="21"/>
              </w:rPr>
              <w:t>预计使用寿命</w:t>
            </w:r>
          </w:p>
        </w:tc>
        <w:tc>
          <w:tcPr>
            <w:tcW w:w="3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437"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8" w:right="0"/>
              <w:jc w:val="center"/>
              <w:rPr>
                <w:rFonts w:ascii="宋体" w:hAnsi="宋体" w:cs="宋体" w:eastAsia="宋体" w:hint="default"/>
                <w:sz w:val="21"/>
                <w:szCs w:val="21"/>
              </w:rPr>
            </w:pPr>
            <w:r>
              <w:rPr>
                <w:rFonts w:ascii="宋体" w:hAnsi="宋体" w:cs="宋体" w:eastAsia="宋体" w:hint="default"/>
                <w:sz w:val="21"/>
                <w:szCs w:val="21"/>
              </w:rPr>
              <w:t>按照权证可使用期限</w:t>
            </w:r>
          </w:p>
        </w:tc>
        <w:tc>
          <w:tcPr>
            <w:tcW w:w="3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 w:right="0"/>
              <w:jc w:val="center"/>
              <w:rPr>
                <w:rFonts w:ascii="宋体" w:hAnsi="宋体" w:cs="宋体" w:eastAsia="宋体" w:hint="default"/>
                <w:sz w:val="21"/>
                <w:szCs w:val="21"/>
              </w:rPr>
            </w:pPr>
            <w:r>
              <w:rPr>
                <w:rFonts w:ascii="宋体" w:hAnsi="宋体" w:cs="宋体" w:eastAsia="宋体" w:hint="default"/>
                <w:sz w:val="21"/>
                <w:szCs w:val="21"/>
              </w:rPr>
              <w:t>直线法</w:t>
            </w:r>
          </w:p>
        </w:tc>
      </w:tr>
      <w:tr>
        <w:trPr>
          <w:trHeight w:val="437"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 w:right="0"/>
              <w:jc w:val="center"/>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z w:val="21"/>
                <w:szCs w:val="21"/>
              </w:rPr>
              <w:t>年</w:t>
            </w:r>
          </w:p>
        </w:tc>
        <w:tc>
          <w:tcPr>
            <w:tcW w:w="3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 w:right="0"/>
              <w:jc w:val="center"/>
              <w:rPr>
                <w:rFonts w:ascii="宋体" w:hAnsi="宋体" w:cs="宋体" w:eastAsia="宋体" w:hint="default"/>
                <w:sz w:val="21"/>
                <w:szCs w:val="21"/>
              </w:rPr>
            </w:pPr>
            <w:r>
              <w:rPr>
                <w:rFonts w:ascii="宋体" w:hAnsi="宋体" w:cs="宋体" w:eastAsia="宋体" w:hint="default"/>
                <w:sz w:val="21"/>
                <w:szCs w:val="21"/>
              </w:rPr>
              <w:t>直线法</w:t>
            </w:r>
          </w:p>
        </w:tc>
      </w:tr>
      <w:tr>
        <w:trPr>
          <w:trHeight w:val="432"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4" w:right="0"/>
              <w:jc w:val="center"/>
              <w:rPr>
                <w:rFonts w:ascii="宋体" w:hAnsi="宋体" w:cs="宋体" w:eastAsia="宋体" w:hint="default"/>
                <w:sz w:val="21"/>
                <w:szCs w:val="21"/>
              </w:rPr>
            </w:pPr>
            <w:r>
              <w:rPr>
                <w:rFonts w:ascii="宋体" w:hAnsi="宋体" w:cs="宋体" w:eastAsia="宋体" w:hint="default"/>
                <w:sz w:val="21"/>
                <w:szCs w:val="21"/>
              </w:rPr>
              <w:t>4-10</w:t>
            </w:r>
            <w:r>
              <w:rPr>
                <w:rFonts w:ascii="宋体" w:hAnsi="宋体" w:cs="宋体" w:eastAsia="宋体" w:hint="default"/>
                <w:sz w:val="21"/>
                <w:szCs w:val="21"/>
              </w:rPr>
              <w:t>年</w:t>
            </w:r>
          </w:p>
        </w:tc>
        <w:tc>
          <w:tcPr>
            <w:tcW w:w="3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 w:right="0"/>
              <w:jc w:val="center"/>
              <w:rPr>
                <w:rFonts w:ascii="宋体" w:hAnsi="宋体" w:cs="宋体" w:eastAsia="宋体" w:hint="default"/>
                <w:sz w:val="21"/>
                <w:szCs w:val="21"/>
              </w:rPr>
            </w:pPr>
            <w:r>
              <w:rPr>
                <w:rFonts w:ascii="宋体" w:hAnsi="宋体" w:cs="宋体" w:eastAsia="宋体" w:hint="default"/>
                <w:sz w:val="21"/>
                <w:szCs w:val="21"/>
              </w:rPr>
              <w:t>直线法</w:t>
            </w:r>
          </w:p>
        </w:tc>
      </w:tr>
      <w:tr>
        <w:trPr>
          <w:trHeight w:val="437"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特许经营权</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 w:right="0"/>
              <w:jc w:val="center"/>
              <w:rPr>
                <w:rFonts w:ascii="宋体" w:hAnsi="宋体" w:cs="宋体" w:eastAsia="宋体" w:hint="default"/>
                <w:sz w:val="21"/>
                <w:szCs w:val="21"/>
              </w:rPr>
            </w:pPr>
            <w:r>
              <w:rPr>
                <w:rFonts w:ascii="宋体" w:hAnsi="宋体" w:cs="宋体" w:eastAsia="宋体" w:hint="default"/>
                <w:sz w:val="21"/>
                <w:szCs w:val="21"/>
              </w:rPr>
              <w:t>按协议约定期限</w:t>
            </w:r>
          </w:p>
        </w:tc>
        <w:tc>
          <w:tcPr>
            <w:tcW w:w="3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 w:right="0"/>
              <w:jc w:val="center"/>
              <w:rPr>
                <w:rFonts w:ascii="宋体" w:hAnsi="宋体" w:cs="宋体" w:eastAsia="宋体" w:hint="default"/>
                <w:sz w:val="21"/>
                <w:szCs w:val="21"/>
              </w:rPr>
            </w:pPr>
            <w:r>
              <w:rPr>
                <w:rFonts w:ascii="宋体" w:hAnsi="宋体" w:cs="宋体" w:eastAsia="宋体" w:hint="default"/>
                <w:sz w:val="21"/>
                <w:szCs w:val="21"/>
              </w:rPr>
              <w:t>直线法</w:t>
            </w:r>
          </w:p>
        </w:tc>
      </w:tr>
      <w:tr>
        <w:trPr>
          <w:trHeight w:val="437" w:hRule="exact"/>
        </w:trPr>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2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 w:right="0"/>
              <w:jc w:val="center"/>
              <w:rPr>
                <w:rFonts w:ascii="宋体" w:hAnsi="宋体" w:cs="宋体" w:eastAsia="宋体" w:hint="default"/>
                <w:sz w:val="21"/>
                <w:szCs w:val="21"/>
              </w:rPr>
            </w:pPr>
            <w:r>
              <w:rPr>
                <w:rFonts w:ascii="宋体" w:hAnsi="宋体" w:cs="宋体" w:eastAsia="宋体" w:hint="default"/>
                <w:sz w:val="21"/>
                <w:szCs w:val="21"/>
              </w:rPr>
              <w:t>按照权证可使用期限</w:t>
            </w:r>
          </w:p>
        </w:tc>
        <w:tc>
          <w:tcPr>
            <w:tcW w:w="3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9" w:right="0"/>
              <w:jc w:val="center"/>
              <w:rPr>
                <w:rFonts w:ascii="宋体" w:hAnsi="宋体" w:cs="宋体" w:eastAsia="宋体" w:hint="default"/>
                <w:sz w:val="21"/>
                <w:szCs w:val="21"/>
              </w:rPr>
            </w:pPr>
            <w:r>
              <w:rPr>
                <w:rFonts w:ascii="宋体" w:hAnsi="宋体" w:cs="宋体" w:eastAsia="宋体" w:hint="default"/>
                <w:sz w:val="21"/>
                <w:szCs w:val="21"/>
              </w:rPr>
              <w:t>直线法</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348" w:lineRule="auto" w:before="0"/>
        <w:ind w:right="1002" w:firstLine="360"/>
        <w:jc w:val="left"/>
      </w:pPr>
      <w:r>
        <w:rPr>
          <w:spacing w:val="-1"/>
        </w:rPr>
        <w:t>每期末，对使用寿命有限的无形资产的使用寿命及摊销方法进行复核，如与原先估计数存在差异的，</w:t>
      </w:r>
      <w:r>
        <w:rPr>
          <w:w w:val="100"/>
        </w:rPr>
        <w:t> </w:t>
      </w:r>
      <w:r>
        <w:rPr/>
        <w:t>进行相应的调整。</w:t>
      </w:r>
    </w:p>
    <w:p>
      <w:pPr>
        <w:pStyle w:val="BodyText"/>
        <w:spacing w:line="240" w:lineRule="auto" w:before="34"/>
        <w:ind w:left="473" w:right="1002"/>
        <w:jc w:val="left"/>
      </w:pPr>
      <w:r>
        <w:rPr/>
        <w:t>经复核，本期期末无形资产的使用寿命及摊销方法与以前估计未有不同。</w:t>
      </w:r>
    </w:p>
    <w:p>
      <w:pPr>
        <w:pStyle w:val="BodyText"/>
        <w:spacing w:line="348" w:lineRule="auto" w:before="124"/>
        <w:ind w:left="473" w:right="1002"/>
        <w:jc w:val="left"/>
      </w:pPr>
      <w:r>
        <w:rPr/>
        <w:t>（</w:t>
      </w:r>
      <w:r>
        <w:rPr>
          <w:rFonts w:ascii="宋体" w:hAnsi="宋体" w:cs="宋体" w:eastAsia="宋体" w:hint="default"/>
        </w:rPr>
        <w:t>2</w:t>
      </w:r>
      <w:r>
        <w:rPr/>
        <w:t>）使用寿命不确定的无形资产</w:t>
      </w:r>
      <w:r>
        <w:rPr>
          <w:spacing w:val="-103"/>
        </w:rPr>
        <w:t> </w:t>
      </w:r>
      <w:r>
        <w:rPr>
          <w:spacing w:val="-103"/>
        </w:rPr>
      </w:r>
      <w:r>
        <w:rPr>
          <w:spacing w:val="-1"/>
        </w:rPr>
        <w:t>无法预见无形资产为企业带来经济利益期限的，视为使用寿命不确定的无形资产。对于使用寿命不确</w:t>
      </w:r>
    </w:p>
    <w:p>
      <w:pPr>
        <w:pStyle w:val="BodyText"/>
        <w:spacing w:line="348" w:lineRule="auto" w:before="34"/>
        <w:ind w:right="1002"/>
        <w:jc w:val="left"/>
      </w:pPr>
      <w:r>
        <w:rPr>
          <w:spacing w:val="-2"/>
        </w:rPr>
        <w:t>定的无形资产，在持有期间内不摊销，每期末对无形资产的寿命进行复核。如果期末重新复核后仍为不确</w:t>
      </w:r>
      <w:r>
        <w:rPr>
          <w:spacing w:val="-33"/>
        </w:rPr>
        <w:t> </w:t>
      </w:r>
      <w:r>
        <w:rPr>
          <w:spacing w:val="-33"/>
        </w:rPr>
      </w:r>
      <w:r>
        <w:rPr/>
        <w:t>定的，在每个会计期间继续进行减值测试。</w:t>
      </w:r>
    </w:p>
    <w:p>
      <w:pPr>
        <w:spacing w:after="0" w:line="348"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Heading5"/>
        <w:spacing w:line="240" w:lineRule="auto" w:before="36"/>
        <w:ind w:right="1002"/>
        <w:jc w:val="left"/>
        <w:rPr>
          <w:b w:val="0"/>
          <w:bCs w:val="0"/>
        </w:rPr>
      </w:pPr>
      <w:bookmarkStart w:name="（2）内部研究开发支出会计政策" w:id="210"/>
      <w:bookmarkEnd w:id="21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31"/>
          <w:szCs w:val="31"/>
        </w:rPr>
      </w:pPr>
    </w:p>
    <w:p>
      <w:pPr>
        <w:spacing w:line="350" w:lineRule="auto" w:before="0"/>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b/>
          <w:bCs/>
          <w:w w:val="100"/>
          <w:sz w:val="21"/>
          <w:szCs w:val="21"/>
        </w:rPr>
        <w:t> </w:t>
      </w:r>
      <w:r>
        <w:rPr>
          <w:rFonts w:ascii="宋体" w:hAnsi="宋体" w:cs="宋体" w:eastAsia="宋体" w:hint="default"/>
          <w:sz w:val="21"/>
          <w:szCs w:val="21"/>
        </w:rPr>
        <w:t>研究阶段：为获取并理解新的科学或技术知识等而进行的独创性的有计划调查、研究活动的阶段。</w:t>
      </w:r>
      <w:r>
        <w:rPr>
          <w:rFonts w:ascii="宋体" w:hAnsi="宋体" w:cs="宋体" w:eastAsia="宋体" w:hint="default"/>
          <w:w w:val="100"/>
          <w:sz w:val="21"/>
          <w:szCs w:val="21"/>
        </w:rPr>
        <w:t> </w:t>
      </w:r>
      <w:r>
        <w:rPr>
          <w:rFonts w:ascii="宋体" w:hAnsi="宋体" w:cs="宋体" w:eastAsia="宋体" w:hint="default"/>
          <w:spacing w:val="-1"/>
          <w:sz w:val="21"/>
          <w:szCs w:val="21"/>
        </w:rPr>
        <w:t>开发阶段：在进行商业性生产或使用前，将研究成果或其他知识应用于某项计划或设计，以生产出新</w:t>
      </w:r>
    </w:p>
    <w:p>
      <w:pPr>
        <w:pStyle w:val="BodyText"/>
        <w:spacing w:line="350" w:lineRule="auto" w:before="27"/>
        <w:ind w:left="473" w:right="1824" w:hanging="360"/>
        <w:jc w:val="left"/>
      </w:pPr>
      <w:r>
        <w:rPr/>
        <w:t>的或具有实质性改进的材料、装置、产品等活动的阶段。</w:t>
      </w:r>
      <w:r>
        <w:rPr>
          <w:w w:val="100"/>
        </w:rPr>
        <w:t> </w:t>
      </w:r>
      <w:r>
        <w:rPr/>
        <w:t>内部研究开发项目研究阶段的支出，在发生时计入当期损益。</w:t>
      </w:r>
      <w:r>
        <w:rPr>
          <w:w w:val="100"/>
        </w:rPr>
        <w:t> </w:t>
      </w:r>
      <w:r>
        <w:rPr>
          <w:rFonts w:ascii="宋体" w:hAnsi="宋体" w:cs="宋体" w:eastAsia="宋体" w:hint="default"/>
          <w:b/>
          <w:bCs/>
        </w:rPr>
        <w:t>2</w:t>
      </w:r>
      <w:r>
        <w:rPr>
          <w:rFonts w:ascii="宋体" w:hAnsi="宋体" w:cs="宋体" w:eastAsia="宋体" w:hint="default"/>
          <w:b/>
          <w:bCs/>
        </w:rPr>
        <w:t>、开发阶段支出符合资本化的具体标准</w:t>
      </w:r>
      <w:r>
        <w:rPr>
          <w:rFonts w:ascii="宋体" w:hAnsi="宋体" w:cs="宋体" w:eastAsia="宋体" w:hint="default"/>
          <w:b/>
          <w:bCs/>
          <w:w w:val="100"/>
        </w:rPr>
        <w:t> </w:t>
      </w:r>
      <w:r>
        <w:rPr>
          <w:spacing w:val="-2"/>
        </w:rPr>
        <w:t>内部研究开发项目开发阶段的支出，同时满足下列条件时确认为无形资产：</w:t>
      </w:r>
    </w:p>
    <w:p>
      <w:pPr>
        <w:pStyle w:val="BodyText"/>
        <w:spacing w:line="240" w:lineRule="auto" w:before="27"/>
        <w:ind w:left="473" w:right="1002"/>
        <w:jc w:val="left"/>
      </w:pPr>
      <w:r>
        <w:rPr/>
        <w:t>（</w:t>
      </w:r>
      <w:r>
        <w:rPr>
          <w:rFonts w:ascii="宋体" w:hAnsi="宋体" w:cs="宋体" w:eastAsia="宋体" w:hint="default"/>
        </w:rPr>
        <w:t>1</w:t>
      </w:r>
      <w:r>
        <w:rPr/>
        <w:t>）完成该无形资产以使其能够使用或出售在技术上具有可行性；</w:t>
      </w:r>
    </w:p>
    <w:p>
      <w:pPr>
        <w:pStyle w:val="BodyText"/>
        <w:spacing w:line="240" w:lineRule="auto" w:before="128"/>
        <w:ind w:left="473" w:right="1002"/>
        <w:jc w:val="left"/>
      </w:pPr>
      <w:r>
        <w:rPr/>
        <w:t>（</w:t>
      </w:r>
      <w:r>
        <w:rPr>
          <w:rFonts w:ascii="宋体" w:hAnsi="宋体" w:cs="宋体" w:eastAsia="宋体" w:hint="default"/>
        </w:rPr>
        <w:t>2</w:t>
      </w:r>
      <w:r>
        <w:rPr/>
        <w:t>）具有完成该无形资产并使用或出售的意图；</w:t>
      </w:r>
    </w:p>
    <w:p>
      <w:pPr>
        <w:pStyle w:val="BodyText"/>
        <w:spacing w:line="348" w:lineRule="auto" w:before="124"/>
        <w:ind w:right="1126" w:firstLine="360"/>
        <w:jc w:val="both"/>
      </w:pPr>
      <w:r>
        <w:rPr>
          <w:spacing w:val="-3"/>
        </w:rPr>
        <w:t>（</w:t>
      </w:r>
      <w:r>
        <w:rPr>
          <w:rFonts w:ascii="宋体" w:hAnsi="宋体" w:cs="宋体" w:eastAsia="宋体" w:hint="default"/>
          <w:spacing w:val="-3"/>
        </w:rPr>
        <w:t>3</w:t>
      </w:r>
      <w:r>
        <w:rPr>
          <w:spacing w:val="-3"/>
        </w:rPr>
        <w:t>）无形资产产生经济利益的方式，包括能够证明运用该无形资产生产的产品存在市场或无形资产自</w:t>
      </w:r>
      <w:r>
        <w:rPr>
          <w:w w:val="100"/>
        </w:rPr>
        <w:t> </w:t>
      </w:r>
      <w:r>
        <w:rPr/>
        <w:t>身存在市场，无形资产将在内部使用的，能够证明其有用性；</w:t>
      </w:r>
    </w:p>
    <w:p>
      <w:pPr>
        <w:pStyle w:val="BodyText"/>
        <w:spacing w:line="348" w:lineRule="auto" w:before="34"/>
        <w:ind w:right="1130" w:firstLine="360"/>
        <w:jc w:val="both"/>
      </w:pPr>
      <w:r>
        <w:rPr>
          <w:spacing w:val="-3"/>
        </w:rPr>
        <w:t>（</w:t>
      </w:r>
      <w:r>
        <w:rPr>
          <w:rFonts w:ascii="宋体" w:hAnsi="宋体" w:cs="宋体" w:eastAsia="宋体" w:hint="default"/>
          <w:spacing w:val="-3"/>
        </w:rPr>
        <w:t>4</w:t>
      </w:r>
      <w:r>
        <w:rPr>
          <w:spacing w:val="-3"/>
        </w:rPr>
        <w:t>）有足够的技术、财务资源和其他资源支持，以完成该无形资产的开发，并有能力使用或出售该无</w:t>
      </w:r>
      <w:r>
        <w:rPr>
          <w:w w:val="100"/>
        </w:rPr>
        <w:t> </w:t>
      </w:r>
      <w:r>
        <w:rPr/>
        <w:t>形资产；</w:t>
      </w:r>
    </w:p>
    <w:p>
      <w:pPr>
        <w:pStyle w:val="BodyText"/>
        <w:spacing w:line="352" w:lineRule="auto" w:before="29"/>
        <w:ind w:left="473" w:right="1002"/>
        <w:jc w:val="left"/>
      </w:pPr>
      <w:r>
        <w:rPr/>
        <w:t>（</w:t>
      </w:r>
      <w:r>
        <w:rPr>
          <w:rFonts w:ascii="宋体" w:hAnsi="宋体" w:cs="宋体" w:eastAsia="宋体" w:hint="default"/>
        </w:rPr>
        <w:t>5</w:t>
      </w:r>
      <w:r>
        <w:rPr/>
        <w:t>）归属于该无形资产开发阶段的支出能够可靠地计量。</w:t>
      </w:r>
      <w:r>
        <w:rPr>
          <w:w w:val="100"/>
        </w:rPr>
        <w:t> </w:t>
      </w:r>
      <w:r>
        <w:rPr>
          <w:spacing w:val="-1"/>
        </w:rPr>
        <w:t>不满足上述条件的开发阶段的支出，于发生时计入当期损益。以前期间已计入损益的开发支出不在以</w:t>
      </w:r>
    </w:p>
    <w:p>
      <w:pPr>
        <w:pStyle w:val="BodyText"/>
        <w:spacing w:line="348" w:lineRule="auto" w:before="25"/>
        <w:ind w:right="1002"/>
        <w:jc w:val="left"/>
      </w:pPr>
      <w:r>
        <w:rPr>
          <w:spacing w:val="-2"/>
        </w:rPr>
        <w:t>后期间重新确认为资产。已资本化的开发阶段的支出在资产负债表上列示为开发支出，自该项目达到预定</w:t>
      </w:r>
      <w:r>
        <w:rPr>
          <w:spacing w:val="-33"/>
        </w:rPr>
        <w:t> </w:t>
      </w:r>
      <w:r>
        <w:rPr>
          <w:spacing w:val="-33"/>
        </w:rPr>
      </w:r>
      <w:r>
        <w:rPr/>
        <w:t>用途之日起转为无形资产。</w:t>
      </w:r>
    </w:p>
    <w:p>
      <w:pPr>
        <w:pStyle w:val="BodyText"/>
        <w:spacing w:line="700" w:lineRule="exact" w:before="17"/>
        <w:ind w:left="473" w:right="1002" w:hanging="360"/>
        <w:jc w:val="left"/>
      </w:pPr>
      <w:bookmarkStart w:name="31、长期资产减值" w:id="211"/>
      <w:bookmarkEnd w:id="211"/>
      <w:r>
        <w:rPr/>
      </w:r>
      <w:r>
        <w:rPr>
          <w:rFonts w:ascii="Times New Roman" w:hAnsi="Times New Roman" w:cs="Times New Roman" w:eastAsia="Times New Roman" w:hint="default"/>
          <w:b/>
          <w:bCs/>
        </w:rPr>
        <w:t>31</w:t>
      </w:r>
      <w:r>
        <w:rPr>
          <w:rFonts w:ascii="宋体" w:hAnsi="宋体" w:cs="宋体" w:eastAsia="宋体" w:hint="default"/>
          <w:b/>
          <w:bCs/>
        </w:rPr>
        <w:t>、长期资产减值</w:t>
      </w:r>
      <w:r>
        <w:rPr>
          <w:rFonts w:ascii="宋体" w:hAnsi="宋体" w:cs="宋体" w:eastAsia="宋体" w:hint="default"/>
          <w:b/>
          <w:bCs/>
          <w:spacing w:val="-102"/>
        </w:rPr>
        <w:t> </w:t>
      </w:r>
      <w:r>
        <w:rPr>
          <w:spacing w:val="-1"/>
        </w:rPr>
        <w:t>本公司在资产负债表日判断长期资产是否存在可能发生减值的迹象。如果长期资产存在减值迹象的，</w:t>
      </w:r>
    </w:p>
    <w:p>
      <w:pPr>
        <w:pStyle w:val="BodyText"/>
        <w:spacing w:line="352" w:lineRule="auto" w:before="13"/>
        <w:ind w:right="1002"/>
        <w:jc w:val="left"/>
      </w:pPr>
      <w:r>
        <w:rPr>
          <w:spacing w:val="-2"/>
        </w:rPr>
        <w:t>以单项资产为基础估计其可收回金额；难以对单项资产的可收回金额进行估计的，以该资产所属的资产组</w:t>
      </w:r>
      <w:r>
        <w:rPr>
          <w:spacing w:val="-33"/>
        </w:rPr>
        <w:t> </w:t>
      </w:r>
      <w:r>
        <w:rPr>
          <w:spacing w:val="-33"/>
        </w:rPr>
      </w:r>
      <w:r>
        <w:rPr/>
        <w:t>为基础确定资产组的可收回金额。</w:t>
      </w:r>
    </w:p>
    <w:p>
      <w:pPr>
        <w:pStyle w:val="BodyText"/>
        <w:spacing w:line="348" w:lineRule="auto" w:before="25"/>
        <w:ind w:right="1130" w:firstLine="360"/>
        <w:jc w:val="both"/>
      </w:pPr>
      <w:r>
        <w:rPr>
          <w:spacing w:val="-1"/>
        </w:rPr>
        <w:t>资产可收回金额的估计，根据其公允价值减去处置费用后的净额与资产预计未来现金流量的现值两者</w:t>
      </w:r>
      <w:r>
        <w:rPr>
          <w:w w:val="100"/>
        </w:rPr>
        <w:t> </w:t>
      </w:r>
      <w:r>
        <w:rPr/>
        <w:t>之间较高者确定。</w:t>
      </w:r>
    </w:p>
    <w:p>
      <w:pPr>
        <w:pStyle w:val="BodyText"/>
        <w:spacing w:line="348" w:lineRule="auto" w:before="34"/>
        <w:ind w:right="1126" w:firstLine="360"/>
        <w:jc w:val="both"/>
      </w:pPr>
      <w:r>
        <w:rPr>
          <w:spacing w:val="-1"/>
        </w:rPr>
        <w:t>可收回金额的计量结果表明，长期资产的可收回金额低于其账面价值的，将长期资产的账面价值减记</w:t>
      </w:r>
      <w:r>
        <w:rPr>
          <w:w w:val="100"/>
        </w:rPr>
        <w:t> </w:t>
      </w:r>
      <w:r>
        <w:rPr>
          <w:spacing w:val="-2"/>
        </w:rPr>
        <w:t>至可收回金额，减记的金额确认为资产减值损失，计入当期损益，同时计提相应的资产减值准备。资产减</w:t>
      </w:r>
      <w:r>
        <w:rPr>
          <w:spacing w:val="-33"/>
        </w:rPr>
        <w:t> </w:t>
      </w:r>
      <w:r>
        <w:rPr>
          <w:spacing w:val="-33"/>
        </w:rPr>
      </w:r>
      <w:r>
        <w:rPr/>
        <w:t>值损失一经确认，在以后会计期间不得转回。</w:t>
      </w:r>
    </w:p>
    <w:p>
      <w:pPr>
        <w:pStyle w:val="BodyText"/>
        <w:spacing w:line="348" w:lineRule="auto" w:before="34"/>
        <w:ind w:right="1128" w:firstLine="360"/>
        <w:jc w:val="both"/>
      </w:pPr>
      <w:r>
        <w:rPr>
          <w:spacing w:val="-1"/>
        </w:rPr>
        <w:t>资产减值损失确认后，减值资产的折旧或者摊销费用在未来期间作相应调整，以使该资产在剩余使用</w:t>
      </w:r>
      <w:r>
        <w:rPr>
          <w:w w:val="100"/>
        </w:rPr>
        <w:t> </w:t>
      </w:r>
      <w:r>
        <w:rPr>
          <w:spacing w:val="-5"/>
          <w:w w:val="100"/>
        </w:rPr>
        <w:t>寿命内，系统地分摊调整后的资产账面价值（扣除预计净残值）。</w:t>
      </w:r>
    </w:p>
    <w:p>
      <w:pPr>
        <w:pStyle w:val="BodyText"/>
        <w:spacing w:line="352" w:lineRule="auto" w:before="29"/>
        <w:ind w:right="1130" w:firstLine="360"/>
        <w:jc w:val="both"/>
      </w:pPr>
      <w:r>
        <w:rPr>
          <w:spacing w:val="-1"/>
        </w:rPr>
        <w:t>因企业合并所形成的商誉和使用寿命不确定的无形资产，无论是否存在减值迹象，每年都进行减值测</w:t>
      </w:r>
      <w:r>
        <w:rPr>
          <w:w w:val="100"/>
        </w:rPr>
        <w:t> </w:t>
      </w:r>
      <w:r>
        <w:rPr/>
        <w:t>试。</w:t>
      </w:r>
    </w:p>
    <w:p>
      <w:pPr>
        <w:pStyle w:val="BodyText"/>
        <w:spacing w:line="240" w:lineRule="auto" w:before="25"/>
        <w:ind w:left="535" w:right="1002"/>
        <w:jc w:val="left"/>
      </w:pPr>
      <w:r>
        <w:rPr/>
        <w:t>在对商誉进行减值测试时，将商誉的账面价值分摊至预期从企业合并的协同效应中受益的资产组或资</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48" w:lineRule="auto"/>
        <w:ind w:right="1123"/>
        <w:jc w:val="both"/>
      </w:pPr>
      <w:r>
        <w:rPr>
          <w:spacing w:val="-2"/>
        </w:rPr>
        <w:t>产组组合。在对包含商誉的相关资产组或者资产组组合进行减值测试时，如与商誉相关的资产组或者资产</w:t>
      </w:r>
      <w:r>
        <w:rPr>
          <w:spacing w:val="-33"/>
        </w:rPr>
        <w:t> </w:t>
      </w:r>
      <w:r>
        <w:rPr>
          <w:spacing w:val="-33"/>
        </w:rPr>
      </w:r>
      <w:r>
        <w:rPr>
          <w:spacing w:val="-2"/>
        </w:rPr>
        <w:t>组组合存在减值迹象的，先对不包含商誉的资产组或者资产组组合进行减值测试，计算可收回金额，并与</w:t>
      </w:r>
      <w:r>
        <w:rPr>
          <w:spacing w:val="-33"/>
        </w:rPr>
        <w:t> </w:t>
      </w:r>
      <w:r>
        <w:rPr>
          <w:spacing w:val="-33"/>
        </w:rPr>
      </w:r>
      <w:r>
        <w:rPr>
          <w:spacing w:val="-2"/>
        </w:rPr>
        <w:t>相关账面价值相比较，确认相应的减值损失。再对包含商誉的资产组或者资产组组合进行减值测试，比较</w:t>
      </w:r>
      <w:r>
        <w:rPr>
          <w:spacing w:val="-31"/>
        </w:rPr>
        <w:t> </w:t>
      </w:r>
      <w:r>
        <w:rPr>
          <w:spacing w:val="-31"/>
        </w:rPr>
      </w:r>
      <w:r>
        <w:rPr>
          <w:spacing w:val="-2"/>
        </w:rPr>
        <w:t>这些相关资产组或者资产组组合的账面价值（包括所分摊的商誉的账面价值部分）与其可收回金额，如相</w:t>
      </w:r>
      <w:r>
        <w:rPr>
          <w:spacing w:val="-33"/>
        </w:rPr>
        <w:t> </w:t>
      </w:r>
      <w:r>
        <w:rPr>
          <w:spacing w:val="-33"/>
        </w:rPr>
      </w:r>
      <w:r>
        <w:rPr/>
        <w:t>关资产组或者资产组组合的可收回金额低于其账面价值的，确认商誉的减值损失。</w:t>
      </w:r>
    </w:p>
    <w:p>
      <w:pPr>
        <w:pStyle w:val="BodyText"/>
        <w:spacing w:line="702" w:lineRule="exact" w:before="15"/>
        <w:ind w:left="473" w:right="1002" w:hanging="360"/>
        <w:jc w:val="left"/>
      </w:pPr>
      <w:bookmarkStart w:name="32、长期待摊费用" w:id="212"/>
      <w:bookmarkEnd w:id="212"/>
      <w:r>
        <w:rPr/>
      </w:r>
      <w:r>
        <w:rPr>
          <w:rFonts w:ascii="Times New Roman" w:hAnsi="Times New Roman" w:cs="Times New Roman" w:eastAsia="Times New Roman" w:hint="default"/>
          <w:b/>
          <w:bCs/>
        </w:rPr>
        <w:t>32</w:t>
      </w:r>
      <w:r>
        <w:rPr>
          <w:rFonts w:ascii="宋体" w:hAnsi="宋体" w:cs="宋体" w:eastAsia="宋体" w:hint="default"/>
          <w:b/>
          <w:bCs/>
        </w:rPr>
        <w:t>、长期待摊费用</w:t>
      </w:r>
      <w:r>
        <w:rPr>
          <w:rFonts w:ascii="宋体" w:hAnsi="宋体" w:cs="宋体" w:eastAsia="宋体" w:hint="default"/>
          <w:b/>
          <w:bCs/>
          <w:spacing w:val="-102"/>
        </w:rPr>
        <w:t> </w:t>
      </w:r>
      <w:r>
        <w:rPr>
          <w:spacing w:val="-3"/>
        </w:rPr>
        <w:t>长期待摊费用，是指本公司已经发生但应由本期和以后各期负担的分摊期限在</w:t>
      </w:r>
      <w:r>
        <w:rPr>
          <w:rFonts w:ascii="宋体" w:hAnsi="宋体" w:cs="宋体" w:eastAsia="宋体" w:hint="default"/>
          <w:spacing w:val="-3"/>
        </w:rPr>
        <w:t>1</w:t>
      </w:r>
      <w:r>
        <w:rPr>
          <w:spacing w:val="-3"/>
        </w:rPr>
        <w:t>年以上的各项费用。长</w:t>
      </w:r>
    </w:p>
    <w:p>
      <w:pPr>
        <w:pStyle w:val="BodyText"/>
        <w:spacing w:line="240" w:lineRule="auto" w:before="12"/>
        <w:ind w:right="1002"/>
        <w:jc w:val="left"/>
      </w:pPr>
      <w:r>
        <w:rPr/>
        <w:t>期待摊费用在受益期内按直线法分期摊销。</w:t>
      </w:r>
    </w:p>
    <w:p>
      <w:pPr>
        <w:spacing w:line="240" w:lineRule="auto" w:before="0"/>
        <w:rPr>
          <w:rFonts w:ascii="宋体" w:hAnsi="宋体" w:cs="宋体" w:eastAsia="宋体" w:hint="default"/>
          <w:sz w:val="20"/>
          <w:szCs w:val="20"/>
        </w:rPr>
      </w:pPr>
    </w:p>
    <w:p>
      <w:pPr>
        <w:pStyle w:val="Heading5"/>
        <w:spacing w:line="240" w:lineRule="auto" w:before="164"/>
        <w:ind w:right="1002"/>
        <w:jc w:val="left"/>
        <w:rPr>
          <w:b w:val="0"/>
          <w:bCs w:val="0"/>
        </w:rPr>
      </w:pPr>
      <w:bookmarkStart w:name="33、合同负债" w:id="213"/>
      <w:bookmarkEnd w:id="213"/>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0"/>
        <w:rPr>
          <w:rFonts w:ascii="宋体" w:hAnsi="宋体" w:cs="宋体" w:eastAsia="宋体" w:hint="default"/>
          <w:b/>
          <w:bCs/>
          <w:sz w:val="31"/>
          <w:szCs w:val="31"/>
        </w:rPr>
      </w:pPr>
    </w:p>
    <w:p>
      <w:pPr>
        <w:pStyle w:val="Heading5"/>
        <w:spacing w:line="240" w:lineRule="auto"/>
        <w:ind w:right="1002"/>
        <w:jc w:val="left"/>
        <w:rPr>
          <w:b w:val="0"/>
          <w:bCs w:val="0"/>
        </w:rPr>
      </w:pPr>
      <w:bookmarkStart w:name="34、职工薪酬" w:id="214"/>
      <w:bookmarkEnd w:id="214"/>
      <w:r>
        <w:rPr>
          <w:b w:val="0"/>
          <w:bCs w:val="0"/>
        </w:rPr>
      </w:r>
      <w:r>
        <w:rPr>
          <w:rFonts w:ascii="Times New Roman" w:hAnsi="Times New Roman" w:cs="Times New Roman" w:eastAsia="Times New Roman" w:hint="default"/>
        </w:rPr>
        <w:t>34</w:t>
      </w:r>
      <w:r>
        <w:rPr/>
        <w:t>、职工薪酬</w:t>
      </w:r>
      <w:r>
        <w:rPr>
          <w:b w:val="0"/>
          <w:bCs w:val="0"/>
        </w:rPr>
      </w:r>
    </w:p>
    <w:p>
      <w:pPr>
        <w:spacing w:line="690" w:lineRule="atLeast" w:before="10"/>
        <w:ind w:left="473" w:right="1002" w:hanging="360"/>
        <w:jc w:val="left"/>
        <w:rPr>
          <w:rFonts w:ascii="宋体" w:hAnsi="宋体" w:cs="宋体" w:eastAsia="宋体" w:hint="default"/>
          <w:sz w:val="21"/>
          <w:szCs w:val="21"/>
        </w:rPr>
      </w:pPr>
      <w:bookmarkStart w:name="（1）短期薪酬的会计处理方法"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02"/>
          <w:sz w:val="21"/>
          <w:szCs w:val="21"/>
        </w:rPr>
        <w:t> </w:t>
      </w:r>
      <w:r>
        <w:rPr>
          <w:rFonts w:ascii="宋体" w:hAnsi="宋体" w:cs="宋体" w:eastAsia="宋体" w:hint="default"/>
          <w:spacing w:val="-1"/>
          <w:sz w:val="21"/>
          <w:szCs w:val="21"/>
        </w:rPr>
        <w:t>短期薪酬是指本公司在职工提供相关服务的年度报告期间结束后十二个月内需要全部予以支付的职工</w:t>
      </w:r>
    </w:p>
    <w:p>
      <w:pPr>
        <w:pStyle w:val="BodyText"/>
        <w:spacing w:line="348" w:lineRule="auto" w:before="123"/>
        <w:ind w:right="1106"/>
        <w:jc w:val="both"/>
      </w:pPr>
      <w:r>
        <w:rPr>
          <w:spacing w:val="-2"/>
        </w:rPr>
        <w:t>薪酬，离职后福利和辞退福利除外。本公司在职工提供服务的会计期间，将应付的短期薪酬确认为负债，</w:t>
      </w:r>
      <w:r>
        <w:rPr>
          <w:spacing w:val="-13"/>
        </w:rPr>
        <w:t> </w:t>
      </w:r>
      <w:r>
        <w:rPr>
          <w:spacing w:val="-13"/>
        </w:rPr>
      </w:r>
      <w:r>
        <w:rPr/>
        <w:t>并根据职工提供服务的受益对象计入相关资产成本和费用。</w:t>
      </w:r>
    </w:p>
    <w:p>
      <w:pPr>
        <w:spacing w:line="700" w:lineRule="exact" w:before="17"/>
        <w:ind w:left="473" w:right="1002" w:hanging="360"/>
        <w:jc w:val="left"/>
        <w:rPr>
          <w:rFonts w:ascii="宋体" w:hAnsi="宋体" w:cs="宋体" w:eastAsia="宋体" w:hint="default"/>
          <w:sz w:val="21"/>
          <w:szCs w:val="21"/>
        </w:rPr>
      </w:pPr>
      <w:bookmarkStart w:name="（2）离职后福利的会计处理方法" w:id="216"/>
      <w:bookmarkEnd w:id="2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01"/>
          <w:sz w:val="21"/>
          <w:szCs w:val="21"/>
        </w:rPr>
        <w:t> </w:t>
      </w:r>
      <w:r>
        <w:rPr>
          <w:rFonts w:ascii="宋体" w:hAnsi="宋体" w:cs="宋体" w:eastAsia="宋体" w:hint="default"/>
          <w:spacing w:val="-1"/>
          <w:sz w:val="21"/>
          <w:szCs w:val="21"/>
        </w:rPr>
        <w:t>离职后福利是指本公司为获得职工提供的服务而在职工退休或与企业解除劳动关系后，提供的各种形</w:t>
      </w:r>
    </w:p>
    <w:p>
      <w:pPr>
        <w:pStyle w:val="BodyText"/>
        <w:spacing w:line="350" w:lineRule="auto" w:before="13"/>
        <w:ind w:left="473" w:right="1002" w:hanging="360"/>
        <w:jc w:val="left"/>
      </w:pPr>
      <w:r>
        <w:rPr/>
        <w:t>式的报酬和福利，短期薪酬和辞退福利除外。</w:t>
      </w:r>
      <w:r>
        <w:rPr>
          <w:spacing w:val="-101"/>
        </w:rPr>
        <w:t> </w:t>
      </w:r>
      <w:r>
        <w:rPr>
          <w:spacing w:val="-101"/>
        </w:rPr>
      </w:r>
      <w:r>
        <w:rPr/>
        <w:t>本公司的离职后福利计划分类为设定提存计划和设定受益计划。</w:t>
      </w:r>
      <w:r>
        <w:rPr>
          <w:w w:val="100"/>
        </w:rPr>
        <w:t> </w:t>
      </w:r>
      <w:r>
        <w:rPr>
          <w:spacing w:val="-1"/>
        </w:rPr>
        <w:t>离职后福利设定提存计划主要为参加由各地劳动及社会保障机构组织实施的社会基本养老保险、失业</w:t>
      </w:r>
    </w:p>
    <w:p>
      <w:pPr>
        <w:pStyle w:val="BodyText"/>
        <w:spacing w:line="350" w:lineRule="auto" w:before="27"/>
        <w:ind w:right="1002"/>
        <w:jc w:val="left"/>
      </w:pPr>
      <w:r>
        <w:rPr>
          <w:spacing w:val="-2"/>
        </w:rPr>
        <w:t>保险等；在职工为本公司提供服务的会计期间，将根据设定提存计划计算的应缴存金额确认为负债，并计</w:t>
      </w:r>
      <w:r>
        <w:rPr>
          <w:spacing w:val="-30"/>
        </w:rPr>
        <w:t> </w:t>
      </w:r>
      <w:r>
        <w:rPr>
          <w:spacing w:val="-30"/>
        </w:rPr>
      </w:r>
      <w:r>
        <w:rPr/>
        <w:t>入当期损益或相关资产成本。</w:t>
      </w:r>
      <w:r>
        <w:rPr>
          <w:spacing w:val="-100"/>
        </w:rPr>
        <w:t> </w:t>
      </w:r>
      <w:r>
        <w:rPr>
          <w:spacing w:val="-100"/>
        </w:rPr>
      </w:r>
      <w:r>
        <w:rPr/>
        <w:t>本公司按照国家规定的标准和年金计划定期缴付上述款项后，不再有其他的支付义务。</w:t>
      </w:r>
    </w:p>
    <w:p>
      <w:pPr>
        <w:spacing w:line="706" w:lineRule="exact" w:before="5"/>
        <w:ind w:left="473" w:right="1002" w:hanging="360"/>
        <w:jc w:val="left"/>
        <w:rPr>
          <w:rFonts w:ascii="宋体" w:hAnsi="宋体" w:cs="宋体" w:eastAsia="宋体" w:hint="default"/>
          <w:sz w:val="21"/>
          <w:szCs w:val="21"/>
        </w:rPr>
      </w:pPr>
      <w:bookmarkStart w:name="（3）辞退福利的会计处理方法" w:id="217"/>
      <w:bookmarkEnd w:id="2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02"/>
          <w:sz w:val="21"/>
          <w:szCs w:val="21"/>
        </w:rPr>
        <w:t> </w:t>
      </w:r>
      <w:r>
        <w:rPr>
          <w:rFonts w:ascii="宋体" w:hAnsi="宋体" w:cs="宋体" w:eastAsia="宋体" w:hint="default"/>
          <w:spacing w:val="-1"/>
          <w:sz w:val="21"/>
          <w:szCs w:val="21"/>
        </w:rPr>
        <w:t>辞退福利是指本公司在职工劳动合同到期之前解除与职工的劳动关系，或者为鼓励职工自愿接受裁减</w:t>
      </w:r>
    </w:p>
    <w:p>
      <w:pPr>
        <w:pStyle w:val="BodyText"/>
        <w:spacing w:line="350" w:lineRule="auto" w:before="12"/>
        <w:ind w:right="1125"/>
        <w:jc w:val="both"/>
      </w:pPr>
      <w:r>
        <w:rPr>
          <w:spacing w:val="-2"/>
        </w:rPr>
        <w:t>而给予职工的补偿，在本公司不能单方面撤回解除劳动关系计划或裁减建议时和确认与涉及支付辞退福利</w:t>
      </w:r>
      <w:r>
        <w:rPr>
          <w:spacing w:val="-33"/>
        </w:rPr>
        <w:t> </w:t>
      </w:r>
      <w:r>
        <w:rPr>
          <w:spacing w:val="-33"/>
        </w:rPr>
      </w:r>
      <w:r>
        <w:rPr>
          <w:spacing w:val="-2"/>
        </w:rPr>
        <w:t>的重组相关的成本费用时两者孰早日，确认因解除与职工的劳动关系给予补偿而产生的负债，同时计入当</w:t>
      </w:r>
      <w:r>
        <w:rPr>
          <w:spacing w:val="-33"/>
        </w:rPr>
        <w:t> </w:t>
      </w:r>
      <w:r>
        <w:rPr>
          <w:spacing w:val="-33"/>
        </w:rPr>
      </w:r>
      <w:r>
        <w:rPr/>
        <w:t>期损益。</w:t>
      </w:r>
    </w:p>
    <w:p>
      <w:pPr>
        <w:spacing w:after="0" w:line="350" w:lineRule="auto"/>
        <w:jc w:val="both"/>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22"/>
        <w:jc w:val="both"/>
      </w:pPr>
      <w:r>
        <w:rPr>
          <w:spacing w:val="-2"/>
        </w:rPr>
        <w:t>本公司向接受内部退休安排的职工提供内退福利。内退福利是指，向未达到国家规定的退休年龄、经本公</w:t>
      </w:r>
      <w:r>
        <w:rPr>
          <w:spacing w:val="-30"/>
        </w:rPr>
        <w:t> </w:t>
      </w:r>
      <w:r>
        <w:rPr>
          <w:spacing w:val="-30"/>
        </w:rPr>
      </w:r>
      <w:r>
        <w:rPr>
          <w:spacing w:val="-2"/>
        </w:rPr>
        <w:t>司管理层批准自愿退出工作岗位的职工支付的工资及为其缴纳的社会保险费等。本公司自内部退休安排开</w:t>
      </w:r>
      <w:r>
        <w:rPr>
          <w:spacing w:val="-33"/>
        </w:rPr>
        <w:t> </w:t>
      </w:r>
      <w:r>
        <w:rPr>
          <w:spacing w:val="-33"/>
        </w:rPr>
      </w:r>
      <w:r>
        <w:rPr>
          <w:spacing w:val="-2"/>
        </w:rPr>
        <w:t>始之日起至职工达到正常退休年龄止，向内退职工支付内部退养福利。对于内退福利，本公司比照辞退福</w:t>
      </w:r>
      <w:r>
        <w:rPr>
          <w:spacing w:val="-33"/>
        </w:rPr>
        <w:t> </w:t>
      </w:r>
      <w:r>
        <w:rPr>
          <w:spacing w:val="-33"/>
        </w:rPr>
      </w:r>
      <w:r>
        <w:rPr>
          <w:spacing w:val="-2"/>
        </w:rPr>
        <w:t>利进行会计处理，在符合辞退福利相关确认条件时，将自职工停止提供服务日至正常退休日期间拟支付的</w:t>
      </w:r>
      <w:r>
        <w:rPr>
          <w:spacing w:val="-33"/>
        </w:rPr>
        <w:t> </w:t>
      </w:r>
      <w:r>
        <w:rPr>
          <w:spacing w:val="-33"/>
        </w:rPr>
      </w:r>
      <w:r>
        <w:rPr>
          <w:spacing w:val="-2"/>
        </w:rPr>
        <w:t>内退职工工资和缴纳的社会保险费等，确认为负债，一次性计入当期损益。内退福利的精算假设变化及福</w:t>
      </w:r>
      <w:r>
        <w:rPr>
          <w:spacing w:val="-33"/>
        </w:rPr>
        <w:t> </w:t>
      </w:r>
      <w:r>
        <w:rPr>
          <w:spacing w:val="-33"/>
        </w:rPr>
      </w:r>
      <w:r>
        <w:rPr/>
        <w:t>利标准调整引起的差异于发生时计入当期损益。</w:t>
      </w:r>
    </w:p>
    <w:p>
      <w:pPr>
        <w:spacing w:line="700" w:lineRule="exact" w:before="10"/>
        <w:ind w:left="473" w:right="1002" w:hanging="360"/>
        <w:jc w:val="left"/>
        <w:rPr>
          <w:rFonts w:ascii="宋体" w:hAnsi="宋体" w:cs="宋体" w:eastAsia="宋体" w:hint="default"/>
          <w:sz w:val="21"/>
          <w:szCs w:val="21"/>
        </w:rPr>
      </w:pPr>
      <w:bookmarkStart w:name="（4）其他长期职工福利的会计处理方法" w:id="218"/>
      <w:bookmarkEnd w:id="2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其他长期职工福利是指除短期薪酬、离职后福利、辞退福利之外的其他所有职工福利。</w:t>
      </w:r>
    </w:p>
    <w:p>
      <w:pPr>
        <w:pStyle w:val="BodyText"/>
        <w:spacing w:line="348" w:lineRule="auto" w:before="18"/>
        <w:ind w:right="1125"/>
        <w:jc w:val="both"/>
      </w:pPr>
      <w:r>
        <w:rPr>
          <w:spacing w:val="-2"/>
        </w:rPr>
        <w:t>对符合设定提存计划条件的其他长期职工福利，在职工为本公司提供服务的会计期间，将应缴存金额确认</w:t>
      </w:r>
      <w:r>
        <w:rPr>
          <w:spacing w:val="-33"/>
        </w:rPr>
        <w:t> </w:t>
      </w:r>
      <w:r>
        <w:rPr>
          <w:spacing w:val="-33"/>
        </w:rPr>
      </w:r>
      <w:r>
        <w:rPr>
          <w:spacing w:val="-2"/>
        </w:rPr>
        <w:t>为负债，并计入当期损益或相关资产成本；除上述情形外的其他长期职工福利，在资产负债表日将设定受</w:t>
      </w:r>
      <w:r>
        <w:rPr>
          <w:spacing w:val="-33"/>
        </w:rPr>
        <w:t> </w:t>
      </w:r>
      <w:r>
        <w:rPr>
          <w:spacing w:val="-33"/>
        </w:rPr>
      </w:r>
      <w:r>
        <w:rPr/>
        <w:t>益计划产生的福利义务归属于职工提供服务的期间，并计入当期损益或相关资产成本。</w:t>
      </w:r>
    </w:p>
    <w:p>
      <w:pPr>
        <w:spacing w:line="240" w:lineRule="auto" w:before="4"/>
        <w:rPr>
          <w:rFonts w:ascii="宋体" w:hAnsi="宋体" w:cs="宋体" w:eastAsia="宋体" w:hint="default"/>
          <w:sz w:val="25"/>
          <w:szCs w:val="25"/>
        </w:rPr>
      </w:pPr>
    </w:p>
    <w:p>
      <w:pPr>
        <w:pStyle w:val="Heading5"/>
        <w:spacing w:line="240" w:lineRule="auto"/>
        <w:ind w:right="1002"/>
        <w:jc w:val="left"/>
        <w:rPr>
          <w:b w:val="0"/>
          <w:bCs w:val="0"/>
        </w:rPr>
      </w:pPr>
      <w:bookmarkStart w:name="35、租赁负债" w:id="219"/>
      <w:bookmarkEnd w:id="219"/>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0"/>
        <w:rPr>
          <w:rFonts w:ascii="宋体" w:hAnsi="宋体" w:cs="宋体" w:eastAsia="宋体" w:hint="default"/>
          <w:b/>
          <w:bCs/>
          <w:sz w:val="31"/>
          <w:szCs w:val="31"/>
        </w:rPr>
      </w:pPr>
    </w:p>
    <w:p>
      <w:pPr>
        <w:pStyle w:val="Heading5"/>
        <w:spacing w:line="240" w:lineRule="auto"/>
        <w:ind w:right="1002"/>
        <w:jc w:val="left"/>
        <w:rPr>
          <w:b w:val="0"/>
          <w:bCs w:val="0"/>
        </w:rPr>
      </w:pPr>
      <w:bookmarkStart w:name="36、预计负债" w:id="220"/>
      <w:bookmarkEnd w:id="220"/>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9"/>
        <w:rPr>
          <w:rFonts w:ascii="宋体" w:hAnsi="宋体" w:cs="宋体" w:eastAsia="宋体" w:hint="default"/>
          <w:b/>
          <w:bCs/>
          <w:sz w:val="31"/>
          <w:szCs w:val="31"/>
        </w:rPr>
      </w:pPr>
    </w:p>
    <w:p>
      <w:pPr>
        <w:pStyle w:val="BodyText"/>
        <w:spacing w:line="343" w:lineRule="auto" w:before="0"/>
        <w:ind w:left="473" w:right="3345"/>
        <w:jc w:val="left"/>
      </w:pPr>
      <w:r>
        <w:rPr>
          <w:rFonts w:ascii="Times New Roman" w:hAnsi="Times New Roman" w:cs="Times New Roman" w:eastAsia="Times New Roman" w:hint="default"/>
          <w:b/>
          <w:bCs/>
        </w:rPr>
        <w:t>1</w:t>
      </w:r>
      <w:r>
        <w:rPr>
          <w:rFonts w:ascii="宋体" w:hAnsi="宋体" w:cs="宋体" w:eastAsia="宋体" w:hint="default"/>
          <w:b/>
          <w:bCs/>
        </w:rPr>
        <w:t>、预计负债的确认标准</w:t>
      </w:r>
      <w:r>
        <w:rPr>
          <w:rFonts w:ascii="宋体" w:hAnsi="宋体" w:cs="宋体" w:eastAsia="宋体" w:hint="default"/>
          <w:b/>
          <w:bCs/>
          <w:spacing w:val="-102"/>
        </w:rPr>
        <w:t> </w:t>
      </w:r>
      <w:r>
        <w:rPr>
          <w:spacing w:val="-2"/>
        </w:rPr>
        <w:t>与或有事项相关的义务同时满足下列条件时，本公司确认为预计负债：</w:t>
      </w:r>
      <w:r>
        <w:rPr>
          <w:spacing w:val="-41"/>
        </w:rPr>
        <w:t> </w:t>
      </w:r>
      <w:r>
        <w:rPr>
          <w:spacing w:val="-41"/>
        </w:rPr>
      </w:r>
      <w:r>
        <w:rPr/>
        <w:t>该义务是本公司承担的现时义务；</w:t>
      </w:r>
      <w:r>
        <w:rPr>
          <w:spacing w:val="-102"/>
        </w:rPr>
        <w:t> </w:t>
      </w:r>
      <w:r>
        <w:rPr>
          <w:spacing w:val="-102"/>
        </w:rPr>
      </w:r>
      <w:r>
        <w:rPr/>
        <w:t>履行该义务很可能导致经济利益流出本公司；</w:t>
      </w:r>
      <w:r>
        <w:rPr>
          <w:spacing w:val="-101"/>
        </w:rPr>
        <w:t> </w:t>
      </w:r>
      <w:r>
        <w:rPr>
          <w:spacing w:val="-101"/>
        </w:rPr>
      </w:r>
      <w:r>
        <w:rPr/>
        <w:t>该义务的金额能够可靠地计量。</w:t>
      </w:r>
    </w:p>
    <w:p>
      <w:pPr>
        <w:pStyle w:val="BodyText"/>
        <w:spacing w:line="338" w:lineRule="auto" w:before="38"/>
        <w:ind w:left="473" w:right="1119"/>
        <w:jc w:val="left"/>
      </w:pPr>
      <w:r>
        <w:rPr>
          <w:rFonts w:ascii="Times New Roman" w:hAnsi="Times New Roman" w:cs="Times New Roman" w:eastAsia="Times New Roman" w:hint="default"/>
          <w:b/>
          <w:bCs/>
        </w:rPr>
        <w:t>2</w:t>
      </w:r>
      <w:r>
        <w:rPr>
          <w:rFonts w:ascii="宋体" w:hAnsi="宋体" w:cs="宋体" w:eastAsia="宋体" w:hint="default"/>
          <w:b/>
          <w:bCs/>
        </w:rPr>
        <w:t>、预计负债的计量方法</w:t>
      </w:r>
      <w:r>
        <w:rPr>
          <w:rFonts w:ascii="宋体" w:hAnsi="宋体" w:cs="宋体" w:eastAsia="宋体" w:hint="default"/>
          <w:b/>
          <w:bCs/>
          <w:spacing w:val="-102"/>
        </w:rPr>
        <w:t> </w:t>
      </w:r>
      <w:r>
        <w:rPr/>
        <w:t>本公司预计负债按履行相关现时义务所需的支出的最佳估计数进行初始计量。</w:t>
      </w:r>
      <w:r>
        <w:rPr>
          <w:w w:val="100"/>
        </w:rPr>
        <w:t> </w:t>
      </w:r>
      <w:r>
        <w:rPr>
          <w:spacing w:val="-1"/>
        </w:rPr>
        <w:t>本公司在确定最佳估计数时，综合考虑与或有事项有关的风险、不确定性和货币时间价值等因素。对</w:t>
      </w:r>
    </w:p>
    <w:p>
      <w:pPr>
        <w:pStyle w:val="BodyText"/>
        <w:spacing w:line="348" w:lineRule="auto" w:before="42"/>
        <w:ind w:left="473" w:right="1112" w:hanging="360"/>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5"/>
          <w:w w:val="100"/>
        </w:rPr>
        <w:t>所需支出存在一个连续范围（或区间），且该范围内各种结果发生的可能性相同的，则最佳估计数按照</w:t>
      </w:r>
    </w:p>
    <w:p>
      <w:pPr>
        <w:pStyle w:val="BodyText"/>
        <w:spacing w:line="348" w:lineRule="auto" w:before="34"/>
        <w:ind w:left="473" w:right="1112" w:hanging="360"/>
        <w:jc w:val="left"/>
      </w:pPr>
      <w:r>
        <w:rPr/>
        <w:t>该范围的中间值即上下限金额的平均数确定。</w:t>
      </w:r>
      <w:r>
        <w:rPr>
          <w:spacing w:val="-101"/>
        </w:rPr>
        <w:t> </w:t>
      </w:r>
      <w:r>
        <w:rPr>
          <w:spacing w:val="-101"/>
        </w:rPr>
      </w:r>
      <w:r>
        <w:rPr>
          <w:spacing w:val="-5"/>
          <w:w w:val="100"/>
        </w:rPr>
        <w:t>所需支出不存在一个连续范围（或区间），或虽然存在一个连续范围但该范围内各种结果发生的可能性</w:t>
      </w:r>
    </w:p>
    <w:p>
      <w:pPr>
        <w:pStyle w:val="BodyText"/>
        <w:spacing w:line="350" w:lineRule="auto" w:before="29"/>
        <w:ind w:right="1002"/>
        <w:jc w:val="left"/>
      </w:pPr>
      <w:r>
        <w:rPr>
          <w:spacing w:val="-2"/>
        </w:rPr>
        <w:t>不相同的，如或有事项涉及单个项目的，则最佳估计数按照最可能发生金额确定；如或有事项涉及多个项</w:t>
      </w:r>
      <w:r>
        <w:rPr>
          <w:spacing w:val="-33"/>
        </w:rPr>
        <w:t> </w:t>
      </w:r>
      <w:r>
        <w:rPr>
          <w:spacing w:val="-33"/>
        </w:rPr>
      </w:r>
      <w:r>
        <w:rPr/>
        <w:t>目的，则最佳估计数按各种可能结果及相关概率计算确定。</w:t>
      </w:r>
      <w:r>
        <w:rPr>
          <w:w w:val="100"/>
        </w:rPr>
        <w:t> </w:t>
      </w:r>
      <w:r>
        <w:rPr>
          <w:spacing w:val="-2"/>
        </w:rPr>
        <w:t>本公司清偿预计负债所需支出全部或部分预期由第三方补偿的，补偿金额在基本确定能够收到时，作为资</w:t>
      </w:r>
      <w:r>
        <w:rPr>
          <w:spacing w:val="-33"/>
        </w:rPr>
        <w:t> </w:t>
      </w:r>
      <w:r>
        <w:rPr>
          <w:spacing w:val="-33"/>
        </w:rPr>
      </w:r>
      <w:r>
        <w:rPr/>
        <w:t>产单独确认，确认的补偿金额不超过预计负债的账面价值。</w:t>
      </w:r>
    </w:p>
    <w:p>
      <w:pPr>
        <w:spacing w:after="0" w:line="35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Heading5"/>
        <w:spacing w:line="240" w:lineRule="auto" w:before="36"/>
        <w:ind w:right="1002"/>
        <w:jc w:val="left"/>
        <w:rPr>
          <w:b w:val="0"/>
          <w:bCs w:val="0"/>
        </w:rPr>
      </w:pPr>
      <w:bookmarkStart w:name="37、股份支付" w:id="221"/>
      <w:bookmarkEnd w:id="221"/>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4"/>
        <w:rPr>
          <w:rFonts w:ascii="宋体" w:hAnsi="宋体" w:cs="宋体" w:eastAsia="宋体" w:hint="default"/>
          <w:b/>
          <w:bCs/>
          <w:sz w:val="31"/>
          <w:szCs w:val="31"/>
        </w:rPr>
      </w:pPr>
    </w:p>
    <w:p>
      <w:pPr>
        <w:spacing w:line="350" w:lineRule="auto" w:before="0"/>
        <w:ind w:left="473" w:right="334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本公司的股份支付分为以权益结算的股份支付和以现金结算的股份支付。</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pStyle w:val="BodyText"/>
        <w:spacing w:line="350" w:lineRule="auto" w:before="27"/>
        <w:ind w:right="1125" w:firstLine="360"/>
        <w:jc w:val="both"/>
      </w:pPr>
      <w:r>
        <w:rPr>
          <w:spacing w:val="-1"/>
        </w:rPr>
        <w:t>对于授予的存在活跃市场的期权等权益工具，按照活跃市场中的报价确定其公允价值。对于授予的不</w:t>
      </w:r>
      <w:r>
        <w:rPr>
          <w:w w:val="100"/>
        </w:rPr>
        <w:t> </w:t>
      </w:r>
      <w:r>
        <w:rPr>
          <w:spacing w:val="-2"/>
        </w:rPr>
        <w:t>存在活跃市场的期权等权益工具，采用期权定价模型等确定其公允价值，选用的期权定价模型考虑以下因</w:t>
      </w:r>
      <w:r>
        <w:rPr>
          <w:spacing w:val="-33"/>
        </w:rPr>
        <w:t> </w:t>
      </w:r>
      <w:r>
        <w:rPr>
          <w:spacing w:val="-33"/>
        </w:rPr>
      </w:r>
      <w:r>
        <w:rPr>
          <w:spacing w:val="-12"/>
          <w:w w:val="100"/>
        </w:rPr>
        <w:t>素：（</w:t>
      </w:r>
      <w:r>
        <w:rPr>
          <w:rFonts w:ascii="宋体" w:hAnsi="宋体" w:cs="宋体" w:eastAsia="宋体" w:hint="default"/>
          <w:spacing w:val="-12"/>
          <w:w w:val="100"/>
        </w:rPr>
        <w:t>1</w:t>
      </w:r>
      <w:r>
        <w:rPr>
          <w:spacing w:val="-12"/>
          <w:w w:val="100"/>
        </w:rPr>
        <w:t>）期权的行权价格；（</w:t>
      </w:r>
      <w:r>
        <w:rPr>
          <w:rFonts w:ascii="宋体" w:hAnsi="宋体" w:cs="宋体" w:eastAsia="宋体" w:hint="default"/>
          <w:spacing w:val="-12"/>
          <w:w w:val="100"/>
        </w:rPr>
        <w:t>2</w:t>
      </w:r>
      <w:r>
        <w:rPr>
          <w:spacing w:val="-12"/>
          <w:w w:val="100"/>
        </w:rPr>
        <w:t>）期权的有效期；（</w:t>
      </w:r>
      <w:r>
        <w:rPr>
          <w:rFonts w:ascii="宋体" w:hAnsi="宋体" w:cs="宋体" w:eastAsia="宋体" w:hint="default"/>
          <w:spacing w:val="-12"/>
          <w:w w:val="100"/>
        </w:rPr>
        <w:t>3</w:t>
      </w:r>
      <w:r>
        <w:rPr>
          <w:spacing w:val="-12"/>
          <w:w w:val="100"/>
        </w:rPr>
        <w:t>）标的股份的现行价格；（</w:t>
      </w:r>
      <w:r>
        <w:rPr>
          <w:rFonts w:ascii="宋体" w:hAnsi="宋体" w:cs="宋体" w:eastAsia="宋体" w:hint="default"/>
          <w:spacing w:val="-12"/>
          <w:w w:val="100"/>
        </w:rPr>
        <w:t>4</w:t>
      </w:r>
      <w:r>
        <w:rPr>
          <w:spacing w:val="-12"/>
          <w:w w:val="100"/>
        </w:rPr>
        <w:t>）股价预计波动率；（</w:t>
      </w:r>
      <w:r>
        <w:rPr>
          <w:rFonts w:ascii="宋体" w:hAnsi="宋体" w:cs="宋体" w:eastAsia="宋体" w:hint="default"/>
          <w:spacing w:val="-12"/>
          <w:w w:val="100"/>
        </w:rPr>
        <w:t>5</w:t>
      </w:r>
      <w:r>
        <w:rPr>
          <w:spacing w:val="-12"/>
          <w:w w:val="100"/>
        </w:rPr>
        <w:t>）股</w:t>
      </w:r>
      <w:r>
        <w:rPr>
          <w:spacing w:val="-5"/>
          <w:w w:val="100"/>
        </w:rPr>
        <w:t> </w:t>
      </w:r>
      <w:r>
        <w:rPr>
          <w:spacing w:val="-6"/>
          <w:w w:val="100"/>
        </w:rPr>
        <w:t>份的预计股利；（</w:t>
      </w:r>
      <w:r>
        <w:rPr>
          <w:rFonts w:ascii="宋体" w:hAnsi="宋体" w:cs="宋体" w:eastAsia="宋体" w:hint="default"/>
          <w:spacing w:val="-6"/>
          <w:w w:val="100"/>
        </w:rPr>
        <w:t>6</w:t>
      </w:r>
      <w:r>
        <w:rPr>
          <w:spacing w:val="-6"/>
          <w:w w:val="100"/>
        </w:rPr>
        <w:t>）期权有效期内的无风险利率。</w:t>
      </w:r>
    </w:p>
    <w:p>
      <w:pPr>
        <w:pStyle w:val="BodyText"/>
        <w:spacing w:line="350" w:lineRule="auto" w:before="27"/>
        <w:ind w:right="1125" w:firstLine="360"/>
        <w:jc w:val="both"/>
      </w:pPr>
      <w:r>
        <w:rPr>
          <w:spacing w:val="-1"/>
        </w:rPr>
        <w:t>在确定权益工具授予日的公允价值时，考虑股份支付协议规定的可行权条件中的市场条件和非可行权</w:t>
      </w:r>
      <w:r>
        <w:rPr>
          <w:w w:val="100"/>
        </w:rPr>
        <w:t> </w:t>
      </w:r>
      <w:r>
        <w:rPr>
          <w:spacing w:val="-7"/>
        </w:rPr>
        <w:t>条件的影响。股份支付存在非可行权条件的，只要职工或其他方满足了所有可行权条件中的非市场条件（如</w:t>
      </w:r>
      <w:r>
        <w:rPr>
          <w:spacing w:val="-6"/>
        </w:rPr>
        <w:t> </w:t>
      </w:r>
      <w:r>
        <w:rPr>
          <w:spacing w:val="-6"/>
        </w:rPr>
      </w:r>
      <w:r>
        <w:rPr>
          <w:spacing w:val="-6"/>
          <w:w w:val="100"/>
        </w:rPr>
        <w:t>服务期限等），即确认已得到服务相对应的成本费用。</w:t>
      </w:r>
    </w:p>
    <w:p>
      <w:pPr>
        <w:spacing w:line="352" w:lineRule="auto" w:before="27"/>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、确定可行权权益工具最佳估计的依据</w:t>
      </w:r>
      <w:r>
        <w:rPr>
          <w:rFonts w:ascii="宋体" w:hAnsi="宋体" w:cs="宋体" w:eastAsia="宋体" w:hint="default"/>
          <w:b/>
          <w:bCs/>
          <w:spacing w:val="-100"/>
          <w:sz w:val="21"/>
          <w:szCs w:val="21"/>
        </w:rPr>
        <w:t> </w:t>
      </w:r>
      <w:r>
        <w:rPr>
          <w:rFonts w:ascii="宋体" w:hAnsi="宋体" w:cs="宋体" w:eastAsia="宋体" w:hint="default"/>
          <w:spacing w:val="-1"/>
          <w:sz w:val="21"/>
          <w:szCs w:val="21"/>
        </w:rPr>
        <w:t>等待期内每个资产负债表日，根据最新取得的可行权职工人数变动等后续信息作出最佳估计，修正预</w:t>
      </w:r>
    </w:p>
    <w:p>
      <w:pPr>
        <w:pStyle w:val="BodyText"/>
        <w:spacing w:line="350" w:lineRule="auto" w:before="25"/>
        <w:ind w:left="473" w:right="1002" w:hanging="360"/>
        <w:jc w:val="left"/>
      </w:pPr>
      <w:r>
        <w:rPr/>
        <w:t>计可行权的权益工具数量。在可行权日，最终预计可行权权益工具的数量与实际可行权数量一致。</w:t>
      </w:r>
      <w:r>
        <w:rPr>
          <w:w w:val="100"/>
        </w:rPr>
        <w:t> </w:t>
      </w:r>
      <w:r>
        <w:rPr>
          <w:rFonts w:ascii="宋体" w:hAnsi="宋体" w:cs="宋体" w:eastAsia="宋体" w:hint="default"/>
          <w:b/>
          <w:bCs/>
        </w:rPr>
        <w:t>4</w:t>
      </w:r>
      <w:r>
        <w:rPr>
          <w:rFonts w:ascii="宋体" w:hAnsi="宋体" w:cs="宋体" w:eastAsia="宋体" w:hint="default"/>
          <w:b/>
          <w:bCs/>
        </w:rPr>
        <w:t>、会计处理方法</w:t>
      </w:r>
      <w:r>
        <w:rPr>
          <w:rFonts w:ascii="宋体" w:hAnsi="宋体" w:cs="宋体" w:eastAsia="宋体" w:hint="default"/>
          <w:b/>
          <w:bCs/>
          <w:w w:val="100"/>
        </w:rPr>
        <w:t> </w:t>
      </w:r>
      <w:r>
        <w:rPr>
          <w:spacing w:val="-1"/>
        </w:rPr>
        <w:t>以权益结算的股份支付，按授予职工权益工具的公允价值计量。授予后立即可行权的，在授予日按照</w:t>
      </w:r>
    </w:p>
    <w:p>
      <w:pPr>
        <w:pStyle w:val="BodyText"/>
        <w:spacing w:line="350" w:lineRule="auto" w:before="27"/>
        <w:ind w:right="1124"/>
        <w:jc w:val="both"/>
      </w:pPr>
      <w:r>
        <w:rPr>
          <w:spacing w:val="-2"/>
        </w:rPr>
        <w:t>权益工具的公允价值计入相关成本或费用，相应增加资本公积。在完成等待期内的服务或达到规定业绩条</w:t>
      </w:r>
      <w:r>
        <w:rPr>
          <w:spacing w:val="-33"/>
        </w:rPr>
        <w:t> </w:t>
      </w:r>
      <w:r>
        <w:rPr>
          <w:spacing w:val="-33"/>
        </w:rPr>
      </w:r>
      <w:r>
        <w:rPr>
          <w:spacing w:val="-2"/>
        </w:rPr>
        <w:t>件才可行权的，在等待期内的每个资产负债表日，以对可行权权益工具数量的最佳估计为基础，按照权益</w:t>
      </w:r>
      <w:r>
        <w:rPr>
          <w:spacing w:val="-33"/>
        </w:rPr>
        <w:t> </w:t>
      </w:r>
      <w:r>
        <w:rPr>
          <w:spacing w:val="-33"/>
        </w:rPr>
      </w:r>
      <w:r>
        <w:rPr>
          <w:spacing w:val="-2"/>
        </w:rPr>
        <w:t>工具授予日的公允价值，将当期取得的服务计入相关成本或费用和资本公积。在可行权日之后不再对已确</w:t>
      </w:r>
      <w:r>
        <w:rPr>
          <w:spacing w:val="-32"/>
        </w:rPr>
        <w:t> </w:t>
      </w:r>
      <w:r>
        <w:rPr>
          <w:spacing w:val="-32"/>
        </w:rPr>
      </w:r>
      <w:r>
        <w:rPr/>
        <w:t>认的相关成本或费用和所有者权益总额进行调整。</w:t>
      </w:r>
    </w:p>
    <w:p>
      <w:pPr>
        <w:pStyle w:val="BodyText"/>
        <w:spacing w:line="350" w:lineRule="auto" w:before="27"/>
        <w:ind w:right="1002" w:firstLine="360"/>
        <w:jc w:val="left"/>
      </w:pPr>
      <w:r>
        <w:rPr/>
        <w:t>以现金结算的股份支付，按照本公司承担的以股份或其他权益工具为基础计算确定的负债的公允价值</w:t>
      </w:r>
      <w:r>
        <w:rPr>
          <w:w w:val="100"/>
        </w:rPr>
        <w:t> </w:t>
      </w:r>
      <w:r>
        <w:rPr>
          <w:spacing w:val="-4"/>
        </w:rPr>
        <w:t>计量。授予后立即可行权的，在授予日以本公司承担负债的公允价值计入相关成本或费用，相应增加负债。</w:t>
      </w:r>
      <w:r>
        <w:rPr>
          <w:spacing w:val="-48"/>
        </w:rPr>
        <w:t> </w:t>
      </w:r>
      <w:r>
        <w:rPr>
          <w:spacing w:val="-48"/>
        </w:rPr>
      </w:r>
      <w:r>
        <w:rPr>
          <w:spacing w:val="-2"/>
        </w:rPr>
        <w:t>在完成等待期内的服务或达到规定业绩条件以后才可行权的以现金结算的股份支付，在等待期内的每个资</w:t>
      </w:r>
      <w:r>
        <w:rPr>
          <w:spacing w:val="-33"/>
        </w:rPr>
        <w:t> </w:t>
      </w:r>
      <w:r>
        <w:rPr>
          <w:spacing w:val="-33"/>
        </w:rPr>
      </w:r>
      <w:r>
        <w:rPr>
          <w:spacing w:val="-2"/>
        </w:rPr>
        <w:t>产负债表日，以对可行权情况的最佳估计为基础，按照本公司承担负债的公允价值金额，将当期取得的服</w:t>
      </w:r>
      <w:r>
        <w:rPr>
          <w:spacing w:val="-33"/>
        </w:rPr>
        <w:t> </w:t>
      </w:r>
      <w:r>
        <w:rPr>
          <w:spacing w:val="-33"/>
        </w:rPr>
      </w:r>
      <w:r>
        <w:rPr/>
        <w:t>务计入成本或费用和相应的负债。在相关负债结算前的每个资产负债表日以及结算日，对负债的公允价值</w:t>
      </w:r>
      <w:r>
        <w:rPr>
          <w:w w:val="100"/>
        </w:rPr>
        <w:t> </w:t>
      </w:r>
      <w:r>
        <w:rPr/>
        <w:t>重新计量，其变动计入当期损益。</w:t>
      </w:r>
    </w:p>
    <w:p>
      <w:pPr>
        <w:pStyle w:val="BodyText"/>
        <w:spacing w:line="350" w:lineRule="auto" w:before="27"/>
        <w:ind w:right="1125" w:firstLine="360"/>
        <w:jc w:val="both"/>
      </w:pPr>
      <w:r>
        <w:rPr>
          <w:spacing w:val="-1"/>
        </w:rPr>
        <w:t>若在等待期内取消了授予的权益工具，本公司对取消所授予的权益性工具作为加速行权处理，将剩余</w:t>
      </w:r>
      <w:r>
        <w:rPr>
          <w:w w:val="100"/>
        </w:rPr>
        <w:t> </w:t>
      </w:r>
      <w:r>
        <w:rPr>
          <w:spacing w:val="-2"/>
        </w:rPr>
        <w:t>等待期内应确认的金额立即计入当期损益，同时确认资本公积。职工或其他方能够选择满足非可行权条件</w:t>
      </w:r>
      <w:r>
        <w:rPr>
          <w:spacing w:val="-33"/>
        </w:rPr>
        <w:t> </w:t>
      </w:r>
      <w:r>
        <w:rPr>
          <w:spacing w:val="-33"/>
        </w:rPr>
      </w:r>
      <w:r>
        <w:rPr/>
        <w:t>但在等待期内未满足的，本公司将其作为授予权益工具的取消处理。</w:t>
      </w:r>
    </w:p>
    <w:p>
      <w:pPr>
        <w:spacing w:line="706" w:lineRule="exact" w:before="5"/>
        <w:ind w:left="473" w:right="1002" w:hanging="360"/>
        <w:jc w:val="left"/>
        <w:rPr>
          <w:rFonts w:ascii="宋体" w:hAnsi="宋体" w:cs="宋体" w:eastAsia="宋体" w:hint="default"/>
          <w:sz w:val="21"/>
          <w:szCs w:val="21"/>
        </w:rPr>
      </w:pPr>
      <w:bookmarkStart w:name="38、优先股、永续债等其他金融工具" w:id="222"/>
      <w:bookmarkEnd w:id="222"/>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、优先股、永续债等其他金融工具</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本公司按照金融工具准则的规定，根据所发行优先股、永续债等金融工具的合同条款及其所反映的经</w:t>
      </w:r>
    </w:p>
    <w:p>
      <w:pPr>
        <w:pStyle w:val="BodyText"/>
        <w:spacing w:line="240" w:lineRule="auto" w:before="12"/>
        <w:ind w:right="1002"/>
        <w:jc w:val="left"/>
      </w:pPr>
      <w:r>
        <w:rPr/>
        <w:t>济实质而非仅以法律形式，结合金融负债和权益工具的定义，在初始确认时将该金融工具或其组成部分分</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spacing w:line="348" w:lineRule="auto" w:before="36"/>
        <w:ind w:left="473" w:right="3345" w:hanging="360"/>
        <w:jc w:val="left"/>
        <w:rPr>
          <w:rFonts w:ascii="宋体" w:hAnsi="宋体" w:cs="宋体" w:eastAsia="宋体" w:hint="default"/>
          <w:sz w:val="21"/>
          <w:szCs w:val="21"/>
        </w:rPr>
      </w:pPr>
      <w:r>
        <w:rPr>
          <w:rFonts w:ascii="宋体" w:hAnsi="宋体" w:cs="宋体" w:eastAsia="宋体" w:hint="default"/>
          <w:sz w:val="21"/>
          <w:szCs w:val="21"/>
        </w:rPr>
        <w:t>类为金融负债或权益工具：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、符合下列条件之一，将发行的金融工具分类为金融负债：</w:t>
      </w:r>
      <w:r>
        <w:rPr>
          <w:rFonts w:ascii="宋体" w:hAnsi="宋体" w:cs="宋体" w:eastAsia="宋体" w:hint="default"/>
          <w:spacing w:val="-1"/>
          <w:sz w:val="21"/>
          <w:szCs w:val="21"/>
        </w:rPr>
      </w:r>
    </w:p>
    <w:p>
      <w:pPr>
        <w:pStyle w:val="BodyText"/>
        <w:spacing w:line="240" w:lineRule="auto" w:before="34"/>
        <w:ind w:left="473" w:right="1002"/>
        <w:jc w:val="left"/>
      </w:pPr>
      <w:r>
        <w:rPr/>
        <w:t>（</w:t>
      </w:r>
      <w:r>
        <w:rPr>
          <w:rFonts w:ascii="宋体" w:hAnsi="宋体" w:cs="宋体" w:eastAsia="宋体" w:hint="default"/>
        </w:rPr>
        <w:t>1</w:t>
      </w:r>
      <w:r>
        <w:rPr/>
        <w:t>）向其他方交付现金或其他金融资产的合同义务；</w:t>
      </w:r>
    </w:p>
    <w:p>
      <w:pPr>
        <w:pStyle w:val="BodyText"/>
        <w:spacing w:line="240" w:lineRule="auto" w:before="123"/>
        <w:ind w:left="473" w:right="1002"/>
        <w:jc w:val="left"/>
      </w:pPr>
      <w:r>
        <w:rPr/>
        <w:t>（</w:t>
      </w:r>
      <w:r>
        <w:rPr>
          <w:rFonts w:ascii="宋体" w:hAnsi="宋体" w:cs="宋体" w:eastAsia="宋体" w:hint="default"/>
        </w:rPr>
        <w:t>2</w:t>
      </w:r>
      <w:r>
        <w:rPr/>
        <w:t>）在潜在不利条件下，与其他方交换金融资产或金融负债的合同义务；</w:t>
      </w:r>
    </w:p>
    <w:p>
      <w:pPr>
        <w:pStyle w:val="BodyText"/>
        <w:spacing w:line="352" w:lineRule="auto" w:before="123"/>
        <w:ind w:right="1002" w:firstLine="360"/>
        <w:jc w:val="left"/>
      </w:pPr>
      <w:r>
        <w:rPr>
          <w:spacing w:val="-3"/>
        </w:rPr>
        <w:t>（</w:t>
      </w:r>
      <w:r>
        <w:rPr>
          <w:rFonts w:ascii="宋体" w:hAnsi="宋体" w:cs="宋体" w:eastAsia="宋体" w:hint="default"/>
          <w:spacing w:val="-3"/>
        </w:rPr>
        <w:t>3</w:t>
      </w:r>
      <w:r>
        <w:rPr>
          <w:spacing w:val="-3"/>
        </w:rPr>
        <w:t>）将来须用或可用企业自身权益工具进行结算的非衍生工具合同，且企业根据该合同将交付可变数</w:t>
      </w:r>
      <w:r>
        <w:rPr>
          <w:w w:val="100"/>
        </w:rPr>
        <w:t> </w:t>
      </w:r>
      <w:r>
        <w:rPr/>
        <w:t>量的自身权益工具；</w:t>
      </w:r>
    </w:p>
    <w:p>
      <w:pPr>
        <w:pStyle w:val="BodyText"/>
        <w:spacing w:line="348" w:lineRule="auto" w:before="25"/>
        <w:ind w:right="1002" w:firstLine="360"/>
        <w:jc w:val="left"/>
      </w:pPr>
      <w:r>
        <w:rPr>
          <w:spacing w:val="-3"/>
        </w:rPr>
        <w:t>（</w:t>
      </w:r>
      <w:r>
        <w:rPr>
          <w:rFonts w:ascii="宋体" w:hAnsi="宋体" w:cs="宋体" w:eastAsia="宋体" w:hint="default"/>
          <w:spacing w:val="-3"/>
        </w:rPr>
        <w:t>4</w:t>
      </w:r>
      <w:r>
        <w:rPr>
          <w:spacing w:val="-3"/>
        </w:rPr>
        <w:t>）将来须用或可用企业自身权益工具进行结算的衍生工具合同，但以固定数量的自身权益工具交换</w:t>
      </w:r>
      <w:r>
        <w:rPr>
          <w:w w:val="100"/>
        </w:rPr>
        <w:t> </w:t>
      </w:r>
      <w:r>
        <w:rPr/>
        <w:t>固定金额的现金或其他金融资产的衍生工具合同除外。</w:t>
      </w:r>
    </w:p>
    <w:p>
      <w:pPr>
        <w:pStyle w:val="Heading5"/>
        <w:spacing w:line="240" w:lineRule="auto" w:before="34"/>
        <w:ind w:left="473" w:right="1002"/>
        <w:jc w:val="left"/>
        <w:rPr>
          <w:b w:val="0"/>
          <w:bCs w:val="0"/>
        </w:rPr>
      </w:pPr>
      <w:r>
        <w:rPr>
          <w:rFonts w:ascii="宋体" w:hAnsi="宋体" w:cs="宋体" w:eastAsia="宋体" w:hint="default"/>
        </w:rPr>
        <w:t>2</w:t>
      </w:r>
      <w:r>
        <w:rPr/>
        <w:t>、同时满足下列条件的，将发行的金融工具分类为权益工具：</w:t>
      </w:r>
      <w:r>
        <w:rPr>
          <w:b w:val="0"/>
          <w:bCs w:val="0"/>
        </w:rPr>
      </w:r>
    </w:p>
    <w:p>
      <w:pPr>
        <w:pStyle w:val="BodyText"/>
        <w:spacing w:line="348" w:lineRule="auto" w:before="123"/>
        <w:ind w:right="1002" w:firstLine="360"/>
        <w:jc w:val="left"/>
      </w:pPr>
      <w:r>
        <w:rPr>
          <w:spacing w:val="-3"/>
        </w:rPr>
        <w:t>（</w:t>
      </w:r>
      <w:r>
        <w:rPr>
          <w:rFonts w:ascii="宋体" w:hAnsi="宋体" w:cs="宋体" w:eastAsia="宋体" w:hint="default"/>
          <w:spacing w:val="-3"/>
        </w:rPr>
        <w:t>1</w:t>
      </w:r>
      <w:r>
        <w:rPr>
          <w:spacing w:val="-3"/>
        </w:rPr>
        <w:t>）该金融工具不包括交付现金或其他金融资产给其他方，或在潜在不利条件下与其他方交换金融资</w:t>
      </w:r>
      <w:r>
        <w:rPr>
          <w:w w:val="100"/>
        </w:rPr>
        <w:t> </w:t>
      </w:r>
      <w:r>
        <w:rPr/>
        <w:t>产或金融负债的合同义务；</w:t>
      </w:r>
    </w:p>
    <w:p>
      <w:pPr>
        <w:pStyle w:val="BodyText"/>
        <w:spacing w:line="348" w:lineRule="auto" w:before="34"/>
        <w:ind w:right="1125" w:firstLine="360"/>
        <w:jc w:val="both"/>
      </w:pPr>
      <w:r>
        <w:rPr>
          <w:spacing w:val="-3"/>
        </w:rPr>
        <w:t>（</w:t>
      </w:r>
      <w:r>
        <w:rPr>
          <w:rFonts w:ascii="宋体" w:hAnsi="宋体" w:cs="宋体" w:eastAsia="宋体" w:hint="default"/>
          <w:spacing w:val="-3"/>
        </w:rPr>
        <w:t>2</w:t>
      </w:r>
      <w:r>
        <w:rPr>
          <w:spacing w:val="-3"/>
        </w:rPr>
        <w:t>）将来须用或可用企业自身权益工具结算该金融工具的，如该金融工具为非衍生工具，不包括交付</w:t>
      </w:r>
      <w:r>
        <w:rPr>
          <w:w w:val="100"/>
        </w:rPr>
        <w:t> </w:t>
      </w:r>
      <w:r>
        <w:rPr>
          <w:spacing w:val="-2"/>
        </w:rPr>
        <w:t>可变数量的自身权益工具进行结算的合同义务；如为衍生工具，企业只能通过以固定数量的自身权益工具</w:t>
      </w:r>
      <w:r>
        <w:rPr>
          <w:spacing w:val="-33"/>
        </w:rPr>
        <w:t> </w:t>
      </w:r>
      <w:r>
        <w:rPr>
          <w:spacing w:val="-33"/>
        </w:rPr>
      </w:r>
      <w:r>
        <w:rPr/>
        <w:t>交换固定金额的现金或其他金融资产结算该金融工具。</w:t>
      </w:r>
    </w:p>
    <w:p>
      <w:pPr>
        <w:pStyle w:val="BodyText"/>
        <w:spacing w:line="348" w:lineRule="auto" w:before="34"/>
        <w:ind w:left="473" w:right="1002"/>
        <w:jc w:val="left"/>
      </w:pPr>
      <w:r>
        <w:rPr>
          <w:rFonts w:ascii="宋体" w:hAnsi="宋体" w:cs="宋体" w:eastAsia="宋体" w:hint="default"/>
          <w:b/>
          <w:bCs/>
        </w:rPr>
        <w:t>3</w:t>
      </w:r>
      <w:r>
        <w:rPr>
          <w:rFonts w:ascii="宋体" w:hAnsi="宋体" w:cs="宋体" w:eastAsia="宋体" w:hint="default"/>
          <w:b/>
          <w:bCs/>
        </w:rPr>
        <w:t>、会计处理方法</w:t>
      </w:r>
      <w:r>
        <w:rPr>
          <w:rFonts w:ascii="宋体" w:hAnsi="宋体" w:cs="宋体" w:eastAsia="宋体" w:hint="default"/>
          <w:b/>
          <w:bCs/>
          <w:spacing w:val="-104"/>
        </w:rPr>
        <w:t> </w:t>
      </w:r>
      <w:r>
        <w:rPr>
          <w:spacing w:val="-1"/>
        </w:rPr>
        <w:t>对于归类为权益工具的金融工具，其利息支出或股利分配都应当作为发行企业的利润分配，其回购、</w:t>
      </w:r>
    </w:p>
    <w:p>
      <w:pPr>
        <w:pStyle w:val="BodyText"/>
        <w:spacing w:line="350" w:lineRule="auto" w:before="29"/>
        <w:ind w:right="1002"/>
        <w:jc w:val="left"/>
      </w:pPr>
      <w:r>
        <w:rPr/>
        <w:t>注销等作为权益的变动处理，手续费、佣金等交易费用从权益中扣除；</w:t>
      </w:r>
      <w:r>
        <w:rPr>
          <w:spacing w:val="-102"/>
        </w:rPr>
        <w:t> </w:t>
      </w:r>
      <w:r>
        <w:rPr>
          <w:spacing w:val="-102"/>
        </w:rPr>
      </w:r>
      <w:r>
        <w:rPr>
          <w:spacing w:val="-2"/>
        </w:rPr>
        <w:t>对于归类为金融负债的金融工具，其利息支出或股利分配原则上按照借款费用进行处理，其回购或赎回产</w:t>
      </w:r>
      <w:r>
        <w:rPr>
          <w:spacing w:val="-33"/>
        </w:rPr>
        <w:t> </w:t>
      </w:r>
      <w:r>
        <w:rPr>
          <w:spacing w:val="-33"/>
        </w:rPr>
      </w:r>
      <w:r>
        <w:rPr/>
        <w:t>生的利得或损失等计入当期损益，手续费、佣金等交易费用计入所发行工具的初始计量金额。</w:t>
      </w:r>
    </w:p>
    <w:p>
      <w:pPr>
        <w:spacing w:line="240" w:lineRule="auto" w:before="11"/>
        <w:rPr>
          <w:rFonts w:ascii="宋体" w:hAnsi="宋体" w:cs="宋体" w:eastAsia="宋体" w:hint="default"/>
          <w:sz w:val="24"/>
          <w:szCs w:val="24"/>
        </w:rPr>
      </w:pPr>
    </w:p>
    <w:p>
      <w:pPr>
        <w:pStyle w:val="Heading5"/>
        <w:spacing w:line="240" w:lineRule="auto"/>
        <w:ind w:right="1002"/>
        <w:jc w:val="left"/>
        <w:rPr>
          <w:b w:val="0"/>
          <w:bCs w:val="0"/>
        </w:rPr>
      </w:pPr>
      <w:bookmarkStart w:name="39、收入" w:id="223"/>
      <w:bookmarkEnd w:id="223"/>
      <w:r>
        <w:rPr>
          <w:b w:val="0"/>
          <w:bCs w:val="0"/>
        </w:rPr>
      </w:r>
      <w:r>
        <w:rPr>
          <w:rFonts w:ascii="Times New Roman" w:hAnsi="Times New Roman" w:cs="Times New Roman" w:eastAsia="Times New Roman" w:hint="default"/>
        </w:rPr>
        <w:t>39</w:t>
      </w:r>
      <w:r>
        <w:rPr/>
        <w:t>、收入</w:t>
      </w:r>
      <w:r>
        <w:rPr>
          <w:b w:val="0"/>
          <w:bCs w:val="0"/>
        </w:rPr>
      </w:r>
    </w:p>
    <w:p>
      <w:pPr>
        <w:spacing w:line="240" w:lineRule="auto" w:before="9"/>
        <w:rPr>
          <w:rFonts w:ascii="宋体" w:hAnsi="宋体" w:cs="宋体" w:eastAsia="宋体" w:hint="default"/>
          <w:b/>
          <w:bCs/>
          <w:sz w:val="31"/>
          <w:szCs w:val="31"/>
        </w:rPr>
      </w:pPr>
    </w:p>
    <w:p>
      <w:pPr>
        <w:pStyle w:val="BodyText"/>
        <w:spacing w:line="328" w:lineRule="auto" w:before="0"/>
        <w:ind w:right="1195"/>
        <w:jc w:val="left"/>
      </w:pPr>
      <w:r>
        <w:rPr/>
        <w:t>公司需遵守《深圳证券交易所行业信息披露指引第</w:t>
      </w:r>
      <w:r>
        <w:rPr>
          <w:spacing w:val="-48"/>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
        </w:rPr>
        <w:t> </w:t>
      </w:r>
      <w:r>
        <w:rPr/>
        <w:t>号——上市公司从事软件与信息技术服务业务》的</w:t>
      </w:r>
      <w:r>
        <w:rPr>
          <w:w w:val="100"/>
        </w:rPr>
        <w:t> </w:t>
      </w:r>
      <w:r>
        <w:rPr/>
        <w:t>披露要求</w:t>
      </w:r>
    </w:p>
    <w:p>
      <w:pPr>
        <w:spacing w:line="348" w:lineRule="auto" w:before="89"/>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100"/>
          <w:sz w:val="21"/>
          <w:szCs w:val="21"/>
        </w:rPr>
        <w:t> </w:t>
      </w:r>
      <w:r>
        <w:rPr>
          <w:rFonts w:ascii="宋体" w:hAnsi="宋体" w:cs="宋体" w:eastAsia="宋体" w:hint="default"/>
          <w:spacing w:val="-1"/>
          <w:sz w:val="21"/>
          <w:szCs w:val="21"/>
        </w:rPr>
        <w:t>公司已将商品所有权上的主要风险和报酬转移给购买方；公司既没有保留与所有权相联系的继续管理</w:t>
      </w:r>
    </w:p>
    <w:p>
      <w:pPr>
        <w:pStyle w:val="BodyText"/>
        <w:spacing w:line="352" w:lineRule="auto" w:before="29"/>
        <w:ind w:right="1002"/>
        <w:jc w:val="left"/>
      </w:pPr>
      <w:r>
        <w:rPr>
          <w:spacing w:val="-4"/>
        </w:rPr>
        <w:t>权，也没有对已售出的商品实施有效控制；收入的金额能够可靠地计量；相关的经济利益很可能流入企业；</w:t>
      </w:r>
      <w:r>
        <w:rPr>
          <w:spacing w:val="-45"/>
        </w:rPr>
        <w:t> </w:t>
      </w:r>
      <w:r>
        <w:rPr>
          <w:spacing w:val="-45"/>
        </w:rPr>
      </w:r>
      <w:r>
        <w:rPr/>
        <w:t>相关的已发生或将发生的成本能够可靠地计量时，确认商品销售收入实现。</w:t>
      </w:r>
    </w:p>
    <w:p>
      <w:pPr>
        <w:pStyle w:val="BodyText"/>
        <w:spacing w:line="348" w:lineRule="auto" w:before="25"/>
        <w:ind w:right="1002" w:firstLine="360"/>
        <w:jc w:val="left"/>
      </w:pPr>
      <w:r>
        <w:rPr>
          <w:spacing w:val="-1"/>
        </w:rPr>
        <w:t>合同或协议价款的收取采用递延方式，实质上具有融资性质的，按照应收的合同或协议价款的公允价</w:t>
      </w:r>
      <w:r>
        <w:rPr>
          <w:w w:val="100"/>
        </w:rPr>
        <w:t> </w:t>
      </w:r>
      <w:r>
        <w:rPr/>
        <w:t>值确定销售商品收入金额。</w:t>
      </w:r>
    </w:p>
    <w:p>
      <w:pPr>
        <w:spacing w:line="348" w:lineRule="auto" w:before="34"/>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spacing w:val="-101"/>
          <w:sz w:val="21"/>
          <w:szCs w:val="21"/>
        </w:rPr>
        <w:t> </w:t>
      </w:r>
      <w:r>
        <w:rPr>
          <w:rFonts w:ascii="宋体" w:hAnsi="宋体" w:cs="宋体" w:eastAsia="宋体" w:hint="default"/>
          <w:spacing w:val="-1"/>
          <w:sz w:val="21"/>
          <w:szCs w:val="21"/>
        </w:rPr>
        <w:t>与交易相关的经济利益很可能流入企业，收入的金额能够可靠地计量时，分别下列情况确定让渡资产</w:t>
      </w:r>
    </w:p>
    <w:p>
      <w:pPr>
        <w:pStyle w:val="BodyText"/>
        <w:spacing w:line="240" w:lineRule="auto" w:before="29"/>
        <w:ind w:right="1002"/>
        <w:jc w:val="left"/>
      </w:pPr>
      <w:r>
        <w:rPr/>
        <w:t>使用权收入金额：</w:t>
      </w:r>
    </w:p>
    <w:p>
      <w:pPr>
        <w:pStyle w:val="BodyText"/>
        <w:spacing w:line="240" w:lineRule="auto" w:before="128"/>
        <w:ind w:left="473" w:right="1002"/>
        <w:jc w:val="left"/>
      </w:pPr>
      <w:r>
        <w:rPr/>
        <w:t>（</w:t>
      </w:r>
      <w:r>
        <w:rPr>
          <w:rFonts w:ascii="宋体" w:hAnsi="宋体" w:cs="宋体" w:eastAsia="宋体" w:hint="default"/>
        </w:rPr>
        <w:t>1</w:t>
      </w:r>
      <w:r>
        <w:rPr/>
        <w:t>）利息收入金额，按照他人使用本企业货币资金的时间和实际利率计算确定。</w:t>
      </w:r>
    </w:p>
    <w:p>
      <w:pPr>
        <w:pStyle w:val="BodyText"/>
        <w:spacing w:line="240" w:lineRule="auto" w:before="123"/>
        <w:ind w:left="473" w:right="1002"/>
        <w:jc w:val="left"/>
      </w:pPr>
      <w:r>
        <w:rPr/>
        <w:t>（</w:t>
      </w:r>
      <w:r>
        <w:rPr>
          <w:rFonts w:ascii="宋体" w:hAnsi="宋体" w:cs="宋体" w:eastAsia="宋体" w:hint="default"/>
        </w:rPr>
        <w:t>2</w:t>
      </w:r>
      <w:r>
        <w:rPr/>
        <w:t>）使用费收入金额，按照有关合同或协议约定的收费时间和方法计算确定。</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spacing w:line="348" w:lineRule="auto" w:before="36"/>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、提供劳务收入的确认依据和方法</w:t>
      </w:r>
      <w:r>
        <w:rPr>
          <w:rFonts w:ascii="宋体" w:hAnsi="宋体" w:cs="宋体" w:eastAsia="宋体" w:hint="default"/>
          <w:b/>
          <w:bCs/>
          <w:spacing w:val="-101"/>
          <w:sz w:val="21"/>
          <w:szCs w:val="21"/>
        </w:rPr>
        <w:t> </w:t>
      </w:r>
      <w:r>
        <w:rPr>
          <w:rFonts w:ascii="宋体" w:hAnsi="宋体" w:cs="宋体" w:eastAsia="宋体" w:hint="default"/>
          <w:spacing w:val="-1"/>
          <w:sz w:val="21"/>
          <w:szCs w:val="21"/>
        </w:rPr>
        <w:t>在资产负债表日提供劳务交易的结果能够可靠估计的，采用完工百分比法确认提供劳务收入。提供劳</w:t>
      </w:r>
    </w:p>
    <w:p>
      <w:pPr>
        <w:pStyle w:val="BodyText"/>
        <w:spacing w:line="348" w:lineRule="auto" w:before="34"/>
        <w:ind w:left="473" w:right="1002" w:hanging="360"/>
        <w:jc w:val="left"/>
      </w:pPr>
      <w:r>
        <w:rPr/>
        <w:t>务交易的完工进度，依据已完工作的测量确定。</w:t>
      </w:r>
      <w:r>
        <w:rPr>
          <w:spacing w:val="-100"/>
        </w:rPr>
        <w:t> </w:t>
      </w:r>
      <w:r>
        <w:rPr>
          <w:spacing w:val="-100"/>
        </w:rPr>
      </w:r>
      <w:r>
        <w:rPr>
          <w:spacing w:val="-2"/>
        </w:rPr>
        <w:t>提供劳务交易的结果能够可靠估计，是指同时满足下列条件：</w:t>
      </w:r>
    </w:p>
    <w:p>
      <w:pPr>
        <w:pStyle w:val="BodyText"/>
        <w:spacing w:line="240" w:lineRule="auto" w:before="29"/>
        <w:ind w:left="473" w:right="1002"/>
        <w:jc w:val="left"/>
      </w:pPr>
      <w:r>
        <w:rPr/>
        <w:t>（</w:t>
      </w:r>
      <w:r>
        <w:rPr>
          <w:rFonts w:ascii="宋体" w:hAnsi="宋体" w:cs="宋体" w:eastAsia="宋体" w:hint="default"/>
        </w:rPr>
        <w:t>1</w:t>
      </w:r>
      <w:r>
        <w:rPr/>
        <w:t>）收入的金额能够可靠地计量；</w:t>
      </w:r>
    </w:p>
    <w:p>
      <w:pPr>
        <w:pStyle w:val="BodyText"/>
        <w:spacing w:line="240" w:lineRule="auto" w:before="128"/>
        <w:ind w:left="473" w:right="1002"/>
        <w:jc w:val="left"/>
      </w:pPr>
      <w:r>
        <w:rPr/>
        <w:t>（</w:t>
      </w:r>
      <w:r>
        <w:rPr>
          <w:rFonts w:ascii="宋体" w:hAnsi="宋体" w:cs="宋体" w:eastAsia="宋体" w:hint="default"/>
        </w:rPr>
        <w:t>2</w:t>
      </w:r>
      <w:r>
        <w:rPr/>
        <w:t>）相关的经济利益很可能流入企业；</w:t>
      </w:r>
    </w:p>
    <w:p>
      <w:pPr>
        <w:pStyle w:val="BodyText"/>
        <w:spacing w:line="240" w:lineRule="auto" w:before="123"/>
        <w:ind w:left="473" w:right="1002"/>
        <w:jc w:val="left"/>
      </w:pPr>
      <w:r>
        <w:rPr/>
        <w:t>（</w:t>
      </w:r>
      <w:r>
        <w:rPr>
          <w:rFonts w:ascii="宋体" w:hAnsi="宋体" w:cs="宋体" w:eastAsia="宋体" w:hint="default"/>
        </w:rPr>
        <w:t>3</w:t>
      </w:r>
      <w:r>
        <w:rPr/>
        <w:t>）交易的完工进度能够可靠地确定；</w:t>
      </w:r>
    </w:p>
    <w:p>
      <w:pPr>
        <w:pStyle w:val="BodyText"/>
        <w:spacing w:line="352" w:lineRule="auto" w:before="124"/>
        <w:ind w:left="473" w:right="1002"/>
        <w:jc w:val="left"/>
      </w:pPr>
      <w:r>
        <w:rPr/>
        <w:t>（</w:t>
      </w:r>
      <w:r>
        <w:rPr>
          <w:rFonts w:ascii="宋体" w:hAnsi="宋体" w:cs="宋体" w:eastAsia="宋体" w:hint="default"/>
        </w:rPr>
        <w:t>4</w:t>
      </w:r>
      <w:r>
        <w:rPr/>
        <w:t>）交易中已发生和将发生的成本能够可靠地计量。</w:t>
      </w:r>
      <w:r>
        <w:rPr>
          <w:w w:val="100"/>
        </w:rPr>
        <w:t> </w:t>
      </w:r>
      <w:r>
        <w:rPr>
          <w:spacing w:val="-1"/>
        </w:rPr>
        <w:t>按照已收或应收的合同或协议价款确定提供劳务收入总额，但已收或应收的合同或协议价款不公允的</w:t>
      </w:r>
    </w:p>
    <w:p>
      <w:pPr>
        <w:pStyle w:val="BodyText"/>
        <w:spacing w:line="350" w:lineRule="auto" w:before="25"/>
        <w:ind w:right="1123"/>
        <w:jc w:val="both"/>
      </w:pPr>
      <w:r>
        <w:rPr>
          <w:spacing w:val="-2"/>
        </w:rPr>
        <w:t>除外。资产负债表日按照提供劳务收入总额乘以完工进度扣除以前会计期间累计已确认提供劳务收入后的</w:t>
      </w:r>
      <w:r>
        <w:rPr>
          <w:spacing w:val="-31"/>
        </w:rPr>
        <w:t> </w:t>
      </w:r>
      <w:r>
        <w:rPr>
          <w:spacing w:val="-31"/>
        </w:rPr>
      </w:r>
      <w:r>
        <w:rPr>
          <w:spacing w:val="-2"/>
        </w:rPr>
        <w:t>金额，确认当期提供劳务收入；同时，按照提供劳务估计总成本乘以完工进度扣除以前会计期间累计已确</w:t>
      </w:r>
      <w:r>
        <w:rPr>
          <w:spacing w:val="-33"/>
        </w:rPr>
        <w:t> </w:t>
      </w:r>
      <w:r>
        <w:rPr>
          <w:spacing w:val="-33"/>
        </w:rPr>
      </w:r>
      <w:r>
        <w:rPr/>
        <w:t>认劳务成本后的金额，结转当期劳务成本。</w:t>
      </w:r>
    </w:p>
    <w:p>
      <w:pPr>
        <w:pStyle w:val="BodyText"/>
        <w:spacing w:line="240" w:lineRule="auto" w:before="27"/>
        <w:ind w:left="473" w:right="1002"/>
        <w:jc w:val="left"/>
      </w:pPr>
      <w:r>
        <w:rPr/>
        <w:t>在资产负债表日提供劳务交易结果不能够可靠估计的，分别下列情况处理：</w:t>
      </w:r>
    </w:p>
    <w:p>
      <w:pPr>
        <w:pStyle w:val="BodyText"/>
        <w:spacing w:line="352" w:lineRule="auto" w:before="123"/>
        <w:ind w:right="1126" w:firstLine="360"/>
        <w:jc w:val="both"/>
      </w:pPr>
      <w:r>
        <w:rPr>
          <w:spacing w:val="-3"/>
        </w:rPr>
        <w:t>（</w:t>
      </w:r>
      <w:r>
        <w:rPr>
          <w:rFonts w:ascii="宋体" w:hAnsi="宋体" w:cs="宋体" w:eastAsia="宋体" w:hint="default"/>
          <w:spacing w:val="-3"/>
        </w:rPr>
        <w:t>1</w:t>
      </w:r>
      <w:r>
        <w:rPr>
          <w:spacing w:val="-3"/>
        </w:rPr>
        <w:t>）已经发生的劳务成本预计能够得到补偿的，按照已经发生的劳务成本金额确认提供劳务收入，并</w:t>
      </w:r>
      <w:r>
        <w:rPr>
          <w:w w:val="100"/>
        </w:rPr>
        <w:t> </w:t>
      </w:r>
      <w:r>
        <w:rPr/>
        <w:t>按相同金额结转劳务成本。</w:t>
      </w:r>
    </w:p>
    <w:p>
      <w:pPr>
        <w:pStyle w:val="BodyText"/>
        <w:spacing w:line="348" w:lineRule="auto" w:before="25"/>
        <w:ind w:right="1126" w:firstLine="360"/>
        <w:jc w:val="both"/>
      </w:pPr>
      <w:r>
        <w:rPr>
          <w:spacing w:val="-3"/>
        </w:rPr>
        <w:t>（</w:t>
      </w:r>
      <w:r>
        <w:rPr>
          <w:rFonts w:ascii="宋体" w:hAnsi="宋体" w:cs="宋体" w:eastAsia="宋体" w:hint="default"/>
          <w:spacing w:val="-3"/>
        </w:rPr>
        <w:t>2</w:t>
      </w:r>
      <w:r>
        <w:rPr>
          <w:spacing w:val="-3"/>
        </w:rPr>
        <w:t>）已经发生的劳务成本预计不能够得到补偿的，将已经发生的劳务成本计入当期损益，不确认提供</w:t>
      </w:r>
      <w:r>
        <w:rPr>
          <w:w w:val="100"/>
        </w:rPr>
        <w:t> </w:t>
      </w:r>
      <w:r>
        <w:rPr/>
        <w:t>劳务收入。</w:t>
      </w:r>
    </w:p>
    <w:p>
      <w:pPr>
        <w:pStyle w:val="BodyText"/>
        <w:spacing w:line="350" w:lineRule="auto" w:before="34"/>
        <w:ind w:right="1125" w:firstLine="360"/>
        <w:jc w:val="both"/>
      </w:pPr>
      <w:r>
        <w:rPr>
          <w:spacing w:val="-1"/>
        </w:rPr>
        <w:t>本公司与其他企业签订的合同或协议包括销售商品和提供劳务时，销售商品部分和提供劳务部分能够</w:t>
      </w:r>
      <w:r>
        <w:rPr>
          <w:w w:val="100"/>
        </w:rPr>
        <w:t> </w:t>
      </w:r>
      <w:r>
        <w:rPr>
          <w:spacing w:val="-2"/>
        </w:rPr>
        <w:t>区分且能够单独计量的，将销售商品的部分作为销售商品处理，将提供劳务的部分作为提供劳务处理。销</w:t>
      </w:r>
      <w:r>
        <w:rPr>
          <w:spacing w:val="-33"/>
        </w:rPr>
        <w:t> </w:t>
      </w:r>
      <w:r>
        <w:rPr>
          <w:spacing w:val="-33"/>
        </w:rPr>
      </w:r>
      <w:r>
        <w:rPr>
          <w:spacing w:val="-2"/>
        </w:rPr>
        <w:t>售商品部分和提供劳务部分不能够区分，或虽能区分但不能够单独计量的，将销售商品部分和提供劳务部</w:t>
      </w:r>
      <w:r>
        <w:rPr>
          <w:spacing w:val="-33"/>
        </w:rPr>
        <w:t> </w:t>
      </w:r>
      <w:r>
        <w:rPr>
          <w:spacing w:val="-33"/>
        </w:rPr>
      </w:r>
      <w:r>
        <w:rPr/>
        <w:t>分全部作为销售商品处理。</w:t>
      </w:r>
    </w:p>
    <w:p>
      <w:pPr>
        <w:pStyle w:val="Heading5"/>
        <w:spacing w:line="240" w:lineRule="auto" w:before="27"/>
        <w:ind w:left="473" w:right="1002"/>
        <w:jc w:val="left"/>
        <w:rPr>
          <w:b w:val="0"/>
          <w:bCs w:val="0"/>
        </w:rPr>
      </w:pPr>
      <w:r>
        <w:rPr>
          <w:rFonts w:ascii="宋体" w:hAnsi="宋体" w:cs="宋体" w:eastAsia="宋体" w:hint="default"/>
        </w:rPr>
        <w:t>4</w:t>
      </w:r>
      <w:r>
        <w:rPr/>
        <w:t>、建造合同收入的确认依据和方法</w:t>
      </w:r>
      <w:r>
        <w:rPr>
          <w:b w:val="0"/>
          <w:bCs w:val="0"/>
        </w:rPr>
      </w:r>
    </w:p>
    <w:p>
      <w:pPr>
        <w:pStyle w:val="BodyText"/>
        <w:spacing w:line="350" w:lineRule="auto" w:before="123"/>
        <w:ind w:right="1125" w:firstLine="360"/>
        <w:jc w:val="both"/>
      </w:pPr>
      <w:r>
        <w:rPr>
          <w:spacing w:val="-3"/>
        </w:rPr>
        <w:t>（</w:t>
      </w:r>
      <w:r>
        <w:rPr>
          <w:rFonts w:ascii="宋体" w:hAnsi="宋体" w:cs="宋体" w:eastAsia="宋体" w:hint="default"/>
          <w:spacing w:val="-3"/>
        </w:rPr>
        <w:t>1</w:t>
      </w:r>
      <w:r>
        <w:rPr>
          <w:spacing w:val="-3"/>
        </w:rPr>
        <w:t>）当建造合同的结果能够可靠地估计时，与其相关的合同收入和合同费用在资产负债表日按完工百</w:t>
      </w:r>
      <w:r>
        <w:rPr>
          <w:w w:val="100"/>
        </w:rPr>
        <w:t> </w:t>
      </w:r>
      <w:r>
        <w:rPr>
          <w:spacing w:val="-2"/>
        </w:rPr>
        <w:t>分比法予以确认。完工百分比法，是指根据合同完工进度确认合同收入和合同费用的方法。合同完工进度</w:t>
      </w:r>
      <w:r>
        <w:rPr>
          <w:spacing w:val="-33"/>
        </w:rPr>
        <w:t> </w:t>
      </w:r>
      <w:r>
        <w:rPr>
          <w:spacing w:val="-33"/>
        </w:rPr>
      </w:r>
      <w:r>
        <w:rPr/>
        <w:t>按照累计实际发生的合同费用占合同预计总成本的比例确定。</w:t>
      </w:r>
    </w:p>
    <w:p>
      <w:pPr>
        <w:pStyle w:val="BodyText"/>
        <w:spacing w:line="352" w:lineRule="auto" w:before="27"/>
        <w:ind w:left="473" w:right="1824"/>
        <w:jc w:val="left"/>
      </w:pPr>
      <w:r>
        <w:rPr>
          <w:spacing w:val="-2"/>
        </w:rPr>
        <w:t>固定造价合同的结果能够可靠估计，是指同时满足下列条件：</w:t>
      </w:r>
      <w:r>
        <w:rPr>
          <w:spacing w:val="-49"/>
        </w:rPr>
        <w:t> </w:t>
      </w:r>
      <w:r>
        <w:rPr>
          <w:spacing w:val="-49"/>
        </w:rPr>
      </w:r>
      <w:r>
        <w:rPr>
          <w:rFonts w:ascii="宋体" w:hAnsi="宋体" w:cs="宋体" w:eastAsia="宋体" w:hint="default"/>
        </w:rPr>
        <w:t>1</w:t>
      </w:r>
      <w:r>
        <w:rPr/>
        <w:t>）合同总收入能够可靠地计量；</w:t>
      </w:r>
    </w:p>
    <w:p>
      <w:pPr>
        <w:pStyle w:val="BodyText"/>
        <w:spacing w:line="240" w:lineRule="auto" w:before="25"/>
        <w:ind w:left="473" w:right="1002"/>
        <w:jc w:val="left"/>
      </w:pPr>
      <w:r>
        <w:rPr>
          <w:rFonts w:ascii="宋体" w:hAnsi="宋体" w:cs="宋体" w:eastAsia="宋体" w:hint="default"/>
        </w:rPr>
        <w:t>2</w:t>
      </w:r>
      <w:r>
        <w:rPr/>
        <w:t>）与合同相关的经济利益很可能流入企业；</w:t>
      </w:r>
    </w:p>
    <w:p>
      <w:pPr>
        <w:pStyle w:val="BodyText"/>
        <w:spacing w:line="240" w:lineRule="auto" w:before="124"/>
        <w:ind w:left="473" w:right="1002"/>
        <w:jc w:val="left"/>
      </w:pPr>
      <w:r>
        <w:rPr>
          <w:rFonts w:ascii="宋体" w:hAnsi="宋体" w:cs="宋体" w:eastAsia="宋体" w:hint="default"/>
        </w:rPr>
        <w:t>3</w:t>
      </w:r>
      <w:r>
        <w:rPr/>
        <w:t>）实际发生的合同成本能够清楚地区分和可靠地计量；</w:t>
      </w:r>
    </w:p>
    <w:p>
      <w:pPr>
        <w:pStyle w:val="BodyText"/>
        <w:spacing w:line="348" w:lineRule="auto" w:before="128"/>
        <w:ind w:left="473" w:right="1002"/>
        <w:jc w:val="left"/>
      </w:pPr>
      <w:r>
        <w:rPr>
          <w:rFonts w:ascii="宋体" w:hAnsi="宋体" w:cs="宋体" w:eastAsia="宋体" w:hint="default"/>
          <w:spacing w:val="-2"/>
        </w:rPr>
        <w:t>4</w:t>
      </w:r>
      <w:r>
        <w:rPr>
          <w:spacing w:val="-2"/>
        </w:rPr>
        <w:t>）合同完工进度和为完成合同尚需发生的成本能够可靠地确定。</w:t>
      </w:r>
      <w:r>
        <w:rPr>
          <w:spacing w:val="-48"/>
        </w:rPr>
        <w:t> </w:t>
      </w:r>
      <w:r>
        <w:rPr>
          <w:spacing w:val="-48"/>
        </w:rPr>
      </w:r>
      <w:r>
        <w:rPr/>
        <w:t>成本加成合同的结果能够可靠估计，是指同时满足下列条件：</w:t>
      </w:r>
      <w:r>
        <w:rPr>
          <w:spacing w:val="-103"/>
        </w:rPr>
        <w:t> </w:t>
      </w:r>
      <w:r>
        <w:rPr>
          <w:spacing w:val="-103"/>
        </w:rPr>
      </w:r>
      <w:r>
        <w:rPr>
          <w:rFonts w:ascii="宋体" w:hAnsi="宋体" w:cs="宋体" w:eastAsia="宋体" w:hint="default"/>
        </w:rPr>
        <w:t>1</w:t>
      </w:r>
      <w:r>
        <w:rPr/>
        <w:t>）与合同相关的经济利益很可能流入企业；</w:t>
      </w:r>
    </w:p>
    <w:p>
      <w:pPr>
        <w:pStyle w:val="BodyText"/>
        <w:spacing w:line="348" w:lineRule="auto" w:before="34"/>
        <w:ind w:left="473" w:right="1002"/>
        <w:jc w:val="left"/>
      </w:pPr>
      <w:r>
        <w:rPr>
          <w:rFonts w:ascii="宋体" w:hAnsi="宋体" w:cs="宋体" w:eastAsia="宋体" w:hint="default"/>
        </w:rPr>
        <w:t>2</w:t>
      </w:r>
      <w:r>
        <w:rPr/>
        <w:t>）实际发生的合同成本能够清楚地区分和可靠地计量。</w:t>
      </w:r>
      <w:r>
        <w:rPr>
          <w:w w:val="100"/>
        </w:rPr>
        <w:t> </w:t>
      </w:r>
      <w:r>
        <w:rPr>
          <w:spacing w:val="-1"/>
        </w:rPr>
        <w:t>在资产负债表日，按照合同总收入乘以完工进度扣除以前会计期间累计已确认收入后的金额，确认为</w:t>
      </w:r>
    </w:p>
    <w:p>
      <w:pPr>
        <w:spacing w:after="0" w:line="348"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124"/>
        <w:jc w:val="both"/>
      </w:pPr>
      <w:r>
        <w:rPr>
          <w:spacing w:val="-2"/>
        </w:rPr>
        <w:t>当期合同收入；同时，按照合同预计总成本乘以完工进度扣除以前会计期间累计已确认费用后的金额，确</w:t>
      </w:r>
      <w:r>
        <w:rPr>
          <w:spacing w:val="-32"/>
        </w:rPr>
        <w:t> </w:t>
      </w:r>
      <w:r>
        <w:rPr>
          <w:spacing w:val="-32"/>
        </w:rPr>
      </w:r>
      <w:r>
        <w:rPr>
          <w:spacing w:val="-2"/>
        </w:rPr>
        <w:t>认为当期合同费用。合同工程的变动、索赔及奖金以可能带来收入并能可靠计算的数额为限计入合同总收</w:t>
      </w:r>
      <w:r>
        <w:rPr>
          <w:spacing w:val="-33"/>
        </w:rPr>
        <w:t> </w:t>
      </w:r>
      <w:r>
        <w:rPr>
          <w:spacing w:val="-33"/>
        </w:rPr>
      </w:r>
      <w:r>
        <w:rPr/>
        <w:t>入。</w:t>
      </w:r>
    </w:p>
    <w:p>
      <w:pPr>
        <w:pStyle w:val="BodyText"/>
        <w:spacing w:line="348" w:lineRule="auto" w:before="27"/>
        <w:ind w:left="473" w:right="1002"/>
        <w:jc w:val="left"/>
      </w:pPr>
      <w:r>
        <w:rPr/>
        <w:t>（</w:t>
      </w:r>
      <w:r>
        <w:rPr>
          <w:rFonts w:ascii="宋体" w:hAnsi="宋体" w:cs="宋体" w:eastAsia="宋体" w:hint="default"/>
        </w:rPr>
        <w:t>2</w:t>
      </w:r>
      <w:r>
        <w:rPr/>
        <w:t>）建造合同的结果不能可靠估计的，分别下列情况处理：</w:t>
      </w:r>
      <w:r>
        <w:rPr>
          <w:w w:val="100"/>
        </w:rPr>
        <w:t> </w:t>
      </w:r>
      <w:r>
        <w:rPr>
          <w:rFonts w:ascii="宋体" w:hAnsi="宋体" w:cs="宋体" w:eastAsia="宋体" w:hint="default"/>
          <w:spacing w:val="-3"/>
        </w:rPr>
        <w:t>1</w:t>
      </w:r>
      <w:r>
        <w:rPr>
          <w:spacing w:val="-3"/>
        </w:rPr>
        <w:t>）合同成本能够收回的，合同收入根据能够收回的实际合同成本予以确认，合同成本在其发生的当期</w:t>
      </w:r>
    </w:p>
    <w:p>
      <w:pPr>
        <w:pStyle w:val="BodyText"/>
        <w:spacing w:line="348" w:lineRule="auto" w:before="34"/>
        <w:ind w:left="473" w:right="2115" w:hanging="360"/>
        <w:jc w:val="left"/>
      </w:pPr>
      <w:r>
        <w:rPr/>
        <w:t>确认为合同费用。</w:t>
      </w:r>
      <w:r>
        <w:rPr>
          <w:spacing w:val="-101"/>
        </w:rPr>
        <w:t> </w:t>
      </w:r>
      <w:r>
        <w:rPr>
          <w:spacing w:val="-101"/>
        </w:rPr>
      </w:r>
      <w:r>
        <w:rPr>
          <w:rFonts w:ascii="宋体" w:hAnsi="宋体" w:cs="宋体" w:eastAsia="宋体" w:hint="default"/>
          <w:spacing w:val="-2"/>
        </w:rPr>
        <w:t>2</w:t>
      </w:r>
      <w:r>
        <w:rPr>
          <w:spacing w:val="-2"/>
        </w:rPr>
        <w:t>）合同成本不可能收回的，在发生时立即确认为合同费用，不确认合同收入。</w:t>
      </w:r>
    </w:p>
    <w:p>
      <w:pPr>
        <w:pStyle w:val="BodyText"/>
        <w:spacing w:line="350" w:lineRule="auto" w:before="29"/>
        <w:ind w:left="473" w:right="1002"/>
        <w:jc w:val="left"/>
      </w:pPr>
      <w:r>
        <w:rPr/>
        <w:t>（</w:t>
      </w:r>
      <w:r>
        <w:rPr>
          <w:rFonts w:ascii="宋体" w:hAnsi="宋体" w:cs="宋体" w:eastAsia="宋体" w:hint="default"/>
        </w:rPr>
        <w:t>3</w:t>
      </w:r>
      <w:r>
        <w:rPr/>
        <w:t>）如果合同总成本很可能超过合同总收入，则预期损失立即确认为费用。</w:t>
      </w:r>
      <w:r>
        <w:rPr>
          <w:w w:val="100"/>
        </w:rPr>
        <w:t> </w:t>
      </w:r>
      <w:r>
        <w:rPr>
          <w:rFonts w:ascii="宋体" w:hAnsi="宋体" w:cs="宋体" w:eastAsia="宋体" w:hint="default"/>
          <w:b/>
          <w:bCs/>
        </w:rPr>
        <w:t>5</w:t>
      </w:r>
      <w:r>
        <w:rPr>
          <w:rFonts w:ascii="宋体" w:hAnsi="宋体" w:cs="宋体" w:eastAsia="宋体" w:hint="default"/>
          <w:b/>
          <w:bCs/>
        </w:rPr>
        <w:t>、附回购条件的资产转让</w:t>
      </w:r>
      <w:r>
        <w:rPr>
          <w:rFonts w:ascii="宋体" w:hAnsi="宋体" w:cs="宋体" w:eastAsia="宋体" w:hint="default"/>
          <w:b/>
          <w:bCs/>
          <w:spacing w:val="-102"/>
        </w:rPr>
        <w:t> </w:t>
      </w:r>
      <w:r>
        <w:rPr>
          <w:spacing w:val="-1"/>
        </w:rPr>
        <w:t>公司销售产品或转让其他资产时，与购买方签订了所销售的产品或转让资产回购协议，根据协议条款</w:t>
      </w:r>
    </w:p>
    <w:p>
      <w:pPr>
        <w:pStyle w:val="BodyText"/>
        <w:spacing w:line="352" w:lineRule="auto" w:before="27"/>
        <w:ind w:right="1125"/>
        <w:jc w:val="both"/>
      </w:pPr>
      <w:r>
        <w:rPr>
          <w:spacing w:val="-2"/>
        </w:rPr>
        <w:t>判断销售商品是否满足收入确认条件。如售后回购属于融资交易，则在交付产品或资产时，本公司不确认</w:t>
      </w:r>
      <w:r>
        <w:rPr>
          <w:spacing w:val="-33"/>
        </w:rPr>
        <w:t> </w:t>
      </w:r>
      <w:r>
        <w:rPr>
          <w:spacing w:val="-33"/>
        </w:rPr>
      </w:r>
      <w:r>
        <w:rPr/>
        <w:t>销售收入。回购价款大于销售价款的差额，在回购期间按期计提利息，计入财务费用。</w:t>
      </w:r>
    </w:p>
    <w:p>
      <w:pPr>
        <w:pStyle w:val="Heading5"/>
        <w:spacing w:line="240" w:lineRule="auto" w:before="25"/>
        <w:ind w:left="473" w:right="1002"/>
        <w:jc w:val="left"/>
        <w:rPr>
          <w:b w:val="0"/>
          <w:bCs w:val="0"/>
        </w:rPr>
      </w:pPr>
      <w:r>
        <w:rPr>
          <w:rFonts w:ascii="宋体" w:hAnsi="宋体" w:cs="宋体" w:eastAsia="宋体" w:hint="default"/>
        </w:rPr>
        <w:t>6</w:t>
      </w:r>
      <w:r>
        <w:rPr/>
        <w:t>、本公司相关收入的具体确认原则</w:t>
      </w:r>
      <w:r>
        <w:rPr>
          <w:b w:val="0"/>
          <w:bCs w:val="0"/>
        </w:rPr>
      </w:r>
    </w:p>
    <w:p>
      <w:pPr>
        <w:pStyle w:val="BodyText"/>
        <w:spacing w:line="350" w:lineRule="auto" w:before="123"/>
        <w:ind w:right="1125" w:firstLine="360"/>
        <w:jc w:val="both"/>
      </w:pPr>
      <w:r>
        <w:rPr>
          <w:spacing w:val="-3"/>
        </w:rPr>
        <w:t>（</w:t>
      </w:r>
      <w:r>
        <w:rPr>
          <w:rFonts w:ascii="宋体" w:hAnsi="宋体" w:cs="宋体" w:eastAsia="宋体" w:hint="default"/>
          <w:spacing w:val="-3"/>
        </w:rPr>
        <w:t>1</w:t>
      </w:r>
      <w:r>
        <w:rPr>
          <w:spacing w:val="-3"/>
        </w:rPr>
        <w:t>）成套开关设备收入确认的时点是：本公司与客户签订销售合同后，根据合同要求组织生产，产品</w:t>
      </w:r>
      <w:r>
        <w:rPr>
          <w:w w:val="100"/>
        </w:rPr>
        <w:t> </w:t>
      </w:r>
      <w:r>
        <w:rPr>
          <w:spacing w:val="-2"/>
        </w:rPr>
        <w:t>完工后验收入库，根据客户要求开具出库单将产品发到指定地点进行安装调试，安装调试达到验收标准后</w:t>
      </w:r>
      <w:r>
        <w:rPr>
          <w:spacing w:val="-33"/>
        </w:rPr>
        <w:t> </w:t>
      </w:r>
      <w:r>
        <w:rPr>
          <w:spacing w:val="-33"/>
        </w:rPr>
      </w:r>
      <w:r>
        <w:rPr/>
        <w:t>即获得收取货款的权利，据此开具发票确认收入。</w:t>
      </w:r>
    </w:p>
    <w:p>
      <w:pPr>
        <w:pStyle w:val="BodyText"/>
        <w:spacing w:line="352" w:lineRule="auto" w:before="27"/>
        <w:ind w:left="473" w:right="1002"/>
        <w:jc w:val="left"/>
      </w:pPr>
      <w:r>
        <w:rPr/>
        <w:t>（</w:t>
      </w:r>
      <w:r>
        <w:rPr>
          <w:rFonts w:ascii="宋体" w:hAnsi="宋体" w:cs="宋体" w:eastAsia="宋体" w:hint="default"/>
        </w:rPr>
        <w:t>2</w:t>
      </w:r>
      <w:r>
        <w:rPr/>
        <w:t>）系统集成收入的确认原则：</w:t>
      </w:r>
      <w:r>
        <w:rPr>
          <w:spacing w:val="-103"/>
        </w:rPr>
        <w:t> </w:t>
      </w:r>
      <w:r>
        <w:rPr>
          <w:spacing w:val="-103"/>
        </w:rPr>
      </w:r>
      <w:r>
        <w:rPr>
          <w:rFonts w:ascii="宋体" w:hAnsi="宋体" w:cs="宋体" w:eastAsia="宋体" w:hint="default"/>
          <w:spacing w:val="-3"/>
        </w:rPr>
        <w:t>1</w:t>
      </w:r>
      <w:r>
        <w:rPr>
          <w:spacing w:val="-3"/>
        </w:rPr>
        <w:t>）本公司对以提供系统集成设备为主，同时提供设备的安装、调试及运行等配套服务的，经验收合格</w:t>
      </w:r>
    </w:p>
    <w:p>
      <w:pPr>
        <w:pStyle w:val="BodyText"/>
        <w:spacing w:line="348" w:lineRule="auto" w:before="25"/>
        <w:ind w:left="473" w:right="1011" w:hanging="360"/>
        <w:jc w:val="left"/>
      </w:pPr>
      <w:r>
        <w:rPr/>
        <w:t>后取得业主方的竣工验收单后确认销售收入的实现。</w:t>
      </w:r>
      <w:r>
        <w:rPr>
          <w:spacing w:val="-103"/>
        </w:rPr>
        <w:t> </w:t>
      </w:r>
      <w:r>
        <w:rPr>
          <w:spacing w:val="-103"/>
        </w:rPr>
      </w:r>
      <w:r>
        <w:rPr>
          <w:rFonts w:ascii="宋体" w:hAnsi="宋体" w:cs="宋体" w:eastAsia="宋体" w:hint="default"/>
          <w:spacing w:val="-5"/>
          <w:w w:val="100"/>
        </w:rPr>
        <w:t>2</w:t>
      </w:r>
      <w:r>
        <w:rPr>
          <w:spacing w:val="-5"/>
          <w:w w:val="100"/>
        </w:rPr>
        <w:t>）本公司对以提供客户解决方案和应用软件开发服务的系统集成类项目，按照完工百分比法确认收入。</w:t>
      </w:r>
    </w:p>
    <w:p>
      <w:pPr>
        <w:pStyle w:val="BodyText"/>
        <w:spacing w:line="348" w:lineRule="auto" w:before="34"/>
        <w:ind w:left="473" w:right="1002" w:hanging="360"/>
        <w:jc w:val="left"/>
      </w:pPr>
      <w:r>
        <w:rPr/>
        <w:t>如项目在同一会计年度内开始并完成的，应根据经业主方确认的竣工验收单确认销售收入的实现。</w:t>
      </w:r>
      <w:r>
        <w:rPr>
          <w:w w:val="100"/>
        </w:rPr>
        <w:t> </w:t>
      </w:r>
      <w:r>
        <w:rPr>
          <w:spacing w:val="-2"/>
        </w:rPr>
        <w:t>完工百分比法的确认方法：根据累计发生的实际成本占合同预计总成本的比例确定。预算总成本的编</w:t>
      </w:r>
    </w:p>
    <w:p>
      <w:pPr>
        <w:pStyle w:val="BodyText"/>
        <w:spacing w:line="350" w:lineRule="auto" w:before="29"/>
        <w:ind w:right="1122"/>
        <w:jc w:val="both"/>
      </w:pPr>
      <w:r>
        <w:rPr>
          <w:spacing w:val="-2"/>
        </w:rPr>
        <w:t>制：公司对项目预算管理通过编制项目总体预算来实现，预算事项主要包括设备的采购成本、工程施工成</w:t>
      </w:r>
      <w:r>
        <w:rPr>
          <w:spacing w:val="-30"/>
        </w:rPr>
        <w:t> </w:t>
      </w:r>
      <w:r>
        <w:rPr>
          <w:spacing w:val="-30"/>
        </w:rPr>
      </w:r>
      <w:r>
        <w:rPr>
          <w:spacing w:val="-2"/>
        </w:rPr>
        <w:t>本、安装材料、人工费以及其他费用等支出。其中材料、设备、施工成本在制定预算时通过市场询价、商</w:t>
      </w:r>
      <w:r>
        <w:rPr>
          <w:spacing w:val="-33"/>
        </w:rPr>
        <w:t> </w:t>
      </w:r>
      <w:r>
        <w:rPr>
          <w:spacing w:val="-33"/>
        </w:rPr>
      </w:r>
      <w:r>
        <w:rPr/>
        <w:t>务谈判确定，人工费用根据项目投入的人员、时间来编制预算。</w:t>
      </w:r>
    </w:p>
    <w:p>
      <w:pPr>
        <w:pStyle w:val="BodyText"/>
        <w:spacing w:line="350" w:lineRule="auto" w:before="27"/>
        <w:ind w:right="1125" w:firstLine="360"/>
        <w:jc w:val="both"/>
      </w:pPr>
      <w:r>
        <w:rPr>
          <w:rFonts w:ascii="宋体" w:hAnsi="宋体" w:cs="宋体" w:eastAsia="宋体" w:hint="default"/>
          <w:spacing w:val="-2"/>
        </w:rPr>
        <w:t>3</w:t>
      </w:r>
      <w:r>
        <w:rPr>
          <w:spacing w:val="-2"/>
        </w:rPr>
        <w:t>）本公司对</w:t>
      </w:r>
      <w:r>
        <w:rPr>
          <w:rFonts w:ascii="宋体" w:hAnsi="宋体" w:cs="宋体" w:eastAsia="宋体" w:hint="default"/>
          <w:spacing w:val="-2"/>
        </w:rPr>
        <w:t>BT</w:t>
      </w:r>
      <w:r>
        <w:rPr>
          <w:spacing w:val="-2"/>
        </w:rPr>
        <w:t>或</w:t>
      </w:r>
      <w:r>
        <w:rPr>
          <w:rFonts w:ascii="宋体" w:hAnsi="宋体" w:cs="宋体" w:eastAsia="宋体" w:hint="default"/>
          <w:spacing w:val="-2"/>
        </w:rPr>
        <w:t>BOT</w:t>
      </w:r>
      <w:r>
        <w:rPr>
          <w:spacing w:val="-2"/>
        </w:rPr>
        <w:t>业务所提供的建造服务，采用完工百分比法来确认项目建造服务的收入和成本，</w:t>
      </w:r>
      <w:r>
        <w:rPr>
          <w:w w:val="100"/>
        </w:rPr>
        <w:t> </w:t>
      </w:r>
      <w:r>
        <w:rPr>
          <w:spacing w:val="-2"/>
        </w:rPr>
        <w:t>将收取对价的权利确认为金融资产（长期应收款）或无形资产。长期应收款采用摊余成本计量并按期确认</w:t>
      </w:r>
      <w:r>
        <w:rPr>
          <w:spacing w:val="-33"/>
        </w:rPr>
        <w:t> </w:t>
      </w:r>
      <w:r>
        <w:rPr>
          <w:spacing w:val="-33"/>
        </w:rPr>
      </w:r>
      <w:r>
        <w:rPr/>
        <w:t>利息收入，实际利率在长期应收款存续期内一般保持不变。</w:t>
      </w:r>
    </w:p>
    <w:p>
      <w:pPr>
        <w:pStyle w:val="BodyText"/>
        <w:spacing w:line="352" w:lineRule="auto" w:before="27"/>
        <w:ind w:right="1159" w:firstLine="364"/>
        <w:jc w:val="both"/>
      </w:pPr>
      <w:r>
        <w:rPr>
          <w:rFonts w:ascii="宋体" w:hAnsi="宋体" w:cs="宋体" w:eastAsia="宋体" w:hint="default"/>
          <w:spacing w:val="-2"/>
        </w:rPr>
        <w:t>BT</w:t>
      </w:r>
      <w:r>
        <w:rPr>
          <w:spacing w:val="-2"/>
        </w:rPr>
        <w:t>项目涉及的长期应收款原则上不计提坏账准备，如有确凿证据表明不能收回或收回可能性不大时，</w:t>
      </w:r>
      <w:r>
        <w:rPr>
          <w:w w:val="100"/>
        </w:rPr>
        <w:t> </w:t>
      </w:r>
      <w:r>
        <w:rPr/>
        <w:t>则按其不可收回金额计提坏账准备。</w:t>
      </w:r>
    </w:p>
    <w:p>
      <w:pPr>
        <w:pStyle w:val="BodyText"/>
        <w:spacing w:line="348" w:lineRule="auto" w:before="25"/>
        <w:ind w:right="1002" w:firstLine="364"/>
        <w:jc w:val="left"/>
      </w:pPr>
      <w:r>
        <w:rPr>
          <w:spacing w:val="-2"/>
        </w:rPr>
        <w:t>（</w:t>
      </w:r>
      <w:r>
        <w:rPr>
          <w:rFonts w:ascii="宋体" w:hAnsi="宋体" w:cs="宋体" w:eastAsia="宋体" w:hint="default"/>
          <w:spacing w:val="-2"/>
        </w:rPr>
        <w:t>3</w:t>
      </w:r>
      <w:r>
        <w:rPr>
          <w:spacing w:val="-2"/>
        </w:rPr>
        <w:t>）软件开发和咨询服务收入的确认原则：该类业务的收入均在提供软件产品和咨询服务后，经客</w:t>
      </w:r>
      <w:r>
        <w:rPr>
          <w:w w:val="100"/>
        </w:rPr>
        <w:t> </w:t>
      </w:r>
      <w:r>
        <w:rPr/>
        <w:t>户验收确认以后作为销售收入的实现。</w:t>
      </w:r>
    </w:p>
    <w:p>
      <w:pPr>
        <w:pStyle w:val="BodyText"/>
        <w:spacing w:line="348" w:lineRule="auto" w:before="34"/>
        <w:ind w:right="1002" w:firstLine="364"/>
        <w:jc w:val="left"/>
      </w:pPr>
      <w:r>
        <w:rPr>
          <w:spacing w:val="-2"/>
        </w:rPr>
        <w:t>（</w:t>
      </w:r>
      <w:r>
        <w:rPr>
          <w:rFonts w:ascii="宋体" w:hAnsi="宋体" w:cs="宋体" w:eastAsia="宋体" w:hint="default"/>
          <w:spacing w:val="-2"/>
        </w:rPr>
        <w:t>4</w:t>
      </w:r>
      <w:r>
        <w:rPr>
          <w:spacing w:val="-2"/>
        </w:rPr>
        <w:t>）其他产品确认的时点是：本公司根据合同要求组织生产，于仓库发出产品，开具出库单，获得</w:t>
      </w:r>
      <w:r>
        <w:rPr>
          <w:w w:val="100"/>
        </w:rPr>
        <w:t> </w:t>
      </w:r>
      <w:r>
        <w:rPr/>
        <w:t>收取货款的权利时确认收入。</w:t>
      </w:r>
    </w:p>
    <w:p>
      <w:pPr>
        <w:spacing w:after="0" w:line="348"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Heading5"/>
        <w:spacing w:line="240" w:lineRule="auto" w:before="36"/>
        <w:ind w:right="1002"/>
        <w:jc w:val="left"/>
        <w:rPr>
          <w:b w:val="0"/>
          <w:bCs w:val="0"/>
        </w:rPr>
      </w:pPr>
      <w:bookmarkStart w:name="40、政府补助" w:id="224"/>
      <w:bookmarkEnd w:id="224"/>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4"/>
        <w:rPr>
          <w:rFonts w:ascii="宋体" w:hAnsi="宋体" w:cs="宋体" w:eastAsia="宋体" w:hint="default"/>
          <w:b/>
          <w:bCs/>
          <w:sz w:val="31"/>
          <w:szCs w:val="31"/>
        </w:rPr>
      </w:pPr>
    </w:p>
    <w:p>
      <w:pPr>
        <w:pStyle w:val="BodyText"/>
        <w:spacing w:line="348" w:lineRule="auto" w:before="0"/>
        <w:ind w:left="473" w:right="1002"/>
        <w:jc w:val="left"/>
      </w:pPr>
      <w:r>
        <w:rPr>
          <w:rFonts w:ascii="宋体" w:hAnsi="宋体" w:cs="宋体" w:eastAsia="宋体" w:hint="default"/>
          <w:b/>
          <w:bCs/>
        </w:rPr>
        <w:t>1</w:t>
      </w:r>
      <w:r>
        <w:rPr>
          <w:rFonts w:ascii="宋体" w:hAnsi="宋体" w:cs="宋体" w:eastAsia="宋体" w:hint="default"/>
          <w:b/>
          <w:bCs/>
        </w:rPr>
        <w:t>、类型</w:t>
      </w:r>
      <w:r>
        <w:rPr>
          <w:rFonts w:ascii="宋体" w:hAnsi="宋体" w:cs="宋体" w:eastAsia="宋体" w:hint="default"/>
          <w:b/>
          <w:bCs/>
          <w:w w:val="100"/>
        </w:rPr>
        <w:t> </w:t>
      </w:r>
      <w:r>
        <w:rPr>
          <w:spacing w:val="-1"/>
        </w:rPr>
        <w:t>政府补助，是本公司从政府无偿取得的货币性资产与非货币性资产。根据相关政府文件规定的补助对</w:t>
      </w:r>
    </w:p>
    <w:p>
      <w:pPr>
        <w:pStyle w:val="BodyText"/>
        <w:spacing w:line="348" w:lineRule="auto" w:before="34"/>
        <w:ind w:left="473" w:right="1002" w:hanging="360"/>
        <w:jc w:val="left"/>
      </w:pPr>
      <w:r>
        <w:rPr/>
        <w:t>象，将政府补助划分为与资产相关的政府补助和与收益相关的政府补助。</w:t>
      </w:r>
      <w:r>
        <w:rPr>
          <w:spacing w:val="-102"/>
        </w:rPr>
        <w:t> </w:t>
      </w:r>
      <w:r>
        <w:rPr>
          <w:spacing w:val="-102"/>
        </w:rPr>
      </w:r>
      <w:r>
        <w:rPr>
          <w:spacing w:val="-1"/>
        </w:rPr>
        <w:t>对于政府文件未明确补助对象的政府补助，公司根据实际补助对象划分为与资产相关的政府补助或与</w:t>
      </w:r>
      <w:r>
        <w:rPr/>
      </w:r>
    </w:p>
    <w:p>
      <w:pPr>
        <w:pStyle w:val="BodyText"/>
        <w:spacing w:line="352" w:lineRule="auto" w:before="29"/>
        <w:ind w:left="473" w:right="1002" w:hanging="360"/>
        <w:jc w:val="left"/>
      </w:pPr>
      <w:r>
        <w:rPr/>
        <w:t>收益相关的政府补助，相关判断依据说明详见本财务报表附注六之递延收益</w:t>
      </w:r>
      <w:r>
        <w:rPr>
          <w:rFonts w:ascii="宋体" w:hAnsi="宋体" w:cs="宋体" w:eastAsia="宋体" w:hint="default"/>
        </w:rPr>
        <w:t>/</w:t>
      </w:r>
      <w:r>
        <w:rPr/>
        <w:t>营业外收入项目注释。</w:t>
      </w:r>
      <w:r>
        <w:rPr>
          <w:spacing w:val="-101"/>
        </w:rPr>
        <w:t> </w:t>
      </w:r>
      <w:r>
        <w:rPr>
          <w:spacing w:val="-101"/>
        </w:rPr>
      </w:r>
      <w:r>
        <w:rPr>
          <w:spacing w:val="-1"/>
        </w:rPr>
        <w:t>与资产相关的政府补助，是指本公司取得的、用于购建或以其他方式形成长期资产的政府补助。与收</w:t>
      </w:r>
    </w:p>
    <w:p>
      <w:pPr>
        <w:spacing w:line="348" w:lineRule="auto" w:before="25"/>
        <w:ind w:left="473" w:right="3345" w:hanging="360"/>
        <w:jc w:val="left"/>
        <w:rPr>
          <w:rFonts w:ascii="宋体" w:hAnsi="宋体" w:cs="宋体" w:eastAsia="宋体" w:hint="default"/>
          <w:sz w:val="21"/>
          <w:szCs w:val="21"/>
        </w:rPr>
      </w:pPr>
      <w:r>
        <w:rPr>
          <w:rFonts w:ascii="宋体" w:hAnsi="宋体" w:cs="宋体" w:eastAsia="宋体" w:hint="default"/>
          <w:spacing w:val="-2"/>
          <w:sz w:val="21"/>
          <w:szCs w:val="21"/>
        </w:rPr>
        <w:t>益相关的政府补助，是指除与资产相关的政府补助之外的政府补助。</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、政府补助的确认</w:t>
      </w:r>
      <w:r>
        <w:rPr>
          <w:rFonts w:ascii="宋体" w:hAnsi="宋体" w:cs="宋体" w:eastAsia="宋体" w:hint="default"/>
          <w:sz w:val="21"/>
          <w:szCs w:val="21"/>
        </w:rPr>
      </w:r>
    </w:p>
    <w:p>
      <w:pPr>
        <w:pStyle w:val="BodyText"/>
        <w:spacing w:line="348" w:lineRule="auto" w:before="34"/>
        <w:ind w:right="1130" w:firstLine="360"/>
        <w:jc w:val="both"/>
      </w:pPr>
      <w:r>
        <w:rPr>
          <w:spacing w:val="-1"/>
        </w:rPr>
        <w:t>对期末有证据表明公司能够符合财政扶持政策规定的相关条件且预计能够收到财政扶持资金的，按应</w:t>
      </w:r>
      <w:r>
        <w:rPr>
          <w:w w:val="100"/>
        </w:rPr>
        <w:t> </w:t>
      </w:r>
      <w:r>
        <w:rPr/>
        <w:t>收金额确认政府补助。除此之外，政府补助均在实际收到时确认。</w:t>
      </w:r>
    </w:p>
    <w:p>
      <w:pPr>
        <w:pStyle w:val="BodyText"/>
        <w:spacing w:line="350" w:lineRule="auto" w:before="29"/>
        <w:ind w:right="1130" w:firstLine="360"/>
        <w:jc w:val="both"/>
      </w:pPr>
      <w:r>
        <w:rPr>
          <w:spacing w:val="-1"/>
        </w:rPr>
        <w:t>政府补助为货币性资产的，按照收到或应收的金额计量。政府补助为非货币性资产的，按照公允价值</w:t>
      </w:r>
      <w:r>
        <w:rPr>
          <w:w w:val="100"/>
        </w:rPr>
        <w:t> </w:t>
      </w:r>
      <w:r>
        <w:rPr/>
        <w:t>计量；公允价值不能够可靠取得的，按照名义金额（人民币</w:t>
      </w:r>
      <w:r>
        <w:rPr>
          <w:rFonts w:ascii="宋体" w:hAnsi="宋体" w:cs="宋体" w:eastAsia="宋体" w:hint="default"/>
        </w:rPr>
        <w:t>1</w:t>
      </w:r>
      <w:r>
        <w:rPr/>
        <w:t>元）计量。按照名义金额计量的政府补助，</w:t>
      </w:r>
      <w:r>
        <w:rPr>
          <w:spacing w:val="-30"/>
        </w:rPr>
        <w:t> </w:t>
      </w:r>
      <w:r>
        <w:rPr>
          <w:spacing w:val="-30"/>
        </w:rPr>
      </w:r>
      <w:r>
        <w:rPr/>
        <w:t>直接计入当期损益。</w:t>
      </w:r>
    </w:p>
    <w:p>
      <w:pPr>
        <w:pStyle w:val="BodyText"/>
        <w:spacing w:line="352" w:lineRule="auto" w:before="27"/>
        <w:ind w:left="535" w:right="1002" w:hanging="63"/>
        <w:jc w:val="left"/>
      </w:pPr>
      <w:r>
        <w:rPr>
          <w:rFonts w:ascii="宋体" w:hAnsi="宋体" w:cs="宋体" w:eastAsia="宋体" w:hint="default"/>
          <w:b/>
          <w:bCs/>
        </w:rPr>
        <w:t>3</w:t>
      </w:r>
      <w:r>
        <w:rPr>
          <w:rFonts w:ascii="宋体" w:hAnsi="宋体" w:cs="宋体" w:eastAsia="宋体" w:hint="default"/>
          <w:b/>
          <w:bCs/>
        </w:rPr>
        <w:t>、会计处理方法</w:t>
      </w:r>
      <w:r>
        <w:rPr>
          <w:rFonts w:ascii="宋体" w:hAnsi="宋体" w:cs="宋体" w:eastAsia="宋体" w:hint="default"/>
          <w:b/>
          <w:bCs/>
          <w:spacing w:val="-104"/>
        </w:rPr>
        <w:t> </w:t>
      </w:r>
      <w:r>
        <w:rPr>
          <w:spacing w:val="-2"/>
        </w:rPr>
        <w:t>与资产相关的政府补助，应当冲减相关资产的账面价值或确认为递延收益。与资产相关的政府补助确</w:t>
      </w:r>
    </w:p>
    <w:p>
      <w:pPr>
        <w:pStyle w:val="BodyText"/>
        <w:spacing w:line="348" w:lineRule="auto" w:before="25"/>
        <w:ind w:left="473" w:right="1002" w:hanging="360"/>
        <w:jc w:val="left"/>
      </w:pPr>
      <w:r>
        <w:rPr/>
        <w:t>认为递延收益的，在所建造或购买资产使用寿命内按照合理、系统的方法分期计入损益。</w:t>
      </w:r>
      <w:r>
        <w:rPr>
          <w:w w:val="100"/>
        </w:rPr>
        <w:t> </w:t>
      </w:r>
      <w:r>
        <w:rPr>
          <w:spacing w:val="-1"/>
        </w:rPr>
        <w:t>与收益相关的政府补助，用于补偿企业以后期间的相关费用或损失的，确认为递延收益，在确认相关</w:t>
      </w:r>
    </w:p>
    <w:p>
      <w:pPr>
        <w:pStyle w:val="BodyText"/>
        <w:spacing w:line="348" w:lineRule="auto" w:before="34"/>
        <w:ind w:right="1002"/>
        <w:jc w:val="left"/>
      </w:pPr>
      <w:r>
        <w:rPr>
          <w:spacing w:val="-2"/>
        </w:rPr>
        <w:t>费用或损失的期间计入当期损益或冲减相关成本；用于补偿企业已发生的相关费用或损失的，取得时直接</w:t>
      </w:r>
      <w:r>
        <w:rPr>
          <w:spacing w:val="-33"/>
        </w:rPr>
        <w:t> </w:t>
      </w:r>
      <w:r>
        <w:rPr>
          <w:spacing w:val="-33"/>
        </w:rPr>
      </w:r>
      <w:r>
        <w:rPr/>
        <w:t>计入当期损益或冲减相关成本。</w:t>
      </w:r>
    </w:p>
    <w:p>
      <w:pPr>
        <w:pStyle w:val="BodyText"/>
        <w:spacing w:line="352" w:lineRule="auto" w:before="29"/>
        <w:ind w:right="1129" w:firstLine="360"/>
        <w:jc w:val="both"/>
      </w:pPr>
      <w:r>
        <w:rPr>
          <w:spacing w:val="-1"/>
        </w:rPr>
        <w:t>与企业日常活动相关的政府补助计入其他收益或冲减相关成本费用；与企业日常活动无关的政府补助</w:t>
      </w:r>
      <w:r>
        <w:rPr>
          <w:w w:val="100"/>
        </w:rPr>
        <w:t> </w:t>
      </w:r>
      <w:r>
        <w:rPr/>
        <w:t>计入营业外收支。</w:t>
      </w:r>
    </w:p>
    <w:p>
      <w:pPr>
        <w:pStyle w:val="BodyText"/>
        <w:spacing w:line="350" w:lineRule="auto" w:before="25"/>
        <w:ind w:right="1125" w:firstLine="360"/>
        <w:jc w:val="both"/>
      </w:pPr>
      <w:r>
        <w:rPr>
          <w:spacing w:val="-1"/>
        </w:rPr>
        <w:t>收到与政策性优惠贷款贴息相关的政府补助冲减相关借款费用；取得贷款银行提供的政策性优惠利率</w:t>
      </w:r>
      <w:r>
        <w:rPr>
          <w:w w:val="100"/>
        </w:rPr>
        <w:t> </w:t>
      </w:r>
      <w:r>
        <w:rPr>
          <w:spacing w:val="-2"/>
        </w:rPr>
        <w:t>贷款的，以实际收到的借款金额作为借款的入账价值，按照借款本金和该政策性优惠利率计算相关借款费</w:t>
      </w:r>
      <w:r>
        <w:rPr>
          <w:spacing w:val="-33"/>
        </w:rPr>
        <w:t> </w:t>
      </w:r>
      <w:r>
        <w:rPr>
          <w:spacing w:val="-33"/>
        </w:rPr>
      </w:r>
      <w:r>
        <w:rPr/>
        <w:t>用。</w:t>
      </w:r>
    </w:p>
    <w:p>
      <w:pPr>
        <w:pStyle w:val="BodyText"/>
        <w:spacing w:line="350" w:lineRule="auto" w:before="27"/>
        <w:ind w:right="1174" w:firstLine="364"/>
        <w:jc w:val="both"/>
      </w:pPr>
      <w:r>
        <w:rPr>
          <w:spacing w:val="-2"/>
        </w:rPr>
        <w:t>已确认的政府补助需要返还时，初始确认时冲减相关资产账面价值的，调整资产账面价值；存在相关</w:t>
      </w:r>
      <w:r>
        <w:rPr>
          <w:w w:val="100"/>
        </w:rPr>
        <w:t> </w:t>
      </w:r>
      <w:r>
        <w:rPr>
          <w:spacing w:val="-3"/>
        </w:rPr>
        <w:t>递延收益余额的，冲减相关递延收益账面余额，超出部分计入当期损益；不存在相关递延收益的，直接计</w:t>
      </w:r>
      <w:r>
        <w:rPr>
          <w:spacing w:val="-37"/>
        </w:rPr>
        <w:t> </w:t>
      </w:r>
      <w:r>
        <w:rPr>
          <w:spacing w:val="-37"/>
        </w:rPr>
      </w:r>
      <w:r>
        <w:rPr/>
        <w:t>入当期损益。</w:t>
      </w:r>
    </w:p>
    <w:p>
      <w:pPr>
        <w:spacing w:line="700" w:lineRule="exact" w:before="10"/>
        <w:ind w:left="473" w:right="1002" w:hanging="360"/>
        <w:jc w:val="left"/>
        <w:rPr>
          <w:rFonts w:ascii="宋体" w:hAnsi="宋体" w:cs="宋体" w:eastAsia="宋体" w:hint="default"/>
          <w:sz w:val="21"/>
          <w:szCs w:val="21"/>
        </w:rPr>
      </w:pPr>
      <w:bookmarkStart w:name="41、递延所得税资产/递延所得税负债" w:id="225"/>
      <w:bookmarkEnd w:id="225"/>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100"/>
          <w:sz w:val="21"/>
          <w:szCs w:val="21"/>
        </w:rPr>
        <w:t> </w:t>
      </w:r>
      <w:r>
        <w:rPr>
          <w:rFonts w:ascii="宋体" w:hAnsi="宋体" w:cs="宋体" w:eastAsia="宋体" w:hint="default"/>
          <w:spacing w:val="-1"/>
          <w:sz w:val="21"/>
          <w:szCs w:val="21"/>
        </w:rPr>
        <w:t>递延所得税资产和递延所得税负债根据资产和负债的计税基础与其账面价值的差额</w:t>
      </w:r>
      <w:r>
        <w:rPr>
          <w:rFonts w:ascii="宋体" w:hAnsi="宋体" w:cs="宋体" w:eastAsia="宋体" w:hint="default"/>
          <w:spacing w:val="-1"/>
          <w:sz w:val="21"/>
          <w:szCs w:val="21"/>
        </w:rPr>
        <w:t>(</w:t>
      </w:r>
      <w:r>
        <w:rPr>
          <w:rFonts w:ascii="宋体" w:hAnsi="宋体" w:cs="宋体" w:eastAsia="宋体" w:hint="default"/>
          <w:spacing w:val="-1"/>
          <w:sz w:val="21"/>
          <w:szCs w:val="21"/>
        </w:rPr>
        <w:t>暂时性差异</w:t>
      </w:r>
      <w:r>
        <w:rPr>
          <w:rFonts w:ascii="宋体" w:hAnsi="宋体" w:cs="宋体" w:eastAsia="宋体" w:hint="default"/>
          <w:spacing w:val="-1"/>
          <w:sz w:val="21"/>
          <w:szCs w:val="21"/>
        </w:rPr>
        <w:t>)</w:t>
      </w:r>
      <w:r>
        <w:rPr>
          <w:rFonts w:ascii="宋体" w:hAnsi="宋体" w:cs="宋体" w:eastAsia="宋体" w:hint="default"/>
          <w:spacing w:val="-1"/>
          <w:sz w:val="21"/>
          <w:szCs w:val="21"/>
        </w:rPr>
        <w:t>计算</w:t>
      </w:r>
      <w:r>
        <w:rPr>
          <w:rFonts w:ascii="宋体" w:hAnsi="宋体" w:cs="宋体" w:eastAsia="宋体" w:hint="default"/>
          <w:sz w:val="21"/>
          <w:szCs w:val="21"/>
        </w:rPr>
      </w:r>
    </w:p>
    <w:p>
      <w:pPr>
        <w:pStyle w:val="BodyText"/>
        <w:spacing w:line="348" w:lineRule="auto" w:before="18"/>
        <w:ind w:right="1002"/>
        <w:jc w:val="left"/>
      </w:pPr>
      <w:r>
        <w:rPr>
          <w:spacing w:val="-2"/>
        </w:rPr>
        <w:t>确认。于资产负债表日，递延所得税资产和递延所得税负债，按照预期收回该资产或清偿该负债期间的适</w:t>
      </w:r>
      <w:r>
        <w:rPr>
          <w:spacing w:val="-33"/>
        </w:rPr>
        <w:t> </w:t>
      </w:r>
      <w:r>
        <w:rPr>
          <w:spacing w:val="-33"/>
        </w:rPr>
      </w:r>
      <w:r>
        <w:rPr/>
        <w:t>用税率计量。</w:t>
      </w:r>
    </w:p>
    <w:p>
      <w:pPr>
        <w:spacing w:after="0" w:line="348"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spacing w:line="348" w:lineRule="auto" w:before="36"/>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b/>
          <w:bCs/>
          <w:spacing w:val="-102"/>
          <w:sz w:val="21"/>
          <w:szCs w:val="21"/>
        </w:rPr>
        <w:t> </w:t>
      </w:r>
      <w:r>
        <w:rPr>
          <w:rFonts w:ascii="宋体" w:hAnsi="宋体" w:cs="宋体" w:eastAsia="宋体" w:hint="default"/>
          <w:spacing w:val="-1"/>
          <w:sz w:val="21"/>
          <w:szCs w:val="21"/>
        </w:rPr>
        <w:t>本公司以很可能取得用来抵扣可抵扣暂时性差异、能够结转以后年度的可抵扣亏损和税款抵减的应纳</w:t>
      </w:r>
    </w:p>
    <w:p>
      <w:pPr>
        <w:pStyle w:val="BodyText"/>
        <w:spacing w:line="348" w:lineRule="auto" w:before="34"/>
        <w:ind w:right="1122"/>
        <w:jc w:val="both"/>
      </w:pPr>
      <w:r>
        <w:rPr>
          <w:spacing w:val="-2"/>
        </w:rPr>
        <w:t>税所得额为限，确认由可抵扣暂时性差异产生的递延所得税资产。但是，同时具有下列特征的交易中因资</w:t>
      </w:r>
      <w:r>
        <w:rPr>
          <w:spacing w:val="-33"/>
        </w:rPr>
        <w:t> </w:t>
      </w:r>
      <w:r>
        <w:rPr>
          <w:spacing w:val="-33"/>
        </w:rPr>
      </w:r>
      <w:r>
        <w:rPr>
          <w:spacing w:val="-6"/>
          <w:w w:val="100"/>
        </w:rPr>
        <w:t>产或负债的初始确认所产生的递延所得税资产不予确认：（</w:t>
      </w:r>
      <w:r>
        <w:rPr>
          <w:rFonts w:ascii="宋体" w:hAnsi="宋体" w:cs="宋体" w:eastAsia="宋体" w:hint="default"/>
          <w:spacing w:val="-6"/>
          <w:w w:val="100"/>
        </w:rPr>
        <w:t>1</w:t>
      </w:r>
      <w:r>
        <w:rPr>
          <w:spacing w:val="-6"/>
          <w:w w:val="100"/>
        </w:rPr>
        <w:t>）该交易不是企业合并；（</w:t>
      </w:r>
      <w:r>
        <w:rPr>
          <w:rFonts w:ascii="宋体" w:hAnsi="宋体" w:cs="宋体" w:eastAsia="宋体" w:hint="default"/>
          <w:spacing w:val="-6"/>
          <w:w w:val="100"/>
        </w:rPr>
        <w:t>2</w:t>
      </w:r>
      <w:r>
        <w:rPr>
          <w:spacing w:val="-6"/>
          <w:w w:val="100"/>
        </w:rPr>
        <w:t>）交易发生时既不</w:t>
      </w:r>
      <w:r>
        <w:rPr>
          <w:spacing w:val="-102"/>
          <w:w w:val="100"/>
        </w:rPr>
        <w:t> </w:t>
      </w:r>
      <w:r>
        <w:rPr>
          <w:spacing w:val="-102"/>
          <w:w w:val="100"/>
        </w:rPr>
      </w:r>
      <w:r>
        <w:rPr/>
        <w:t>影响会计利润也不影响应纳税所得额或可抵扣亏损。</w:t>
      </w:r>
    </w:p>
    <w:p>
      <w:pPr>
        <w:pStyle w:val="BodyText"/>
        <w:spacing w:line="348" w:lineRule="auto" w:before="34"/>
        <w:ind w:right="1002" w:firstLine="360"/>
        <w:jc w:val="left"/>
      </w:pPr>
      <w:r>
        <w:rPr/>
        <w:t>对于与联营企业投资相关的可抵扣暂时性差异，同时满足下列条件的，确认相应的递延所得税资产：</w:t>
      </w:r>
      <w:r>
        <w:rPr>
          <w:w w:val="100"/>
        </w:rPr>
        <w:t> </w:t>
      </w:r>
      <w:r>
        <w:rPr>
          <w:spacing w:val="-2"/>
        </w:rPr>
        <w:t>暂时性差异在可预见的未来很可能转回，且未来很可能获得用来抵扣可抵扣暂时性差异的应纳税所得额。</w:t>
      </w:r>
    </w:p>
    <w:p>
      <w:pPr>
        <w:spacing w:line="352" w:lineRule="auto" w:before="29"/>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spacing w:val="-102"/>
          <w:sz w:val="21"/>
          <w:szCs w:val="21"/>
        </w:rPr>
        <w:t> </w:t>
      </w:r>
      <w:r>
        <w:rPr>
          <w:rFonts w:ascii="宋体" w:hAnsi="宋体" w:cs="宋体" w:eastAsia="宋体" w:hint="default"/>
          <w:spacing w:val="-2"/>
          <w:sz w:val="21"/>
          <w:szCs w:val="21"/>
        </w:rPr>
        <w:t>公司将当期与以前期间应交未交的应纳税暂时性差异确认为递延所得税负债。但不包括：</w:t>
      </w:r>
    </w:p>
    <w:p>
      <w:pPr>
        <w:pStyle w:val="BodyText"/>
        <w:spacing w:line="240" w:lineRule="auto" w:before="25"/>
        <w:ind w:left="473" w:right="1002"/>
        <w:jc w:val="left"/>
      </w:pPr>
      <w:r>
        <w:rPr/>
        <w:t>（</w:t>
      </w:r>
      <w:r>
        <w:rPr>
          <w:rFonts w:ascii="宋体" w:hAnsi="宋体" w:cs="宋体" w:eastAsia="宋体" w:hint="default"/>
        </w:rPr>
        <w:t>1</w:t>
      </w:r>
      <w:r>
        <w:rPr/>
        <w:t>）商誉的初始确认所形成的暂时性差异；</w:t>
      </w:r>
    </w:p>
    <w:p>
      <w:pPr>
        <w:pStyle w:val="BodyText"/>
        <w:spacing w:line="352" w:lineRule="auto" w:before="123"/>
        <w:ind w:right="1002" w:firstLine="360"/>
        <w:jc w:val="left"/>
      </w:pPr>
      <w:r>
        <w:rPr>
          <w:spacing w:val="-3"/>
        </w:rPr>
        <w:t>（</w:t>
      </w:r>
      <w:r>
        <w:rPr>
          <w:rFonts w:ascii="宋体" w:hAnsi="宋体" w:cs="宋体" w:eastAsia="宋体" w:hint="default"/>
          <w:spacing w:val="-3"/>
        </w:rPr>
        <w:t>2</w:t>
      </w:r>
      <w:r>
        <w:rPr>
          <w:spacing w:val="-3"/>
        </w:rPr>
        <w:t>）非企业合并形成的交易或事项，且该交易或事项发生时既不影响会计利润，也不影响应纳税所得</w:t>
      </w:r>
      <w:r>
        <w:rPr>
          <w:w w:val="100"/>
        </w:rPr>
        <w:t> </w:t>
      </w:r>
      <w:r>
        <w:rPr/>
        <w:t>额（或可抵扣亏损）所形成的暂时性差异；</w:t>
      </w:r>
    </w:p>
    <w:p>
      <w:pPr>
        <w:pStyle w:val="BodyText"/>
        <w:spacing w:line="348" w:lineRule="auto" w:before="25"/>
        <w:ind w:right="1002" w:firstLine="360"/>
        <w:jc w:val="left"/>
      </w:pPr>
      <w:r>
        <w:rPr>
          <w:spacing w:val="-3"/>
        </w:rPr>
        <w:t>（</w:t>
      </w:r>
      <w:r>
        <w:rPr>
          <w:rFonts w:ascii="宋体" w:hAnsi="宋体" w:cs="宋体" w:eastAsia="宋体" w:hint="default"/>
          <w:spacing w:val="-3"/>
        </w:rPr>
        <w:t>3</w:t>
      </w:r>
      <w:r>
        <w:rPr>
          <w:spacing w:val="-3"/>
        </w:rPr>
        <w:t>）对于与子公司、联营企业投资相关的应纳税暂时性差异，该暂时性差异转回的时间能够控制并且</w:t>
      </w:r>
      <w:r>
        <w:rPr>
          <w:w w:val="100"/>
        </w:rPr>
        <w:t> </w:t>
      </w:r>
      <w:r>
        <w:rPr/>
        <w:t>该暂时性差异在可预见的未来很可能不会转回。</w:t>
      </w:r>
    </w:p>
    <w:p>
      <w:pPr>
        <w:pStyle w:val="Heading5"/>
        <w:spacing w:line="240" w:lineRule="auto" w:before="34"/>
        <w:ind w:left="473" w:right="1002"/>
        <w:jc w:val="left"/>
        <w:rPr>
          <w:b w:val="0"/>
          <w:bCs w:val="0"/>
        </w:rPr>
      </w:pPr>
      <w:r>
        <w:rPr>
          <w:rFonts w:ascii="宋体" w:hAnsi="宋体" w:cs="宋体" w:eastAsia="宋体" w:hint="default"/>
        </w:rPr>
        <w:t>3</w:t>
      </w:r>
      <w:r>
        <w:rPr/>
        <w:t>、同时满足下列条件时，将递延所得税资产及递延所得税负债以抵销后的净额列示</w:t>
      </w:r>
      <w:r>
        <w:rPr>
          <w:b w:val="0"/>
          <w:bCs w:val="0"/>
        </w:rPr>
      </w:r>
    </w:p>
    <w:p>
      <w:pPr>
        <w:pStyle w:val="BodyText"/>
        <w:spacing w:line="240" w:lineRule="auto" w:before="124"/>
        <w:ind w:left="473" w:right="1002"/>
        <w:jc w:val="left"/>
      </w:pPr>
      <w:r>
        <w:rPr/>
        <w:t>（</w:t>
      </w:r>
      <w:r>
        <w:rPr>
          <w:rFonts w:ascii="宋体" w:hAnsi="宋体" w:cs="宋体" w:eastAsia="宋体" w:hint="default"/>
        </w:rPr>
        <w:t>1</w:t>
      </w:r>
      <w:r>
        <w:rPr/>
        <w:t>）企业拥有以净额结算当期所得税资产及当期所得税负债的法定权利；</w:t>
      </w:r>
    </w:p>
    <w:p>
      <w:pPr>
        <w:pStyle w:val="BodyText"/>
        <w:spacing w:line="350" w:lineRule="auto" w:before="123"/>
        <w:ind w:right="1002" w:firstLine="364"/>
        <w:jc w:val="left"/>
      </w:pPr>
      <w:r>
        <w:rPr/>
        <w:t>（</w:t>
      </w:r>
      <w:r>
        <w:rPr>
          <w:rFonts w:ascii="宋体" w:hAnsi="宋体" w:cs="宋体" w:eastAsia="宋体" w:hint="default"/>
        </w:rPr>
        <w:t>2</w:t>
      </w:r>
      <w:r>
        <w:rPr/>
        <w:t>）递延所得税资产和递延所得税负债是与同一税收征管部门对同一纳税主体征收的所得税相关或</w:t>
      </w:r>
      <w:r>
        <w:rPr>
          <w:w w:val="100"/>
        </w:rPr>
        <w:t> </w:t>
      </w:r>
      <w:r>
        <w:rPr>
          <w:spacing w:val="-2"/>
        </w:rPr>
        <w:t>者对不同的纳税主体相关，但在未来每一具有重要性的递延所得税资产和递延所得税负债转回的期间内，</w:t>
      </w:r>
      <w:r>
        <w:rPr>
          <w:spacing w:val="-13"/>
        </w:rPr>
        <w:t> </w:t>
      </w:r>
      <w:r>
        <w:rPr>
          <w:spacing w:val="-13"/>
        </w:rPr>
      </w:r>
      <w:r>
        <w:rPr/>
        <w:t>涉及的纳税主体体意图以净额结算当期所得税资产及当期所得税负债或是同时取得资产、清偿债务。</w:t>
      </w:r>
    </w:p>
    <w:p>
      <w:pPr>
        <w:spacing w:line="240" w:lineRule="auto" w:before="11"/>
        <w:rPr>
          <w:rFonts w:ascii="宋体" w:hAnsi="宋体" w:cs="宋体" w:eastAsia="宋体" w:hint="default"/>
          <w:sz w:val="24"/>
          <w:szCs w:val="24"/>
        </w:rPr>
      </w:pPr>
    </w:p>
    <w:p>
      <w:pPr>
        <w:pStyle w:val="Heading5"/>
        <w:spacing w:line="240" w:lineRule="auto"/>
        <w:ind w:right="0"/>
        <w:jc w:val="both"/>
        <w:rPr>
          <w:b w:val="0"/>
          <w:bCs w:val="0"/>
        </w:rPr>
      </w:pPr>
      <w:bookmarkStart w:name="42、租赁" w:id="226"/>
      <w:bookmarkEnd w:id="226"/>
      <w:r>
        <w:rPr>
          <w:b w:val="0"/>
          <w:bCs w:val="0"/>
        </w:rPr>
      </w:r>
      <w:r>
        <w:rPr>
          <w:rFonts w:ascii="Times New Roman" w:hAnsi="Times New Roman" w:cs="Times New Roman" w:eastAsia="Times New Roman" w:hint="default"/>
        </w:rPr>
        <w:t>42</w:t>
      </w:r>
      <w:r>
        <w:rPr/>
        <w:t>、租赁</w:t>
      </w:r>
      <w:r>
        <w:rPr>
          <w:b w:val="0"/>
          <w:bCs w:val="0"/>
        </w:rPr>
      </w:r>
    </w:p>
    <w:p>
      <w:pPr>
        <w:spacing w:line="240" w:lineRule="auto" w:before="4"/>
        <w:rPr>
          <w:rFonts w:ascii="宋体" w:hAnsi="宋体" w:cs="宋体" w:eastAsia="宋体" w:hint="default"/>
          <w:b/>
          <w:bCs/>
          <w:sz w:val="31"/>
          <w:szCs w:val="31"/>
        </w:rPr>
      </w:pPr>
    </w:p>
    <w:p>
      <w:pPr>
        <w:pStyle w:val="Heading5"/>
        <w:spacing w:line="240" w:lineRule="auto"/>
        <w:ind w:right="0"/>
        <w:jc w:val="both"/>
        <w:rPr>
          <w:b w:val="0"/>
          <w:bCs w:val="0"/>
        </w:rPr>
      </w:pPr>
      <w:bookmarkStart w:name="（1）经营租赁的会计处理方法" w:id="227"/>
      <w:bookmarkEnd w:id="227"/>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0"/>
        <w:rPr>
          <w:rFonts w:ascii="宋体" w:hAnsi="宋体" w:cs="宋体" w:eastAsia="宋体" w:hint="default"/>
          <w:b/>
          <w:bCs/>
          <w:sz w:val="31"/>
          <w:szCs w:val="31"/>
        </w:rPr>
      </w:pPr>
    </w:p>
    <w:p>
      <w:pPr>
        <w:pStyle w:val="BodyText"/>
        <w:spacing w:line="348" w:lineRule="auto" w:before="0"/>
        <w:ind w:left="473" w:right="1002"/>
        <w:jc w:val="left"/>
      </w:pPr>
      <w:r>
        <w:rPr/>
        <w:t>（</w:t>
      </w:r>
      <w:r>
        <w:rPr>
          <w:rFonts w:ascii="宋体" w:hAnsi="宋体" w:cs="宋体" w:eastAsia="宋体" w:hint="default"/>
        </w:rPr>
        <w:t>1</w:t>
      </w:r>
      <w:r>
        <w:rPr/>
        <w:t>）经营租入资产</w:t>
      </w:r>
      <w:r>
        <w:rPr>
          <w:spacing w:val="-100"/>
        </w:rPr>
        <w:t> </w:t>
      </w:r>
      <w:r>
        <w:rPr>
          <w:spacing w:val="-100"/>
        </w:rPr>
      </w:r>
      <w:r>
        <w:rPr>
          <w:spacing w:val="-3"/>
        </w:rPr>
        <w:t>公司租入资产所支付的租赁费，在不扣除免租期的整个租赁期内，按直线法进行分摊，计入当期费用。</w:t>
      </w:r>
    </w:p>
    <w:p>
      <w:pPr>
        <w:pStyle w:val="BodyText"/>
        <w:spacing w:line="352" w:lineRule="auto" w:before="29"/>
        <w:ind w:left="473" w:right="1002" w:hanging="360"/>
        <w:jc w:val="left"/>
      </w:pPr>
      <w:r>
        <w:rPr/>
        <w:t>公司支付的与租赁交易相关的初始直接费用，计入当期费用。</w:t>
      </w:r>
      <w:r>
        <w:rPr>
          <w:spacing w:val="-103"/>
        </w:rPr>
        <w:t> </w:t>
      </w:r>
      <w:r>
        <w:rPr>
          <w:spacing w:val="-103"/>
        </w:rPr>
      </w:r>
      <w:r>
        <w:rPr>
          <w:spacing w:val="-1"/>
        </w:rPr>
        <w:t>资产出租方承担了应由公司承担的与租赁相关的费用时，公司将该部分费用从租金总额中扣除，按扣</w:t>
      </w:r>
    </w:p>
    <w:p>
      <w:pPr>
        <w:pStyle w:val="BodyText"/>
        <w:spacing w:line="240" w:lineRule="auto" w:before="25"/>
        <w:ind w:right="0"/>
        <w:jc w:val="both"/>
      </w:pPr>
      <w:r>
        <w:rPr/>
        <w:t>除后的租金费用在租赁期内分摊，计入当期费用。</w:t>
      </w:r>
    </w:p>
    <w:p>
      <w:pPr>
        <w:pStyle w:val="BodyText"/>
        <w:spacing w:line="352" w:lineRule="auto" w:before="123"/>
        <w:ind w:left="473" w:right="1002"/>
        <w:jc w:val="left"/>
      </w:pPr>
      <w:r>
        <w:rPr/>
        <w:t>（</w:t>
      </w:r>
      <w:r>
        <w:rPr>
          <w:rFonts w:ascii="宋体" w:hAnsi="宋体" w:cs="宋体" w:eastAsia="宋体" w:hint="default"/>
        </w:rPr>
        <w:t>2</w:t>
      </w:r>
      <w:r>
        <w:rPr/>
        <w:t>）经营租出资产</w:t>
      </w:r>
      <w:r>
        <w:rPr>
          <w:spacing w:val="-100"/>
        </w:rPr>
        <w:t> </w:t>
      </w:r>
      <w:r>
        <w:rPr>
          <w:spacing w:val="-100"/>
        </w:rPr>
      </w:r>
      <w:r>
        <w:rPr>
          <w:spacing w:val="-1"/>
        </w:rPr>
        <w:t>公司出租资产所收取的租赁费，在不扣除免租期的整个租赁期内，按直线法进行分摊，确认为租赁收</w:t>
      </w:r>
    </w:p>
    <w:p>
      <w:pPr>
        <w:pStyle w:val="BodyText"/>
        <w:spacing w:line="348" w:lineRule="auto" w:before="25"/>
        <w:ind w:right="1129"/>
        <w:jc w:val="both"/>
      </w:pPr>
      <w:r>
        <w:rPr>
          <w:spacing w:val="-2"/>
        </w:rPr>
        <w:t>入。公司支付的与租赁交易相关的初始直接费用，计入当期费用；如金额较大的，则予以资本化，在整个</w:t>
      </w:r>
      <w:r>
        <w:rPr>
          <w:spacing w:val="-37"/>
        </w:rPr>
        <w:t> </w:t>
      </w:r>
      <w:r>
        <w:rPr>
          <w:spacing w:val="-37"/>
        </w:rPr>
      </w:r>
      <w:r>
        <w:rPr/>
        <w:t>租赁期间内按照与租赁收入确认相同的基础分期计入当期收益。</w:t>
      </w:r>
    </w:p>
    <w:p>
      <w:pPr>
        <w:pStyle w:val="BodyText"/>
        <w:spacing w:line="348" w:lineRule="auto" w:before="34"/>
        <w:ind w:right="1002" w:firstLine="360"/>
        <w:jc w:val="left"/>
      </w:pPr>
      <w:r>
        <w:rPr>
          <w:spacing w:val="-1"/>
        </w:rPr>
        <w:t>公司承担了应由承租方承担的与租赁相关的费用时，公司将该部分费用从租金收入总额中扣除，按扣</w:t>
      </w:r>
      <w:r>
        <w:rPr>
          <w:w w:val="100"/>
        </w:rPr>
        <w:t> </w:t>
      </w:r>
      <w:r>
        <w:rPr/>
        <w:t>除后的租金费用在租赁期内分配。</w:t>
      </w:r>
    </w:p>
    <w:p>
      <w:pPr>
        <w:spacing w:after="0" w:line="348"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Heading5"/>
        <w:spacing w:line="240" w:lineRule="auto" w:before="36"/>
        <w:ind w:right="1002"/>
        <w:jc w:val="left"/>
        <w:rPr>
          <w:b w:val="0"/>
          <w:bCs w:val="0"/>
        </w:rPr>
      </w:pPr>
      <w:bookmarkStart w:name="（2）融资租赁的会计处理方法" w:id="228"/>
      <w:bookmarkEnd w:id="228"/>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31"/>
          <w:szCs w:val="31"/>
        </w:rPr>
      </w:pPr>
    </w:p>
    <w:p>
      <w:pPr>
        <w:pStyle w:val="BodyText"/>
        <w:spacing w:line="348" w:lineRule="auto" w:before="0"/>
        <w:ind w:right="1002" w:firstLine="360"/>
        <w:jc w:val="left"/>
      </w:pPr>
      <w:r>
        <w:rPr>
          <w:spacing w:val="-3"/>
        </w:rPr>
        <w:t>（</w:t>
      </w:r>
      <w:r>
        <w:rPr>
          <w:rFonts w:ascii="宋体" w:hAnsi="宋体" w:cs="宋体" w:eastAsia="宋体" w:hint="default"/>
          <w:spacing w:val="-3"/>
        </w:rPr>
        <w:t>1</w:t>
      </w:r>
      <w:r>
        <w:rPr>
          <w:spacing w:val="-3"/>
        </w:rPr>
        <w:t>）融资租入资产：公司在承租开始日，将租赁资产公允价值与最低租赁付款额现值两者中较低者作</w:t>
      </w:r>
      <w:r>
        <w:rPr>
          <w:w w:val="100"/>
        </w:rPr>
        <w:t> </w:t>
      </w:r>
      <w:r>
        <w:rPr>
          <w:spacing w:val="-2"/>
        </w:rPr>
        <w:t>为租入资产的入账价值，将最低租赁付款额作为长期应付款的入账价值，其差额作为未确认的融资费用。</w:t>
      </w:r>
    </w:p>
    <w:p>
      <w:pPr>
        <w:pStyle w:val="BodyText"/>
        <w:spacing w:line="348" w:lineRule="auto" w:before="34"/>
        <w:ind w:left="473" w:right="1002" w:firstLine="62"/>
        <w:jc w:val="left"/>
      </w:pPr>
      <w:r>
        <w:rPr>
          <w:spacing w:val="-2"/>
        </w:rPr>
        <w:t>融资租入资产的认定依据、计价和折旧方法详见审计报告附注四／（二十一）固定资产。</w:t>
      </w:r>
      <w:r>
        <w:rPr>
          <w:spacing w:val="-85"/>
        </w:rPr>
        <w:t> </w:t>
      </w:r>
      <w:r>
        <w:rPr>
          <w:spacing w:val="-85"/>
        </w:rPr>
      </w:r>
      <w:r>
        <w:rPr/>
        <w:t>公司采用实际利率法对未确认的融资费用，在资产租赁期间内摊销，计入财务费用。</w:t>
      </w:r>
    </w:p>
    <w:p>
      <w:pPr>
        <w:pStyle w:val="BodyText"/>
        <w:spacing w:line="350" w:lineRule="auto" w:before="29"/>
        <w:ind w:right="1002" w:firstLine="364"/>
        <w:jc w:val="left"/>
      </w:pPr>
      <w:r>
        <w:rPr/>
        <w:t>（</w:t>
      </w:r>
      <w:r>
        <w:rPr>
          <w:rFonts w:ascii="宋体" w:hAnsi="宋体" w:cs="宋体" w:eastAsia="宋体" w:hint="default"/>
        </w:rPr>
        <w:t>2</w:t>
      </w:r>
      <w:r>
        <w:rPr/>
        <w:t>）融资租出资产：公司在租赁开始日，将应收融资租赁款，未担保余值之和与其现值的差额确认</w:t>
      </w:r>
      <w:r>
        <w:rPr>
          <w:w w:val="100"/>
        </w:rPr>
        <w:t> </w:t>
      </w:r>
      <w:r>
        <w:rPr>
          <w:spacing w:val="-3"/>
        </w:rPr>
        <w:t>为未实现融资收益，在将来收到租金的各期间内确认为租赁收入，公司发生的与出租交易相关的初始直接</w:t>
      </w:r>
      <w:r>
        <w:rPr>
          <w:spacing w:val="-35"/>
        </w:rPr>
        <w:t> </w:t>
      </w:r>
      <w:r>
        <w:rPr>
          <w:spacing w:val="-35"/>
        </w:rPr>
      </w:r>
      <w:r>
        <w:rPr/>
        <w:t>费用，计入应收融资租赁款的初始计量中，并减少租赁期内确认的收益金额。</w:t>
      </w:r>
    </w:p>
    <w:p>
      <w:pPr>
        <w:pStyle w:val="Heading5"/>
        <w:spacing w:line="706" w:lineRule="exact" w:before="5"/>
        <w:ind w:left="473" w:right="7378" w:hanging="360"/>
        <w:jc w:val="left"/>
        <w:rPr>
          <w:b w:val="0"/>
          <w:bCs w:val="0"/>
        </w:rPr>
      </w:pPr>
      <w:bookmarkStart w:name="43、其他重要的会计政策和会计估计" w:id="229"/>
      <w:bookmarkEnd w:id="229"/>
      <w:r>
        <w:rPr>
          <w:b w:val="0"/>
          <w:bCs w:val="0"/>
        </w:rPr>
      </w:r>
      <w:r>
        <w:rPr>
          <w:rFonts w:ascii="Times New Roman" w:hAnsi="Times New Roman" w:cs="Times New Roman" w:eastAsia="Times New Roman" w:hint="default"/>
        </w:rPr>
        <w:t>43</w:t>
      </w:r>
      <w:r>
        <w:rPr/>
        <w:t>、其他重要的会计政策和会计估计</w:t>
      </w:r>
      <w:r>
        <w:rPr>
          <w:w w:val="100"/>
        </w:rPr>
        <w:t> </w:t>
      </w:r>
      <w:r>
        <w:rPr/>
        <w:t>终止经营</w:t>
      </w:r>
      <w:r>
        <w:rPr>
          <w:b w:val="0"/>
          <w:bCs w:val="0"/>
        </w:rPr>
      </w:r>
    </w:p>
    <w:p>
      <w:pPr>
        <w:pStyle w:val="BodyText"/>
        <w:spacing w:line="348" w:lineRule="auto" w:before="12"/>
        <w:ind w:right="1002" w:firstLine="360"/>
        <w:jc w:val="left"/>
      </w:pPr>
      <w:r>
        <w:rPr>
          <w:spacing w:val="-1"/>
        </w:rPr>
        <w:t>本公司将满足下列条件之一的，且该组成部分已经处置或划归为持有待售类别的、能够单独区分的组</w:t>
      </w:r>
      <w:r>
        <w:rPr>
          <w:w w:val="100"/>
        </w:rPr>
        <w:t> </w:t>
      </w:r>
      <w:r>
        <w:rPr/>
        <w:t>成部分确认为终止经营组成部分：</w:t>
      </w:r>
    </w:p>
    <w:p>
      <w:pPr>
        <w:pStyle w:val="BodyText"/>
        <w:spacing w:line="240" w:lineRule="auto" w:before="34"/>
        <w:ind w:left="473" w:right="1002"/>
        <w:jc w:val="left"/>
      </w:pPr>
      <w:r>
        <w:rPr/>
        <w:t>（</w:t>
      </w:r>
      <w:r>
        <w:rPr>
          <w:rFonts w:ascii="宋体" w:hAnsi="宋体" w:cs="宋体" w:eastAsia="宋体" w:hint="default"/>
        </w:rPr>
        <w:t>1</w:t>
      </w:r>
      <w:r>
        <w:rPr/>
        <w:t>）该组成部分代表一项独立的主要业务或一个单独的主要经营地区。</w:t>
      </w:r>
    </w:p>
    <w:p>
      <w:pPr>
        <w:pStyle w:val="BodyText"/>
        <w:spacing w:line="348" w:lineRule="auto" w:before="124"/>
        <w:ind w:right="1002" w:firstLine="360"/>
        <w:jc w:val="left"/>
      </w:pPr>
      <w:r>
        <w:rPr>
          <w:spacing w:val="-3"/>
        </w:rPr>
        <w:t>（</w:t>
      </w:r>
      <w:r>
        <w:rPr>
          <w:rFonts w:ascii="宋体" w:hAnsi="宋体" w:cs="宋体" w:eastAsia="宋体" w:hint="default"/>
          <w:spacing w:val="-3"/>
        </w:rPr>
        <w:t>2</w:t>
      </w:r>
      <w:r>
        <w:rPr>
          <w:spacing w:val="-3"/>
        </w:rPr>
        <w:t>）该组成部分是拟对一项独立的主要业务或一个单独的主要经营地区进行处置的一项相关联计划的</w:t>
      </w:r>
      <w:r>
        <w:rPr>
          <w:w w:val="100"/>
        </w:rPr>
        <w:t> </w:t>
      </w:r>
      <w:r>
        <w:rPr/>
        <w:t>一部分。</w:t>
      </w:r>
    </w:p>
    <w:p>
      <w:pPr>
        <w:pStyle w:val="BodyText"/>
        <w:spacing w:line="348" w:lineRule="auto" w:before="34"/>
        <w:ind w:left="473" w:right="1002"/>
        <w:jc w:val="left"/>
      </w:pPr>
      <w:r>
        <w:rPr/>
        <w:t>（</w:t>
      </w:r>
      <w:r>
        <w:rPr>
          <w:rFonts w:ascii="宋体" w:hAnsi="宋体" w:cs="宋体" w:eastAsia="宋体" w:hint="default"/>
        </w:rPr>
        <w:t>3</w:t>
      </w:r>
      <w:r>
        <w:rPr/>
        <w:t>）该组成部分是专为转售而取得的子公司。</w:t>
      </w:r>
      <w:r>
        <w:rPr>
          <w:spacing w:val="-101"/>
        </w:rPr>
        <w:t> </w:t>
      </w:r>
      <w:r>
        <w:rPr>
          <w:spacing w:val="-101"/>
        </w:rPr>
      </w:r>
      <w:r>
        <w:rPr>
          <w:spacing w:val="-2"/>
        </w:rPr>
        <w:t>终止经营的减值损失和转回金额等经营损益及处置损益作为终止经营损益在利润表中列示。</w:t>
      </w:r>
    </w:p>
    <w:p>
      <w:pPr>
        <w:spacing w:line="240" w:lineRule="auto" w:before="13"/>
        <w:rPr>
          <w:rFonts w:ascii="宋体" w:hAnsi="宋体" w:cs="宋体" w:eastAsia="宋体" w:hint="default"/>
          <w:sz w:val="24"/>
          <w:szCs w:val="24"/>
        </w:rPr>
      </w:pPr>
    </w:p>
    <w:p>
      <w:pPr>
        <w:pStyle w:val="Heading5"/>
        <w:spacing w:line="240" w:lineRule="auto"/>
        <w:ind w:right="1002"/>
        <w:jc w:val="left"/>
        <w:rPr>
          <w:b w:val="0"/>
          <w:bCs w:val="0"/>
        </w:rPr>
      </w:pPr>
      <w:bookmarkStart w:name="44、重要会计政策和会计估计变更" w:id="230"/>
      <w:bookmarkEnd w:id="230"/>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4"/>
        <w:rPr>
          <w:rFonts w:ascii="宋体" w:hAnsi="宋体" w:cs="宋体" w:eastAsia="宋体" w:hint="default"/>
          <w:b/>
          <w:bCs/>
          <w:sz w:val="31"/>
          <w:szCs w:val="31"/>
        </w:rPr>
      </w:pPr>
    </w:p>
    <w:p>
      <w:pPr>
        <w:pStyle w:val="Heading5"/>
        <w:spacing w:line="240" w:lineRule="auto"/>
        <w:ind w:right="1002"/>
        <w:jc w:val="left"/>
        <w:rPr>
          <w:b w:val="0"/>
          <w:bCs w:val="0"/>
        </w:rPr>
      </w:pPr>
      <w:bookmarkStart w:name="（1）重要会计政策变更" w:id="231"/>
      <w:bookmarkEnd w:id="231"/>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31"/>
          <w:szCs w:val="31"/>
        </w:rPr>
      </w:pPr>
    </w:p>
    <w:p>
      <w:pPr>
        <w:pStyle w:val="BodyText"/>
        <w:spacing w:line="240" w:lineRule="auto" w:before="0"/>
        <w:ind w:right="1002"/>
        <w:jc w:val="left"/>
      </w:pPr>
      <w:r>
        <w:rPr/>
        <w:t>√ 适用 □</w:t>
      </w:r>
      <w:r>
        <w:rPr>
          <w:spacing w:val="4"/>
        </w:rPr>
        <w:t> </w:t>
      </w:r>
      <w:r>
        <w:rPr/>
        <w:t>不适用</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528"/>
        <w:gridCol w:w="3707"/>
        <w:gridCol w:w="1340"/>
      </w:tblGrid>
      <w:tr>
        <w:trPr>
          <w:trHeight w:val="490" w:hRule="exact"/>
        </w:trPr>
        <w:tc>
          <w:tcPr>
            <w:tcW w:w="4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998"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p>
        </w:tc>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9" w:right="0"/>
              <w:jc w:val="center"/>
              <w:rPr>
                <w:rFonts w:ascii="宋体" w:hAnsi="宋体" w:cs="宋体" w:eastAsia="宋体" w:hint="default"/>
                <w:sz w:val="21"/>
                <w:szCs w:val="21"/>
              </w:rPr>
            </w:pPr>
            <w:r>
              <w:rPr>
                <w:rFonts w:ascii="宋体" w:hAnsi="宋体" w:cs="宋体" w:eastAsia="宋体" w:hint="default"/>
                <w:sz w:val="21"/>
                <w:szCs w:val="21"/>
              </w:rPr>
              <w:t>审批程序</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9"/>
              <w:ind w:left="5"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093" w:hRule="exact"/>
        </w:trPr>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本公司自</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日起执行财政部</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2017</w:t>
            </w:r>
          </w:p>
          <w:p>
            <w:pPr>
              <w:pStyle w:val="TableParagraph"/>
              <w:spacing w:line="240" w:lineRule="auto" w:before="112"/>
              <w:ind w:left="105" w:right="0"/>
              <w:jc w:val="left"/>
              <w:rPr>
                <w:rFonts w:ascii="宋体" w:hAnsi="宋体" w:cs="宋体" w:eastAsia="宋体" w:hint="default"/>
                <w:sz w:val="21"/>
                <w:szCs w:val="21"/>
              </w:rPr>
            </w:pPr>
            <w:r>
              <w:rPr>
                <w:rFonts w:ascii="宋体" w:hAnsi="宋体" w:cs="宋体" w:eastAsia="宋体" w:hint="default"/>
                <w:spacing w:val="-7"/>
                <w:sz w:val="21"/>
                <w:szCs w:val="21"/>
              </w:rPr>
              <w:t>年修订的《企业会计准则第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金融工具确认</w:t>
            </w:r>
          </w:p>
          <w:p>
            <w:pPr>
              <w:pStyle w:val="TableParagraph"/>
              <w:spacing w:line="240" w:lineRule="auto" w:before="108"/>
              <w:ind w:left="105" w:right="0"/>
              <w:jc w:val="left"/>
              <w:rPr>
                <w:rFonts w:ascii="宋体" w:hAnsi="宋体" w:cs="宋体" w:eastAsia="宋体" w:hint="default"/>
                <w:sz w:val="21"/>
                <w:szCs w:val="21"/>
              </w:rPr>
            </w:pPr>
            <w:r>
              <w:rPr>
                <w:rFonts w:ascii="宋体" w:hAnsi="宋体" w:cs="宋体" w:eastAsia="宋体" w:hint="default"/>
                <w:w w:val="100"/>
                <w:sz w:val="21"/>
                <w:szCs w:val="21"/>
              </w:rPr>
              <w:t>和计量</w:t>
            </w:r>
            <w:r>
              <w:rPr>
                <w:rFonts w:ascii="宋体" w:hAnsi="宋体" w:cs="宋体" w:eastAsia="宋体" w:hint="default"/>
                <w:spacing w:val="-106"/>
                <w:w w:val="100"/>
                <w:sz w:val="21"/>
                <w:szCs w:val="21"/>
              </w:rPr>
              <w:t>》、</w:t>
            </w:r>
            <w:r>
              <w:rPr>
                <w:rFonts w:ascii="宋体" w:hAnsi="宋体" w:cs="宋体" w:eastAsia="宋体" w:hint="default"/>
                <w:spacing w:val="-5"/>
                <w:w w:val="100"/>
                <w:sz w:val="21"/>
                <w:szCs w:val="21"/>
              </w:rPr>
              <w:t>《</w:t>
            </w:r>
            <w:r>
              <w:rPr>
                <w:rFonts w:ascii="宋体" w:hAnsi="宋体" w:cs="宋体" w:eastAsia="宋体" w:hint="default"/>
                <w:w w:val="100"/>
                <w:sz w:val="21"/>
                <w:szCs w:val="21"/>
              </w:rPr>
              <w:t>企业会</w:t>
            </w:r>
            <w:r>
              <w:rPr>
                <w:rFonts w:ascii="宋体" w:hAnsi="宋体" w:cs="宋体" w:eastAsia="宋体" w:hint="default"/>
                <w:spacing w:val="-5"/>
                <w:w w:val="100"/>
                <w:sz w:val="21"/>
                <w:szCs w:val="21"/>
              </w:rPr>
              <w:t>计</w:t>
            </w:r>
            <w:r>
              <w:rPr>
                <w:rFonts w:ascii="宋体" w:hAnsi="宋体" w:cs="宋体" w:eastAsia="宋体" w:hint="default"/>
                <w:w w:val="100"/>
                <w:sz w:val="21"/>
                <w:szCs w:val="21"/>
              </w:rPr>
              <w:t>准则第</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23</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号</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5"/>
                <w:w w:val="100"/>
                <w:sz w:val="21"/>
                <w:szCs w:val="21"/>
              </w:rPr>
              <w:t>金</w:t>
            </w:r>
            <w:r>
              <w:rPr>
                <w:rFonts w:ascii="宋体" w:hAnsi="宋体" w:cs="宋体" w:eastAsia="宋体" w:hint="default"/>
                <w:w w:val="100"/>
                <w:sz w:val="21"/>
                <w:szCs w:val="21"/>
              </w:rPr>
              <w:t>融资产转</w:t>
            </w:r>
          </w:p>
          <w:p>
            <w:pPr>
              <w:pStyle w:val="TableParagraph"/>
              <w:spacing w:line="240" w:lineRule="auto" w:before="112"/>
              <w:ind w:left="105" w:right="0"/>
              <w:jc w:val="left"/>
              <w:rPr>
                <w:rFonts w:ascii="宋体" w:hAnsi="宋体" w:cs="宋体" w:eastAsia="宋体" w:hint="default"/>
                <w:sz w:val="21"/>
                <w:szCs w:val="21"/>
              </w:rPr>
            </w:pPr>
            <w:r>
              <w:rPr>
                <w:rFonts w:ascii="宋体" w:hAnsi="宋体" w:cs="宋体" w:eastAsia="宋体" w:hint="default"/>
                <w:w w:val="100"/>
                <w:sz w:val="21"/>
                <w:szCs w:val="21"/>
              </w:rPr>
              <w:t>移</w:t>
            </w:r>
            <w:r>
              <w:rPr>
                <w:rFonts w:ascii="宋体" w:hAnsi="宋体" w:cs="宋体" w:eastAsia="宋体" w:hint="default"/>
                <w:spacing w:val="-20"/>
                <w:w w:val="100"/>
                <w:sz w:val="21"/>
                <w:szCs w:val="21"/>
              </w:rPr>
              <w:t>》</w:t>
            </w:r>
            <w:r>
              <w:rPr>
                <w:rFonts w:ascii="宋体" w:hAnsi="宋体" w:cs="宋体" w:eastAsia="宋体" w:hint="default"/>
                <w:spacing w:val="-25"/>
                <w:w w:val="100"/>
                <w:sz w:val="21"/>
                <w:szCs w:val="21"/>
              </w:rPr>
              <w:t>和</w:t>
            </w:r>
            <w:r>
              <w:rPr>
                <w:rFonts w:ascii="宋体" w:hAnsi="宋体" w:cs="宋体" w:eastAsia="宋体" w:hint="default"/>
                <w:w w:val="100"/>
                <w:sz w:val="21"/>
                <w:szCs w:val="21"/>
              </w:rPr>
              <w:t>《企</w:t>
            </w:r>
            <w:r>
              <w:rPr>
                <w:rFonts w:ascii="宋体" w:hAnsi="宋体" w:cs="宋体" w:eastAsia="宋体" w:hint="default"/>
                <w:spacing w:val="-5"/>
                <w:w w:val="100"/>
                <w:sz w:val="21"/>
                <w:szCs w:val="21"/>
              </w:rPr>
              <w:t>业</w:t>
            </w:r>
            <w:r>
              <w:rPr>
                <w:rFonts w:ascii="宋体" w:hAnsi="宋体" w:cs="宋体" w:eastAsia="宋体" w:hint="default"/>
                <w:w w:val="100"/>
                <w:sz w:val="21"/>
                <w:szCs w:val="21"/>
              </w:rPr>
              <w:t>会计准</w:t>
            </w:r>
            <w:r>
              <w:rPr>
                <w:rFonts w:ascii="宋体" w:hAnsi="宋体" w:cs="宋体" w:eastAsia="宋体" w:hint="default"/>
                <w:spacing w:val="-5"/>
                <w:w w:val="100"/>
                <w:sz w:val="21"/>
                <w:szCs w:val="21"/>
              </w:rPr>
              <w:t>则</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24</w:t>
            </w:r>
            <w:r>
              <w:rPr>
                <w:rFonts w:ascii="Times New Roman" w:hAnsi="Times New Roman" w:cs="Times New Roman" w:eastAsia="Times New Roman" w:hint="default"/>
                <w:sz w:val="21"/>
                <w:szCs w:val="21"/>
              </w:rPr>
              <w:t> </w:t>
            </w:r>
            <w:r>
              <w:rPr>
                <w:rFonts w:ascii="宋体" w:hAnsi="宋体" w:cs="宋体" w:eastAsia="宋体" w:hint="default"/>
                <w:spacing w:val="-5"/>
                <w:w w:val="100"/>
                <w:sz w:val="21"/>
                <w:szCs w:val="21"/>
              </w:rPr>
              <w:t>号</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套</w:t>
            </w:r>
            <w:r>
              <w:rPr>
                <w:rFonts w:ascii="宋体" w:hAnsi="宋体" w:cs="宋体" w:eastAsia="宋体" w:hint="default"/>
                <w:spacing w:val="-5"/>
                <w:w w:val="100"/>
                <w:sz w:val="21"/>
                <w:szCs w:val="21"/>
              </w:rPr>
              <w:t>期</w:t>
            </w:r>
            <w:r>
              <w:rPr>
                <w:rFonts w:ascii="宋体" w:hAnsi="宋体" w:cs="宋体" w:eastAsia="宋体" w:hint="default"/>
                <w:w w:val="100"/>
                <w:sz w:val="21"/>
                <w:szCs w:val="21"/>
              </w:rPr>
              <w:t>会计</w:t>
            </w:r>
            <w:r>
              <w:rPr>
                <w:rFonts w:ascii="宋体" w:hAnsi="宋体" w:cs="宋体" w:eastAsia="宋体" w:hint="default"/>
                <w:spacing w:val="-106"/>
                <w:w w:val="100"/>
                <w:sz w:val="21"/>
                <w:szCs w:val="21"/>
              </w:rPr>
              <w:t>》</w:t>
            </w:r>
            <w:r>
              <w:rPr>
                <w:rFonts w:ascii="宋体" w:hAnsi="宋体" w:cs="宋体" w:eastAsia="宋体" w:hint="default"/>
                <w:spacing w:val="-130"/>
                <w:w w:val="100"/>
                <w:sz w:val="21"/>
                <w:szCs w:val="21"/>
              </w:rPr>
              <w:t>、</w:t>
            </w:r>
            <w:r>
              <w:rPr>
                <w:rFonts w:ascii="宋体" w:hAnsi="宋体" w:cs="宋体" w:eastAsia="宋体" w:hint="default"/>
                <w:w w:val="100"/>
                <w:sz w:val="21"/>
                <w:szCs w:val="21"/>
              </w:rPr>
              <w:t>《企</w:t>
            </w:r>
          </w:p>
          <w:p>
            <w:pPr>
              <w:pStyle w:val="TableParagraph"/>
              <w:spacing w:line="240" w:lineRule="auto" w:before="107"/>
              <w:ind w:left="105" w:right="0"/>
              <w:jc w:val="left"/>
              <w:rPr>
                <w:rFonts w:ascii="宋体" w:hAnsi="宋体" w:cs="宋体" w:eastAsia="宋体" w:hint="default"/>
                <w:sz w:val="21"/>
                <w:szCs w:val="21"/>
              </w:rPr>
            </w:pPr>
            <w:r>
              <w:rPr>
                <w:rFonts w:ascii="宋体" w:hAnsi="宋体" w:cs="宋体" w:eastAsia="宋体" w:hint="default"/>
                <w:sz w:val="21"/>
                <w:szCs w:val="21"/>
              </w:rPr>
              <w:t>业会计准则第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金融工具列报》</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40" w:lineRule="auto"/>
              <w:ind w:left="106" w:right="94"/>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日召开第八届董</w:t>
            </w:r>
            <w:r>
              <w:rPr>
                <w:rFonts w:ascii="宋体" w:hAnsi="宋体" w:cs="宋体" w:eastAsia="宋体" w:hint="default"/>
                <w:w w:val="100"/>
                <w:sz w:val="21"/>
                <w:szCs w:val="21"/>
              </w:rPr>
              <w:t> </w:t>
            </w:r>
            <w:r>
              <w:rPr>
                <w:rFonts w:ascii="宋体" w:hAnsi="宋体" w:cs="宋体" w:eastAsia="宋体" w:hint="default"/>
                <w:spacing w:val="-6"/>
                <w:sz w:val="21"/>
                <w:szCs w:val="21"/>
              </w:rPr>
              <w:t>事会第三次会议，审议通过了《关于会</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计政策变更的议案》</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1287" w:hRule="exact"/>
        </w:trPr>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本公司自</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日起执行财政部</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2019</w:t>
            </w:r>
          </w:p>
          <w:p>
            <w:pPr>
              <w:pStyle w:val="TableParagraph"/>
              <w:spacing w:line="240" w:lineRule="auto" w:before="108"/>
              <w:ind w:left="105" w:right="0"/>
              <w:jc w:val="left"/>
              <w:rPr>
                <w:rFonts w:ascii="宋体" w:hAnsi="宋体" w:cs="宋体" w:eastAsia="宋体" w:hint="default"/>
                <w:sz w:val="21"/>
                <w:szCs w:val="21"/>
              </w:rPr>
            </w:pPr>
            <w:r>
              <w:rPr>
                <w:rFonts w:ascii="宋体" w:hAnsi="宋体" w:cs="宋体" w:eastAsia="宋体" w:hint="default"/>
                <w:w w:val="100"/>
                <w:sz w:val="21"/>
                <w:szCs w:val="21"/>
              </w:rPr>
              <w:t>年修订</w:t>
            </w:r>
            <w:r>
              <w:rPr>
                <w:rFonts w:ascii="宋体" w:hAnsi="宋体" w:cs="宋体" w:eastAsia="宋体" w:hint="default"/>
                <w:spacing w:val="-101"/>
                <w:w w:val="100"/>
                <w:sz w:val="21"/>
                <w:szCs w:val="21"/>
              </w:rPr>
              <w:t>的</w:t>
            </w:r>
            <w:r>
              <w:rPr>
                <w:rFonts w:ascii="宋体" w:hAnsi="宋体" w:cs="宋体" w:eastAsia="宋体" w:hint="default"/>
                <w:w w:val="100"/>
                <w:sz w:val="21"/>
                <w:szCs w:val="21"/>
              </w:rPr>
              <w:t>《企</w:t>
            </w:r>
            <w:r>
              <w:rPr>
                <w:rFonts w:ascii="宋体" w:hAnsi="宋体" w:cs="宋体" w:eastAsia="宋体" w:hint="default"/>
                <w:spacing w:val="-5"/>
                <w:w w:val="100"/>
                <w:sz w:val="21"/>
                <w:szCs w:val="21"/>
              </w:rPr>
              <w:t>业</w:t>
            </w:r>
            <w:r>
              <w:rPr>
                <w:rFonts w:ascii="宋体" w:hAnsi="宋体" w:cs="宋体" w:eastAsia="宋体" w:hint="default"/>
                <w:w w:val="100"/>
                <w:sz w:val="21"/>
                <w:szCs w:val="21"/>
              </w:rPr>
              <w:t>会计准</w:t>
            </w:r>
            <w:r>
              <w:rPr>
                <w:rFonts w:ascii="宋体" w:hAnsi="宋体" w:cs="宋体" w:eastAsia="宋体" w:hint="default"/>
                <w:spacing w:val="-5"/>
                <w:w w:val="100"/>
                <w:sz w:val="21"/>
                <w:szCs w:val="21"/>
              </w:rPr>
              <w:t>则</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号</w:t>
            </w:r>
            <w:r>
              <w:rPr>
                <w:rFonts w:ascii="宋体" w:hAnsi="宋体" w:cs="宋体" w:eastAsia="宋体" w:hint="default"/>
                <w:spacing w:val="-5"/>
                <w:w w:val="100"/>
                <w:sz w:val="21"/>
                <w:szCs w:val="21"/>
              </w:rPr>
              <w:t>—</w:t>
            </w:r>
            <w:r>
              <w:rPr>
                <w:rFonts w:ascii="宋体" w:hAnsi="宋体" w:cs="宋体" w:eastAsia="宋体" w:hint="default"/>
                <w:w w:val="100"/>
                <w:sz w:val="21"/>
                <w:szCs w:val="21"/>
              </w:rPr>
              <w:t>—非</w:t>
            </w:r>
            <w:r>
              <w:rPr>
                <w:rFonts w:ascii="宋体" w:hAnsi="宋体" w:cs="宋体" w:eastAsia="宋体" w:hint="default"/>
                <w:spacing w:val="-5"/>
                <w:w w:val="100"/>
                <w:sz w:val="21"/>
                <w:szCs w:val="21"/>
              </w:rPr>
              <w:t>货</w:t>
            </w:r>
            <w:r>
              <w:rPr>
                <w:rFonts w:ascii="宋体" w:hAnsi="宋体" w:cs="宋体" w:eastAsia="宋体" w:hint="default"/>
                <w:w w:val="100"/>
                <w:sz w:val="21"/>
                <w:szCs w:val="21"/>
              </w:rPr>
              <w:t>币性资</w:t>
            </w:r>
          </w:p>
          <w:p>
            <w:pPr>
              <w:pStyle w:val="TableParagraph"/>
              <w:spacing w:line="240" w:lineRule="auto" w:before="112"/>
              <w:ind w:left="105"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产交换</w:t>
            </w:r>
            <w:r>
              <w:rPr>
                <w:rFonts w:ascii="宋体" w:hAnsi="宋体" w:cs="宋体" w:eastAsia="宋体" w:hint="default"/>
                <w:spacing w:val="-106"/>
                <w:w w:val="100"/>
                <w:sz w:val="21"/>
                <w:szCs w:val="21"/>
              </w:rPr>
              <w:t>》，</w:t>
            </w:r>
            <w:r>
              <w:rPr>
                <w:rFonts w:ascii="宋体" w:hAnsi="宋体" w:cs="宋体" w:eastAsia="宋体" w:hint="default"/>
                <w:w w:val="100"/>
                <w:sz w:val="21"/>
                <w:szCs w:val="21"/>
              </w:rPr>
              <w:t>自</w:t>
            </w:r>
            <w:r>
              <w:rPr>
                <w:rFonts w:ascii="宋体" w:hAnsi="宋体" w:cs="宋体" w:eastAsia="宋体" w:hint="default"/>
                <w:spacing w:val="-76"/>
                <w:sz w:val="21"/>
                <w:szCs w:val="21"/>
              </w:rPr>
              <w:t> </w:t>
            </w:r>
            <w:r>
              <w:rPr>
                <w:rFonts w:ascii="Times New Roman" w:hAnsi="Times New Roman" w:cs="Times New Roman" w:eastAsia="Times New Roman" w:hint="default"/>
                <w:w w:val="100"/>
                <w:sz w:val="21"/>
                <w:szCs w:val="21"/>
              </w:rPr>
              <w:t>2019</w:t>
            </w:r>
            <w:r>
              <w:rPr>
                <w:rFonts w:ascii="Times New Roman" w:hAnsi="Times New Roman" w:cs="Times New Roman" w:eastAsia="Times New Roman" w:hint="default"/>
                <w:spacing w:val="-24"/>
                <w:sz w:val="21"/>
                <w:szCs w:val="21"/>
              </w:rPr>
              <w:t> </w:t>
            </w:r>
            <w:r>
              <w:rPr>
                <w:rFonts w:ascii="宋体" w:hAnsi="宋体" w:cs="宋体" w:eastAsia="宋体" w:hint="default"/>
                <w:w w:val="100"/>
                <w:sz w:val="21"/>
                <w:szCs w:val="21"/>
              </w:rPr>
              <w:t>年</w:t>
            </w:r>
            <w:r>
              <w:rPr>
                <w:rFonts w:ascii="宋体" w:hAnsi="宋体" w:cs="宋体" w:eastAsia="宋体" w:hint="default"/>
                <w:spacing w:val="-77"/>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24"/>
                <w:sz w:val="21"/>
                <w:szCs w:val="21"/>
              </w:rPr>
              <w:t> </w:t>
            </w:r>
            <w:r>
              <w:rPr>
                <w:rFonts w:ascii="宋体" w:hAnsi="宋体" w:cs="宋体" w:eastAsia="宋体" w:hint="default"/>
                <w:w w:val="100"/>
                <w:sz w:val="21"/>
                <w:szCs w:val="21"/>
              </w:rPr>
              <w:t>月</w:t>
            </w:r>
            <w:r>
              <w:rPr>
                <w:rFonts w:ascii="宋体" w:hAnsi="宋体" w:cs="宋体" w:eastAsia="宋体" w:hint="default"/>
                <w:spacing w:val="-77"/>
                <w:sz w:val="21"/>
                <w:szCs w:val="21"/>
              </w:rPr>
              <w:t> </w:t>
            </w:r>
            <w:r>
              <w:rPr>
                <w:rFonts w:ascii="Times New Roman" w:hAnsi="Times New Roman" w:cs="Times New Roman" w:eastAsia="Times New Roman" w:hint="default"/>
                <w:w w:val="100"/>
                <w:sz w:val="21"/>
                <w:szCs w:val="21"/>
              </w:rPr>
              <w:t>17</w:t>
            </w:r>
            <w:r>
              <w:rPr>
                <w:rFonts w:ascii="Times New Roman" w:hAnsi="Times New Roman" w:cs="Times New Roman" w:eastAsia="Times New Roman" w:hint="default"/>
                <w:spacing w:val="-24"/>
                <w:sz w:val="21"/>
                <w:szCs w:val="21"/>
              </w:rPr>
              <w:t> </w:t>
            </w:r>
            <w:r>
              <w:rPr>
                <w:rFonts w:ascii="宋体" w:hAnsi="宋体" w:cs="宋体" w:eastAsia="宋体" w:hint="default"/>
                <w:w w:val="100"/>
                <w:sz w:val="21"/>
                <w:szCs w:val="21"/>
              </w:rPr>
              <w:t>日起执行</w:t>
            </w:r>
            <w:r>
              <w:rPr>
                <w:rFonts w:ascii="宋体" w:hAnsi="宋体" w:cs="宋体" w:eastAsia="宋体" w:hint="default"/>
                <w:spacing w:val="-5"/>
                <w:w w:val="100"/>
                <w:sz w:val="21"/>
                <w:szCs w:val="21"/>
              </w:rPr>
              <w:t>财</w:t>
            </w:r>
            <w:r>
              <w:rPr>
                <w:rFonts w:ascii="宋体" w:hAnsi="宋体" w:cs="宋体" w:eastAsia="宋体" w:hint="default"/>
                <w:w w:val="100"/>
                <w:sz w:val="21"/>
                <w:szCs w:val="21"/>
              </w:rPr>
              <w:t>政部</w:t>
            </w:r>
            <w:r>
              <w:rPr>
                <w:rFonts w:ascii="宋体" w:hAnsi="宋体" w:cs="宋体" w:eastAsia="宋体" w:hint="default"/>
                <w:spacing w:val="-76"/>
                <w:sz w:val="21"/>
                <w:szCs w:val="21"/>
              </w:rPr>
              <w:t> </w:t>
            </w:r>
            <w:r>
              <w:rPr>
                <w:rFonts w:ascii="Times New Roman" w:hAnsi="Times New Roman" w:cs="Times New Roman" w:eastAsia="Times New Roman" w:hint="default"/>
                <w:w w:val="100"/>
                <w:sz w:val="21"/>
                <w:szCs w:val="21"/>
              </w:rPr>
              <w:t>2019</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114"/>
              <w:ind w:left="106" w:right="94"/>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日召开第八届董</w:t>
            </w:r>
            <w:r>
              <w:rPr>
                <w:rFonts w:ascii="宋体" w:hAnsi="宋体" w:cs="宋体" w:eastAsia="宋体" w:hint="default"/>
                <w:w w:val="100"/>
                <w:sz w:val="21"/>
                <w:szCs w:val="21"/>
              </w:rPr>
              <w:t> </w:t>
            </w:r>
            <w:r>
              <w:rPr>
                <w:rFonts w:ascii="宋体" w:hAnsi="宋体" w:cs="宋体" w:eastAsia="宋体" w:hint="default"/>
                <w:spacing w:val="-6"/>
                <w:sz w:val="21"/>
                <w:szCs w:val="21"/>
              </w:rPr>
              <w:t>事会第十四次会议，审议通过了《关于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会计政策变更的议案》</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528" w:type="dxa"/>
        <w:tblLayout w:type="fixed"/>
        <w:tblCellMar>
          <w:top w:w="0" w:type="dxa"/>
          <w:left w:w="0" w:type="dxa"/>
          <w:bottom w:w="0" w:type="dxa"/>
          <w:right w:w="0" w:type="dxa"/>
        </w:tblCellMar>
        <w:tblLook w:val="01E0"/>
      </w:tblPr>
      <w:tblGrid>
        <w:gridCol w:w="4528"/>
        <w:gridCol w:w="3707"/>
        <w:gridCol w:w="1340"/>
      </w:tblGrid>
      <w:tr>
        <w:trPr>
          <w:trHeight w:val="451" w:hRule="exact"/>
        </w:trPr>
        <w:tc>
          <w:tcPr>
            <w:tcW w:w="4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5" w:right="-10"/>
              <w:jc w:val="left"/>
              <w:rPr>
                <w:rFonts w:ascii="宋体" w:hAnsi="宋体" w:cs="宋体" w:eastAsia="宋体" w:hint="default"/>
                <w:sz w:val="21"/>
                <w:szCs w:val="21"/>
              </w:rPr>
            </w:pPr>
            <w:r>
              <w:rPr>
                <w:rFonts w:ascii="宋体" w:hAnsi="宋体" w:cs="宋体" w:eastAsia="宋体" w:hint="default"/>
                <w:w w:val="100"/>
                <w:sz w:val="21"/>
                <w:szCs w:val="21"/>
              </w:rPr>
              <w:t>年修订</w:t>
            </w:r>
            <w:r>
              <w:rPr>
                <w:rFonts w:ascii="宋体" w:hAnsi="宋体" w:cs="宋体" w:eastAsia="宋体" w:hint="default"/>
                <w:spacing w:val="-101"/>
                <w:w w:val="100"/>
                <w:sz w:val="21"/>
                <w:szCs w:val="21"/>
              </w:rPr>
              <w:t>的</w:t>
            </w:r>
            <w:r>
              <w:rPr>
                <w:rFonts w:ascii="宋体" w:hAnsi="宋体" w:cs="宋体" w:eastAsia="宋体" w:hint="default"/>
                <w:w w:val="100"/>
                <w:sz w:val="21"/>
                <w:szCs w:val="21"/>
              </w:rPr>
              <w:t>《企</w:t>
            </w:r>
            <w:r>
              <w:rPr>
                <w:rFonts w:ascii="宋体" w:hAnsi="宋体" w:cs="宋体" w:eastAsia="宋体" w:hint="default"/>
                <w:spacing w:val="-5"/>
                <w:w w:val="100"/>
                <w:sz w:val="21"/>
                <w:szCs w:val="21"/>
              </w:rPr>
              <w:t>业</w:t>
            </w:r>
            <w:r>
              <w:rPr>
                <w:rFonts w:ascii="宋体" w:hAnsi="宋体" w:cs="宋体" w:eastAsia="宋体" w:hint="default"/>
                <w:w w:val="100"/>
                <w:sz w:val="21"/>
                <w:szCs w:val="21"/>
              </w:rPr>
              <w:t>会计准</w:t>
            </w:r>
            <w:r>
              <w:rPr>
                <w:rFonts w:ascii="宋体" w:hAnsi="宋体" w:cs="宋体" w:eastAsia="宋体" w:hint="default"/>
                <w:spacing w:val="-5"/>
                <w:w w:val="100"/>
                <w:sz w:val="21"/>
                <w:szCs w:val="21"/>
              </w:rPr>
              <w:t>则</w:t>
            </w:r>
            <w:r>
              <w:rPr>
                <w:rFonts w:ascii="宋体" w:hAnsi="宋体" w:cs="宋体" w:eastAsia="宋体" w:hint="default"/>
                <w:w w:val="100"/>
                <w:sz w:val="21"/>
                <w:szCs w:val="21"/>
              </w:rPr>
              <w:t>第</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z w:val="21"/>
                <w:szCs w:val="21"/>
              </w:rPr>
              <w:t> </w:t>
            </w:r>
            <w:r>
              <w:rPr>
                <w:rFonts w:ascii="宋体" w:hAnsi="宋体" w:cs="宋体" w:eastAsia="宋体" w:hint="default"/>
                <w:spacing w:val="-5"/>
                <w:w w:val="100"/>
                <w:sz w:val="21"/>
                <w:szCs w:val="21"/>
              </w:rPr>
              <w:t>号</w:t>
            </w:r>
            <w:r>
              <w:rPr>
                <w:rFonts w:ascii="宋体" w:hAnsi="宋体" w:cs="宋体" w:eastAsia="宋体" w:hint="default"/>
                <w:w w:val="100"/>
                <w:sz w:val="21"/>
                <w:szCs w:val="21"/>
              </w:rPr>
              <w:t>——债</w:t>
            </w:r>
            <w:r>
              <w:rPr>
                <w:rFonts w:ascii="宋体" w:hAnsi="宋体" w:cs="宋体" w:eastAsia="宋体" w:hint="default"/>
                <w:spacing w:val="-5"/>
                <w:w w:val="100"/>
                <w:sz w:val="21"/>
                <w:szCs w:val="21"/>
              </w:rPr>
              <w:t>务</w:t>
            </w:r>
            <w:r>
              <w:rPr>
                <w:rFonts w:ascii="宋体" w:hAnsi="宋体" w:cs="宋体" w:eastAsia="宋体" w:hint="default"/>
                <w:w w:val="100"/>
                <w:sz w:val="21"/>
                <w:szCs w:val="21"/>
              </w:rPr>
              <w:t>重组》</w:t>
            </w:r>
          </w:p>
        </w:tc>
        <w:tc>
          <w:tcPr>
            <w:tcW w:w="3707"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r>
    </w:tbl>
    <w:p>
      <w:pPr>
        <w:spacing w:line="348" w:lineRule="auto" w:before="76"/>
        <w:ind w:left="955" w:right="1117"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）执行新金融工具准则对本公司的影响</w:t>
      </w:r>
      <w:r>
        <w:rPr>
          <w:rFonts w:ascii="宋体" w:hAnsi="宋体" w:cs="宋体" w:eastAsia="宋体" w:hint="default"/>
          <w:b/>
          <w:bCs/>
          <w:w w:val="100"/>
          <w:sz w:val="21"/>
          <w:szCs w:val="21"/>
        </w:rPr>
        <w:t> </w:t>
      </w:r>
      <w:r>
        <w:rPr>
          <w:rFonts w:ascii="宋体" w:hAnsi="宋体" w:cs="宋体" w:eastAsia="宋体" w:hint="default"/>
          <w:spacing w:val="-7"/>
          <w:w w:val="100"/>
          <w:sz w:val="21"/>
          <w:szCs w:val="21"/>
        </w:rPr>
        <w:t>本公司自</w:t>
      </w:r>
      <w:r>
        <w:rPr>
          <w:rFonts w:ascii="宋体" w:hAnsi="宋体" w:cs="宋体" w:eastAsia="宋体" w:hint="default"/>
          <w:spacing w:val="-7"/>
          <w:w w:val="100"/>
          <w:sz w:val="21"/>
          <w:szCs w:val="21"/>
        </w:rPr>
        <w:t>2019</w:t>
      </w:r>
      <w:r>
        <w:rPr>
          <w:rFonts w:ascii="宋体" w:hAnsi="宋体" w:cs="宋体" w:eastAsia="宋体" w:hint="default"/>
          <w:spacing w:val="-7"/>
          <w:w w:val="100"/>
          <w:sz w:val="21"/>
          <w:szCs w:val="21"/>
        </w:rPr>
        <w:t>年</w:t>
      </w:r>
      <w:r>
        <w:rPr>
          <w:rFonts w:ascii="宋体" w:hAnsi="宋体" w:cs="宋体" w:eastAsia="宋体" w:hint="default"/>
          <w:spacing w:val="-7"/>
          <w:w w:val="100"/>
          <w:sz w:val="21"/>
          <w:szCs w:val="21"/>
        </w:rPr>
        <w:t>1</w:t>
      </w:r>
      <w:r>
        <w:rPr>
          <w:rFonts w:ascii="宋体" w:hAnsi="宋体" w:cs="宋体" w:eastAsia="宋体" w:hint="default"/>
          <w:spacing w:val="-7"/>
          <w:w w:val="100"/>
          <w:sz w:val="21"/>
          <w:szCs w:val="21"/>
        </w:rPr>
        <w:t>月</w:t>
      </w:r>
      <w:r>
        <w:rPr>
          <w:rFonts w:ascii="宋体" w:hAnsi="宋体" w:cs="宋体" w:eastAsia="宋体" w:hint="default"/>
          <w:spacing w:val="-7"/>
          <w:w w:val="100"/>
          <w:sz w:val="21"/>
          <w:szCs w:val="21"/>
        </w:rPr>
        <w:t>1</w:t>
      </w:r>
      <w:r>
        <w:rPr>
          <w:rFonts w:ascii="宋体" w:hAnsi="宋体" w:cs="宋体" w:eastAsia="宋体" w:hint="default"/>
          <w:spacing w:val="-7"/>
          <w:w w:val="100"/>
          <w:sz w:val="21"/>
          <w:szCs w:val="21"/>
        </w:rPr>
        <w:t>日起执行财政部</w:t>
      </w:r>
      <w:r>
        <w:rPr>
          <w:rFonts w:ascii="宋体" w:hAnsi="宋体" w:cs="宋体" w:eastAsia="宋体" w:hint="default"/>
          <w:spacing w:val="-7"/>
          <w:w w:val="100"/>
          <w:sz w:val="21"/>
          <w:szCs w:val="21"/>
        </w:rPr>
        <w:t>2017</w:t>
      </w:r>
      <w:r>
        <w:rPr>
          <w:rFonts w:ascii="宋体" w:hAnsi="宋体" w:cs="宋体" w:eastAsia="宋体" w:hint="default"/>
          <w:spacing w:val="-7"/>
          <w:w w:val="100"/>
          <w:sz w:val="21"/>
          <w:szCs w:val="21"/>
        </w:rPr>
        <w:t>年修订的《企业会计准则第</w:t>
      </w:r>
      <w:r>
        <w:rPr>
          <w:rFonts w:ascii="宋体" w:hAnsi="宋体" w:cs="宋体" w:eastAsia="宋体" w:hint="default"/>
          <w:spacing w:val="-7"/>
          <w:w w:val="100"/>
          <w:sz w:val="21"/>
          <w:szCs w:val="21"/>
        </w:rPr>
        <w:t>22</w:t>
      </w:r>
      <w:r>
        <w:rPr>
          <w:rFonts w:ascii="宋体" w:hAnsi="宋体" w:cs="宋体" w:eastAsia="宋体" w:hint="default"/>
          <w:spacing w:val="-7"/>
          <w:w w:val="100"/>
          <w:sz w:val="21"/>
          <w:szCs w:val="21"/>
        </w:rPr>
        <w:t>号</w:t>
      </w:r>
      <w:r>
        <w:rPr>
          <w:rFonts w:ascii="Times New Roman" w:hAnsi="Times New Roman" w:cs="Times New Roman" w:eastAsia="Times New Roman" w:hint="default"/>
          <w:spacing w:val="-7"/>
          <w:w w:val="100"/>
          <w:sz w:val="21"/>
          <w:szCs w:val="21"/>
        </w:rPr>
        <w:t>-</w:t>
      </w:r>
      <w:r>
        <w:rPr>
          <w:rFonts w:ascii="宋体" w:hAnsi="宋体" w:cs="宋体" w:eastAsia="宋体" w:hint="default"/>
          <w:spacing w:val="-7"/>
          <w:w w:val="100"/>
          <w:sz w:val="21"/>
          <w:szCs w:val="21"/>
        </w:rPr>
        <w:t>金融工具确认和计量》、《企</w:t>
      </w:r>
    </w:p>
    <w:p>
      <w:pPr>
        <w:pStyle w:val="BodyText"/>
        <w:spacing w:line="328" w:lineRule="auto" w:before="8"/>
        <w:ind w:left="533" w:right="1111"/>
        <w:jc w:val="left"/>
      </w:pPr>
      <w:r>
        <w:rPr>
          <w:w w:val="100"/>
        </w:rPr>
        <w:t>业会计准</w:t>
      </w:r>
      <w:r>
        <w:rPr>
          <w:spacing w:val="-5"/>
          <w:w w:val="100"/>
        </w:rPr>
        <w:t>则</w:t>
      </w:r>
      <w:r>
        <w:rPr>
          <w:w w:val="100"/>
        </w:rPr>
        <w:t>第</w:t>
      </w:r>
      <w:r>
        <w:rPr>
          <w:rFonts w:ascii="宋体" w:hAnsi="宋体" w:cs="宋体" w:eastAsia="宋体" w:hint="default"/>
          <w:w w:val="100"/>
        </w:rPr>
        <w:t>23</w:t>
      </w:r>
      <w:r>
        <w:rPr>
          <w:w w:val="100"/>
        </w:rPr>
        <w:t>号</w:t>
      </w:r>
      <w:r>
        <w:rPr>
          <w:rFonts w:ascii="Times New Roman" w:hAnsi="Times New Roman" w:cs="Times New Roman" w:eastAsia="Times New Roman" w:hint="default"/>
          <w:spacing w:val="-4"/>
          <w:w w:val="100"/>
        </w:rPr>
        <w:t>-</w:t>
      </w:r>
      <w:r>
        <w:rPr>
          <w:w w:val="100"/>
        </w:rPr>
        <w:t>金融</w:t>
      </w:r>
      <w:r>
        <w:rPr>
          <w:spacing w:val="-5"/>
          <w:w w:val="100"/>
        </w:rPr>
        <w:t>资</w:t>
      </w:r>
      <w:r>
        <w:rPr>
          <w:w w:val="100"/>
        </w:rPr>
        <w:t>产转移</w:t>
      </w:r>
      <w:r>
        <w:rPr>
          <w:spacing w:val="-10"/>
          <w:w w:val="100"/>
        </w:rPr>
        <w:t>》和</w:t>
      </w:r>
      <w:r>
        <w:rPr>
          <w:w w:val="100"/>
        </w:rPr>
        <w:t>《企</w:t>
      </w:r>
      <w:r>
        <w:rPr>
          <w:spacing w:val="-5"/>
          <w:w w:val="100"/>
        </w:rPr>
        <w:t>业</w:t>
      </w:r>
      <w:r>
        <w:rPr>
          <w:w w:val="100"/>
        </w:rPr>
        <w:t>会计准</w:t>
      </w:r>
      <w:r>
        <w:rPr>
          <w:spacing w:val="-5"/>
          <w:w w:val="100"/>
        </w:rPr>
        <w:t>则</w:t>
      </w:r>
      <w:r>
        <w:rPr>
          <w:spacing w:val="1"/>
          <w:w w:val="100"/>
        </w:rPr>
        <w:t>第</w:t>
      </w:r>
      <w:r>
        <w:rPr>
          <w:rFonts w:ascii="宋体" w:hAnsi="宋体" w:cs="宋体" w:eastAsia="宋体" w:hint="default"/>
          <w:w w:val="100"/>
        </w:rPr>
        <w:t>24</w:t>
      </w:r>
      <w:r>
        <w:rPr>
          <w:w w:val="100"/>
        </w:rPr>
        <w:t>号</w:t>
      </w:r>
      <w:r>
        <w:rPr>
          <w:rFonts w:ascii="Times New Roman" w:hAnsi="Times New Roman" w:cs="Times New Roman" w:eastAsia="Times New Roman" w:hint="default"/>
          <w:spacing w:val="1"/>
          <w:w w:val="100"/>
        </w:rPr>
        <w:t>-</w:t>
      </w:r>
      <w:r>
        <w:rPr>
          <w:spacing w:val="-5"/>
          <w:w w:val="100"/>
        </w:rPr>
        <w:t>套</w:t>
      </w:r>
      <w:r>
        <w:rPr>
          <w:w w:val="100"/>
        </w:rPr>
        <w:t>期会计</w:t>
      </w:r>
      <w:r>
        <w:rPr>
          <w:spacing w:val="-106"/>
          <w:w w:val="100"/>
        </w:rPr>
        <w:t>》</w:t>
      </w:r>
      <w:r>
        <w:rPr>
          <w:spacing w:val="-116"/>
          <w:w w:val="100"/>
        </w:rPr>
        <w:t>、</w:t>
      </w:r>
      <w:r>
        <w:rPr>
          <w:spacing w:val="-5"/>
          <w:w w:val="100"/>
        </w:rPr>
        <w:t>《</w:t>
      </w:r>
      <w:r>
        <w:rPr>
          <w:w w:val="100"/>
        </w:rPr>
        <w:t>企业会</w:t>
      </w:r>
      <w:r>
        <w:rPr>
          <w:spacing w:val="-5"/>
          <w:w w:val="100"/>
        </w:rPr>
        <w:t>计</w:t>
      </w:r>
      <w:r>
        <w:rPr>
          <w:w w:val="100"/>
        </w:rPr>
        <w:t>准则</w:t>
      </w:r>
      <w:r>
        <w:rPr>
          <w:spacing w:val="1"/>
          <w:w w:val="100"/>
        </w:rPr>
        <w:t>第</w:t>
      </w:r>
      <w:r>
        <w:rPr>
          <w:rFonts w:ascii="宋体" w:hAnsi="宋体" w:cs="宋体" w:eastAsia="宋体" w:hint="default"/>
          <w:w w:val="100"/>
        </w:rPr>
        <w:t>3</w:t>
      </w:r>
      <w:r>
        <w:rPr>
          <w:rFonts w:ascii="宋体" w:hAnsi="宋体" w:cs="宋体" w:eastAsia="宋体" w:hint="default"/>
          <w:spacing w:val="-5"/>
          <w:w w:val="100"/>
        </w:rPr>
        <w:t>7</w:t>
      </w:r>
      <w:r>
        <w:rPr>
          <w:w w:val="100"/>
        </w:rPr>
        <w:t>号</w:t>
      </w:r>
      <w:r>
        <w:rPr>
          <w:rFonts w:ascii="Times New Roman" w:hAnsi="Times New Roman" w:cs="Times New Roman" w:eastAsia="Times New Roman" w:hint="default"/>
          <w:spacing w:val="1"/>
          <w:w w:val="100"/>
        </w:rPr>
        <w:t>-</w:t>
      </w:r>
      <w:r>
        <w:rPr>
          <w:spacing w:val="-5"/>
          <w:w w:val="100"/>
        </w:rPr>
        <w:t>金</w:t>
      </w:r>
      <w:r>
        <w:rPr>
          <w:w w:val="100"/>
        </w:rPr>
        <w:t>融工具</w:t>
      </w:r>
      <w:r>
        <w:rPr>
          <w:w w:val="100"/>
        </w:rPr>
        <w:t> 列报</w:t>
      </w:r>
      <w:r>
        <w:rPr>
          <w:spacing w:val="-106"/>
          <w:w w:val="100"/>
        </w:rPr>
        <w:t>》</w:t>
      </w:r>
      <w:r>
        <w:rPr>
          <w:w w:val="100"/>
        </w:rPr>
        <w:t>（以</w:t>
      </w:r>
      <w:r>
        <w:rPr>
          <w:spacing w:val="-5"/>
          <w:w w:val="100"/>
        </w:rPr>
        <w:t>上</w:t>
      </w:r>
      <w:r>
        <w:rPr>
          <w:w w:val="100"/>
        </w:rPr>
        <w:t>四项统</w:t>
      </w:r>
      <w:r>
        <w:rPr>
          <w:spacing w:val="-5"/>
          <w:w w:val="100"/>
        </w:rPr>
        <w:t>称</w:t>
      </w:r>
      <w:r>
        <w:rPr>
          <w:rFonts w:ascii="宋体" w:hAnsi="宋体" w:cs="宋体" w:eastAsia="宋体" w:hint="default"/>
          <w:w w:val="100"/>
        </w:rPr>
        <w:t>&lt;</w:t>
      </w:r>
      <w:r>
        <w:rPr>
          <w:w w:val="100"/>
        </w:rPr>
        <w:t>新金</w:t>
      </w:r>
      <w:r>
        <w:rPr>
          <w:spacing w:val="-5"/>
          <w:w w:val="100"/>
        </w:rPr>
        <w:t>融</w:t>
      </w:r>
      <w:r>
        <w:rPr>
          <w:w w:val="100"/>
        </w:rPr>
        <w:t>工具准则</w:t>
      </w:r>
      <w:r>
        <w:rPr>
          <w:rFonts w:ascii="宋体" w:hAnsi="宋体" w:cs="宋体" w:eastAsia="宋体" w:hint="default"/>
          <w:spacing w:val="-5"/>
          <w:w w:val="100"/>
        </w:rPr>
        <w:t>&gt;</w:t>
      </w:r>
      <w:r>
        <w:rPr>
          <w:spacing w:val="-106"/>
          <w:w w:val="100"/>
        </w:rPr>
        <w:t>）</w:t>
      </w:r>
      <w:r>
        <w:rPr>
          <w:w w:val="100"/>
        </w:rPr>
        <w:t>，变</w:t>
      </w:r>
      <w:r>
        <w:rPr>
          <w:spacing w:val="-5"/>
          <w:w w:val="100"/>
        </w:rPr>
        <w:t>更</w:t>
      </w:r>
      <w:r>
        <w:rPr>
          <w:w w:val="100"/>
        </w:rPr>
        <w:t>后</w:t>
      </w:r>
      <w:r>
        <w:rPr>
          <w:spacing w:val="-5"/>
          <w:w w:val="100"/>
        </w:rPr>
        <w:t>的</w:t>
      </w:r>
      <w:r>
        <w:rPr>
          <w:w w:val="100"/>
        </w:rPr>
        <w:t>会计政策</w:t>
      </w:r>
      <w:r>
        <w:rPr>
          <w:spacing w:val="-5"/>
          <w:w w:val="100"/>
        </w:rPr>
        <w:t>详</w:t>
      </w:r>
      <w:r>
        <w:rPr>
          <w:w w:val="100"/>
        </w:rPr>
        <w:t>见审计</w:t>
      </w:r>
      <w:r>
        <w:rPr>
          <w:spacing w:val="-5"/>
          <w:w w:val="100"/>
        </w:rPr>
        <w:t>报</w:t>
      </w:r>
      <w:r>
        <w:rPr>
          <w:w w:val="100"/>
        </w:rPr>
        <w:t>告附注</w:t>
      </w:r>
      <w:r>
        <w:rPr>
          <w:spacing w:val="-5"/>
          <w:w w:val="100"/>
        </w:rPr>
        <w:t>四</w:t>
      </w:r>
      <w:r>
        <w:rPr>
          <w:w w:val="100"/>
        </w:rPr>
        <w:t>。</w:t>
      </w:r>
    </w:p>
    <w:p>
      <w:pPr>
        <w:pStyle w:val="BodyText"/>
        <w:spacing w:line="350" w:lineRule="auto" w:before="46"/>
        <w:ind w:left="533" w:right="1122" w:firstLine="422"/>
        <w:jc w:val="both"/>
      </w:pPr>
      <w:r>
        <w:rPr>
          <w:spacing w:val="-2"/>
        </w:rPr>
        <w:t>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日之前的金融工具确认和计量与新金融工具准则要求不一致的，本公司按照新金融工具</w:t>
      </w:r>
      <w:r>
        <w:rPr>
          <w:w w:val="100"/>
        </w:rPr>
        <w:t> </w:t>
      </w:r>
      <w:r>
        <w:rPr>
          <w:spacing w:val="-2"/>
        </w:rPr>
        <w:t>准则的要求进行衔接调整。涉及前期比较财务报表数据与新金融工具准则要求不一致的，本公司未调整可</w:t>
      </w:r>
      <w:r>
        <w:rPr>
          <w:spacing w:val="-33"/>
        </w:rPr>
        <w:t> </w:t>
      </w:r>
      <w:r>
        <w:rPr>
          <w:spacing w:val="-33"/>
        </w:rPr>
      </w:r>
      <w:r>
        <w:rPr>
          <w:spacing w:val="-2"/>
        </w:rPr>
        <w:t>比期间信息。金融工具原账面价值和新金融工具准则施行日的新账面价值之间的差额，计入</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w:t>
      </w:r>
      <w:r>
        <w:rPr>
          <w:spacing w:val="-24"/>
        </w:rPr>
        <w:t> </w:t>
      </w:r>
      <w:r>
        <w:rPr/>
        <w:t>留存收益或其他综合收益。</w:t>
      </w:r>
    </w:p>
    <w:p>
      <w:pPr>
        <w:pStyle w:val="BodyText"/>
        <w:spacing w:line="240" w:lineRule="auto" w:before="31"/>
        <w:ind w:left="893" w:right="1117"/>
        <w:jc w:val="left"/>
      </w:pPr>
      <w:r>
        <w:rPr/>
        <w:t>执行新金融工具准则对本期期初资产负债表相关项目的影响列示如下：</w:t>
      </w:r>
    </w:p>
    <w:p>
      <w:pPr>
        <w:spacing w:line="240" w:lineRule="auto" w:before="8"/>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026"/>
        <w:gridCol w:w="1815"/>
        <w:gridCol w:w="1517"/>
        <w:gridCol w:w="1546"/>
        <w:gridCol w:w="1498"/>
        <w:gridCol w:w="1830"/>
      </w:tblGrid>
      <w:tr>
        <w:trPr>
          <w:trHeight w:val="433" w:hRule="exact"/>
        </w:trPr>
        <w:tc>
          <w:tcPr>
            <w:tcW w:w="2026" w:type="dxa"/>
            <w:vMerge w:val="restart"/>
            <w:tcBorders>
              <w:top w:val="single" w:sz="6" w:space="0" w:color="000000"/>
              <w:left w:val="single" w:sz="6" w:space="0" w:color="000000"/>
              <w:right w:val="single" w:sz="6" w:space="0" w:color="000000"/>
            </w:tcBorders>
          </w:tcPr>
          <w:p>
            <w:pPr>
              <w:pStyle w:val="TableParagraph"/>
              <w:spacing w:line="240" w:lineRule="auto" w:before="86"/>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15" w:type="dxa"/>
            <w:vMerge w:val="restart"/>
            <w:tcBorders>
              <w:top w:val="single" w:sz="6" w:space="0" w:color="000000"/>
              <w:left w:val="single" w:sz="6" w:space="0" w:color="000000"/>
              <w:right w:val="single" w:sz="6" w:space="0" w:color="000000"/>
            </w:tcBorders>
          </w:tcPr>
          <w:p>
            <w:pPr>
              <w:pStyle w:val="TableParagraph"/>
              <w:spacing w:line="240" w:lineRule="auto" w:before="86"/>
              <w:ind w:left="16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45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8" w:right="0"/>
              <w:jc w:val="center"/>
              <w:rPr>
                <w:rFonts w:ascii="宋体" w:hAnsi="宋体" w:cs="宋体" w:eastAsia="宋体" w:hint="default"/>
                <w:sz w:val="21"/>
                <w:szCs w:val="21"/>
              </w:rPr>
            </w:pPr>
            <w:r>
              <w:rPr>
                <w:rFonts w:ascii="宋体" w:hAnsi="宋体" w:cs="宋体" w:eastAsia="宋体" w:hint="default"/>
                <w:sz w:val="21"/>
                <w:szCs w:val="21"/>
              </w:rPr>
              <w:t>累积影响金额</w:t>
            </w:r>
          </w:p>
        </w:tc>
        <w:tc>
          <w:tcPr>
            <w:tcW w:w="1830" w:type="dxa"/>
            <w:vMerge w:val="restart"/>
            <w:tcBorders>
              <w:top w:val="single" w:sz="6" w:space="0" w:color="000000"/>
              <w:left w:val="single" w:sz="6" w:space="0" w:color="000000"/>
              <w:right w:val="single" w:sz="6" w:space="0" w:color="000000"/>
            </w:tcBorders>
          </w:tcPr>
          <w:p>
            <w:pPr>
              <w:pStyle w:val="TableParagraph"/>
              <w:spacing w:line="240" w:lineRule="auto" w:before="86"/>
              <w:ind w:left="27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w:t>
            </w:r>
          </w:p>
        </w:tc>
      </w:tr>
      <w:tr>
        <w:trPr>
          <w:trHeight w:val="1238" w:hRule="exact"/>
        </w:trPr>
        <w:tc>
          <w:tcPr>
            <w:tcW w:w="2026" w:type="dxa"/>
            <w:vMerge/>
            <w:tcBorders>
              <w:left w:val="single" w:sz="6" w:space="0" w:color="000000"/>
              <w:bottom w:val="single" w:sz="6" w:space="0" w:color="000000"/>
              <w:right w:val="single" w:sz="6" w:space="0" w:color="000000"/>
            </w:tcBorders>
          </w:tcPr>
          <w:p>
            <w:pPr/>
          </w:p>
        </w:tc>
        <w:tc>
          <w:tcPr>
            <w:tcW w:w="1815" w:type="dxa"/>
            <w:vMerge/>
            <w:tcBorders>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90"/>
              <w:ind w:left="331" w:right="324" w:firstLine="105"/>
              <w:jc w:val="left"/>
              <w:rPr>
                <w:rFonts w:ascii="宋体" w:hAnsi="宋体" w:cs="宋体" w:eastAsia="宋体" w:hint="default"/>
                <w:sz w:val="21"/>
                <w:szCs w:val="21"/>
              </w:rPr>
            </w:pPr>
            <w:r>
              <w:rPr>
                <w:rFonts w:ascii="宋体" w:hAnsi="宋体" w:cs="宋体" w:eastAsia="宋体" w:hint="default"/>
                <w:sz w:val="21"/>
                <w:szCs w:val="21"/>
              </w:rPr>
              <w:t>分类和</w:t>
            </w:r>
            <w:r>
              <w:rPr>
                <w:rFonts w:ascii="宋体" w:hAnsi="宋体" w:cs="宋体" w:eastAsia="宋体" w:hint="default"/>
                <w:w w:val="100"/>
                <w:sz w:val="21"/>
                <w:szCs w:val="21"/>
              </w:rPr>
              <w:t> </w:t>
            </w:r>
            <w:r>
              <w:rPr>
                <w:rFonts w:ascii="宋体" w:hAnsi="宋体" w:cs="宋体" w:eastAsia="宋体" w:hint="default"/>
                <w:sz w:val="21"/>
                <w:szCs w:val="21"/>
              </w:rPr>
              <w:t>计量影响</w:t>
            </w:r>
          </w:p>
          <w:p>
            <w:pPr>
              <w:pStyle w:val="TableParagraph"/>
              <w:spacing w:line="240" w:lineRule="auto" w:before="17"/>
              <w:ind w:left="383" w:right="0"/>
              <w:jc w:val="left"/>
              <w:rPr>
                <w:rFonts w:ascii="宋体" w:hAnsi="宋体" w:cs="宋体" w:eastAsia="宋体" w:hint="default"/>
                <w:sz w:val="22"/>
                <w:szCs w:val="22"/>
              </w:rPr>
            </w:pPr>
            <w:r>
              <w:rPr>
                <w:rFonts w:ascii="宋体" w:hAnsi="宋体" w:cs="宋体" w:eastAsia="宋体" w:hint="default"/>
                <w:i/>
                <w:sz w:val="22"/>
                <w:szCs w:val="22"/>
              </w:rPr>
              <w:t>（注</w:t>
            </w:r>
            <w:r>
              <w:rPr>
                <w:rFonts w:ascii="宋体" w:hAnsi="宋体" w:cs="宋体" w:eastAsia="宋体" w:hint="default"/>
                <w:i/>
                <w:sz w:val="22"/>
                <w:szCs w:val="22"/>
              </w:rPr>
              <w:t>1</w:t>
            </w:r>
            <w:r>
              <w:rPr>
                <w:rFonts w:ascii="宋体" w:hAnsi="宋体" w:cs="宋体" w:eastAsia="宋体" w:hint="default"/>
                <w:i/>
                <w:sz w:val="22"/>
                <w:szCs w:val="22"/>
              </w:rPr>
              <w:t>）</w:t>
            </w:r>
            <w:r>
              <w:rPr>
                <w:rFonts w:ascii="宋体" w:hAnsi="宋体" w:cs="宋体" w:eastAsia="宋体" w:hint="default"/>
                <w:sz w:val="22"/>
                <w:szCs w:val="22"/>
              </w:rPr>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90"/>
              <w:ind w:left="345" w:right="339"/>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spacing w:val="-101"/>
                <w:sz w:val="21"/>
                <w:szCs w:val="21"/>
              </w:rPr>
              <w:t> </w:t>
            </w:r>
            <w:r>
              <w:rPr>
                <w:rFonts w:ascii="宋体" w:hAnsi="宋体" w:cs="宋体" w:eastAsia="宋体" w:hint="default"/>
                <w:sz w:val="21"/>
                <w:szCs w:val="21"/>
              </w:rPr>
              <w:t>减值影响</w:t>
            </w:r>
          </w:p>
          <w:p>
            <w:pPr>
              <w:pStyle w:val="TableParagraph"/>
              <w:spacing w:line="240" w:lineRule="auto" w:before="17"/>
              <w:ind w:left="398" w:right="0"/>
              <w:jc w:val="left"/>
              <w:rPr>
                <w:rFonts w:ascii="宋体" w:hAnsi="宋体" w:cs="宋体" w:eastAsia="宋体" w:hint="default"/>
                <w:sz w:val="22"/>
                <w:szCs w:val="22"/>
              </w:rPr>
            </w:pPr>
            <w:r>
              <w:rPr>
                <w:rFonts w:ascii="宋体" w:hAnsi="宋体" w:cs="宋体" w:eastAsia="宋体" w:hint="default"/>
                <w:i/>
                <w:sz w:val="22"/>
                <w:szCs w:val="22"/>
              </w:rPr>
              <w:t>（注</w:t>
            </w:r>
            <w:r>
              <w:rPr>
                <w:rFonts w:ascii="宋体" w:hAnsi="宋体" w:cs="宋体" w:eastAsia="宋体" w:hint="default"/>
                <w:i/>
                <w:sz w:val="22"/>
                <w:szCs w:val="22"/>
              </w:rPr>
              <w:t>2</w:t>
            </w:r>
            <w:r>
              <w:rPr>
                <w:rFonts w:ascii="宋体" w:hAnsi="宋体" w:cs="宋体" w:eastAsia="宋体" w:hint="default"/>
                <w:i/>
                <w:sz w:val="22"/>
                <w:szCs w:val="22"/>
              </w:rPr>
              <w:t>）</w:t>
            </w:r>
            <w:r>
              <w:rPr>
                <w:rFonts w:ascii="宋体" w:hAnsi="宋体" w:cs="宋体" w:eastAsia="宋体" w:hint="default"/>
                <w:sz w:val="22"/>
                <w:szCs w:val="22"/>
              </w:rPr>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30" w:type="dxa"/>
            <w:vMerge/>
            <w:tcBorders>
              <w:left w:val="single" w:sz="6" w:space="0" w:color="000000"/>
              <w:bottom w:val="single" w:sz="6" w:space="0" w:color="000000"/>
              <w:right w:val="single" w:sz="6" w:space="0" w:color="000000"/>
            </w:tcBorders>
          </w:tcPr>
          <w:p>
            <w:pPr/>
          </w:p>
        </w:tc>
      </w:tr>
      <w:tr>
        <w:trPr>
          <w:trHeight w:val="432"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89,714,563.36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pacing w:val="-1"/>
                <w:sz w:val="21"/>
              </w:rPr>
              <w:t>-83,994,418.19</w:t>
            </w:r>
          </w:p>
        </w:tc>
        <w:tc>
          <w:tcPr>
            <w:tcW w:w="154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-83,994,418.19</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5,720,145.17</w:t>
            </w:r>
          </w:p>
        </w:tc>
      </w:tr>
      <w:tr>
        <w:trPr>
          <w:trHeight w:val="43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4"/>
              <w:jc w:val="right"/>
              <w:rPr>
                <w:rFonts w:ascii="宋体" w:hAnsi="宋体" w:cs="宋体" w:eastAsia="宋体" w:hint="default"/>
                <w:sz w:val="21"/>
                <w:szCs w:val="21"/>
              </w:rPr>
            </w:pPr>
            <w:r>
              <w:rPr>
                <w:rFonts w:ascii="宋体"/>
                <w:spacing w:val="-1"/>
                <w:sz w:val="21"/>
              </w:rPr>
              <w:t>978,660,986.62</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spacing w:val="-1"/>
                <w:sz w:val="21"/>
              </w:rPr>
              <w:t>-74,393,612.21</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spacing w:val="-1"/>
                <w:sz w:val="21"/>
              </w:rPr>
              <w:t>-74,393,612.21</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spacing w:val="-1"/>
                <w:sz w:val="21"/>
              </w:rPr>
              <w:t>904,267,374.41</w:t>
            </w:r>
          </w:p>
        </w:tc>
      </w:tr>
      <w:tr>
        <w:trPr>
          <w:trHeight w:val="43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815"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pacing w:val="-1"/>
                <w:sz w:val="21"/>
              </w:rPr>
              <w:t>83,994,418.19</w:t>
            </w:r>
          </w:p>
        </w:tc>
        <w:tc>
          <w:tcPr>
            <w:tcW w:w="154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83,994,418.19</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83,994,418.19</w:t>
            </w:r>
          </w:p>
        </w:tc>
      </w:tr>
      <w:tr>
        <w:trPr>
          <w:trHeight w:val="432"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4"/>
              <w:jc w:val="right"/>
              <w:rPr>
                <w:rFonts w:ascii="宋体" w:hAnsi="宋体" w:cs="宋体" w:eastAsia="宋体" w:hint="default"/>
                <w:sz w:val="21"/>
                <w:szCs w:val="21"/>
              </w:rPr>
            </w:pPr>
            <w:r>
              <w:rPr>
                <w:rFonts w:ascii="宋体"/>
                <w:spacing w:val="-1"/>
                <w:sz w:val="21"/>
              </w:rPr>
              <w:t>123,865,514.97</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-13,225,803.06</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-13,225,803.06</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110,639,711.91</w:t>
            </w:r>
          </w:p>
        </w:tc>
      </w:tr>
      <w:tr>
        <w:trPr>
          <w:trHeight w:val="43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6,000,000.00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pacing w:val="-1"/>
                <w:sz w:val="21"/>
              </w:rPr>
              <w:t>-6,000,000.00</w:t>
            </w:r>
          </w:p>
        </w:tc>
        <w:tc>
          <w:tcPr>
            <w:tcW w:w="154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-6,000,000.00</w:t>
            </w:r>
          </w:p>
        </w:tc>
        <w:tc>
          <w:tcPr>
            <w:tcW w:w="1830" w:type="dxa"/>
            <w:tcBorders>
              <w:top w:val="single" w:sz="6" w:space="0" w:color="000000"/>
              <w:left w:val="single" w:sz="6" w:space="0" w:color="000000"/>
              <w:bottom w:val="single" w:sz="6" w:space="0" w:color="000000"/>
              <w:right w:val="single" w:sz="6" w:space="0" w:color="000000"/>
            </w:tcBorders>
          </w:tcPr>
          <w:p>
            <w:pPr/>
          </w:p>
        </w:tc>
      </w:tr>
      <w:tr>
        <w:trPr>
          <w:trHeight w:val="43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1815"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pacing w:val="-1"/>
                <w:sz w:val="21"/>
              </w:rPr>
              <w:t>5,000,000.00</w:t>
            </w:r>
          </w:p>
        </w:tc>
        <w:tc>
          <w:tcPr>
            <w:tcW w:w="154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5,000,000.00</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5,000,000.00</w:t>
            </w:r>
          </w:p>
        </w:tc>
      </w:tr>
      <w:tr>
        <w:trPr>
          <w:trHeight w:val="432"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815"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pacing w:val="-1"/>
                <w:sz w:val="21"/>
              </w:rPr>
              <w:t>2,703,743.81</w:t>
            </w:r>
          </w:p>
        </w:tc>
        <w:tc>
          <w:tcPr>
            <w:tcW w:w="154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2,703,743.81</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2,703,743.81</w:t>
            </w:r>
          </w:p>
        </w:tc>
      </w:tr>
      <w:tr>
        <w:trPr>
          <w:trHeight w:val="43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73,558,396.02</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13,142,912.29</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13,142,912.29</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86,701,308.31</w:t>
            </w:r>
          </w:p>
        </w:tc>
      </w:tr>
      <w:tr>
        <w:trPr>
          <w:trHeight w:val="433"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85"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4"/>
              <w:jc w:val="right"/>
              <w:rPr>
                <w:rFonts w:ascii="宋体" w:hAnsi="宋体" w:cs="宋体" w:eastAsia="宋体" w:hint="default"/>
                <w:sz w:val="21"/>
                <w:szCs w:val="21"/>
              </w:rPr>
            </w:pPr>
            <w:r>
              <w:rPr>
                <w:rFonts w:ascii="宋体"/>
                <w:spacing w:val="-1"/>
                <w:sz w:val="21"/>
              </w:rPr>
              <w:t>6,240,132,080.69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pacing w:val="-1"/>
                <w:sz w:val="21"/>
              </w:rPr>
              <w:t>1,703,743.81</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-74,476,502.98</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-72,772,759.17</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4"/>
              <w:jc w:val="right"/>
              <w:rPr>
                <w:rFonts w:ascii="宋体" w:hAnsi="宋体" w:cs="宋体" w:eastAsia="宋体" w:hint="default"/>
                <w:sz w:val="21"/>
                <w:szCs w:val="21"/>
              </w:rPr>
            </w:pPr>
            <w:r>
              <w:rPr>
                <w:rFonts w:ascii="宋体"/>
                <w:spacing w:val="-1"/>
                <w:sz w:val="21"/>
              </w:rPr>
              <w:t>6,167,359,321.52</w:t>
            </w:r>
          </w:p>
        </w:tc>
      </w:tr>
      <w:tr>
        <w:trPr>
          <w:trHeight w:val="43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spacing w:val="-1"/>
                <w:sz w:val="21"/>
              </w:rPr>
              <w:t>14,207,262.92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宋体" w:hAnsi="宋体" w:cs="宋体" w:eastAsia="宋体" w:hint="default"/>
                <w:sz w:val="21"/>
                <w:szCs w:val="21"/>
              </w:rPr>
            </w:pPr>
            <w:r>
              <w:rPr>
                <w:rFonts w:ascii="宋体"/>
                <w:sz w:val="21"/>
              </w:rPr>
              <w:t>255,561.57</w:t>
            </w:r>
          </w:p>
        </w:tc>
        <w:tc>
          <w:tcPr>
            <w:tcW w:w="1546"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sz w:val="21"/>
              </w:rPr>
              <w:t>255,561.57</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
              <w:jc w:val="right"/>
              <w:rPr>
                <w:rFonts w:ascii="宋体" w:hAnsi="宋体" w:cs="宋体" w:eastAsia="宋体" w:hint="default"/>
                <w:sz w:val="21"/>
                <w:szCs w:val="21"/>
              </w:rPr>
            </w:pPr>
            <w:r>
              <w:rPr>
                <w:rFonts w:ascii="宋体"/>
                <w:spacing w:val="-1"/>
                <w:sz w:val="21"/>
              </w:rPr>
              <w:t>14,462,824.49</w:t>
            </w:r>
          </w:p>
        </w:tc>
      </w:tr>
      <w:tr>
        <w:trPr>
          <w:trHeight w:val="43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58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4"/>
              <w:jc w:val="right"/>
              <w:rPr>
                <w:rFonts w:ascii="宋体" w:hAnsi="宋体" w:cs="宋体" w:eastAsia="宋体" w:hint="default"/>
                <w:sz w:val="21"/>
                <w:szCs w:val="21"/>
              </w:rPr>
            </w:pPr>
            <w:r>
              <w:rPr>
                <w:rFonts w:ascii="宋体"/>
                <w:spacing w:val="-1"/>
                <w:sz w:val="21"/>
              </w:rPr>
              <w:t>1,822,695,792.75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right"/>
              <w:rPr>
                <w:rFonts w:ascii="宋体" w:hAnsi="宋体" w:cs="宋体" w:eastAsia="宋体" w:hint="default"/>
                <w:sz w:val="21"/>
                <w:szCs w:val="21"/>
              </w:rPr>
            </w:pPr>
            <w:r>
              <w:rPr>
                <w:rFonts w:ascii="宋体"/>
                <w:sz w:val="21"/>
              </w:rPr>
              <w:t>255,561.57</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1"/>
              <w:jc w:val="right"/>
              <w:rPr>
                <w:rFonts w:ascii="Times New Roman" w:hAnsi="Times New Roman" w:cs="Times New Roman" w:eastAsia="Times New Roman" w:hint="default"/>
                <w:sz w:val="21"/>
                <w:szCs w:val="21"/>
              </w:rPr>
            </w:pPr>
            <w:r>
              <w:rPr>
                <w:rFonts w:ascii="Times New Roman"/>
                <w:w w:val="100"/>
                <w:sz w:val="21"/>
              </w:rPr>
              <w:t>-</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255,561.57</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4"/>
              <w:jc w:val="right"/>
              <w:rPr>
                <w:rFonts w:ascii="宋体" w:hAnsi="宋体" w:cs="宋体" w:eastAsia="宋体" w:hint="default"/>
                <w:sz w:val="21"/>
                <w:szCs w:val="21"/>
              </w:rPr>
            </w:pPr>
            <w:r>
              <w:rPr>
                <w:rFonts w:ascii="宋体"/>
                <w:spacing w:val="-1"/>
                <w:sz w:val="21"/>
              </w:rPr>
              <w:t>1,822,951,354.32</w:t>
            </w:r>
          </w:p>
        </w:tc>
      </w:tr>
      <w:tr>
        <w:trPr>
          <w:trHeight w:val="432"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52,516,251.69</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-937,389.57</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z w:val="21"/>
              </w:rPr>
              <w:t>-937,389.57</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51,578,862.12</w:t>
            </w:r>
          </w:p>
        </w:tc>
      </w:tr>
      <w:tr>
        <w:trPr>
          <w:trHeight w:val="43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4"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4"/>
              <w:jc w:val="right"/>
              <w:rPr>
                <w:rFonts w:ascii="宋体" w:hAnsi="宋体" w:cs="宋体" w:eastAsia="宋体" w:hint="default"/>
                <w:sz w:val="21"/>
                <w:szCs w:val="21"/>
              </w:rPr>
            </w:pPr>
            <w:r>
              <w:rPr>
                <w:rFonts w:ascii="宋体"/>
                <w:spacing w:val="-1"/>
                <w:sz w:val="21"/>
              </w:rPr>
              <w:t>782,617,386.60</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-72,090,931.17</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-72,090,931.17</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710,526,455.43</w:t>
            </w:r>
          </w:p>
        </w:tc>
      </w:tr>
      <w:tr>
        <w:trPr>
          <w:trHeight w:val="437" w:hRule="exact"/>
        </w:trPr>
        <w:tc>
          <w:tcPr>
            <w:tcW w:w="20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68"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4"/>
              <w:jc w:val="right"/>
              <w:rPr>
                <w:rFonts w:ascii="宋体" w:hAnsi="宋体" w:cs="宋体" w:eastAsia="宋体" w:hint="default"/>
                <w:sz w:val="21"/>
                <w:szCs w:val="21"/>
              </w:rPr>
            </w:pPr>
            <w:r>
              <w:rPr>
                <w:rFonts w:ascii="宋体"/>
                <w:spacing w:val="-1"/>
                <w:sz w:val="21"/>
              </w:rPr>
              <w:t>4,417,436,287.94</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-73,028,320.74</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5"/>
              <w:jc w:val="right"/>
              <w:rPr>
                <w:rFonts w:ascii="宋体" w:hAnsi="宋体" w:cs="宋体" w:eastAsia="宋体" w:hint="default"/>
                <w:sz w:val="21"/>
                <w:szCs w:val="21"/>
              </w:rPr>
            </w:pPr>
            <w:r>
              <w:rPr>
                <w:rFonts w:ascii="宋体"/>
                <w:spacing w:val="-1"/>
                <w:sz w:val="21"/>
              </w:rPr>
              <w:t>-73,028,320.74</w:t>
            </w:r>
          </w:p>
        </w:tc>
        <w:tc>
          <w:tcPr>
            <w:tcW w:w="18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4"/>
              <w:jc w:val="right"/>
              <w:rPr>
                <w:rFonts w:ascii="宋体" w:hAnsi="宋体" w:cs="宋体" w:eastAsia="宋体" w:hint="default"/>
                <w:sz w:val="21"/>
                <w:szCs w:val="21"/>
              </w:rPr>
            </w:pPr>
            <w:r>
              <w:rPr>
                <w:rFonts w:ascii="宋体"/>
                <w:spacing w:val="-1"/>
                <w:sz w:val="21"/>
              </w:rPr>
              <w:t>4,344,407,967.20</w:t>
            </w:r>
          </w:p>
        </w:tc>
      </w:tr>
    </w:tbl>
    <w:p>
      <w:pPr>
        <w:pStyle w:val="BodyText"/>
        <w:spacing w:line="348" w:lineRule="auto" w:before="76"/>
        <w:ind w:left="533" w:right="1117" w:firstLine="422"/>
        <w:jc w:val="left"/>
      </w:pPr>
      <w:r>
        <w:rPr>
          <w:spacing w:val="-2"/>
        </w:rPr>
        <w:t>注：上表仅呈列受影响的财务报表项目，不受影响的财务报表项目不包括在内，因此所披露的小计和</w:t>
      </w:r>
      <w:r>
        <w:rPr>
          <w:w w:val="100"/>
        </w:rPr>
        <w:t> </w:t>
      </w:r>
      <w:r>
        <w:rPr/>
        <w:t>合计无法根据上表中呈列的数字重新计算得出。</w:t>
      </w:r>
    </w:p>
    <w:p>
      <w:pPr>
        <w:pStyle w:val="BodyText"/>
        <w:spacing w:line="352" w:lineRule="auto" w:before="29"/>
        <w:ind w:left="893" w:right="1131" w:firstLine="62"/>
        <w:jc w:val="left"/>
      </w:pPr>
      <w:r>
        <w:rPr/>
        <w:t>注</w:t>
      </w:r>
      <w:r>
        <w:rPr>
          <w:rFonts w:ascii="宋体" w:hAnsi="宋体" w:cs="宋体" w:eastAsia="宋体" w:hint="default"/>
        </w:rPr>
        <w:t>1</w:t>
      </w:r>
      <w:r>
        <w:rPr/>
        <w:t>：执行本准则对首次执行日财务报表相关项目重分类情况说明：</w:t>
      </w:r>
      <w:r>
        <w:rPr>
          <w:w w:val="100"/>
        </w:rPr>
        <w:t> </w:t>
      </w:r>
      <w:r>
        <w:rPr/>
        <w:t>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日，账面价值</w:t>
      </w:r>
      <w:r>
        <w:rPr>
          <w:rFonts w:ascii="宋体" w:hAnsi="宋体" w:cs="宋体" w:eastAsia="宋体" w:hint="default"/>
        </w:rPr>
        <w:t>83,994,418.19</w:t>
      </w:r>
      <w:r>
        <w:rPr/>
        <w:t>元的以前年度被分类为摊余成本计量的应收票据</w:t>
      </w:r>
      <w:r>
        <w:rPr>
          <w:rFonts w:ascii="Times New Roman" w:hAnsi="Times New Roman" w:cs="Times New Roman" w:eastAsia="Times New Roman" w:hint="default"/>
        </w:rPr>
        <w:t>-</w:t>
      </w:r>
      <w:r>
        <w:rPr/>
        <w:t>银行承兑</w:t>
      </w:r>
    </w:p>
    <w:p>
      <w:pPr>
        <w:pStyle w:val="BodyText"/>
        <w:spacing w:line="273" w:lineRule="exact" w:before="0"/>
        <w:ind w:left="533" w:right="0"/>
        <w:jc w:val="left"/>
      </w:pPr>
      <w:r>
        <w:rPr/>
        <w:t>汇票，本公司管理该资产的业务模式是收取合同现金流量和出售两者兼有，应分类为“以公允价值计量且</w:t>
      </w:r>
    </w:p>
    <w:p>
      <w:pPr>
        <w:spacing w:after="0" w:line="273" w:lineRule="exact"/>
        <w:jc w:val="left"/>
        <w:sectPr>
          <w:pgSz w:w="11910" w:h="16840"/>
          <w:pgMar w:header="906" w:footer="1022" w:top="1100" w:bottom="1220" w:left="600" w:right="0"/>
        </w:sectPr>
      </w:pPr>
    </w:p>
    <w:p>
      <w:pPr>
        <w:spacing w:line="240" w:lineRule="auto" w:before="8"/>
        <w:rPr>
          <w:rFonts w:ascii="宋体" w:hAnsi="宋体" w:cs="宋体" w:eastAsia="宋体" w:hint="default"/>
          <w:sz w:val="28"/>
          <w:szCs w:val="28"/>
        </w:rPr>
      </w:pPr>
    </w:p>
    <w:p>
      <w:pPr>
        <w:pStyle w:val="BodyText"/>
        <w:spacing w:line="328" w:lineRule="auto"/>
        <w:ind w:left="473" w:right="1002" w:hanging="360"/>
        <w:jc w:val="left"/>
      </w:pPr>
      <w:r>
        <w:rPr>
          <w:spacing w:val="-6"/>
          <w:w w:val="100"/>
        </w:rPr>
        <w:t>其变动计入其他综合收益的金融资产”，因此该部分金额从应收票据</w:t>
      </w:r>
      <w:r>
        <w:rPr>
          <w:rFonts w:ascii="Times New Roman" w:hAnsi="Times New Roman" w:cs="Times New Roman" w:eastAsia="Times New Roman" w:hint="default"/>
          <w:spacing w:val="-6"/>
          <w:w w:val="100"/>
        </w:rPr>
        <w:t>-</w:t>
      </w:r>
      <w:r>
        <w:rPr>
          <w:spacing w:val="-6"/>
          <w:w w:val="100"/>
        </w:rPr>
        <w:t>银行承兑汇票重分类至应收款项融资。</w:t>
      </w:r>
      <w:r>
        <w:rPr>
          <w:spacing w:val="-68"/>
          <w:w w:val="100"/>
        </w:rPr>
        <w:t> </w:t>
      </w:r>
      <w:r>
        <w:rPr>
          <w:spacing w:val="-68"/>
          <w:w w:val="100"/>
        </w:rPr>
      </w:r>
      <w:r>
        <w:rPr/>
        <w:t>账面价值</w:t>
      </w:r>
      <w:r>
        <w:rPr>
          <w:rFonts w:ascii="宋体" w:hAnsi="宋体" w:cs="宋体" w:eastAsia="宋体" w:hint="default"/>
        </w:rPr>
        <w:t>5,000,000.00</w:t>
      </w:r>
      <w:r>
        <w:rPr/>
        <w:t>元的股权投资以前年度在可供出售金融资产中按成本法核算，本公司将该股权</w:t>
      </w:r>
    </w:p>
    <w:p>
      <w:pPr>
        <w:pStyle w:val="BodyText"/>
        <w:spacing w:line="350" w:lineRule="auto" w:before="51"/>
        <w:ind w:right="1125"/>
        <w:jc w:val="both"/>
      </w:pPr>
      <w:r>
        <w:rPr>
          <w:spacing w:val="-2"/>
        </w:rPr>
        <w:t>投资指定为以公允价值计量且其变动计入其他综合收益的金融资产，在其他权益工具投资项下列报，因此</w:t>
      </w:r>
      <w:r>
        <w:rPr>
          <w:spacing w:val="-33"/>
        </w:rPr>
        <w:t> </w:t>
      </w:r>
      <w:r>
        <w:rPr>
          <w:spacing w:val="-33"/>
        </w:rPr>
      </w:r>
      <w:r>
        <w:rPr>
          <w:spacing w:val="-2"/>
        </w:rPr>
        <w:t>该部分金额从可供出售金融资产重分类至其他权益工具投资。该项投资非交易目的股权投资且无活跃的交</w:t>
      </w:r>
      <w:r>
        <w:rPr>
          <w:spacing w:val="-33"/>
        </w:rPr>
        <w:t> </w:t>
      </w:r>
      <w:r>
        <w:rPr>
          <w:spacing w:val="-33"/>
        </w:rPr>
      </w:r>
      <w:r>
        <w:rPr>
          <w:spacing w:val="-2"/>
        </w:rPr>
        <w:t>易市场及可观察市价，公司认为被投资单位所处环境、经营及财务状况变化不大，故将成本作为其公允价</w:t>
      </w:r>
      <w:r>
        <w:rPr>
          <w:spacing w:val="-33"/>
        </w:rPr>
        <w:t> </w:t>
      </w:r>
      <w:r>
        <w:rPr>
          <w:spacing w:val="-33"/>
        </w:rPr>
      </w:r>
      <w:r>
        <w:rPr/>
        <w:t>值的恰当估计。</w:t>
      </w:r>
    </w:p>
    <w:p>
      <w:pPr>
        <w:pStyle w:val="BodyText"/>
        <w:spacing w:line="345" w:lineRule="auto" w:before="27"/>
        <w:ind w:right="1106" w:firstLine="360"/>
        <w:jc w:val="both"/>
      </w:pPr>
      <w:r>
        <w:rPr/>
        <w:t>账面价值</w:t>
      </w:r>
      <w:r>
        <w:rPr>
          <w:rFonts w:ascii="宋体" w:hAnsi="宋体" w:cs="宋体" w:eastAsia="宋体" w:hint="default"/>
        </w:rPr>
        <w:t>1,000,000.00</w:t>
      </w:r>
      <w:r>
        <w:rPr/>
        <w:t>元的股权投资以前年度在可供出售金融资产中按成本法核算，本公司持有该股</w:t>
      </w:r>
      <w:r>
        <w:rPr>
          <w:w w:val="100"/>
        </w:rPr>
        <w:t> </w:t>
      </w:r>
      <w:r>
        <w:rPr>
          <w:spacing w:val="-2"/>
        </w:rPr>
        <w:t>权的目的为出售，因此该部分金额从可供出售金融资产重分类至其他非流动金融资产。公司采用可比公司</w:t>
      </w:r>
      <w:r>
        <w:rPr>
          <w:spacing w:val="-33"/>
        </w:rPr>
        <w:t> </w:t>
      </w:r>
      <w:r>
        <w:rPr>
          <w:spacing w:val="-33"/>
        </w:rPr>
      </w:r>
      <w:r>
        <w:rPr>
          <w:spacing w:val="-2"/>
        </w:rPr>
        <w:t>法选择与目标公司重要财务指标类似的相同行业的可比公司，将可比公司的市净率经综合修正后的价值比</w:t>
      </w:r>
      <w:r>
        <w:rPr>
          <w:spacing w:val="-33"/>
        </w:rPr>
        <w:t> </w:t>
      </w:r>
      <w:r>
        <w:rPr>
          <w:spacing w:val="-33"/>
        </w:rPr>
      </w:r>
      <w:r>
        <w:rPr>
          <w:spacing w:val="-2"/>
        </w:rPr>
        <w:t>率乘数加权平均值作为目标公司价值比率乘数并考虑流动性折扣，采用上市公司比较法计算其公允价值。</w:t>
      </w:r>
      <w:r>
        <w:rPr>
          <w:spacing w:val="-13"/>
        </w:rPr>
        <w:t> </w:t>
      </w:r>
      <w:r>
        <w:rPr>
          <w:spacing w:val="-13"/>
        </w:rPr>
      </w:r>
      <w:r>
        <w:rPr>
          <w:spacing w:val="-2"/>
        </w:rPr>
        <w:t>增加公允价值变动损益</w:t>
      </w:r>
      <w:r>
        <w:rPr>
          <w:rFonts w:ascii="宋体" w:hAnsi="宋体" w:cs="宋体" w:eastAsia="宋体" w:hint="default"/>
          <w:spacing w:val="-2"/>
        </w:rPr>
        <w:t>1,703,743.81</w:t>
      </w:r>
      <w:r>
        <w:rPr>
          <w:spacing w:val="-2"/>
        </w:rPr>
        <w:t>元，同时增加其他非流动金融资产账面价值；因“其他非流动金融资</w:t>
      </w:r>
      <w:r>
        <w:rPr>
          <w:spacing w:val="-19"/>
        </w:rPr>
        <w:t> </w:t>
      </w:r>
      <w:r>
        <w:rPr>
          <w:spacing w:val="-19"/>
        </w:rPr>
      </w:r>
      <w:r>
        <w:rPr>
          <w:spacing w:val="-3"/>
        </w:rPr>
        <w:t>产</w:t>
      </w:r>
      <w:r>
        <w:rPr>
          <w:rFonts w:ascii="Times New Roman" w:hAnsi="Times New Roman" w:cs="Times New Roman" w:eastAsia="Times New Roman" w:hint="default"/>
          <w:spacing w:val="-3"/>
        </w:rPr>
        <w:t>-</w:t>
      </w:r>
      <w:r>
        <w:rPr>
          <w:spacing w:val="-3"/>
        </w:rPr>
        <w:t>公允价值变动”金额增加，增加递延所得税负责</w:t>
      </w:r>
      <w:r>
        <w:rPr>
          <w:rFonts w:ascii="宋体" w:hAnsi="宋体" w:cs="宋体" w:eastAsia="宋体" w:hint="default"/>
          <w:spacing w:val="-3"/>
        </w:rPr>
        <w:t>255,561.57</w:t>
      </w:r>
      <w:r>
        <w:rPr>
          <w:spacing w:val="-3"/>
        </w:rPr>
        <w:t>元，增加盈余公积</w:t>
      </w:r>
      <w:r>
        <w:rPr>
          <w:rFonts w:ascii="宋体" w:hAnsi="宋体" w:cs="宋体" w:eastAsia="宋体" w:hint="default"/>
          <w:spacing w:val="-3"/>
        </w:rPr>
        <w:t>144,818.22</w:t>
      </w:r>
      <w:r>
        <w:rPr>
          <w:spacing w:val="-3"/>
        </w:rPr>
        <w:t>元，增加未分</w:t>
      </w:r>
      <w:r>
        <w:rPr>
          <w:spacing w:val="-23"/>
        </w:rPr>
        <w:t> </w:t>
      </w:r>
      <w:r>
        <w:rPr>
          <w:spacing w:val="-23"/>
        </w:rPr>
      </w:r>
      <w:r>
        <w:rPr/>
        <w:t>配利润</w:t>
      </w:r>
      <w:r>
        <w:rPr>
          <w:rFonts w:ascii="宋体" w:hAnsi="宋体" w:cs="宋体" w:eastAsia="宋体" w:hint="default"/>
        </w:rPr>
        <w:t>1,303,364.02</w:t>
      </w:r>
      <w:r>
        <w:rPr/>
        <w:t>元。</w:t>
      </w:r>
    </w:p>
    <w:p>
      <w:pPr>
        <w:pStyle w:val="BodyText"/>
        <w:spacing w:line="350" w:lineRule="auto" w:before="31"/>
        <w:ind w:right="1122" w:firstLine="360"/>
        <w:jc w:val="both"/>
      </w:pPr>
      <w:r>
        <w:rPr>
          <w:spacing w:val="-3"/>
        </w:rPr>
        <w:t>注</w:t>
      </w:r>
      <w:r>
        <w:rPr>
          <w:rFonts w:ascii="宋体" w:hAnsi="宋体" w:cs="宋体" w:eastAsia="宋体" w:hint="default"/>
          <w:spacing w:val="-3"/>
        </w:rPr>
        <w:t>2</w:t>
      </w:r>
      <w:r>
        <w:rPr>
          <w:spacing w:val="-3"/>
        </w:rPr>
        <w:t>：执行本准则对首次执行日财务报表相关项目按预期信用损失重新计量减值的情况说明：增加应收</w:t>
      </w:r>
      <w:r>
        <w:rPr>
          <w:w w:val="100"/>
        </w:rPr>
        <w:t> </w:t>
      </w:r>
      <w:r>
        <w:rPr/>
        <w:t>账款和其他应收款预期信用损失</w:t>
      </w:r>
      <w:r>
        <w:rPr>
          <w:rFonts w:ascii="宋体" w:hAnsi="宋体" w:cs="宋体" w:eastAsia="宋体" w:hint="default"/>
        </w:rPr>
        <w:t>87,619,415.27</w:t>
      </w:r>
      <w:r>
        <w:rPr/>
        <w:t>元，同时减少应收账款和其他应收款账面价值；因预期信</w:t>
      </w:r>
      <w:r>
        <w:rPr>
          <w:spacing w:val="-30"/>
        </w:rPr>
        <w:t> </w:t>
      </w:r>
      <w:r>
        <w:rPr>
          <w:spacing w:val="-30"/>
        </w:rPr>
      </w:r>
      <w:r>
        <w:rPr/>
        <w:t>用损失金额增加，增加递延所得税资产金额</w:t>
      </w:r>
      <w:r>
        <w:rPr>
          <w:rFonts w:ascii="宋体" w:hAnsi="宋体" w:cs="宋体" w:eastAsia="宋体" w:hint="default"/>
        </w:rPr>
        <w:t>13,142,912.29</w:t>
      </w:r>
      <w:r>
        <w:rPr/>
        <w:t>元，减少盈余公积</w:t>
      </w:r>
      <w:r>
        <w:rPr>
          <w:rFonts w:ascii="宋体" w:hAnsi="宋体" w:cs="宋体" w:eastAsia="宋体" w:hint="default"/>
        </w:rPr>
        <w:t>1,082,207.79</w:t>
      </w:r>
      <w:r>
        <w:rPr/>
        <w:t>元，减少未分</w:t>
      </w:r>
      <w:r>
        <w:rPr>
          <w:spacing w:val="-22"/>
        </w:rPr>
        <w:t> </w:t>
      </w:r>
      <w:r>
        <w:rPr>
          <w:spacing w:val="-22"/>
        </w:rPr>
      </w:r>
      <w:r>
        <w:rPr/>
        <w:t>配利润</w:t>
      </w:r>
      <w:r>
        <w:rPr>
          <w:rFonts w:ascii="宋体" w:hAnsi="宋体" w:cs="宋体" w:eastAsia="宋体" w:hint="default"/>
        </w:rPr>
        <w:t>73,394,295.19</w:t>
      </w:r>
      <w:r>
        <w:rPr/>
        <w:t>元。</w:t>
      </w:r>
    </w:p>
    <w:p>
      <w:pPr>
        <w:pStyle w:val="Heading5"/>
        <w:spacing w:line="240" w:lineRule="auto" w:before="151"/>
        <w:ind w:right="0"/>
        <w:jc w:val="both"/>
        <w:rPr>
          <w:b w:val="0"/>
          <w:bCs w:val="0"/>
        </w:rPr>
      </w:pPr>
      <w:r>
        <w:rPr/>
        <w:t>（</w:t>
      </w:r>
      <w:r>
        <w:rPr>
          <w:rFonts w:ascii="宋体" w:hAnsi="宋体" w:cs="宋体" w:eastAsia="宋体" w:hint="default"/>
        </w:rPr>
        <w:t>2</w:t>
      </w:r>
      <w:r>
        <w:rPr/>
        <w:t>）执行新债务重组及非货币性资产交换准则对本公司的影响</w:t>
      </w:r>
      <w:r>
        <w:rPr>
          <w:b w:val="0"/>
          <w:bCs w:val="0"/>
        </w:rPr>
      </w:r>
    </w:p>
    <w:p>
      <w:pPr>
        <w:pStyle w:val="BodyText"/>
        <w:spacing w:line="350" w:lineRule="auto" w:before="123"/>
        <w:ind w:right="1123" w:firstLine="360"/>
        <w:jc w:val="both"/>
      </w:pPr>
      <w:r>
        <w:rPr/>
        <w:t>本公司自</w:t>
      </w:r>
      <w:r>
        <w:rPr>
          <w:rFonts w:ascii="宋体" w:hAnsi="宋体" w:cs="宋体" w:eastAsia="宋体" w:hint="default"/>
        </w:rPr>
        <w:t>2019 </w:t>
      </w:r>
      <w:r>
        <w:rPr/>
        <w:t>年</w:t>
      </w:r>
      <w:r>
        <w:rPr>
          <w:rFonts w:ascii="宋体" w:hAnsi="宋体" w:cs="宋体" w:eastAsia="宋体" w:hint="default"/>
        </w:rPr>
        <w:t>6 </w:t>
      </w:r>
      <w:r>
        <w:rPr/>
        <w:t>月</w:t>
      </w:r>
      <w:r>
        <w:rPr>
          <w:rFonts w:ascii="宋体" w:hAnsi="宋体" w:cs="宋体" w:eastAsia="宋体" w:hint="default"/>
        </w:rPr>
        <w:t>10 </w:t>
      </w:r>
      <w:r>
        <w:rPr>
          <w:spacing w:val="2"/>
        </w:rPr>
        <w:t>日起执行财政部</w:t>
      </w:r>
      <w:r>
        <w:rPr>
          <w:rFonts w:ascii="宋体" w:hAnsi="宋体" w:cs="宋体" w:eastAsia="宋体" w:hint="default"/>
          <w:spacing w:val="2"/>
        </w:rPr>
        <w:t>2019</w:t>
      </w:r>
      <w:r>
        <w:rPr>
          <w:spacing w:val="2"/>
        </w:rPr>
        <w:t>年修订的《企业会计准则第</w:t>
      </w:r>
      <w:r>
        <w:rPr>
          <w:rFonts w:ascii="宋体" w:hAnsi="宋体" w:cs="宋体" w:eastAsia="宋体" w:hint="default"/>
          <w:spacing w:val="2"/>
        </w:rPr>
        <w:t>7</w:t>
      </w:r>
      <w:r>
        <w:rPr>
          <w:rFonts w:ascii="宋体" w:hAnsi="宋体" w:cs="宋体" w:eastAsia="宋体" w:hint="default"/>
          <w:spacing w:val="28"/>
        </w:rPr>
        <w:t> </w:t>
      </w:r>
      <w:r>
        <w:rPr>
          <w:spacing w:val="3"/>
        </w:rPr>
        <w:t>号——非货币性资产交</w:t>
      </w:r>
      <w:r>
        <w:rPr>
          <w:spacing w:val="4"/>
          <w:w w:val="100"/>
        </w:rPr>
        <w:t> </w:t>
      </w:r>
      <w:r>
        <w:rPr>
          <w:spacing w:val="-13"/>
          <w:w w:val="100"/>
        </w:rPr>
        <w:t>换》，自</w:t>
      </w:r>
      <w:r>
        <w:rPr>
          <w:rFonts w:ascii="宋体" w:hAnsi="宋体" w:cs="宋体" w:eastAsia="宋体" w:hint="default"/>
          <w:spacing w:val="-13"/>
          <w:w w:val="100"/>
        </w:rPr>
        <w:t>2019</w:t>
      </w:r>
      <w:r>
        <w:rPr>
          <w:rFonts w:ascii="宋体" w:hAnsi="宋体" w:cs="宋体" w:eastAsia="宋体" w:hint="default"/>
          <w:w w:val="100"/>
        </w:rPr>
        <w:t> </w:t>
      </w:r>
      <w:r>
        <w:rPr>
          <w:w w:val="100"/>
        </w:rPr>
        <w:t>年</w:t>
      </w:r>
      <w:r>
        <w:rPr>
          <w:rFonts w:ascii="宋体" w:hAnsi="宋体" w:cs="宋体" w:eastAsia="宋体" w:hint="default"/>
          <w:w w:val="100"/>
        </w:rPr>
        <w:t>6 </w:t>
      </w:r>
      <w:r>
        <w:rPr>
          <w:w w:val="100"/>
        </w:rPr>
        <w:t>月</w:t>
      </w:r>
      <w:r>
        <w:rPr>
          <w:rFonts w:ascii="宋体" w:hAnsi="宋体" w:cs="宋体" w:eastAsia="宋体" w:hint="default"/>
          <w:w w:val="100"/>
        </w:rPr>
        <w:t>17 </w:t>
      </w:r>
      <w:r>
        <w:rPr>
          <w:w w:val="100"/>
        </w:rPr>
        <w:t>日起执行财政部</w:t>
      </w:r>
      <w:r>
        <w:rPr>
          <w:rFonts w:ascii="宋体" w:hAnsi="宋体" w:cs="宋体" w:eastAsia="宋体" w:hint="default"/>
          <w:w w:val="100"/>
        </w:rPr>
        <w:t>2019</w:t>
      </w:r>
      <w:r>
        <w:rPr>
          <w:w w:val="100"/>
        </w:rPr>
        <w:t>年修订的《企业会计准则第</w:t>
      </w:r>
      <w:r>
        <w:rPr>
          <w:rFonts w:ascii="宋体" w:hAnsi="宋体" w:cs="宋体" w:eastAsia="宋体" w:hint="default"/>
          <w:w w:val="100"/>
        </w:rPr>
        <w:t>12</w:t>
      </w:r>
      <w:r>
        <w:rPr>
          <w:rFonts w:ascii="宋体" w:hAnsi="宋体" w:cs="宋体" w:eastAsia="宋体" w:hint="default"/>
          <w:spacing w:val="16"/>
          <w:w w:val="100"/>
        </w:rPr>
        <w:t> </w:t>
      </w:r>
      <w:r>
        <w:rPr>
          <w:spacing w:val="-8"/>
          <w:w w:val="100"/>
        </w:rPr>
        <w:t>号——债务重组》。该项会计</w:t>
      </w:r>
      <w:r>
        <w:rPr>
          <w:w w:val="100"/>
        </w:rPr>
        <w:t> </w:t>
      </w:r>
      <w:r>
        <w:rPr>
          <w:spacing w:val="-2"/>
        </w:rPr>
        <w:t>政策变更采用未来适用法处理，并根据准则的规定对于</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日至准则实施日之间发生的非货币性资</w:t>
      </w:r>
      <w:r>
        <w:rPr>
          <w:spacing w:val="-25"/>
        </w:rPr>
        <w:t> </w:t>
      </w:r>
      <w:r>
        <w:rPr>
          <w:spacing w:val="-25"/>
        </w:rPr>
      </w:r>
      <w:r>
        <w:rPr/>
        <w:t>产交换和债务重组进行调整。</w:t>
      </w:r>
    </w:p>
    <w:p>
      <w:pPr>
        <w:pStyle w:val="BodyText"/>
        <w:spacing w:line="240" w:lineRule="auto" w:before="27"/>
        <w:ind w:left="455" w:right="5139"/>
        <w:jc w:val="center"/>
      </w:pPr>
      <w:r>
        <w:rPr/>
        <w:t>本公司执行上述准则对本报告期内财务报表无重大影响。</w:t>
      </w:r>
    </w:p>
    <w:p>
      <w:pPr>
        <w:spacing w:line="240" w:lineRule="auto" w:before="13"/>
        <w:rPr>
          <w:rFonts w:ascii="宋体" w:hAnsi="宋体" w:cs="宋体" w:eastAsia="宋体" w:hint="default"/>
          <w:sz w:val="25"/>
          <w:szCs w:val="25"/>
        </w:rPr>
      </w:pPr>
    </w:p>
    <w:p>
      <w:pPr>
        <w:pStyle w:val="Heading5"/>
        <w:spacing w:line="240" w:lineRule="auto"/>
        <w:ind w:right="0"/>
        <w:jc w:val="both"/>
        <w:rPr>
          <w:b w:val="0"/>
          <w:bCs w:val="0"/>
        </w:rPr>
      </w:pPr>
      <w:bookmarkStart w:name="（2）重要会计估计变更" w:id="232"/>
      <w:bookmarkEnd w:id="232"/>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spacing w:before="0"/>
        <w:ind w:left="113" w:right="0" w:firstLine="0"/>
        <w:jc w:val="both"/>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0"/>
        <w:jc w:val="both"/>
        <w:rPr>
          <w:b w:val="0"/>
          <w:bCs w:val="0"/>
        </w:rPr>
      </w:pPr>
      <w:bookmarkStart w:name="（3）2019年起执行新金融工具准则、新收入准则或新租赁准则调整执行当年年初财务" w:id="233"/>
      <w:bookmarkEnd w:id="233"/>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spacing w:line="362" w:lineRule="auto" w:before="46"/>
        <w:ind w:left="113" w:right="-18"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r>
        <w:rPr>
          <w:rFonts w:ascii="宋体" w:hAnsi="宋体" w:cs="宋体" w:eastAsia="宋体" w:hint="default"/>
          <w:w w:val="101"/>
          <w:sz w:val="18"/>
          <w:szCs w:val="18"/>
        </w:rPr>
        <w:t> </w:t>
      </w:r>
      <w:r>
        <w:rPr>
          <w:rFonts w:ascii="宋体" w:hAnsi="宋体" w:cs="宋体" w:eastAsia="宋体" w:hint="default"/>
          <w:spacing w:val="-3"/>
          <w:sz w:val="18"/>
          <w:szCs w:val="18"/>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100" w:bottom="1220" w:left="1020" w:right="0"/>
          <w:cols w:num="2" w:equalWidth="0">
            <w:col w:w="1650" w:space="7271"/>
            <w:col w:w="196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550"/>
        <w:gridCol w:w="2415"/>
        <w:gridCol w:w="2521"/>
        <w:gridCol w:w="2084"/>
      </w:tblGrid>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调整数</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89" w:right="0"/>
              <w:jc w:val="left"/>
              <w:rPr>
                <w:rFonts w:ascii="Times New Roman" w:hAnsi="Times New Roman" w:cs="Times New Roman" w:eastAsia="Times New Roman" w:hint="default"/>
                <w:sz w:val="21"/>
                <w:szCs w:val="21"/>
              </w:rPr>
            </w:pPr>
            <w:r>
              <w:rPr>
                <w:rFonts w:ascii="Times New Roman"/>
                <w:sz w:val="21"/>
              </w:rPr>
              <w:t>786,236,356.85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94" w:right="0"/>
              <w:jc w:val="left"/>
              <w:rPr>
                <w:rFonts w:ascii="Times New Roman" w:hAnsi="Times New Roman" w:cs="Times New Roman" w:eastAsia="Times New Roman" w:hint="default"/>
                <w:sz w:val="21"/>
                <w:szCs w:val="21"/>
              </w:rPr>
            </w:pPr>
            <w:r>
              <w:rPr>
                <w:rFonts w:ascii="Times New Roman"/>
                <w:sz w:val="21"/>
              </w:rPr>
              <w:t>786,236,356.85</w:t>
            </w:r>
          </w:p>
        </w:tc>
        <w:tc>
          <w:tcPr>
            <w:tcW w:w="208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550"/>
        <w:gridCol w:w="2415"/>
        <w:gridCol w:w="2521"/>
        <w:gridCol w:w="2084"/>
      </w:tblGrid>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19" w:firstLine="422"/>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w:t>
            </w:r>
            <w:r>
              <w:rPr>
                <w:rFonts w:ascii="宋体" w:hAnsi="宋体" w:cs="宋体" w:eastAsia="宋体" w:hint="default"/>
                <w:w w:val="100"/>
                <w:sz w:val="21"/>
                <w:szCs w:val="21"/>
              </w:rPr>
              <w:t> </w:t>
            </w:r>
            <w:r>
              <w:rPr>
                <w:rFonts w:ascii="宋体" w:hAnsi="宋体" w:cs="宋体" w:eastAsia="宋体" w:hint="default"/>
                <w:spacing w:val="-1"/>
                <w:sz w:val="21"/>
                <w:szCs w:val="21"/>
              </w:rPr>
              <w:t>变动计入当期损益的金融</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89,714,563.36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5,720,145.17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-83,994,418.19</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978,660,986.62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904,267,374.41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-74,393,612.21</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83,994,418.19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83,994,418.19</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37,624,449.56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37,624,449.56</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9"/>
              <w:jc w:val="right"/>
              <w:rPr>
                <w:rFonts w:ascii="宋体" w:hAnsi="宋体" w:cs="宋体" w:eastAsia="宋体" w:hint="default"/>
                <w:sz w:val="21"/>
                <w:szCs w:val="21"/>
              </w:rPr>
            </w:pPr>
            <w:r>
              <w:rPr>
                <w:rFonts w:ascii="宋体" w:hAnsi="宋体" w:cs="宋体" w:eastAsia="宋体" w:hint="default"/>
                <w:spacing w:val="-2"/>
                <w:sz w:val="21"/>
                <w:szCs w:val="21"/>
              </w:rPr>
              <w:t>应收分保合同准备金</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123,865,514.97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2"/>
                <w:sz w:val="21"/>
              </w:rPr>
              <w:t>110,639,711.91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-13,225,803.06</w:t>
            </w:r>
          </w:p>
        </w:tc>
      </w:tr>
      <w:tr>
        <w:trPr>
          <w:trHeight w:val="399"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其中：应收利息</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368"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1,096,880,825.42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1,096,880,825.42</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9,588,282.06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9,588,282.06</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119" w:firstLine="422"/>
              <w:jc w:val="left"/>
              <w:rPr>
                <w:rFonts w:ascii="宋体" w:hAnsi="宋体" w:cs="宋体" w:eastAsia="宋体" w:hint="default"/>
                <w:sz w:val="21"/>
                <w:szCs w:val="21"/>
              </w:rPr>
            </w:pPr>
            <w:r>
              <w:rPr>
                <w:rFonts w:ascii="宋体" w:hAnsi="宋体" w:cs="宋体" w:eastAsia="宋体" w:hint="default"/>
                <w:spacing w:val="-2"/>
                <w:sz w:val="21"/>
                <w:szCs w:val="21"/>
              </w:rPr>
              <w:t>一年内到期的非流动</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80,666,737.60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80,666,737.60</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3,203,237,716.44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3,115,618,301.17</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-87,619,415.27</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6,000,000.00</w:t>
            </w: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pacing w:val="-1"/>
                <w:sz w:val="21"/>
              </w:rPr>
              <w:t>-6,000,000.00</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146,773,017.71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146,773,017.71</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21,852,780.85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21,852,780.85</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5,000,000.00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5,000,000.00</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9"/>
              <w:jc w:val="right"/>
              <w:rPr>
                <w:rFonts w:ascii="宋体" w:hAnsi="宋体" w:cs="宋体" w:eastAsia="宋体" w:hint="default"/>
                <w:sz w:val="21"/>
                <w:szCs w:val="21"/>
              </w:rPr>
            </w:pPr>
            <w:r>
              <w:rPr>
                <w:rFonts w:ascii="宋体" w:hAnsi="宋体" w:cs="宋体" w:eastAsia="宋体" w:hint="default"/>
                <w:spacing w:val="-2"/>
                <w:sz w:val="21"/>
                <w:szCs w:val="21"/>
              </w:rPr>
              <w:t>其他非流动金融资产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2,703,743.81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2,703,743.81</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550"/>
        <w:gridCol w:w="2415"/>
        <w:gridCol w:w="2521"/>
        <w:gridCol w:w="2084"/>
      </w:tblGrid>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85,801,256.37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85,801,256.37</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581,933,466.35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581,933,466.35</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582,556,870.84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582,556,870.84</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1,524,947,496.70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1,524,947,496.70</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5,324,682.29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5,324,682.29</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73,558,396.02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86,701,308.31</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13,142,912.29</w:t>
            </w: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8,146,397.12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8,146,397.12</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3,036,894,364.25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3,051,741,020.35</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14,846,656.10</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6,240,132,080.69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6,167,359,321.52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-72,772,759.17</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493,500,000.00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493,500,000.00</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19" w:firstLine="422"/>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w:t>
            </w:r>
            <w:r>
              <w:rPr>
                <w:rFonts w:ascii="宋体" w:hAnsi="宋体" w:cs="宋体" w:eastAsia="宋体" w:hint="default"/>
                <w:w w:val="100"/>
                <w:sz w:val="21"/>
                <w:szCs w:val="21"/>
              </w:rPr>
              <w:t> </w:t>
            </w:r>
            <w:r>
              <w:rPr>
                <w:rFonts w:ascii="宋体" w:hAnsi="宋体" w:cs="宋体" w:eastAsia="宋体" w:hint="default"/>
                <w:spacing w:val="-1"/>
                <w:sz w:val="21"/>
                <w:szCs w:val="21"/>
              </w:rPr>
              <w:t>变动计入当期损益的金融</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95,297,752.20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95,297,752.20</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pacing w:val="-1"/>
                <w:sz w:val="21"/>
              </w:rPr>
              <w:t>562,452,888.36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pacing w:val="-1"/>
                <w:sz w:val="21"/>
              </w:rPr>
              <w:t>562,452,888.36</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247,903,169.27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247,903,169.27</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9"/>
              <w:jc w:val="right"/>
              <w:rPr>
                <w:rFonts w:ascii="宋体" w:hAnsi="宋体" w:cs="宋体" w:eastAsia="宋体" w:hint="default"/>
                <w:sz w:val="21"/>
                <w:szCs w:val="21"/>
              </w:rPr>
            </w:pPr>
            <w:r>
              <w:rPr>
                <w:rFonts w:ascii="宋体" w:hAnsi="宋体" w:cs="宋体" w:eastAsia="宋体" w:hint="default"/>
                <w:spacing w:val="-2"/>
                <w:sz w:val="21"/>
                <w:szCs w:val="21"/>
              </w:rPr>
              <w:t>卖出回购金融资产款</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19"/>
              <w:jc w:val="right"/>
              <w:rPr>
                <w:rFonts w:ascii="宋体" w:hAnsi="宋体" w:cs="宋体" w:eastAsia="宋体" w:hint="default"/>
                <w:sz w:val="21"/>
                <w:szCs w:val="21"/>
              </w:rPr>
            </w:pPr>
            <w:r>
              <w:rPr>
                <w:rFonts w:ascii="宋体" w:hAnsi="宋体" w:cs="宋体" w:eastAsia="宋体" w:hint="default"/>
                <w:spacing w:val="-2"/>
                <w:sz w:val="21"/>
                <w:szCs w:val="21"/>
              </w:rPr>
              <w:t>吸收存款及同业存放</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31,231,052.76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31,231,052.76</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z w:val="21"/>
              </w:rPr>
              <w:t>45,333,129.01</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z w:val="21"/>
              </w:rPr>
              <w:t>45,333,129.01</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57,554,381.42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57,554,381.42</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757,568.26</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757,568.26</w:t>
            </w:r>
          </w:p>
        </w:tc>
        <w:tc>
          <w:tcPr>
            <w:tcW w:w="20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550"/>
        <w:gridCol w:w="2415"/>
        <w:gridCol w:w="2521"/>
        <w:gridCol w:w="2084"/>
      </w:tblGrid>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29"/>
              <w:jc w:val="right"/>
              <w:rPr>
                <w:rFonts w:ascii="宋体" w:hAnsi="宋体" w:cs="宋体" w:eastAsia="宋体" w:hint="default"/>
                <w:sz w:val="21"/>
                <w:szCs w:val="21"/>
              </w:rPr>
            </w:pPr>
            <w:r>
              <w:rPr>
                <w:rFonts w:ascii="宋体" w:hAnsi="宋体" w:cs="宋体" w:eastAsia="宋体" w:hint="default"/>
                <w:spacing w:val="-2"/>
                <w:sz w:val="21"/>
                <w:szCs w:val="21"/>
              </w:rPr>
              <w:t>应付股利</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30"/>
              <w:jc w:val="right"/>
              <w:rPr>
                <w:rFonts w:ascii="宋体" w:hAnsi="宋体" w:cs="宋体" w:eastAsia="宋体" w:hint="default"/>
                <w:sz w:val="21"/>
                <w:szCs w:val="21"/>
              </w:rPr>
            </w:pPr>
            <w:r>
              <w:rPr>
                <w:rFonts w:ascii="宋体" w:hAnsi="宋体" w:cs="宋体" w:eastAsia="宋体" w:hint="default"/>
                <w:spacing w:val="-2"/>
                <w:sz w:val="21"/>
                <w:szCs w:val="21"/>
              </w:rPr>
              <w:t>应付手续费及佣金</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19" w:firstLine="422"/>
              <w:jc w:val="left"/>
              <w:rPr>
                <w:rFonts w:ascii="宋体" w:hAnsi="宋体" w:cs="宋体" w:eastAsia="宋体" w:hint="default"/>
                <w:sz w:val="21"/>
                <w:szCs w:val="21"/>
              </w:rPr>
            </w:pPr>
            <w:r>
              <w:rPr>
                <w:rFonts w:ascii="宋体" w:hAnsi="宋体" w:cs="宋体" w:eastAsia="宋体" w:hint="default"/>
                <w:spacing w:val="-2"/>
                <w:sz w:val="21"/>
                <w:szCs w:val="21"/>
              </w:rPr>
              <w:t>一年内到期的非流动</w:t>
            </w:r>
            <w:r>
              <w:rPr>
                <w:rFonts w:ascii="宋体" w:hAnsi="宋体" w:cs="宋体" w:eastAsia="宋体" w:hint="default"/>
                <w:w w:val="100"/>
                <w:sz w:val="21"/>
                <w:szCs w:val="21"/>
              </w:rPr>
              <w:t> </w:t>
            </w:r>
            <w:r>
              <w:rPr>
                <w:rFonts w:ascii="宋体" w:hAnsi="宋体" w:cs="宋体" w:eastAsia="宋体" w:hint="default"/>
                <w:sz w:val="21"/>
                <w:szCs w:val="21"/>
              </w:rPr>
              <w:t>负债</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14,000,000.00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14,000,000.00</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1,547,272,373.02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1,547,272,373.02</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90,000,000.00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90,000,000.00</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8"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27,000,000.00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27,000,000.00</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30"/>
              <w:jc w:val="right"/>
              <w:rPr>
                <w:rFonts w:ascii="宋体" w:hAnsi="宋体" w:cs="宋体" w:eastAsia="宋体" w:hint="default"/>
                <w:sz w:val="21"/>
                <w:szCs w:val="21"/>
              </w:rPr>
            </w:pPr>
            <w:r>
              <w:rPr>
                <w:rFonts w:ascii="宋体" w:hAnsi="宋体" w:cs="宋体" w:eastAsia="宋体" w:hint="default"/>
                <w:spacing w:val="-2"/>
                <w:sz w:val="21"/>
                <w:szCs w:val="21"/>
              </w:rPr>
              <w:t>长期应付职工薪酬</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26,283,537.38</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26,283,537.38</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14,207,262.92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14,462,824.49</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255,561.57</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117,932,619.43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117,932,619.43</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275,423,419.73</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275,678,981.30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255,561.57</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1,822,695,792.75</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1,822,951,354.32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255,561.57</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691,505,915.00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691,505,915.00</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368"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2,825,137,574.80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2,825,137,574.80</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150,033,637.57</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150,033,637.57</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52,516,251.69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51,578,862.12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pacing w:val="-1"/>
                <w:sz w:val="21"/>
              </w:rPr>
              <w:t>-937,389.57</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415" w:type="dxa"/>
            <w:tcBorders>
              <w:top w:val="single" w:sz="4" w:space="0" w:color="000000"/>
              <w:left w:val="single" w:sz="4" w:space="0" w:color="000000"/>
              <w:bottom w:val="single" w:sz="4" w:space="0" w:color="000000"/>
              <w:right w:val="single" w:sz="4" w:space="0" w:color="000000"/>
            </w:tcBorders>
          </w:tcPr>
          <w:p>
            <w:pPr/>
          </w:p>
        </w:tc>
        <w:tc>
          <w:tcPr>
            <w:tcW w:w="2521" w:type="dxa"/>
            <w:tcBorders>
              <w:top w:val="single" w:sz="4" w:space="0" w:color="000000"/>
              <w:left w:val="single" w:sz="4" w:space="0" w:color="000000"/>
              <w:bottom w:val="single" w:sz="4" w:space="0" w:color="000000"/>
              <w:right w:val="single" w:sz="4" w:space="0" w:color="000000"/>
            </w:tcBorders>
          </w:tcPr>
          <w:p>
            <w:pPr/>
          </w:p>
        </w:tc>
        <w:tc>
          <w:tcPr>
            <w:tcW w:w="20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550"/>
        <w:gridCol w:w="2415"/>
        <w:gridCol w:w="2521"/>
        <w:gridCol w:w="2084"/>
      </w:tblGrid>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782,617,386.60</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710,526,455.43</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-72,090,931.17</w:t>
            </w:r>
          </w:p>
        </w:tc>
      </w:tr>
      <w:tr>
        <w:trPr>
          <w:trHeight w:val="711"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19"/>
              <w:jc w:val="left"/>
              <w:rPr>
                <w:rFonts w:ascii="宋体" w:hAnsi="宋体" w:cs="宋体" w:eastAsia="宋体" w:hint="default"/>
                <w:sz w:val="21"/>
                <w:szCs w:val="21"/>
              </w:rPr>
            </w:pPr>
            <w:r>
              <w:rPr>
                <w:rFonts w:ascii="宋体" w:hAnsi="宋体" w:cs="宋体" w:eastAsia="宋体" w:hint="default"/>
                <w:spacing w:val="-1"/>
                <w:sz w:val="21"/>
                <w:szCs w:val="21"/>
              </w:rPr>
              <w:t>归属于母公司所有者权益</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4,201,743,490.52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4,128,715,169.78</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-73,028,320.74</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215,692,797.42</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215,692,797.42</w:t>
            </w:r>
          </w:p>
        </w:tc>
        <w:tc>
          <w:tcPr>
            <w:tcW w:w="20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4,417,436,287.94</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4,344,407,967.20</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-73,028,320.74</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6,240,132,080.69</w:t>
            </w:r>
          </w:p>
        </w:tc>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6,167,359,321.52</w:t>
            </w:r>
          </w:p>
        </w:tc>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-72,772,759.17</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before="53"/>
        <w:ind w:left="113" w:right="-7"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40" w:lineRule="auto" w:before="90"/>
        <w:ind w:right="-7"/>
        <w:jc w:val="left"/>
      </w:pPr>
      <w:r>
        <w:rPr>
          <w:spacing w:val="-1"/>
        </w:rPr>
        <w:t>母公司资产负债表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right="0"/>
        <w:jc w:val="left"/>
      </w:pPr>
      <w:r>
        <w:rPr/>
        <w:t>单位：元</w:t>
      </w:r>
    </w:p>
    <w:p>
      <w:pPr>
        <w:spacing w:after="0" w:line="240" w:lineRule="auto"/>
        <w:jc w:val="left"/>
        <w:sectPr>
          <w:type w:val="continuous"/>
          <w:pgSz w:w="11910" w:h="16840"/>
          <w:pgMar w:top="1100" w:bottom="1220" w:left="1020" w:right="0"/>
          <w:cols w:num="2" w:equalWidth="0">
            <w:col w:w="1799" w:space="7003"/>
            <w:col w:w="2088"/>
          </w:cols>
        </w:sectPr>
      </w:pP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622"/>
        <w:gridCol w:w="2415"/>
        <w:gridCol w:w="2329"/>
        <w:gridCol w:w="2204"/>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调整数</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81,201,904.97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81,201,904.97</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91" w:firstLine="422"/>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w:t>
            </w:r>
            <w:r>
              <w:rPr>
                <w:rFonts w:ascii="宋体" w:hAnsi="宋体" w:cs="宋体" w:eastAsia="宋体" w:hint="default"/>
                <w:w w:val="100"/>
                <w:sz w:val="21"/>
                <w:szCs w:val="21"/>
              </w:rPr>
              <w:t> </w:t>
            </w:r>
            <w:r>
              <w:rPr>
                <w:rFonts w:ascii="宋体" w:hAnsi="宋体" w:cs="宋体" w:eastAsia="宋体" w:hint="default"/>
                <w:spacing w:val="-1"/>
                <w:sz w:val="21"/>
                <w:szCs w:val="21"/>
              </w:rPr>
              <w:t>变动计入当期损益的金融</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50,662,637.08</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5,180,145.17</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-45,482,491.91</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438,904,635.47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428,988,432.43</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-9,916,203.04</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45,482,491.91</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45,482,491.91</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13,049,804.58</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13,049,804.58</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35,734,931.07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32,919,277.81</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-2,815,653.26</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02"/>
              <w:jc w:val="right"/>
              <w:rPr>
                <w:rFonts w:ascii="宋体" w:hAnsi="宋体" w:cs="宋体" w:eastAsia="宋体" w:hint="default"/>
                <w:sz w:val="21"/>
                <w:szCs w:val="21"/>
              </w:rPr>
            </w:pPr>
            <w:r>
              <w:rPr>
                <w:rFonts w:ascii="宋体" w:hAnsi="宋体" w:cs="宋体" w:eastAsia="宋体" w:hint="default"/>
                <w:spacing w:val="-2"/>
                <w:sz w:val="21"/>
                <w:szCs w:val="21"/>
              </w:rPr>
              <w:t>其中：应收利息</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01"/>
              <w:jc w:val="right"/>
              <w:rPr>
                <w:rFonts w:ascii="宋体" w:hAnsi="宋体" w:cs="宋体" w:eastAsia="宋体" w:hint="default"/>
                <w:sz w:val="21"/>
                <w:szCs w:val="21"/>
              </w:rPr>
            </w:pPr>
            <w:r>
              <w:rPr>
                <w:rFonts w:ascii="宋体" w:hAnsi="宋体" w:cs="宋体" w:eastAsia="宋体" w:hint="default"/>
                <w:spacing w:val="-2"/>
                <w:sz w:val="21"/>
                <w:szCs w:val="21"/>
              </w:rPr>
              <w:t>应收股利</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354,301,655.63</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354,301,655.63</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合同资产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持有待售资产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191" w:firstLine="422"/>
              <w:jc w:val="left"/>
              <w:rPr>
                <w:rFonts w:ascii="宋体" w:hAnsi="宋体" w:cs="宋体" w:eastAsia="宋体" w:hint="default"/>
                <w:sz w:val="21"/>
                <w:szCs w:val="21"/>
              </w:rPr>
            </w:pPr>
            <w:r>
              <w:rPr>
                <w:rFonts w:ascii="宋体" w:hAnsi="宋体" w:cs="宋体" w:eastAsia="宋体" w:hint="default"/>
                <w:spacing w:val="-2"/>
                <w:sz w:val="21"/>
                <w:szCs w:val="21"/>
              </w:rPr>
              <w:t>一年内到期的非流动</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778,682.80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778,682.80</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974,634,251.60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961,902,395.30</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-12,731,856.30</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债权投资</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402"/>
              <w:jc w:val="right"/>
              <w:rPr>
                <w:rFonts w:ascii="宋体" w:hAnsi="宋体" w:cs="宋体" w:eastAsia="宋体" w:hint="default"/>
                <w:sz w:val="21"/>
                <w:szCs w:val="21"/>
              </w:rPr>
            </w:pPr>
            <w:r>
              <w:rPr>
                <w:rFonts w:ascii="宋体" w:hAnsi="宋体" w:cs="宋体" w:eastAsia="宋体" w:hint="default"/>
                <w:spacing w:val="-2"/>
                <w:sz w:val="21"/>
                <w:szCs w:val="21"/>
              </w:rPr>
              <w:t>可供出售金融资产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6,000,000.00</w:t>
            </w: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pacing w:val="-1"/>
                <w:sz w:val="21"/>
              </w:rPr>
              <w:t>-6,000,000.00</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其他债权投资</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622"/>
        <w:gridCol w:w="2415"/>
        <w:gridCol w:w="2329"/>
        <w:gridCol w:w="2204"/>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pacing w:val="-1"/>
                <w:sz w:val="21"/>
              </w:rPr>
              <w:t>3,627,454,998.00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pacing w:val="-1"/>
                <w:sz w:val="21"/>
              </w:rPr>
              <w:t>3,627,454,998.00</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5,000,000.00</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5,000,000.00</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2,703,743.81</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2,703,743.81</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50,976,801.57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50,976,801.57</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218,206,728.67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218,206,728.67</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使用权资产</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50,446,601.60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50,446,601.60</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46,662,603.88</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48,572,382.33</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1,909,778.45</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170,692.42</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170,692.42</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3,999,918,426.14</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4,003,531,948.40</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3,613,522.26</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4,974,552,677.74</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4,965,434,343.70</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-9,118,334.04</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468,000,000.00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468,000,000.00</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05" w:right="191" w:firstLine="422"/>
              <w:jc w:val="both"/>
              <w:rPr>
                <w:rFonts w:ascii="宋体" w:hAnsi="宋体" w:cs="宋体" w:eastAsia="宋体" w:hint="default"/>
                <w:sz w:val="21"/>
                <w:szCs w:val="21"/>
              </w:rPr>
            </w:pPr>
            <w:r>
              <w:rPr>
                <w:rFonts w:ascii="宋体" w:hAnsi="宋体" w:cs="宋体" w:eastAsia="宋体" w:hint="default"/>
                <w:spacing w:val="-2"/>
                <w:sz w:val="21"/>
                <w:szCs w:val="21"/>
              </w:rPr>
              <w:t>以公允价值计量且其</w:t>
            </w:r>
            <w:r>
              <w:rPr>
                <w:rFonts w:ascii="宋体" w:hAnsi="宋体" w:cs="宋体" w:eastAsia="宋体" w:hint="default"/>
                <w:w w:val="100"/>
                <w:sz w:val="21"/>
                <w:szCs w:val="21"/>
              </w:rPr>
              <w:t> </w:t>
            </w:r>
            <w:r>
              <w:rPr>
                <w:rFonts w:ascii="宋体" w:hAnsi="宋体" w:cs="宋体" w:eastAsia="宋体" w:hint="default"/>
                <w:spacing w:val="-1"/>
                <w:sz w:val="21"/>
                <w:szCs w:val="21"/>
              </w:rPr>
              <w:t>变动计入当期损益的金融</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59,432,000.00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59,432,000.00</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172,869,968.57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172,869,968.57</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36,462,659.45</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36,462,659.45</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合同负债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4,614,585.13</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4,614,585.13</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8,928,493.42</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8,928,493.42</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pacing w:val="-1"/>
                <w:sz w:val="21"/>
              </w:rPr>
              <w:t>482,515,302.40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pacing w:val="-1"/>
                <w:sz w:val="21"/>
              </w:rPr>
              <w:t>482,515,302.40</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其中：应付利息</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8"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622"/>
        <w:gridCol w:w="2415"/>
        <w:gridCol w:w="2329"/>
        <w:gridCol w:w="2204"/>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持有待售负债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91" w:firstLine="422"/>
              <w:jc w:val="left"/>
              <w:rPr>
                <w:rFonts w:ascii="宋体" w:hAnsi="宋体" w:cs="宋体" w:eastAsia="宋体" w:hint="default"/>
                <w:sz w:val="21"/>
                <w:szCs w:val="21"/>
              </w:rPr>
            </w:pPr>
            <w:r>
              <w:rPr>
                <w:rFonts w:ascii="宋体" w:hAnsi="宋体" w:cs="宋体" w:eastAsia="宋体" w:hint="default"/>
                <w:spacing w:val="-2"/>
                <w:sz w:val="21"/>
                <w:szCs w:val="21"/>
              </w:rPr>
              <w:t>一年内到期的非流动</w:t>
            </w:r>
            <w:r>
              <w:rPr>
                <w:rFonts w:ascii="宋体" w:hAnsi="宋体" w:cs="宋体" w:eastAsia="宋体" w:hint="default"/>
                <w:w w:val="100"/>
                <w:sz w:val="21"/>
                <w:szCs w:val="21"/>
              </w:rPr>
              <w:t> </w:t>
            </w:r>
            <w:r>
              <w:rPr>
                <w:rFonts w:ascii="宋体" w:hAnsi="宋体" w:cs="宋体" w:eastAsia="宋体" w:hint="default"/>
                <w:sz w:val="21"/>
                <w:szCs w:val="21"/>
              </w:rPr>
              <w:t>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1,232,823,008.97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1,232,823,008.97</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90,000,000.00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90,000,000.00</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8"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租赁负债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25,961,537.38</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25,961,537.38</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255,561.57</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255,561.57</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115,961,537.38</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116,217,098.95</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255,561.57</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1,348,784,546.35</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1,349,040,107.92</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255,561.57</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05"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691,505,915.00</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691,505,915.00</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368"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2,818,718,845.63</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2,818,718,845.63</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150,033,637.57</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150,033,637.57</w:t>
            </w: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415" w:type="dxa"/>
            <w:tcBorders>
              <w:top w:val="single" w:sz="4" w:space="0" w:color="000000"/>
              <w:left w:val="single" w:sz="4" w:space="0" w:color="000000"/>
              <w:bottom w:val="single" w:sz="4" w:space="0" w:color="000000"/>
              <w:right w:val="single" w:sz="4" w:space="0" w:color="000000"/>
            </w:tcBorders>
          </w:tcPr>
          <w:p>
            <w:pPr/>
          </w:p>
        </w:tc>
        <w:tc>
          <w:tcPr>
            <w:tcW w:w="2329" w:type="dxa"/>
            <w:tcBorders>
              <w:top w:val="single" w:sz="4" w:space="0" w:color="000000"/>
              <w:left w:val="single" w:sz="4" w:space="0" w:color="000000"/>
              <w:bottom w:val="single" w:sz="4" w:space="0" w:color="000000"/>
              <w:right w:val="single" w:sz="4" w:space="0" w:color="000000"/>
            </w:tcBorders>
          </w:tcPr>
          <w:p>
            <w:pPr/>
          </w:p>
        </w:tc>
        <w:tc>
          <w:tcPr>
            <w:tcW w:w="220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51,038,141.44</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50,100,751.87</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pacing w:val="-1"/>
                <w:sz w:val="21"/>
              </w:rPr>
              <w:t>-937,389.57</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214,538,866.89</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206,102,360.85</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-8,436,506.04</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3,625,768,131.39</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3,616,394,235.78</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-9,373,895.61</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4,974,552,677.74</w:t>
            </w:r>
          </w:p>
        </w:tc>
        <w:tc>
          <w:tcPr>
            <w:tcW w:w="2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4,965,434,343.70</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-9,118,334.04</w:t>
            </w:r>
          </w:p>
        </w:tc>
      </w:tr>
    </w:tbl>
    <w:p>
      <w:pPr>
        <w:spacing w:before="54"/>
        <w:ind w:left="113" w:right="1002"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spacing w:after="0"/>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4）2019年起执行新金融工具准则或新租赁准则追溯调整前期比较数据说明" w:id="234"/>
      <w:bookmarkEnd w:id="234"/>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1"/>
        <w:rPr>
          <w:rFonts w:ascii="宋体" w:hAnsi="宋体" w:cs="宋体" w:eastAsia="宋体" w:hint="default"/>
          <w:b/>
          <w:bCs/>
          <w:sz w:val="27"/>
          <w:szCs w:val="27"/>
        </w:rPr>
      </w:pPr>
    </w:p>
    <w:p>
      <w:pPr>
        <w:spacing w:before="0"/>
        <w:ind w:left="113" w:right="1002" w:firstLine="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适用 </w:t>
      </w:r>
      <w:r>
        <w:rPr>
          <w:rFonts w:ascii="宋体" w:hAnsi="宋体" w:cs="宋体" w:eastAsia="宋体" w:hint="default"/>
          <w:sz w:val="18"/>
          <w:szCs w:val="18"/>
        </w:rPr>
        <w:t>√</w:t>
      </w:r>
      <w:r>
        <w:rPr>
          <w:rFonts w:ascii="宋体" w:hAnsi="宋体" w:cs="宋体" w:eastAsia="宋体" w:hint="default"/>
          <w:spacing w:val="1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26"/>
          <w:szCs w:val="26"/>
        </w:rPr>
      </w:pPr>
    </w:p>
    <w:p>
      <w:pPr>
        <w:pStyle w:val="Heading5"/>
        <w:spacing w:line="240" w:lineRule="auto"/>
        <w:ind w:right="1002"/>
        <w:jc w:val="left"/>
        <w:rPr>
          <w:b w:val="0"/>
          <w:bCs w:val="0"/>
        </w:rPr>
      </w:pPr>
      <w:bookmarkStart w:name="45、其他" w:id="235"/>
      <w:bookmarkEnd w:id="235"/>
      <w:r>
        <w:rPr>
          <w:b w:val="0"/>
          <w:bCs w:val="0"/>
        </w:rPr>
      </w:r>
      <w:r>
        <w:rPr>
          <w:rFonts w:ascii="Times New Roman" w:hAnsi="Times New Roman" w:cs="Times New Roman" w:eastAsia="Times New Roman" w:hint="default"/>
        </w:rPr>
        <w:t>45</w:t>
      </w:r>
      <w:r>
        <w:rPr/>
        <w:t>、其他</w:t>
      </w:r>
      <w:r>
        <w:rPr>
          <w:b w:val="0"/>
          <w:bCs w:val="0"/>
        </w:rPr>
      </w:r>
    </w:p>
    <w:p>
      <w:pPr>
        <w:spacing w:line="240" w:lineRule="auto" w:before="9"/>
        <w:rPr>
          <w:rFonts w:ascii="宋体" w:hAnsi="宋体" w:cs="宋体" w:eastAsia="宋体" w:hint="default"/>
          <w:b/>
          <w:bCs/>
          <w:sz w:val="31"/>
          <w:szCs w:val="31"/>
        </w:rPr>
      </w:pPr>
    </w:p>
    <w:p>
      <w:pPr>
        <w:spacing w:line="348" w:lineRule="auto" w:before="0"/>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财务报表列报项目变更说明</w:t>
      </w:r>
      <w:r>
        <w:rPr>
          <w:rFonts w:ascii="宋体" w:hAnsi="宋体" w:cs="宋体" w:eastAsia="宋体" w:hint="default"/>
          <w:b/>
          <w:bCs/>
          <w:spacing w:val="-102"/>
          <w:sz w:val="21"/>
          <w:szCs w:val="21"/>
        </w:rPr>
        <w:t> </w:t>
      </w:r>
      <w:r>
        <w:rPr>
          <w:rFonts w:ascii="宋体" w:hAnsi="宋体" w:cs="宋体" w:eastAsia="宋体" w:hint="default"/>
          <w:spacing w:val="-3"/>
          <w:w w:val="100"/>
          <w:sz w:val="21"/>
          <w:szCs w:val="21"/>
        </w:rPr>
        <w:t>财政部于</w:t>
      </w:r>
      <w:r>
        <w:rPr>
          <w:rFonts w:ascii="宋体" w:hAnsi="宋体" w:cs="宋体" w:eastAsia="宋体" w:hint="default"/>
          <w:spacing w:val="-3"/>
          <w:w w:val="100"/>
          <w:sz w:val="21"/>
          <w:szCs w:val="21"/>
        </w:rPr>
        <w:t>2019</w:t>
      </w:r>
      <w:r>
        <w:rPr>
          <w:rFonts w:ascii="宋体" w:hAnsi="宋体" w:cs="宋体" w:eastAsia="宋体" w:hint="default"/>
          <w:spacing w:val="-3"/>
          <w:w w:val="100"/>
          <w:sz w:val="21"/>
          <w:szCs w:val="21"/>
        </w:rPr>
        <w:t>年发布了《关于修订印发</w:t>
      </w:r>
      <w:r>
        <w:rPr>
          <w:rFonts w:ascii="宋体" w:hAnsi="宋体" w:cs="宋体" w:eastAsia="宋体" w:hint="default"/>
          <w:spacing w:val="-3"/>
          <w:w w:val="100"/>
          <w:sz w:val="21"/>
          <w:szCs w:val="21"/>
        </w:rPr>
        <w:t>2019</w:t>
      </w:r>
      <w:r>
        <w:rPr>
          <w:rFonts w:ascii="宋体" w:hAnsi="宋体" w:cs="宋体" w:eastAsia="宋体" w:hint="default"/>
          <w:spacing w:val="-3"/>
          <w:w w:val="100"/>
          <w:sz w:val="21"/>
          <w:szCs w:val="21"/>
        </w:rPr>
        <w:t>年度一般企业财务报表格式的通知》（财会〔</w:t>
      </w:r>
      <w:r>
        <w:rPr>
          <w:rFonts w:ascii="宋体" w:hAnsi="宋体" w:cs="宋体" w:eastAsia="宋体" w:hint="default"/>
          <w:spacing w:val="-3"/>
          <w:w w:val="100"/>
          <w:sz w:val="21"/>
          <w:szCs w:val="21"/>
        </w:rPr>
        <w:t>2019</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6</w:t>
      </w:r>
      <w:r>
        <w:rPr>
          <w:rFonts w:ascii="宋体" w:hAnsi="宋体" w:cs="宋体" w:eastAsia="宋体" w:hint="default"/>
          <w:spacing w:val="-3"/>
          <w:w w:val="100"/>
          <w:sz w:val="21"/>
          <w:szCs w:val="21"/>
        </w:rPr>
        <w:t>号）</w:t>
      </w:r>
      <w:r>
        <w:rPr>
          <w:rFonts w:ascii="宋体" w:hAnsi="宋体" w:cs="宋体" w:eastAsia="宋体" w:hint="default"/>
          <w:w w:val="100"/>
          <w:sz w:val="21"/>
          <w:szCs w:val="21"/>
        </w:rPr>
      </w:r>
    </w:p>
    <w:p>
      <w:pPr>
        <w:pStyle w:val="BodyText"/>
        <w:spacing w:line="350" w:lineRule="auto" w:before="34"/>
        <w:ind w:right="1002"/>
        <w:jc w:val="left"/>
      </w:pPr>
      <w:r>
        <w:rPr>
          <w:spacing w:val="-6"/>
          <w:w w:val="100"/>
        </w:rPr>
        <w:t>和《关于修订印发合并财务报表格式</w:t>
      </w:r>
      <w:r>
        <w:rPr>
          <w:rFonts w:ascii="宋体" w:hAnsi="宋体" w:cs="宋体" w:eastAsia="宋体" w:hint="default"/>
          <w:spacing w:val="-6"/>
          <w:w w:val="100"/>
        </w:rPr>
        <w:t>(2019</w:t>
      </w:r>
      <w:r>
        <w:rPr>
          <w:spacing w:val="-6"/>
          <w:w w:val="100"/>
        </w:rPr>
        <w:t>版</w:t>
      </w:r>
      <w:r>
        <w:rPr>
          <w:rFonts w:ascii="宋体" w:hAnsi="宋体" w:cs="宋体" w:eastAsia="宋体" w:hint="default"/>
          <w:spacing w:val="-6"/>
          <w:w w:val="100"/>
        </w:rPr>
        <w:t>)</w:t>
      </w:r>
      <w:r>
        <w:rPr>
          <w:spacing w:val="-6"/>
          <w:w w:val="100"/>
        </w:rPr>
        <w:t>的通知》（财会〔</w:t>
      </w:r>
      <w:r>
        <w:rPr>
          <w:rFonts w:ascii="宋体" w:hAnsi="宋体" w:cs="宋体" w:eastAsia="宋体" w:hint="default"/>
          <w:spacing w:val="-6"/>
          <w:w w:val="100"/>
        </w:rPr>
        <w:t>2019</w:t>
      </w:r>
      <w:r>
        <w:rPr>
          <w:spacing w:val="-6"/>
          <w:w w:val="100"/>
        </w:rPr>
        <w:t>〕</w:t>
      </w:r>
      <w:r>
        <w:rPr>
          <w:rFonts w:ascii="宋体" w:hAnsi="宋体" w:cs="宋体" w:eastAsia="宋体" w:hint="default"/>
          <w:spacing w:val="-6"/>
          <w:w w:val="100"/>
        </w:rPr>
        <w:t>16</w:t>
      </w:r>
      <w:r>
        <w:rPr>
          <w:spacing w:val="-6"/>
          <w:w w:val="100"/>
        </w:rPr>
        <w:t>号）</w:t>
      </w:r>
      <w:r>
        <w:rPr>
          <w:color w:val="0000CC"/>
          <w:spacing w:val="-6"/>
          <w:w w:val="100"/>
        </w:rPr>
        <w:t>，</w:t>
      </w:r>
      <w:r>
        <w:rPr>
          <w:spacing w:val="-6"/>
          <w:w w:val="100"/>
        </w:rPr>
        <w:t>对一般企业财务报表格式进</w:t>
      </w:r>
      <w:r>
        <w:rPr>
          <w:spacing w:val="-78"/>
          <w:w w:val="100"/>
        </w:rPr>
        <w:t> </w:t>
      </w:r>
      <w:r>
        <w:rPr>
          <w:spacing w:val="-78"/>
          <w:w w:val="100"/>
        </w:rPr>
      </w:r>
      <w:r>
        <w:rPr/>
        <w:t>行了修订，拆分部分资产负债表项目和调整利润表项目等。本公司已经根据新的企业财务报表格式的要求</w:t>
      </w:r>
      <w:r>
        <w:rPr>
          <w:w w:val="100"/>
        </w:rPr>
        <w:t> </w:t>
      </w:r>
      <w:r>
        <w:rPr>
          <w:spacing w:val="-4"/>
        </w:rPr>
        <w:t>编制财务报表，财务报表的列报项目因此发生变更的，已经按照《企业会计准则第</w:t>
      </w:r>
      <w:r>
        <w:rPr>
          <w:rFonts w:ascii="宋体" w:hAnsi="宋体" w:cs="宋体" w:eastAsia="宋体" w:hint="default"/>
          <w:spacing w:val="-4"/>
        </w:rPr>
        <w:t>30</w:t>
      </w:r>
      <w:r>
        <w:rPr>
          <w:spacing w:val="-4"/>
        </w:rPr>
        <w:t>号——财务报表列报》</w:t>
      </w:r>
      <w:r>
        <w:rPr>
          <w:spacing w:val="-41"/>
        </w:rPr>
        <w:t> </w:t>
      </w:r>
      <w:r>
        <w:rPr>
          <w:spacing w:val="-41"/>
        </w:rPr>
      </w:r>
      <w:r>
        <w:rPr/>
        <w:t>等的相关规定，对可比期间的比较数据进行调整。</w:t>
      </w:r>
    </w:p>
    <w:p>
      <w:pPr>
        <w:pStyle w:val="BodyText"/>
        <w:spacing w:line="240" w:lineRule="auto" w:before="27"/>
        <w:ind w:left="473" w:right="1002"/>
        <w:jc w:val="left"/>
      </w:pPr>
      <w:r>
        <w:rPr/>
        <w:t>对可比期间的财务报表列报项目及金额的影响如下：</w:t>
      </w:r>
    </w:p>
    <w:p>
      <w:pPr>
        <w:spacing w:line="240" w:lineRule="auto" w:before="8"/>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123"/>
        <w:gridCol w:w="1877"/>
        <w:gridCol w:w="1772"/>
        <w:gridCol w:w="2132"/>
        <w:gridCol w:w="1272"/>
      </w:tblGrid>
      <w:tr>
        <w:trPr>
          <w:trHeight w:val="350"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33"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列报变更前金额</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60" w:right="0"/>
              <w:jc w:val="left"/>
              <w:rPr>
                <w:rFonts w:ascii="宋体" w:hAnsi="宋体" w:cs="宋体" w:eastAsia="宋体" w:hint="default"/>
                <w:sz w:val="21"/>
                <w:szCs w:val="21"/>
              </w:rPr>
            </w:pPr>
            <w:r>
              <w:rPr>
                <w:rFonts w:ascii="宋体" w:hAnsi="宋体" w:cs="宋体" w:eastAsia="宋体" w:hint="default"/>
                <w:sz w:val="21"/>
                <w:szCs w:val="21"/>
              </w:rPr>
              <w:t>影响金额</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26" w:right="0"/>
              <w:jc w:val="left"/>
              <w:rPr>
                <w:rFonts w:ascii="宋体" w:hAnsi="宋体" w:cs="宋体" w:eastAsia="宋体" w:hint="default"/>
                <w:sz w:val="21"/>
                <w:szCs w:val="21"/>
              </w:rPr>
            </w:pPr>
            <w:r>
              <w:rPr>
                <w:rFonts w:ascii="宋体" w:hAnsi="宋体" w:cs="宋体" w:eastAsia="宋体" w:hint="default"/>
                <w:sz w:val="21"/>
                <w:szCs w:val="21"/>
              </w:rPr>
              <w:t>列报变更后金额</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2"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46"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77"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89,714,563.36</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89,714,563.36</w:t>
            </w:r>
          </w:p>
        </w:tc>
        <w:tc>
          <w:tcPr>
            <w:tcW w:w="127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77"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978,660,986.62</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978,660,986.62</w:t>
            </w:r>
          </w:p>
        </w:tc>
        <w:tc>
          <w:tcPr>
            <w:tcW w:w="1272"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1,068,375,549.98</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5"/>
              <w:jc w:val="right"/>
              <w:rPr>
                <w:rFonts w:ascii="宋体" w:hAnsi="宋体" w:cs="宋体" w:eastAsia="宋体" w:hint="default"/>
                <w:sz w:val="21"/>
                <w:szCs w:val="21"/>
              </w:rPr>
            </w:pPr>
            <w:r>
              <w:rPr>
                <w:rFonts w:ascii="Times New Roman"/>
                <w:spacing w:val="-1"/>
                <w:sz w:val="21"/>
              </w:rPr>
              <w:t>-</w:t>
            </w:r>
            <w:r>
              <w:rPr>
                <w:rFonts w:ascii="宋体"/>
                <w:spacing w:val="-1"/>
                <w:sz w:val="21"/>
              </w:rPr>
              <w:t>1,068,375,549.98</w:t>
            </w:r>
          </w:p>
        </w:tc>
        <w:tc>
          <w:tcPr>
            <w:tcW w:w="2132"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77"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95,297,752.20</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95,297,752.20</w:t>
            </w:r>
          </w:p>
        </w:tc>
        <w:tc>
          <w:tcPr>
            <w:tcW w:w="127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77" w:type="dxa"/>
            <w:tcBorders>
              <w:top w:val="single" w:sz="6" w:space="0" w:color="000000"/>
              <w:left w:val="single" w:sz="6" w:space="0" w:color="000000"/>
              <w:bottom w:val="single" w:sz="6" w:space="0" w:color="000000"/>
              <w:right w:val="single" w:sz="6" w:space="0" w:color="000000"/>
            </w:tcBorders>
          </w:tcPr>
          <w:p>
            <w:pP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562,452,888.36</w:t>
            </w:r>
          </w:p>
        </w:tc>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562,452,888.36</w:t>
            </w:r>
          </w:p>
        </w:tc>
        <w:tc>
          <w:tcPr>
            <w:tcW w:w="1272"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657,750,640.56</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5"/>
              <w:jc w:val="right"/>
              <w:rPr>
                <w:rFonts w:ascii="宋体" w:hAnsi="宋体" w:cs="宋体" w:eastAsia="宋体" w:hint="default"/>
                <w:sz w:val="21"/>
                <w:szCs w:val="21"/>
              </w:rPr>
            </w:pPr>
            <w:r>
              <w:rPr>
                <w:rFonts w:ascii="Times New Roman"/>
                <w:spacing w:val="-1"/>
                <w:sz w:val="21"/>
              </w:rPr>
              <w:t>-</w:t>
            </w:r>
            <w:r>
              <w:rPr>
                <w:rFonts w:ascii="宋体"/>
                <w:spacing w:val="-1"/>
                <w:sz w:val="21"/>
              </w:rPr>
              <w:t>657,750,640.56</w:t>
            </w:r>
          </w:p>
        </w:tc>
        <w:tc>
          <w:tcPr>
            <w:tcW w:w="2132"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6"/>
        <w:ind w:right="1002"/>
        <w:jc w:val="left"/>
        <w:rPr>
          <w:b w:val="0"/>
          <w:bCs w:val="0"/>
        </w:rPr>
      </w:pPr>
      <w:bookmarkStart w:name="六、税项" w:id="236"/>
      <w:bookmarkEnd w:id="236"/>
      <w:r>
        <w:rPr>
          <w:b w:val="0"/>
          <w:bCs w:val="0"/>
        </w:rPr>
      </w:r>
      <w:r>
        <w:rPr/>
        <w:t>六、税项</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1002"/>
        <w:jc w:val="left"/>
        <w:rPr>
          <w:b w:val="0"/>
          <w:bCs w:val="0"/>
        </w:rPr>
      </w:pPr>
      <w:bookmarkStart w:name="1、主要税种及税率" w:id="237"/>
      <w:bookmarkEnd w:id="23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93"/>
        <w:gridCol w:w="4389"/>
        <w:gridCol w:w="3193"/>
      </w:tblGrid>
      <w:tr>
        <w:trPr>
          <w:trHeight w:val="398"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04"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pacing w:val="-3"/>
                <w:sz w:val="21"/>
                <w:szCs w:val="21"/>
              </w:rPr>
              <w:t>销售货物或提供加工、修理修配劳务、服务等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5"/>
                <w:sz w:val="21"/>
                <w:szCs w:val="21"/>
              </w:rPr>
              <w:t>16%</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13%</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10%</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9%</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Times New Roman" w:hAnsi="Times New Roman" w:cs="Times New Roman" w:eastAsia="Times New Roman" w:hint="default"/>
                <w:sz w:val="21"/>
                <w:szCs w:val="21"/>
              </w:rPr>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7%</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w:t>
            </w:r>
            <w:r>
              <w:rPr>
                <w:rFonts w:ascii="Times New Roman" w:hAnsi="Times New Roman" w:cs="Times New Roman" w:eastAsia="Times New Roman" w:hint="default"/>
                <w:sz w:val="21"/>
                <w:szCs w:val="21"/>
              </w:rPr>
              <w:t>15%</w:t>
            </w:r>
          </w:p>
        </w:tc>
      </w:tr>
      <w:tr>
        <w:trPr>
          <w:trHeight w:val="398"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3%</w:t>
            </w:r>
          </w:p>
        </w:tc>
      </w:tr>
      <w:tr>
        <w:trPr>
          <w:trHeight w:val="404"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实缴流转税税额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2%</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4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按照房产原值的</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或租金收入为纳税基准</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w:t>
            </w:r>
            <w:r>
              <w:rPr>
                <w:rFonts w:ascii="Times New Roman" w:hAnsi="Times New Roman" w:cs="Times New Roman" w:eastAsia="Times New Roman" w:hint="default"/>
                <w:sz w:val="21"/>
                <w:szCs w:val="21"/>
              </w:rPr>
              <w:t>12%</w:t>
            </w:r>
          </w:p>
        </w:tc>
      </w:tr>
    </w:tbl>
    <w:p>
      <w:pPr>
        <w:pStyle w:val="BodyText"/>
        <w:spacing w:line="240" w:lineRule="auto" w:before="28"/>
        <w:ind w:right="1002"/>
        <w:jc w:val="left"/>
      </w:pPr>
      <w:r>
        <w:rPr/>
        <w:t>存在不同企业所得税税率纳税主体的，披露情况说明</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5234"/>
        <w:gridCol w:w="4336"/>
      </w:tblGrid>
      <w:tr>
        <w:trPr>
          <w:trHeight w:val="398" w:hRule="exact"/>
        </w:trPr>
        <w:tc>
          <w:tcPr>
            <w:tcW w:w="5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安徽中电兴发与鑫龙科技股份有限公司本部</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安徽中电兴发与鑫龙科技股份有限公司北京分公司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安徽鑫龙电器股份有限公司天津分公司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bl>
    <w:p>
      <w:pPr>
        <w:spacing w:after="0" w:line="240" w:lineRule="auto"/>
        <w:jc w:val="lef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5234"/>
        <w:gridCol w:w="4336"/>
      </w:tblGrid>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安徽中电兴发与鑫龙科技股份有限公司营销中心</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安徽鑫龙自动化有限公司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安徽鑫龙低压电器有限公司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安徽鑫龙电器元件销售有限公司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安徽鑫龙变压器有限公司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安徽鑫东投资管理有限公司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安徽佑赛科技股份有限公司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安徽北辰能源工程技术有限公司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斯高思电器（安徽）有限公司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亳州鑫龙电气有限公司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天津市泰达工程设计有限公司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安徽杰偌新材料技术有限公司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苏州开关二厂有限公司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苏州天平安装工程有限公司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苏州天平安装工程有限公司芜湖分公司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北京中电兴发科技有限公司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信诺非凡</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中电兴发机器人技术</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安徽鑫龙电器股份有限公司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安徽龙玺新能源科技有限公司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红河智慧科技有限公司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云南红河智慧城市互联网发展有限公司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红河智慧旅游信息发展有限公司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安徽鑫畅达轨道交通电气有限公司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安徽鑫龙售电有限公司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云南中电典基网络科技有限公司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伊宁县智慧城市信息科技有限公司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宋体" w:hAnsi="宋体" w:cs="宋体" w:eastAsia="宋体" w:hint="default"/>
                <w:sz w:val="21"/>
                <w:szCs w:val="21"/>
              </w:rPr>
              <w:t>）</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天津滨龙工程管理咨询有限公司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安徽中电兴发科技有限公司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中电兴发软件研发（北京）有限公司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北京普天智慧科技有限公司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枣强县智慧城市信息技术服务有限公司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中普慧园科技（北京）有限公司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bl>
    <w:p>
      <w:pPr>
        <w:spacing w:after="0" w:line="240" w:lineRule="auto"/>
        <w:jc w:val="lef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5234"/>
        <w:gridCol w:w="4336"/>
      </w:tblGrid>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凤凰智慧城市管理运营有限责任公司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云南中电新联通信网络有限公司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昭通中典联网络科技有限公司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昭通欣联企业管理有限合伙企业</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宋体" w:hAnsi="宋体" w:cs="宋体" w:eastAsia="宋体" w:hint="default"/>
                <w:sz w:val="21"/>
                <w:szCs w:val="21"/>
              </w:rPr>
              <w:t>（注</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曲靖中典联网络科技有限公司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曲靖卓联企业管理合伙企业（有限合伙）</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宋体" w:hAnsi="宋体" w:cs="宋体" w:eastAsia="宋体" w:hint="default"/>
                <w:sz w:val="21"/>
                <w:szCs w:val="21"/>
              </w:rPr>
              <w:t>（注</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普洱中典联网络科技有限公司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普洱卓联企业管理合伙企业（有限合伙）</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宋体" w:hAnsi="宋体" w:cs="宋体" w:eastAsia="宋体" w:hint="default"/>
                <w:sz w:val="21"/>
                <w:szCs w:val="21"/>
              </w:rPr>
              <w:t>（注</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楚雄彝州云数据科技有限公司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楚雄市卓联企业管理合伙企业（有限合伙）</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0%</w:t>
            </w:r>
            <w:r>
              <w:rPr>
                <w:rFonts w:ascii="宋体" w:hAnsi="宋体" w:cs="宋体" w:eastAsia="宋体" w:hint="default"/>
                <w:sz w:val="21"/>
                <w:szCs w:val="21"/>
              </w:rPr>
              <w:t>（注</w:t>
            </w:r>
            <w:r>
              <w:rPr>
                <w:rFonts w:ascii="宋体" w:hAnsi="宋体" w:cs="宋体" w:eastAsia="宋体" w:hint="default"/>
                <w:spacing w:val="-45"/>
                <w:sz w:val="21"/>
                <w:szCs w:val="21"/>
              </w:rPr>
              <w:t> </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湖南恒联通达信息科技有限公司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15%</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湖北楚兴联怡网络技术有限公司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恒联通达信息科技河北有限公司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四川恒联通达信息科技有限公司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湖南时空大数据管理有限公司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新疆云尚智慧科技有限公司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中电兴发智享科技（成都）有限公司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四川中电兴发云尚科技有限公司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中电兴发工程管理（北京）有限公司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湖南易晟通信网络技术有限公司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芜湖中电兴发科技有限公司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398"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开封云聚锦尚数据管理有限公司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赫章县融源信息技术有限公司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4"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湖南中电兴发科技有限公司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25%</w:t>
            </w:r>
          </w:p>
        </w:tc>
      </w:tr>
      <w:tr>
        <w:trPr>
          <w:trHeight w:val="403" w:hRule="exact"/>
        </w:trPr>
        <w:tc>
          <w:tcPr>
            <w:tcW w:w="5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陕西中电兴发智享科技有限公司</w:t>
            </w:r>
          </w:p>
        </w:tc>
        <w:tc>
          <w:tcPr>
            <w:tcW w:w="4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002"/>
        <w:jc w:val="left"/>
        <w:rPr>
          <w:b w:val="0"/>
          <w:bCs w:val="0"/>
        </w:rPr>
      </w:pPr>
      <w:bookmarkStart w:name="2、税收优惠" w:id="238"/>
      <w:bookmarkEnd w:id="23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31"/>
          <w:szCs w:val="31"/>
        </w:rPr>
      </w:pPr>
    </w:p>
    <w:p>
      <w:pPr>
        <w:pStyle w:val="BodyText"/>
        <w:spacing w:line="350" w:lineRule="auto" w:before="0"/>
        <w:ind w:right="1007" w:firstLine="360"/>
        <w:jc w:val="left"/>
      </w:pPr>
      <w:r>
        <w:rPr/>
        <w:t>注</w:t>
      </w:r>
      <w:r>
        <w:rPr>
          <w:rFonts w:ascii="宋体" w:hAnsi="宋体" w:cs="宋体" w:eastAsia="宋体" w:hint="default"/>
        </w:rPr>
        <w:t>1</w:t>
      </w:r>
      <w:r>
        <w:rPr/>
        <w:t>、</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20</w:t>
      </w:r>
      <w:r>
        <w:rPr/>
        <w:t>日，安徽中电兴发与鑫龙科技股份有限公司、安徽鑫龙低压电器有限公司、安徽森</w:t>
      </w:r>
      <w:r>
        <w:rPr>
          <w:w w:val="100"/>
        </w:rPr>
        <w:t> </w:t>
      </w:r>
      <w:r>
        <w:rPr>
          <w:spacing w:val="-4"/>
        </w:rPr>
        <w:t>源电器有限公司、安徽佑赛科技股份有限公司取得安徽省科学技术厅、安徽省财政厅、安徽省国家税务局、</w:t>
      </w:r>
      <w:r>
        <w:rPr>
          <w:spacing w:val="-43"/>
        </w:rPr>
        <w:t> </w:t>
      </w:r>
      <w:r>
        <w:rPr>
          <w:spacing w:val="-43"/>
        </w:rPr>
      </w:r>
      <w:r>
        <w:rPr>
          <w:spacing w:val="-3"/>
          <w:w w:val="100"/>
        </w:rPr>
        <w:t>安徽省地方税务局联合颁发的《高新技术企业证书》（证书编号分别为</w:t>
      </w:r>
      <w:r>
        <w:rPr>
          <w:rFonts w:ascii="宋体" w:hAnsi="宋体" w:cs="宋体" w:eastAsia="宋体" w:hint="default"/>
          <w:spacing w:val="-3"/>
          <w:w w:val="100"/>
        </w:rPr>
        <w:t>GR201734000818</w:t>
      </w:r>
      <w:r>
        <w:rPr>
          <w:spacing w:val="-3"/>
          <w:w w:val="100"/>
        </w:rPr>
        <w:t>、</w:t>
      </w:r>
      <w:r>
        <w:rPr>
          <w:rFonts w:ascii="宋体" w:hAnsi="宋体" w:cs="宋体" w:eastAsia="宋体" w:hint="default"/>
          <w:spacing w:val="-3"/>
          <w:w w:val="100"/>
        </w:rPr>
        <w:t>GR201734000227</w:t>
      </w:r>
      <w:r>
        <w:rPr>
          <w:spacing w:val="-3"/>
          <w:w w:val="100"/>
        </w:rPr>
        <w:t>、</w:t>
      </w:r>
      <w:r>
        <w:rPr>
          <w:w w:val="100"/>
        </w:rPr>
        <w:t> </w:t>
      </w:r>
      <w:r>
        <w:rPr>
          <w:rFonts w:ascii="宋体" w:hAnsi="宋体" w:cs="宋体" w:eastAsia="宋体" w:hint="default"/>
          <w:spacing w:val="-2"/>
          <w:w w:val="100"/>
        </w:rPr>
        <w:t>GR201734000447</w:t>
      </w:r>
      <w:r>
        <w:rPr>
          <w:spacing w:val="-2"/>
          <w:w w:val="100"/>
        </w:rPr>
        <w:t>、</w:t>
      </w:r>
      <w:r>
        <w:rPr>
          <w:rFonts w:ascii="宋体" w:hAnsi="宋体" w:cs="宋体" w:eastAsia="宋体" w:hint="default"/>
          <w:spacing w:val="-2"/>
          <w:w w:val="100"/>
        </w:rPr>
        <w:t>GR201734000281</w:t>
      </w:r>
      <w:r>
        <w:rPr>
          <w:spacing w:val="-2"/>
          <w:w w:val="100"/>
        </w:rPr>
        <w:t>），有效期三年。根据有关规定，安徽中电兴发与鑫龙科技股份有限公</w:t>
      </w:r>
      <w:r>
        <w:rPr>
          <w:spacing w:val="-67"/>
          <w:w w:val="100"/>
        </w:rPr>
        <w:t> </w:t>
      </w:r>
      <w:r>
        <w:rPr>
          <w:spacing w:val="-67"/>
          <w:w w:val="100"/>
        </w:rPr>
      </w:r>
      <w:r>
        <w:rPr/>
        <w:t>司、安徽鑫龙低压电器有限公司、安徽森源电器有限公司、安徽佑赛科技股份有限公司</w:t>
      </w:r>
      <w:r>
        <w:rPr>
          <w:rFonts w:ascii="宋体" w:hAnsi="宋体" w:cs="宋体" w:eastAsia="宋体" w:hint="default"/>
        </w:rPr>
        <w:t>2019</w:t>
      </w:r>
      <w:r>
        <w:rPr/>
        <w:t>年度享受国家</w:t>
      </w:r>
      <w:r>
        <w:rPr>
          <w:w w:val="100"/>
        </w:rPr>
        <w:t> </w:t>
      </w:r>
      <w:r>
        <w:rPr/>
        <w:t>关于高新技术企业的相关优惠政策，按</w:t>
      </w:r>
      <w:r>
        <w:rPr>
          <w:rFonts w:ascii="宋体" w:hAnsi="宋体" w:cs="宋体" w:eastAsia="宋体" w:hint="default"/>
        </w:rPr>
        <w:t>15%</w:t>
      </w:r>
      <w:r>
        <w:rPr/>
        <w:t>的税率计缴企业所得税</w:t>
      </w:r>
      <w:r>
        <w:rPr>
          <w:color w:val="0000FF"/>
        </w:rPr>
        <w:t>。</w:t>
      </w:r>
      <w:r>
        <w:rPr/>
      </w:r>
    </w:p>
    <w:p>
      <w:pPr>
        <w:pStyle w:val="BodyText"/>
        <w:spacing w:line="240" w:lineRule="auto" w:before="27"/>
        <w:ind w:left="473" w:right="1002"/>
        <w:jc w:val="left"/>
      </w:pPr>
      <w:r>
        <w:rPr>
          <w:rFonts w:ascii="宋体" w:hAnsi="宋体" w:cs="宋体" w:eastAsia="宋体" w:hint="default"/>
          <w:spacing w:val="-5"/>
        </w:rPr>
        <w:t>2017</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7</w:t>
      </w:r>
      <w:r>
        <w:rPr>
          <w:spacing w:val="-5"/>
        </w:rPr>
        <w:t>日，安徽鑫龙自动化有限公司取得安徽省科学技术厅、安徽省财政厅、安徽省国家税务局、</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350" w:lineRule="auto"/>
        <w:ind w:right="1002"/>
        <w:jc w:val="left"/>
      </w:pPr>
      <w:r>
        <w:rPr>
          <w:spacing w:val="-6"/>
          <w:w w:val="100"/>
        </w:rPr>
        <w:t>安徽省地方税务局联合颁发的《高新技术企业证书》（证书编号分别为</w:t>
      </w:r>
      <w:r>
        <w:rPr>
          <w:rFonts w:ascii="宋体" w:hAnsi="宋体" w:cs="宋体" w:eastAsia="宋体" w:hint="default"/>
          <w:spacing w:val="-6"/>
          <w:w w:val="100"/>
        </w:rPr>
        <w:t>GR201734001706</w:t>
      </w:r>
      <w:r>
        <w:rPr>
          <w:spacing w:val="-6"/>
          <w:w w:val="100"/>
        </w:rPr>
        <w:t>），有效期三年。根</w:t>
      </w:r>
      <w:r>
        <w:rPr>
          <w:spacing w:val="-73"/>
          <w:w w:val="100"/>
        </w:rPr>
        <w:t> </w:t>
      </w:r>
      <w:r>
        <w:rPr>
          <w:spacing w:val="-73"/>
          <w:w w:val="100"/>
        </w:rPr>
      </w:r>
      <w:r>
        <w:rPr/>
        <w:t>据有关规定，安徽鑫龙自动化有限公司</w:t>
      </w:r>
      <w:r>
        <w:rPr>
          <w:rFonts w:ascii="宋体" w:hAnsi="宋体" w:cs="宋体" w:eastAsia="宋体" w:hint="default"/>
        </w:rPr>
        <w:t>2019</w:t>
      </w:r>
      <w:r>
        <w:rPr/>
        <w:t>年度享受国家关于高新技术企业的相关优惠政策，按</w:t>
      </w:r>
      <w:r>
        <w:rPr>
          <w:rFonts w:ascii="宋体" w:hAnsi="宋体" w:cs="宋体" w:eastAsia="宋体" w:hint="default"/>
        </w:rPr>
        <w:t>15%</w:t>
      </w:r>
      <w:r>
        <w:rPr/>
        <w:t>的税</w:t>
      </w:r>
      <w:r>
        <w:rPr>
          <w:spacing w:val="-103"/>
        </w:rPr>
        <w:t> </w:t>
      </w:r>
      <w:r>
        <w:rPr/>
        <w:t>率计缴企业所得税。</w:t>
      </w:r>
    </w:p>
    <w:p>
      <w:pPr>
        <w:pStyle w:val="BodyText"/>
        <w:spacing w:line="348" w:lineRule="auto" w:before="27"/>
        <w:ind w:right="1002" w:firstLine="360"/>
        <w:jc w:val="left"/>
      </w:pPr>
      <w:r>
        <w:rPr>
          <w:rFonts w:ascii="宋体" w:hAnsi="宋体" w:cs="宋体" w:eastAsia="宋体" w:hint="default"/>
          <w:spacing w:val="-3"/>
        </w:rPr>
        <w:t>2017</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17</w:t>
      </w:r>
      <w:r>
        <w:rPr>
          <w:spacing w:val="-3"/>
        </w:rPr>
        <w:t>日，苏州开关二厂有限公司取得江苏省科学技术厅、江苏省财政厅、江苏省国家税务局、</w:t>
      </w:r>
      <w:r>
        <w:rPr>
          <w:w w:val="100"/>
        </w:rPr>
        <w:t> </w:t>
      </w:r>
      <w:r>
        <w:rPr>
          <w:spacing w:val="-6"/>
          <w:w w:val="100"/>
        </w:rPr>
        <w:t>江苏省地方税务局联合颁发的《高新技术企业证书》（证书编号为</w:t>
      </w:r>
      <w:r>
        <w:rPr>
          <w:rFonts w:ascii="宋体" w:hAnsi="宋体" w:cs="宋体" w:eastAsia="宋体" w:hint="default"/>
          <w:spacing w:val="-6"/>
          <w:w w:val="100"/>
        </w:rPr>
        <w:t>GR201732000377</w:t>
      </w:r>
      <w:r>
        <w:rPr>
          <w:spacing w:val="-6"/>
          <w:w w:val="100"/>
        </w:rPr>
        <w:t>），有效期三年。根据有</w:t>
      </w:r>
      <w:r>
        <w:rPr>
          <w:spacing w:val="-72"/>
          <w:w w:val="100"/>
        </w:rPr>
        <w:t> </w:t>
      </w:r>
      <w:r>
        <w:rPr>
          <w:spacing w:val="-72"/>
          <w:w w:val="100"/>
        </w:rPr>
      </w:r>
      <w:r>
        <w:rPr/>
        <w:t>关规定，苏州开关二厂有限公司</w:t>
      </w:r>
      <w:r>
        <w:rPr>
          <w:rFonts w:ascii="宋体" w:hAnsi="宋体" w:cs="宋体" w:eastAsia="宋体" w:hint="default"/>
        </w:rPr>
        <w:t>2019</w:t>
      </w:r>
      <w:r>
        <w:rPr/>
        <w:t>年度按</w:t>
      </w:r>
      <w:r>
        <w:rPr>
          <w:rFonts w:ascii="宋体" w:hAnsi="宋体" w:cs="宋体" w:eastAsia="宋体" w:hint="default"/>
        </w:rPr>
        <w:t>15%</w:t>
      </w:r>
      <w:r>
        <w:rPr/>
        <w:t>的税率计缴企业所得税。根据财政部和国家税务总局《关</w:t>
      </w:r>
      <w:r>
        <w:rPr>
          <w:spacing w:val="-103"/>
        </w:rPr>
        <w:t> </w:t>
      </w:r>
      <w:r>
        <w:rPr>
          <w:spacing w:val="-103"/>
        </w:rPr>
      </w:r>
      <w:r>
        <w:rPr>
          <w:spacing w:val="-6"/>
          <w:w w:val="100"/>
        </w:rPr>
        <w:t>于促进残疾人就业税收优惠政策的通知》（财税</w:t>
      </w:r>
      <w:r>
        <w:rPr>
          <w:rFonts w:ascii="宋体" w:hAnsi="宋体" w:cs="宋体" w:eastAsia="宋体" w:hint="default"/>
          <w:spacing w:val="-6"/>
          <w:w w:val="100"/>
        </w:rPr>
        <w:t>[2007]92</w:t>
      </w:r>
      <w:r>
        <w:rPr>
          <w:spacing w:val="-6"/>
          <w:w w:val="100"/>
        </w:rPr>
        <w:t>号），公司支付给残疾人的实际工资可在企业所得</w:t>
      </w:r>
      <w:r>
        <w:rPr>
          <w:spacing w:val="-85"/>
          <w:w w:val="100"/>
        </w:rPr>
        <w:t> </w:t>
      </w:r>
      <w:r>
        <w:rPr>
          <w:spacing w:val="-85"/>
          <w:w w:val="100"/>
        </w:rPr>
      </w:r>
      <w:r>
        <w:rPr/>
        <w:t>税前据实扣除，并可按支付给残疾人实际工资的</w:t>
      </w:r>
      <w:r>
        <w:rPr>
          <w:rFonts w:ascii="宋体" w:hAnsi="宋体" w:cs="宋体" w:eastAsia="宋体" w:hint="default"/>
        </w:rPr>
        <w:t>100%</w:t>
      </w:r>
      <w:r>
        <w:rPr/>
        <w:t>加计扣除。</w:t>
      </w:r>
    </w:p>
    <w:p>
      <w:pPr>
        <w:pStyle w:val="BodyText"/>
        <w:spacing w:line="348" w:lineRule="auto" w:before="34"/>
        <w:ind w:right="1122" w:firstLine="360"/>
        <w:jc w:val="both"/>
      </w:pP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2</w:t>
      </w:r>
      <w:r>
        <w:rPr>
          <w:spacing w:val="-3"/>
        </w:rPr>
        <w:t>日，信诺非凡（北京）科技有限公司取得经北京市科学技术委员会、北京市财政局、北京</w:t>
      </w:r>
      <w:r>
        <w:rPr>
          <w:w w:val="100"/>
        </w:rPr>
        <w:t> </w:t>
      </w:r>
      <w:r>
        <w:rPr>
          <w:spacing w:val="-6"/>
          <w:w w:val="100"/>
        </w:rPr>
        <w:t>市国家税务局、北京市地方税务局联合颁发的《高新技术企业证书》（证书编号为</w:t>
      </w:r>
      <w:r>
        <w:rPr>
          <w:rFonts w:ascii="宋体" w:hAnsi="宋体" w:cs="宋体" w:eastAsia="宋体" w:hint="default"/>
          <w:spacing w:val="-6"/>
          <w:w w:val="100"/>
        </w:rPr>
        <w:t>GR201911007174</w:t>
      </w:r>
      <w:r>
        <w:rPr>
          <w:spacing w:val="-6"/>
          <w:w w:val="100"/>
        </w:rPr>
        <w:t>），有效</w:t>
      </w:r>
      <w:r>
        <w:rPr>
          <w:spacing w:val="-66"/>
          <w:w w:val="100"/>
        </w:rPr>
        <w:t> </w:t>
      </w:r>
      <w:r>
        <w:rPr>
          <w:spacing w:val="-66"/>
          <w:w w:val="100"/>
        </w:rPr>
      </w:r>
      <w:r>
        <w:rPr/>
        <w:t>期三年。根据有关规定，信诺非凡（北京）科技有限公司</w:t>
      </w:r>
      <w:r>
        <w:rPr>
          <w:rFonts w:ascii="宋体" w:hAnsi="宋体" w:cs="宋体" w:eastAsia="宋体" w:hint="default"/>
        </w:rPr>
        <w:t>2019</w:t>
      </w:r>
      <w:r>
        <w:rPr/>
        <w:t>年度按</w:t>
      </w:r>
      <w:r>
        <w:rPr>
          <w:rFonts w:ascii="宋体" w:hAnsi="宋体" w:cs="宋体" w:eastAsia="宋体" w:hint="default"/>
        </w:rPr>
        <w:t>15%</w:t>
      </w:r>
      <w:r>
        <w:rPr/>
        <w:t>的税率计缴企业所得税。</w:t>
      </w:r>
    </w:p>
    <w:p>
      <w:pPr>
        <w:pStyle w:val="BodyText"/>
        <w:spacing w:line="348" w:lineRule="auto" w:before="34"/>
        <w:ind w:right="1002" w:firstLine="360"/>
        <w:jc w:val="left"/>
      </w:pPr>
      <w:r>
        <w:rPr>
          <w:rFonts w:ascii="宋体" w:hAnsi="宋体" w:cs="宋体" w:eastAsia="宋体" w:hint="default"/>
          <w:spacing w:val="-3"/>
        </w:rPr>
        <w:t>2017</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4</w:t>
      </w:r>
      <w:r>
        <w:rPr>
          <w:spacing w:val="-3"/>
        </w:rPr>
        <w:t>日，天津市泰达工程设计有限公司取得天津市科学技术委员会、天津市财政局、天津市国</w:t>
      </w:r>
      <w:r>
        <w:rPr>
          <w:w w:val="100"/>
        </w:rPr>
        <w:t> </w:t>
      </w:r>
      <w:r>
        <w:rPr>
          <w:spacing w:val="-8"/>
          <w:w w:val="100"/>
        </w:rPr>
        <w:t>家税务局、天津地方税务局联合颁发的《高新技术企业证书》（证书编号为</w:t>
      </w:r>
      <w:r>
        <w:rPr>
          <w:rFonts w:ascii="宋体" w:hAnsi="宋体" w:cs="宋体" w:eastAsia="宋体" w:hint="default"/>
          <w:spacing w:val="-8"/>
          <w:w w:val="100"/>
        </w:rPr>
        <w:t>GR201712000947</w:t>
      </w:r>
      <w:r>
        <w:rPr>
          <w:spacing w:val="-8"/>
          <w:w w:val="100"/>
        </w:rPr>
        <w:t>），有效期三年。</w:t>
      </w:r>
      <w:r>
        <w:rPr>
          <w:spacing w:val="-57"/>
          <w:w w:val="100"/>
        </w:rPr>
        <w:t> </w:t>
      </w:r>
      <w:r>
        <w:rPr>
          <w:spacing w:val="-57"/>
          <w:w w:val="100"/>
        </w:rPr>
      </w:r>
      <w:r>
        <w:rPr/>
        <w:t>根据有关规定，天津市泰达工程设计有限公司</w:t>
      </w:r>
      <w:r>
        <w:rPr>
          <w:rFonts w:ascii="宋体" w:hAnsi="宋体" w:cs="宋体" w:eastAsia="宋体" w:hint="default"/>
        </w:rPr>
        <w:t>2019</w:t>
      </w:r>
      <w:r>
        <w:rPr/>
        <w:t>年度按</w:t>
      </w:r>
      <w:r>
        <w:rPr>
          <w:rFonts w:ascii="宋体" w:hAnsi="宋体" w:cs="宋体" w:eastAsia="宋体" w:hint="default"/>
        </w:rPr>
        <w:t>15%</w:t>
      </w:r>
      <w:r>
        <w:rPr/>
        <w:t>的税率计缴企业所得税。</w:t>
      </w:r>
    </w:p>
    <w:p>
      <w:pPr>
        <w:pStyle w:val="BodyText"/>
        <w:spacing w:line="350" w:lineRule="auto" w:before="34"/>
        <w:ind w:right="1002" w:firstLine="360"/>
        <w:jc w:val="left"/>
      </w:pP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20</w:t>
      </w:r>
      <w:r>
        <w:rPr>
          <w:spacing w:val="-3"/>
        </w:rPr>
        <w:t>日，湖南恒联通达信息科技有限公司取得湖南省科学技术厅、湖南省财政厅、湖南省国家</w:t>
      </w:r>
      <w:r>
        <w:rPr>
          <w:w w:val="100"/>
        </w:rPr>
        <w:t> </w:t>
      </w:r>
      <w:r>
        <w:rPr>
          <w:spacing w:val="-6"/>
          <w:w w:val="100"/>
        </w:rPr>
        <w:t>税务总局联合颁发的《高新技术企业证书》（证书编号分别为</w:t>
      </w:r>
      <w:r>
        <w:rPr>
          <w:rFonts w:ascii="宋体" w:hAnsi="宋体" w:cs="宋体" w:eastAsia="宋体" w:hint="default"/>
          <w:spacing w:val="-6"/>
          <w:w w:val="100"/>
        </w:rPr>
        <w:t>GR201943001032</w:t>
      </w:r>
      <w:r>
        <w:rPr>
          <w:spacing w:val="-6"/>
          <w:w w:val="100"/>
        </w:rPr>
        <w:t>），有效期三年。根据有关规</w:t>
      </w:r>
      <w:r>
        <w:rPr>
          <w:spacing w:val="-72"/>
          <w:w w:val="100"/>
        </w:rPr>
        <w:t> </w:t>
      </w:r>
      <w:r>
        <w:rPr>
          <w:spacing w:val="-72"/>
          <w:w w:val="100"/>
        </w:rPr>
      </w:r>
      <w:r>
        <w:rPr/>
        <w:t>定，湖南省恒联通达信息科技有限公司</w:t>
      </w:r>
      <w:r>
        <w:rPr>
          <w:rFonts w:ascii="宋体" w:hAnsi="宋体" w:cs="宋体" w:eastAsia="宋体" w:hint="default"/>
        </w:rPr>
        <w:t>2019</w:t>
      </w:r>
      <w:r>
        <w:rPr/>
        <w:t>年度享受国家关于高新技术企业的相关优惠政策，按</w:t>
      </w:r>
      <w:r>
        <w:rPr>
          <w:rFonts w:ascii="宋体" w:hAnsi="宋体" w:cs="宋体" w:eastAsia="宋体" w:hint="default"/>
        </w:rPr>
        <w:t>15%</w:t>
      </w:r>
      <w:r>
        <w:rPr/>
        <w:t>的税</w:t>
      </w:r>
      <w:r>
        <w:rPr>
          <w:spacing w:val="-103"/>
        </w:rPr>
        <w:t> </w:t>
      </w:r>
      <w:r>
        <w:rPr/>
        <w:t>率计缴企业所得税。</w:t>
      </w:r>
    </w:p>
    <w:p>
      <w:pPr>
        <w:pStyle w:val="BodyText"/>
        <w:spacing w:line="348" w:lineRule="auto" w:before="27"/>
        <w:ind w:right="1002" w:firstLine="360"/>
        <w:jc w:val="left"/>
      </w:pPr>
      <w:r>
        <w:rPr>
          <w:spacing w:val="-3"/>
        </w:rPr>
        <w:t>注</w:t>
      </w:r>
      <w:r>
        <w:rPr>
          <w:rFonts w:ascii="宋体" w:hAnsi="宋体" w:cs="宋体" w:eastAsia="宋体" w:hint="default"/>
          <w:spacing w:val="-3"/>
        </w:rPr>
        <w:t>2</w:t>
      </w:r>
      <w:r>
        <w:rPr>
          <w:spacing w:val="-3"/>
        </w:rPr>
        <w:t>、经税务机关批准，安徽中电兴发与鑫龙科技股份有限公司营销中心由安徽中电兴发与鑫龙科技股</w:t>
      </w:r>
      <w:r>
        <w:rPr>
          <w:w w:val="100"/>
        </w:rPr>
        <w:t> </w:t>
      </w:r>
      <w:r>
        <w:rPr/>
        <w:t>份有限公司本部汇总向其所在地主管税务机关申报纳税。</w:t>
      </w:r>
    </w:p>
    <w:p>
      <w:pPr>
        <w:pStyle w:val="BodyText"/>
        <w:spacing w:line="348" w:lineRule="auto" w:before="34"/>
        <w:ind w:right="1002" w:firstLine="360"/>
        <w:jc w:val="left"/>
      </w:pPr>
      <w:r>
        <w:rPr>
          <w:spacing w:val="-3"/>
        </w:rPr>
        <w:t>注</w:t>
      </w:r>
      <w:r>
        <w:rPr>
          <w:rFonts w:ascii="宋体" w:hAnsi="宋体" w:cs="宋体" w:eastAsia="宋体" w:hint="default"/>
          <w:spacing w:val="-3"/>
        </w:rPr>
        <w:t>3</w:t>
      </w:r>
      <w:r>
        <w:rPr>
          <w:spacing w:val="-3"/>
        </w:rPr>
        <w:t>、根据《中华人民共和国个人所得税法》关于个人独资企业和合伙企业投资者征收个人所得税的规</w:t>
      </w:r>
      <w:r>
        <w:rPr>
          <w:w w:val="100"/>
        </w:rPr>
        <w:t> </w:t>
      </w:r>
      <w:r>
        <w:rPr/>
        <w:t>定：个人独资企业和合伙企业按照个人所得税法的规定，计算征收个人所得税</w:t>
      </w:r>
      <w:r>
        <w:rPr>
          <w:color w:val="0000FF"/>
        </w:rPr>
        <w:t>。</w:t>
      </w:r>
      <w:r>
        <w:rPr/>
      </w:r>
    </w:p>
    <w:p>
      <w:pPr>
        <w:pStyle w:val="BodyText"/>
        <w:spacing w:line="350" w:lineRule="auto" w:before="29"/>
        <w:ind w:right="1002" w:firstLine="360"/>
        <w:jc w:val="left"/>
      </w:pPr>
      <w:r>
        <w:rPr>
          <w:spacing w:val="-3"/>
        </w:rPr>
        <w:t>注</w:t>
      </w:r>
      <w:r>
        <w:rPr>
          <w:rFonts w:ascii="宋体" w:hAnsi="宋体" w:cs="宋体" w:eastAsia="宋体" w:hint="default"/>
          <w:spacing w:val="-3"/>
        </w:rPr>
        <w:t>4</w:t>
      </w:r>
      <w:r>
        <w:rPr>
          <w:spacing w:val="-3"/>
        </w:rPr>
        <w:t>、伊宁县智慧城市科技有限公司根据国家税务总局关于执行《西部地区鼓励产业目录》有关企业所</w:t>
      </w:r>
      <w:r>
        <w:rPr>
          <w:w w:val="100"/>
        </w:rPr>
        <w:t> </w:t>
      </w:r>
      <w:r>
        <w:rPr>
          <w:spacing w:val="-2"/>
        </w:rPr>
        <w:t>得税问题的公告（国家税务总局公告</w:t>
      </w:r>
      <w:r>
        <w:rPr>
          <w:rFonts w:ascii="宋体" w:hAnsi="宋体" w:cs="宋体" w:eastAsia="宋体" w:hint="default"/>
          <w:spacing w:val="-2"/>
        </w:rPr>
        <w:t>2015</w:t>
      </w:r>
      <w:r>
        <w:rPr>
          <w:spacing w:val="-2"/>
        </w:rPr>
        <w:t>年第</w:t>
      </w:r>
      <w:r>
        <w:rPr>
          <w:rFonts w:ascii="宋体" w:hAnsi="宋体" w:cs="宋体" w:eastAsia="宋体" w:hint="default"/>
          <w:spacing w:val="-2"/>
        </w:rPr>
        <w:t>14</w:t>
      </w:r>
      <w:r>
        <w:rPr>
          <w:spacing w:val="-2"/>
        </w:rPr>
        <w:t>号）为深入实施西部大开发战略，促进西部地区产业结构</w:t>
      </w:r>
      <w:r>
        <w:rPr>
          <w:spacing w:val="-26"/>
        </w:rPr>
        <w:t> </w:t>
      </w:r>
      <w:r>
        <w:rPr>
          <w:spacing w:val="-26"/>
        </w:rPr>
      </w:r>
      <w:r>
        <w:rPr>
          <w:spacing w:val="-4"/>
          <w:w w:val="100"/>
        </w:rPr>
        <w:t>调整和特色优势产业发展，经国务院批准，发展改革委发布了《西部地区鼓励类产业目录》（中华人民共</w:t>
      </w:r>
      <w:r>
        <w:rPr>
          <w:spacing w:val="-83"/>
          <w:w w:val="100"/>
        </w:rPr>
        <w:t> </w:t>
      </w:r>
      <w:r>
        <w:rPr>
          <w:spacing w:val="-83"/>
          <w:w w:val="100"/>
        </w:rPr>
      </w:r>
      <w:r>
        <w:rPr>
          <w:spacing w:val="-4"/>
          <w:w w:val="100"/>
        </w:rPr>
        <w:t>和国国家发展和改革委员会令第</w:t>
      </w:r>
      <w:r>
        <w:rPr>
          <w:rFonts w:ascii="宋体" w:hAnsi="宋体" w:cs="宋体" w:eastAsia="宋体" w:hint="default"/>
          <w:spacing w:val="-4"/>
          <w:w w:val="100"/>
        </w:rPr>
        <w:t>15</w:t>
      </w:r>
      <w:r>
        <w:rPr>
          <w:spacing w:val="-4"/>
          <w:w w:val="100"/>
        </w:rPr>
        <w:t>号），对设在西部地区以《西部地区鼓励类产业目录》中新增鼓励类产</w:t>
      </w:r>
      <w:r>
        <w:rPr>
          <w:spacing w:val="-78"/>
          <w:w w:val="100"/>
        </w:rPr>
        <w:t> </w:t>
      </w:r>
      <w:r>
        <w:rPr>
          <w:spacing w:val="-78"/>
          <w:w w:val="100"/>
        </w:rPr>
      </w:r>
      <w:r>
        <w:rPr>
          <w:spacing w:val="-2"/>
        </w:rPr>
        <w:t>业项目为主营业务，且其当年度主营业务收入占企业收入总额</w:t>
      </w:r>
      <w:r>
        <w:rPr>
          <w:rFonts w:ascii="宋体" w:hAnsi="宋体" w:cs="宋体" w:eastAsia="宋体" w:hint="default"/>
          <w:spacing w:val="-2"/>
        </w:rPr>
        <w:t>70%</w:t>
      </w:r>
      <w:r>
        <w:rPr>
          <w:spacing w:val="-2"/>
        </w:rPr>
        <w:t>以上的企业，可减按</w:t>
      </w:r>
      <w:r>
        <w:rPr>
          <w:rFonts w:ascii="宋体" w:hAnsi="宋体" w:cs="宋体" w:eastAsia="宋体" w:hint="default"/>
          <w:spacing w:val="-2"/>
        </w:rPr>
        <w:t>15%</w:t>
      </w:r>
      <w:r>
        <w:rPr>
          <w:spacing w:val="-2"/>
        </w:rPr>
        <w:t>税率缴纳企业所</w:t>
      </w:r>
      <w:r>
        <w:rPr>
          <w:spacing w:val="-25"/>
        </w:rPr>
        <w:t> </w:t>
      </w:r>
      <w:r>
        <w:rPr>
          <w:spacing w:val="-25"/>
        </w:rPr>
      </w:r>
      <w:r>
        <w:rPr/>
        <w:t>得税。</w:t>
      </w:r>
    </w:p>
    <w:p>
      <w:pPr>
        <w:pStyle w:val="BodyText"/>
        <w:spacing w:line="333" w:lineRule="auto" w:before="65"/>
        <w:ind w:right="1195"/>
        <w:jc w:val="left"/>
      </w:pPr>
      <w:r>
        <w:rPr/>
        <w:t>公司需遵守《深圳证券交易所行业信息披露指引第</w:t>
      </w:r>
      <w:r>
        <w:rPr>
          <w:spacing w:val="-48"/>
        </w:rPr>
        <w:t> </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
        </w:rPr>
        <w:t> </w:t>
      </w:r>
      <w:r>
        <w:rPr/>
        <w:t>号——上市公司从事软件与信息技术服务业务》的</w:t>
      </w:r>
      <w:r>
        <w:rPr>
          <w:w w:val="100"/>
        </w:rPr>
        <w:t> </w:t>
      </w:r>
      <w:r>
        <w:rPr/>
        <w:t>披露要求</w:t>
      </w:r>
    </w:p>
    <w:p>
      <w:pPr>
        <w:spacing w:line="240" w:lineRule="auto" w:before="4"/>
        <w:rPr>
          <w:rFonts w:ascii="宋体" w:hAnsi="宋体" w:cs="宋体" w:eastAsia="宋体" w:hint="default"/>
          <w:sz w:val="26"/>
          <w:szCs w:val="26"/>
        </w:rPr>
      </w:pPr>
    </w:p>
    <w:p>
      <w:pPr>
        <w:pStyle w:val="Heading5"/>
        <w:spacing w:line="240" w:lineRule="auto"/>
        <w:ind w:right="1002"/>
        <w:jc w:val="left"/>
        <w:rPr>
          <w:b w:val="0"/>
          <w:bCs w:val="0"/>
        </w:rPr>
      </w:pPr>
      <w:bookmarkStart w:name="3、其他" w:id="239"/>
      <w:bookmarkEnd w:id="239"/>
      <w:r>
        <w:rPr>
          <w:b w:val="0"/>
          <w:bCs w:val="0"/>
        </w:rPr>
      </w: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31"/>
          <w:szCs w:val="31"/>
        </w:rPr>
      </w:pPr>
    </w:p>
    <w:p>
      <w:pPr>
        <w:pStyle w:val="BodyText"/>
        <w:spacing w:line="348" w:lineRule="auto" w:before="0"/>
        <w:ind w:right="1002" w:firstLine="364"/>
        <w:jc w:val="left"/>
      </w:pPr>
      <w:r>
        <w:rPr>
          <w:spacing w:val="-4"/>
          <w:w w:val="100"/>
        </w:rPr>
        <w:t>根据财政部、税务总局、海关总署《关于深化增值税改革有关政策的公告》（财政部、税务总局、海</w:t>
      </w:r>
      <w:r>
        <w:rPr>
          <w:w w:val="100"/>
        </w:rPr>
        <w:t> </w:t>
      </w:r>
      <w:r>
        <w:rPr>
          <w:spacing w:val="-3"/>
        </w:rPr>
        <w:t>关总署公告</w:t>
      </w:r>
      <w:r>
        <w:rPr>
          <w:rFonts w:ascii="宋体" w:hAnsi="宋体" w:cs="宋体" w:eastAsia="宋体" w:hint="default"/>
          <w:spacing w:val="-3"/>
        </w:rPr>
        <w:t>2019</w:t>
      </w:r>
      <w:r>
        <w:rPr>
          <w:spacing w:val="-3"/>
        </w:rPr>
        <w:t>年第</w:t>
      </w:r>
      <w:r>
        <w:rPr>
          <w:rFonts w:ascii="宋体" w:hAnsi="宋体" w:cs="宋体" w:eastAsia="宋体" w:hint="default"/>
          <w:spacing w:val="-3"/>
        </w:rPr>
        <w:t>39</w:t>
      </w:r>
      <w:r>
        <w:rPr>
          <w:spacing w:val="-3"/>
        </w:rPr>
        <w:t>号）的规定，本公司自</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1</w:t>
      </w:r>
      <w:r>
        <w:rPr>
          <w:spacing w:val="-3"/>
        </w:rPr>
        <w:t>日起发生增值税应税销售行为或者进口货物，原</w:t>
      </w:r>
    </w:p>
    <w:p>
      <w:pPr>
        <w:spacing w:after="0" w:line="348"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spacing w:line="504" w:lineRule="auto" w:before="36"/>
        <w:ind w:left="113" w:right="5730" w:firstLine="0"/>
        <w:jc w:val="left"/>
        <w:rPr>
          <w:rFonts w:ascii="宋体" w:hAnsi="宋体" w:cs="宋体" w:eastAsia="宋体" w:hint="default"/>
          <w:sz w:val="21"/>
          <w:szCs w:val="21"/>
        </w:rPr>
      </w:pPr>
      <w:r>
        <w:rPr>
          <w:rFonts w:ascii="宋体" w:hAnsi="宋体" w:cs="宋体" w:eastAsia="宋体" w:hint="default"/>
          <w:spacing w:val="-1"/>
          <w:sz w:val="21"/>
          <w:szCs w:val="21"/>
        </w:rPr>
        <w:t>适用</w:t>
      </w:r>
      <w:r>
        <w:rPr>
          <w:rFonts w:ascii="宋体" w:hAnsi="宋体" w:cs="宋体" w:eastAsia="宋体" w:hint="default"/>
          <w:spacing w:val="-1"/>
          <w:sz w:val="21"/>
          <w:szCs w:val="21"/>
        </w:rPr>
        <w:t>16%</w:t>
      </w:r>
      <w:r>
        <w:rPr>
          <w:rFonts w:ascii="宋体" w:hAnsi="宋体" w:cs="宋体" w:eastAsia="宋体" w:hint="default"/>
          <w:spacing w:val="-1"/>
          <w:sz w:val="21"/>
          <w:szCs w:val="21"/>
        </w:rPr>
        <w:t>和</w:t>
      </w:r>
      <w:r>
        <w:rPr>
          <w:rFonts w:ascii="宋体" w:hAnsi="宋体" w:cs="宋体" w:eastAsia="宋体" w:hint="default"/>
          <w:spacing w:val="-1"/>
          <w:sz w:val="21"/>
          <w:szCs w:val="21"/>
        </w:rPr>
        <w:t>1</w:t>
      </w:r>
      <w:r>
        <w:rPr>
          <w:rFonts w:ascii="Times New Roman" w:hAnsi="Times New Roman" w:cs="Times New Roman" w:eastAsia="Times New Roman" w:hint="default"/>
          <w:spacing w:val="-1"/>
          <w:sz w:val="21"/>
          <w:szCs w:val="21"/>
        </w:rPr>
        <w:t>0</w:t>
      </w:r>
      <w:r>
        <w:rPr>
          <w:rFonts w:ascii="宋体" w:hAnsi="宋体" w:cs="宋体" w:eastAsia="宋体" w:hint="default"/>
          <w:spacing w:val="-1"/>
          <w:sz w:val="21"/>
          <w:szCs w:val="21"/>
        </w:rPr>
        <w:t>%</w:t>
      </w:r>
      <w:r>
        <w:rPr>
          <w:rFonts w:ascii="宋体" w:hAnsi="宋体" w:cs="宋体" w:eastAsia="宋体" w:hint="default"/>
          <w:spacing w:val="-1"/>
          <w:sz w:val="21"/>
          <w:szCs w:val="21"/>
        </w:rPr>
        <w:t>税率的，税率分别调整为</w:t>
      </w:r>
      <w:r>
        <w:rPr>
          <w:rFonts w:ascii="宋体" w:hAnsi="宋体" w:cs="宋体" w:eastAsia="宋体" w:hint="default"/>
          <w:spacing w:val="-1"/>
          <w:sz w:val="21"/>
          <w:szCs w:val="21"/>
        </w:rPr>
        <w:t>13%</w:t>
      </w:r>
      <w:r>
        <w:rPr>
          <w:rFonts w:ascii="宋体" w:hAnsi="宋体" w:cs="宋体" w:eastAsia="宋体" w:hint="default"/>
          <w:spacing w:val="-1"/>
          <w:sz w:val="21"/>
          <w:szCs w:val="21"/>
        </w:rPr>
        <w:t>、</w:t>
      </w:r>
      <w:r>
        <w:rPr>
          <w:rFonts w:ascii="宋体" w:hAnsi="宋体" w:cs="宋体" w:eastAsia="宋体" w:hint="default"/>
          <w:spacing w:val="-1"/>
          <w:sz w:val="21"/>
          <w:szCs w:val="21"/>
        </w:rPr>
        <w:t>9%</w:t>
      </w:r>
      <w:r>
        <w:rPr>
          <w:rFonts w:ascii="宋体" w:hAnsi="宋体" w:cs="宋体" w:eastAsia="宋体" w:hint="default"/>
          <w:spacing w:val="-1"/>
          <w:sz w:val="21"/>
          <w:szCs w:val="21"/>
        </w:rPr>
        <w:t>。</w:t>
      </w:r>
      <w:r>
        <w:rPr>
          <w:rFonts w:ascii="宋体" w:hAnsi="宋体" w:cs="宋体" w:eastAsia="宋体" w:hint="default"/>
          <w:spacing w:val="-77"/>
          <w:sz w:val="21"/>
          <w:szCs w:val="21"/>
        </w:rPr>
        <w:t> </w:t>
      </w:r>
      <w:bookmarkStart w:name="七、合并财务报表项目注释" w:id="240"/>
      <w:bookmarkEnd w:id="240"/>
      <w:r>
        <w:rPr>
          <w:rFonts w:ascii="宋体" w:hAnsi="宋体" w:cs="宋体" w:eastAsia="宋体" w:hint="default"/>
          <w:spacing w:val="-77"/>
          <w:sz w:val="21"/>
          <w:szCs w:val="21"/>
        </w:rPr>
      </w:r>
      <w:r>
        <w:rPr>
          <w:rFonts w:ascii="宋体" w:hAnsi="宋体" w:cs="宋体" w:eastAsia="宋体" w:hint="default"/>
          <w:b/>
          <w:bCs/>
          <w:sz w:val="21"/>
          <w:szCs w:val="21"/>
        </w:rPr>
        <w:t>七、合并财务报表项目注释</w:t>
      </w:r>
      <w:r>
        <w:rPr>
          <w:rFonts w:ascii="宋体" w:hAnsi="宋体" w:cs="宋体" w:eastAsia="宋体" w:hint="default"/>
          <w:sz w:val="21"/>
          <w:szCs w:val="21"/>
        </w:rPr>
      </w:r>
    </w:p>
    <w:p>
      <w:pPr>
        <w:pStyle w:val="Heading5"/>
        <w:spacing w:line="240" w:lineRule="auto" w:before="109"/>
        <w:ind w:right="1002"/>
        <w:jc w:val="left"/>
        <w:rPr>
          <w:b w:val="0"/>
          <w:bCs w:val="0"/>
        </w:rPr>
      </w:pPr>
      <w:bookmarkStart w:name="1、货币资金" w:id="241"/>
      <w:bookmarkEnd w:id="24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318,620.11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sz w:val="21"/>
              </w:rPr>
              <w:t>192,781.56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681,172,948.88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756,568,539.94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52,659,627.23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29,475,035.35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734,151,196.22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786,236,356.85</w:t>
            </w:r>
          </w:p>
        </w:tc>
      </w:tr>
    </w:tbl>
    <w:p>
      <w:pPr>
        <w:pStyle w:val="BodyText"/>
        <w:spacing w:line="240" w:lineRule="auto" w:before="29"/>
        <w:ind w:right="1002"/>
        <w:jc w:val="left"/>
      </w:pPr>
      <w:r>
        <w:rPr/>
        <w:t>其他说明</w:t>
      </w:r>
    </w:p>
    <w:p>
      <w:pPr>
        <w:pStyle w:val="BodyText"/>
        <w:spacing w:line="240" w:lineRule="auto" w:before="70"/>
        <w:ind w:left="473" w:right="1002"/>
        <w:jc w:val="left"/>
      </w:pPr>
      <w:r>
        <w:rPr/>
        <w:t>其中受限制的货币资金明细如下：</w:t>
      </w:r>
    </w:p>
    <w:p>
      <w:pPr>
        <w:spacing w:line="240" w:lineRule="auto" w:before="13"/>
        <w:rPr>
          <w:rFonts w:ascii="宋体" w:hAnsi="宋体" w:cs="宋体" w:eastAsia="宋体" w:hint="default"/>
          <w:sz w:val="3"/>
          <w:szCs w:val="3"/>
        </w:rPr>
      </w:pPr>
    </w:p>
    <w:tbl>
      <w:tblPr>
        <w:tblW w:w="0" w:type="auto"/>
        <w:jc w:val="left"/>
        <w:tblInd w:w="521" w:type="dxa"/>
        <w:tblLayout w:type="fixed"/>
        <w:tblCellMar>
          <w:top w:w="0" w:type="dxa"/>
          <w:left w:w="0" w:type="dxa"/>
          <w:bottom w:w="0" w:type="dxa"/>
          <w:right w:w="0" w:type="dxa"/>
        </w:tblCellMar>
        <w:tblLook w:val="01E0"/>
      </w:tblPr>
      <w:tblGrid>
        <w:gridCol w:w="3237"/>
        <w:gridCol w:w="2617"/>
        <w:gridCol w:w="2670"/>
      </w:tblGrid>
      <w:tr>
        <w:trPr>
          <w:trHeight w:val="346" w:hRule="exact"/>
        </w:trPr>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18,850,164.08</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16,151,380.80</w:t>
            </w:r>
          </w:p>
        </w:tc>
      </w:tr>
      <w:tr>
        <w:trPr>
          <w:trHeight w:val="346" w:hRule="exact"/>
        </w:trPr>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保函保证金</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12,797,278.43</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13,311,510.60</w:t>
            </w:r>
          </w:p>
        </w:tc>
      </w:tr>
      <w:tr>
        <w:trPr>
          <w:trHeight w:val="346" w:hRule="exact"/>
        </w:trPr>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5"/>
              <w:jc w:val="right"/>
              <w:rPr>
                <w:rFonts w:ascii="Times New Roman" w:hAnsi="Times New Roman" w:cs="Times New Roman" w:eastAsia="Times New Roman" w:hint="default"/>
                <w:sz w:val="21"/>
                <w:szCs w:val="21"/>
              </w:rPr>
            </w:pPr>
            <w:r>
              <w:rPr>
                <w:rFonts w:ascii="宋体"/>
                <w:sz w:val="21"/>
              </w:rPr>
              <w:t>21</w:t>
            </w:r>
            <w:r>
              <w:rPr>
                <w:rFonts w:ascii="Times New Roman"/>
                <w:sz w:val="21"/>
              </w:rPr>
              <w:t>,000,000.00</w:t>
            </w:r>
          </w:p>
        </w:tc>
        <w:tc>
          <w:tcPr>
            <w:tcW w:w="2670"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法院冻结款项</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213,873,132.60</w:t>
            </w:r>
          </w:p>
        </w:tc>
        <w:tc>
          <w:tcPr>
            <w:tcW w:w="267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12,184.72</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12,143.95</w:t>
            </w:r>
          </w:p>
        </w:tc>
      </w:tr>
      <w:tr>
        <w:trPr>
          <w:trHeight w:val="346" w:hRule="exact"/>
        </w:trPr>
        <w:tc>
          <w:tcPr>
            <w:tcW w:w="3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266,532,759.83</w:t>
            </w:r>
          </w:p>
        </w:tc>
        <w:tc>
          <w:tcPr>
            <w:tcW w:w="26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29,475,035.35</w:t>
            </w:r>
          </w:p>
        </w:tc>
      </w:tr>
    </w:tbl>
    <w:p>
      <w:pPr>
        <w:pStyle w:val="BodyText"/>
        <w:spacing w:line="260" w:lineRule="exact" w:before="0"/>
        <w:ind w:left="478" w:right="1002"/>
        <w:jc w:val="left"/>
      </w:pPr>
      <w:r>
        <w:rPr/>
        <w:t>公司期末定期存款</w:t>
      </w:r>
      <w:r>
        <w:rPr>
          <w:rFonts w:ascii="宋体" w:hAnsi="宋体" w:cs="宋体" w:eastAsia="宋体" w:hint="default"/>
        </w:rPr>
        <w:t>2,100.00</w:t>
      </w:r>
      <w:r>
        <w:rPr/>
        <w:t>万元，为保本保息，储蓄性质的存款。</w:t>
      </w:r>
    </w:p>
    <w:p>
      <w:pPr>
        <w:spacing w:line="240" w:lineRule="auto" w:before="13"/>
        <w:rPr>
          <w:rFonts w:ascii="宋体" w:hAnsi="宋体" w:cs="宋体" w:eastAsia="宋体" w:hint="default"/>
          <w:sz w:val="25"/>
          <w:szCs w:val="25"/>
        </w:rPr>
      </w:pPr>
    </w:p>
    <w:p>
      <w:pPr>
        <w:pStyle w:val="Heading5"/>
        <w:spacing w:line="240" w:lineRule="auto"/>
        <w:ind w:right="1002"/>
        <w:jc w:val="left"/>
        <w:rPr>
          <w:b w:val="0"/>
          <w:bCs w:val="0"/>
        </w:rPr>
      </w:pPr>
      <w:bookmarkStart w:name="2、交易性金融资产" w:id="242"/>
      <w:bookmarkEnd w:id="242"/>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5085"/>
        <w:gridCol w:w="2310"/>
        <w:gridCol w:w="2180"/>
      </w:tblGrid>
      <w:tr>
        <w:trPr>
          <w:trHeight w:val="398" w:hRule="exact"/>
        </w:trPr>
        <w:tc>
          <w:tcPr>
            <w:tcW w:w="5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25"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7"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13" w:hRule="exact"/>
        </w:trPr>
        <w:tc>
          <w:tcPr>
            <w:tcW w:w="5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以公允价值计量且其变动计入当期损益的金融资产</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z w:val="21"/>
              </w:rPr>
              <w:t>805,906.85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394" w:hRule="exact"/>
        </w:trPr>
        <w:tc>
          <w:tcPr>
            <w:tcW w:w="5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left="316"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3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5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805,906.85</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5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23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5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805,906.85</w:t>
            </w:r>
          </w:p>
        </w:tc>
        <w:tc>
          <w:tcPr>
            <w:tcW w:w="21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3、衍生金融资产" w:id="243"/>
      <w:bookmarkEnd w:id="24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240" w:lineRule="auto" w:before="28"/>
        <w:ind w:right="1002"/>
        <w:jc w:val="left"/>
      </w:pPr>
      <w:r>
        <w:rPr/>
        <w:t>其他说明：</w:t>
      </w:r>
    </w:p>
    <w:p>
      <w:pPr>
        <w:spacing w:after="0" w:line="240" w:lineRule="auto"/>
        <w:jc w:val="left"/>
        <w:sectPr>
          <w:footerReference w:type="default" r:id="rId20"/>
          <w:pgSz w:w="11910" w:h="16840"/>
          <w:pgMar w:footer="1022" w:header="906" w:top="1100" w:bottom="1220" w:left="1020" w:right="0"/>
          <w:pgNumType w:start="17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4、应收票据" w:id="244"/>
      <w:bookmarkEnd w:id="24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应收票据分类列示" w:id="245"/>
      <w:bookmarkEnd w:id="24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12,263,075.36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5,720,145.17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12,263,075.36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5,720,145.17</w:t>
            </w:r>
          </w:p>
        </w:tc>
      </w:tr>
    </w:tbl>
    <w:p>
      <w:pPr>
        <w:pStyle w:val="BodyText"/>
        <w:spacing w:line="240" w:lineRule="auto" w:before="28"/>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932"/>
        <w:gridCol w:w="797"/>
        <w:gridCol w:w="792"/>
      </w:tblGrid>
      <w:tr>
        <w:trPr>
          <w:trHeight w:val="403"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8"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182" w:right="17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4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182" w:right="17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16"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28"/>
              <w:ind w:left="167" w:right="161"/>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28"/>
              <w:ind w:left="187" w:right="177"/>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28"/>
        <w:ind w:right="1002"/>
        <w:jc w:val="left"/>
      </w:pPr>
      <w:r>
        <w:rPr/>
        <w:t>按单项计提坏账准备：</w:t>
      </w:r>
    </w:p>
    <w:p>
      <w:pPr>
        <w:pStyle w:val="BodyText"/>
        <w:spacing w:line="240" w:lineRule="auto" w:before="76"/>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3"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2" w:right="0"/>
              <w:jc w:val="left"/>
              <w:rPr>
                <w:rFonts w:ascii="宋体" w:hAnsi="宋体" w:cs="宋体" w:eastAsia="宋体" w:hint="default"/>
                <w:sz w:val="21"/>
                <w:szCs w:val="21"/>
              </w:rPr>
            </w:pPr>
            <w:r>
              <w:rPr>
                <w:rFonts w:ascii="宋体" w:hAnsi="宋体" w:cs="宋体" w:eastAsia="宋体" w:hint="default"/>
                <w:sz w:val="21"/>
                <w:szCs w:val="21"/>
              </w:rPr>
              <w:t>计提理由</w:t>
            </w:r>
          </w:p>
        </w:tc>
      </w:tr>
    </w:tbl>
    <w:p>
      <w:pPr>
        <w:pStyle w:val="BodyText"/>
        <w:spacing w:line="240" w:lineRule="auto" w:before="28"/>
        <w:ind w:right="1002"/>
        <w:jc w:val="left"/>
      </w:pPr>
      <w:r>
        <w:rPr/>
        <w:t>按组合计提坏账准备：</w:t>
      </w:r>
    </w:p>
    <w:p>
      <w:pPr>
        <w:pStyle w:val="BodyText"/>
        <w:spacing w:line="240" w:lineRule="auto" w:before="80"/>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12,633,353.43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370,278.07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2.93%</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12,633,353.43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370,278.07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9"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headerReference w:type="default" r:id="rId21"/>
          <w:pgSz w:w="11910" w:h="16840"/>
          <w:pgMar w:header="906" w:footer="1022" w:top="1100" w:bottom="1220" w:left="1020" w:right="0"/>
        </w:sectPr>
      </w:pPr>
    </w:p>
    <w:p>
      <w:pPr>
        <w:pStyle w:val="BodyText"/>
        <w:spacing w:line="309" w:lineRule="auto" w:before="29"/>
        <w:ind w:right="-6"/>
        <w:jc w:val="left"/>
      </w:pPr>
      <w:r>
        <w:rPr>
          <w:spacing w:val="-1"/>
        </w:rPr>
        <w:t>确定该组合依据的说明：</w:t>
      </w:r>
      <w:r>
        <w:rPr>
          <w:spacing w:val="-91"/>
        </w:rPr>
        <w:t> </w:t>
      </w:r>
      <w:r>
        <w:rPr>
          <w:spacing w:val="-91"/>
        </w:rPr>
      </w:r>
      <w:r>
        <w:rPr/>
        <w:t>按组合计提坏账准备：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40"/>
          <w:pgMar w:top="1100" w:bottom="1220" w:left="1020" w:right="0"/>
          <w:cols w:num="2" w:equalWidth="0">
            <w:col w:w="2427" w:space="6269"/>
            <w:col w:w="2194"/>
          </w:cols>
        </w:sectPr>
      </w:pP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7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7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772" w:right="0"/>
              <w:jc w:val="left"/>
              <w:rPr>
                <w:rFonts w:ascii="宋体" w:hAnsi="宋体" w:cs="宋体" w:eastAsia="宋体" w:hint="default"/>
                <w:sz w:val="21"/>
                <w:szCs w:val="21"/>
              </w:rPr>
            </w:pPr>
            <w:r>
              <w:rPr>
                <w:rFonts w:ascii="宋体" w:hAnsi="宋体" w:cs="宋体" w:eastAsia="宋体" w:hint="default"/>
                <w:sz w:val="21"/>
                <w:szCs w:val="21"/>
              </w:rPr>
              <w:t>计提比例</w:t>
            </w:r>
          </w:p>
        </w:tc>
      </w:tr>
    </w:tbl>
    <w:p>
      <w:pPr>
        <w:pStyle w:val="BodyText"/>
        <w:spacing w:line="290" w:lineRule="auto" w:before="28"/>
        <w:ind w:right="1002"/>
        <w:jc w:val="left"/>
      </w:pPr>
      <w:r>
        <w:rPr/>
        <w:t>确定该组合依据的说明：</w:t>
      </w:r>
      <w:r>
        <w:rPr>
          <w:spacing w:val="-102"/>
        </w:rPr>
        <w:t> </w:t>
      </w:r>
      <w:r>
        <w:rPr>
          <w:spacing w:val="-102"/>
        </w:rPr>
      </w:r>
      <w:r>
        <w:rPr>
          <w:spacing w:val="-2"/>
        </w:rPr>
        <w:t>如是按照预期信用损失一般模型计提应收票据坏账准备，请参照其他应收款的披露方式披露坏账准备的相</w:t>
      </w:r>
      <w:r>
        <w:rPr>
          <w:spacing w:val="-32"/>
        </w:rPr>
        <w:t> </w:t>
      </w:r>
      <w:r>
        <w:rPr>
          <w:spacing w:val="-32"/>
        </w:rPr>
      </w:r>
      <w:r>
        <w:rPr/>
        <w:t>关信息：</w:t>
      </w:r>
    </w:p>
    <w:p>
      <w:pPr>
        <w:pStyle w:val="BodyText"/>
        <w:spacing w:line="240" w:lineRule="auto" w:before="31"/>
        <w:ind w:right="1002"/>
        <w:jc w:val="left"/>
      </w:pPr>
      <w:r>
        <w:rPr/>
        <w:t>√ 适用 □</w:t>
      </w:r>
      <w:r>
        <w:rPr>
          <w:spacing w:val="4"/>
        </w:rPr>
        <w:t> </w:t>
      </w:r>
      <w:r>
        <w:rPr/>
        <w:t>不适用</w:t>
      </w:r>
    </w:p>
    <w:p>
      <w:pPr>
        <w:spacing w:line="600" w:lineRule="atLeast" w:before="26"/>
        <w:ind w:left="113" w:right="6640" w:firstLine="0"/>
        <w:jc w:val="left"/>
        <w:rPr>
          <w:rFonts w:ascii="宋体" w:hAnsi="宋体" w:cs="宋体" w:eastAsia="宋体" w:hint="default"/>
          <w:sz w:val="21"/>
          <w:szCs w:val="21"/>
        </w:rPr>
      </w:pPr>
      <w:bookmarkStart w:name="（2）本期计提、收回或转回的坏账准备情况"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100"/>
          <w:sz w:val="21"/>
          <w:szCs w:val="21"/>
        </w:rPr>
        <w:t> </w:t>
      </w:r>
      <w:r>
        <w:rPr>
          <w:rFonts w:ascii="宋体" w:hAnsi="宋体" w:cs="宋体" w:eastAsia="宋体" w:hint="default"/>
          <w:sz w:val="21"/>
          <w:szCs w:val="21"/>
        </w:rPr>
        <w:t>本期计提坏账准备情况：</w:t>
      </w:r>
    </w:p>
    <w:p>
      <w:pPr>
        <w:spacing w:after="0" w:line="600" w:lineRule="atLeast"/>
        <w:jc w:val="left"/>
        <w:rPr>
          <w:rFonts w:ascii="宋体" w:hAnsi="宋体" w:cs="宋体" w:eastAsia="宋体" w:hint="default"/>
          <w:sz w:val="21"/>
          <w:szCs w:val="21"/>
        </w:rPr>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618"/>
        <w:gridCol w:w="1119"/>
        <w:gridCol w:w="1369"/>
        <w:gridCol w:w="1368"/>
        <w:gridCol w:w="1364"/>
        <w:gridCol w:w="1369"/>
        <w:gridCol w:w="1369"/>
      </w:tblGrid>
      <w:tr>
        <w:trPr>
          <w:trHeight w:val="403" w:hRule="exact"/>
        </w:trPr>
        <w:tc>
          <w:tcPr>
            <w:tcW w:w="16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1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4" w:hRule="exact"/>
        </w:trPr>
        <w:tc>
          <w:tcPr>
            <w:tcW w:w="1618" w:type="dxa"/>
            <w:vMerge/>
            <w:tcBorders>
              <w:left w:val="single" w:sz="4" w:space="0" w:color="000000"/>
              <w:bottom w:val="single" w:sz="4" w:space="0" w:color="000000"/>
              <w:right w:val="single" w:sz="4" w:space="0" w:color="000000"/>
            </w:tcBorders>
            <w:shd w:val="clear" w:color="auto" w:fill="D2D2D2"/>
          </w:tcPr>
          <w:p>
            <w:pPr/>
          </w:p>
        </w:tc>
        <w:tc>
          <w:tcPr>
            <w:tcW w:w="111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111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370,278.07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370,278.07</w:t>
            </w:r>
          </w:p>
        </w:tc>
      </w:tr>
      <w:tr>
        <w:trPr>
          <w:trHeight w:val="398" w:hRule="exact"/>
        </w:trPr>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1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370,278.07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370,278.07</w:t>
            </w:r>
          </w:p>
        </w:tc>
      </w:tr>
    </w:tbl>
    <w:p>
      <w:pPr>
        <w:pStyle w:val="BodyText"/>
        <w:spacing w:line="240" w:lineRule="auto" w:before="28"/>
        <w:ind w:right="1002"/>
        <w:jc w:val="left"/>
      </w:pPr>
      <w:r>
        <w:rPr/>
        <w:t>其中本期坏账准备收回或转回金额重要的：</w:t>
      </w:r>
    </w:p>
    <w:p>
      <w:pPr>
        <w:pStyle w:val="BodyText"/>
        <w:spacing w:line="240" w:lineRule="auto" w:before="80"/>
        <w:ind w:right="1002"/>
        <w:jc w:val="left"/>
      </w:pPr>
      <w:r>
        <w:rPr/>
        <w:t>□ 适用 √</w:t>
      </w:r>
      <w:r>
        <w:rPr>
          <w:spacing w:val="4"/>
        </w:rPr>
        <w:t> </w:t>
      </w:r>
      <w:r>
        <w:rPr/>
        <w:t>不适用</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3）期末公司已质押的应收票据" w:id="247"/>
      <w:bookmarkEnd w:id="247"/>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期末已质押金额</w:t>
            </w:r>
          </w:p>
        </w:tc>
      </w:tr>
    </w:tbl>
    <w:p>
      <w:pPr>
        <w:spacing w:line="240" w:lineRule="auto" w:before="6"/>
        <w:rPr>
          <w:rFonts w:ascii="宋体" w:hAnsi="宋体" w:cs="宋体" w:eastAsia="宋体" w:hint="default"/>
          <w:sz w:val="19"/>
          <w:szCs w:val="19"/>
        </w:rPr>
      </w:pPr>
    </w:p>
    <w:p>
      <w:pPr>
        <w:pStyle w:val="Heading5"/>
        <w:spacing w:line="240" w:lineRule="auto" w:before="36"/>
        <w:ind w:right="1002"/>
        <w:jc w:val="left"/>
        <w:rPr>
          <w:b w:val="0"/>
          <w:bCs w:val="0"/>
        </w:rPr>
      </w:pPr>
      <w:bookmarkStart w:name="（4）期末公司已背书或贴现且在资产负债表日尚未到期的应收票据" w:id="248"/>
      <w:bookmarkEnd w:id="248"/>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4"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214,310.34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214,310.34</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5）期末公司因出票人未履约而将其转应收账款的票据" w:id="249"/>
      <w:bookmarkEnd w:id="249"/>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40"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6）本期实际核销的应收票据情况" w:id="250"/>
      <w:bookmarkEnd w:id="250"/>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bl>
    <w:p>
      <w:pPr>
        <w:pStyle w:val="BodyText"/>
        <w:spacing w:line="240" w:lineRule="auto" w:before="28"/>
        <w:ind w:right="1002"/>
        <w:jc w:val="left"/>
      </w:pPr>
      <w:r>
        <w:rPr/>
        <w:t>其中重要的应收票据核销情况：</w:t>
      </w:r>
    </w:p>
    <w:p>
      <w:pPr>
        <w:pStyle w:val="BodyText"/>
        <w:spacing w:line="240" w:lineRule="auto" w:before="75"/>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0"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应收票据性质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82" w:right="161" w:hanging="524"/>
              <w:jc w:val="left"/>
              <w:rPr>
                <w:rFonts w:ascii="宋体" w:hAnsi="宋体" w:cs="宋体" w:eastAsia="宋体" w:hint="default"/>
                <w:sz w:val="21"/>
                <w:szCs w:val="21"/>
              </w:rPr>
            </w:pPr>
            <w:r>
              <w:rPr>
                <w:rFonts w:ascii="宋体" w:hAnsi="宋体" w:cs="宋体" w:eastAsia="宋体" w:hint="default"/>
                <w:sz w:val="21"/>
                <w:szCs w:val="21"/>
              </w:rPr>
              <w:t>履行的核销程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8" w:right="156" w:hanging="106"/>
              <w:jc w:val="left"/>
              <w:rPr>
                <w:rFonts w:ascii="宋体" w:hAnsi="宋体" w:cs="宋体" w:eastAsia="宋体" w:hint="default"/>
                <w:sz w:val="21"/>
                <w:szCs w:val="21"/>
              </w:rPr>
            </w:pPr>
            <w:r>
              <w:rPr>
                <w:rFonts w:ascii="宋体" w:hAnsi="宋体" w:cs="宋体" w:eastAsia="宋体" w:hint="default"/>
                <w:sz w:val="21"/>
                <w:szCs w:val="21"/>
              </w:rPr>
              <w:t>款项是否由关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联交易产生</w:t>
            </w:r>
          </w:p>
        </w:tc>
      </w:tr>
    </w:tbl>
    <w:p>
      <w:pPr>
        <w:pStyle w:val="BodyText"/>
        <w:spacing w:line="240" w:lineRule="auto" w:before="28"/>
        <w:ind w:right="1002"/>
        <w:jc w:val="left"/>
      </w:pPr>
      <w:r>
        <w:rPr/>
        <w:t>应收票据核销说明：</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5、应收账款" w:id="251"/>
      <w:bookmarkEnd w:id="251"/>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应收账款分类披露" w:id="252"/>
      <w:bookmarkEnd w:id="25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82" w:right="17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355" w:right="137" w:hanging="207"/>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r>
      <w:tr>
        <w:trPr>
          <w:trHeight w:val="716"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67" w:right="161"/>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82" w:right="177"/>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257"/>
              <w:jc w:val="both"/>
              <w:rPr>
                <w:rFonts w:ascii="宋体" w:hAnsi="宋体" w:cs="宋体" w:eastAsia="宋体" w:hint="default"/>
                <w:sz w:val="21"/>
                <w:szCs w:val="21"/>
              </w:rPr>
            </w:pPr>
            <w:r>
              <w:rPr>
                <w:rFonts w:ascii="宋体" w:hAnsi="宋体" w:cs="宋体" w:eastAsia="宋体" w:hint="default"/>
                <w:sz w:val="21"/>
                <w:szCs w:val="21"/>
              </w:rPr>
              <w:t>按单项计提坏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账准备的应收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7" w:right="0"/>
              <w:jc w:val="left"/>
              <w:rPr>
                <w:rFonts w:ascii="Times New Roman" w:hAnsi="Times New Roman" w:cs="Times New Roman" w:eastAsia="Times New Roman" w:hint="default"/>
                <w:sz w:val="21"/>
                <w:szCs w:val="21"/>
              </w:rPr>
            </w:pPr>
            <w:r>
              <w:rPr>
                <w:rFonts w:ascii="Times New Roman"/>
                <w:sz w:val="21"/>
              </w:rPr>
              <w:t>38,28</w:t>
            </w:r>
          </w:p>
          <w:p>
            <w:pPr>
              <w:pStyle w:val="TableParagraph"/>
              <w:spacing w:line="240" w:lineRule="auto" w:before="70"/>
              <w:ind w:left="124" w:right="0"/>
              <w:jc w:val="left"/>
              <w:rPr>
                <w:rFonts w:ascii="Times New Roman" w:hAnsi="Times New Roman" w:cs="Times New Roman" w:eastAsia="Times New Roman" w:hint="default"/>
                <w:sz w:val="21"/>
                <w:szCs w:val="21"/>
              </w:rPr>
            </w:pPr>
            <w:r>
              <w:rPr>
                <w:rFonts w:ascii="Times New Roman"/>
                <w:sz w:val="21"/>
              </w:rPr>
              <w:t>0,029.</w:t>
            </w:r>
          </w:p>
          <w:p>
            <w:pPr>
              <w:pStyle w:val="TableParagraph"/>
              <w:spacing w:line="240" w:lineRule="auto" w:before="75"/>
              <w:ind w:left="437" w:right="0"/>
              <w:jc w:val="left"/>
              <w:rPr>
                <w:rFonts w:ascii="Times New Roman" w:hAnsi="Times New Roman" w:cs="Times New Roman" w:eastAsia="Times New Roman" w:hint="default"/>
                <w:sz w:val="21"/>
                <w:szCs w:val="21"/>
              </w:rPr>
            </w:pPr>
            <w:r>
              <w:rPr>
                <w:rFonts w:ascii="Times New Roman"/>
                <w:sz w:val="21"/>
              </w:rPr>
              <w:t>37</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2.48%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Times New Roman" w:hAnsi="Times New Roman" w:cs="Times New Roman" w:eastAsia="Times New Roman" w:hint="default"/>
                <w:sz w:val="21"/>
                <w:szCs w:val="21"/>
              </w:rPr>
            </w:pPr>
            <w:r>
              <w:rPr>
                <w:rFonts w:ascii="Times New Roman"/>
                <w:sz w:val="21"/>
              </w:rPr>
              <w:t>38,28</w:t>
            </w:r>
          </w:p>
          <w:p>
            <w:pPr>
              <w:pStyle w:val="TableParagraph"/>
              <w:spacing w:line="240" w:lineRule="auto" w:before="70"/>
              <w:ind w:left="130" w:right="0"/>
              <w:jc w:val="left"/>
              <w:rPr>
                <w:rFonts w:ascii="Times New Roman" w:hAnsi="Times New Roman" w:cs="Times New Roman" w:eastAsia="Times New Roman" w:hint="default"/>
                <w:sz w:val="21"/>
                <w:szCs w:val="21"/>
              </w:rPr>
            </w:pPr>
            <w:r>
              <w:rPr>
                <w:rFonts w:ascii="Times New Roman"/>
                <w:sz w:val="21"/>
              </w:rPr>
              <w:t>0,029.</w:t>
            </w:r>
          </w:p>
          <w:p>
            <w:pPr>
              <w:pStyle w:val="TableParagraph"/>
              <w:spacing w:line="240" w:lineRule="auto" w:before="75"/>
              <w:ind w:left="442" w:right="0"/>
              <w:jc w:val="left"/>
              <w:rPr>
                <w:rFonts w:ascii="Times New Roman" w:hAnsi="Times New Roman" w:cs="Times New Roman" w:eastAsia="Times New Roman" w:hint="default"/>
                <w:sz w:val="21"/>
                <w:szCs w:val="21"/>
              </w:rPr>
            </w:pPr>
            <w:r>
              <w:rPr>
                <w:rFonts w:ascii="Times New Roman"/>
                <w:sz w:val="21"/>
              </w:rPr>
              <w:t>37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70"/>
              <w:ind w:left="276" w:right="0"/>
              <w:jc w:val="center"/>
              <w:rPr>
                <w:rFonts w:ascii="Times New Roman" w:hAnsi="Times New Roman" w:cs="Times New Roman" w:eastAsia="Times New Roman" w:hint="default"/>
                <w:sz w:val="21"/>
                <w:szCs w:val="21"/>
              </w:rPr>
            </w:pPr>
            <w:r>
              <w:rPr>
                <w:rFonts w:ascii="Times New Roman"/>
                <w:sz w:val="21"/>
              </w:rPr>
              <w:t>0%</w:t>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6" w:right="0"/>
              <w:jc w:val="left"/>
              <w:rPr>
                <w:rFonts w:ascii="Times New Roman" w:hAnsi="Times New Roman" w:cs="Times New Roman" w:eastAsia="Times New Roman" w:hint="default"/>
                <w:sz w:val="21"/>
                <w:szCs w:val="21"/>
              </w:rPr>
            </w:pPr>
            <w:r>
              <w:rPr>
                <w:rFonts w:ascii="Times New Roman"/>
                <w:sz w:val="21"/>
              </w:rPr>
              <w:t>48,78</w:t>
            </w:r>
          </w:p>
          <w:p>
            <w:pPr>
              <w:pStyle w:val="TableParagraph"/>
              <w:spacing w:line="240" w:lineRule="auto" w:before="70"/>
              <w:ind w:left="143" w:right="0"/>
              <w:jc w:val="left"/>
              <w:rPr>
                <w:rFonts w:ascii="Times New Roman" w:hAnsi="Times New Roman" w:cs="Times New Roman" w:eastAsia="Times New Roman" w:hint="default"/>
                <w:sz w:val="21"/>
                <w:szCs w:val="21"/>
              </w:rPr>
            </w:pPr>
            <w:r>
              <w:rPr>
                <w:rFonts w:ascii="Times New Roman"/>
                <w:sz w:val="21"/>
              </w:rPr>
              <w:t>5,317.</w:t>
            </w:r>
          </w:p>
          <w:p>
            <w:pPr>
              <w:pStyle w:val="TableParagraph"/>
              <w:spacing w:line="240" w:lineRule="auto" w:before="75"/>
              <w:ind w:left="456" w:right="0"/>
              <w:jc w:val="left"/>
              <w:rPr>
                <w:rFonts w:ascii="Times New Roman" w:hAnsi="Times New Roman" w:cs="Times New Roman" w:eastAsia="Times New Roman" w:hint="default"/>
                <w:sz w:val="21"/>
                <w:szCs w:val="21"/>
              </w:rPr>
            </w:pPr>
            <w:r>
              <w:rPr>
                <w:rFonts w:ascii="Times New Roman"/>
                <w:sz w:val="21"/>
              </w:rPr>
              <w:t>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4.17%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47,017</w:t>
            </w:r>
          </w:p>
          <w:p>
            <w:pPr>
              <w:pStyle w:val="TableParagraph"/>
              <w:spacing w:line="240" w:lineRule="auto" w:before="70"/>
              <w:ind w:right="95"/>
              <w:jc w:val="right"/>
              <w:rPr>
                <w:rFonts w:ascii="Times New Roman" w:hAnsi="Times New Roman" w:cs="Times New Roman" w:eastAsia="Times New Roman" w:hint="default"/>
                <w:sz w:val="21"/>
                <w:szCs w:val="21"/>
              </w:rPr>
            </w:pPr>
            <w:r>
              <w:rPr>
                <w:rFonts w:ascii="Times New Roman"/>
                <w:sz w:val="21"/>
              </w:rPr>
              <w:t>,044.6</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96.38</w:t>
            </w:r>
          </w:p>
          <w:p>
            <w:pPr>
              <w:pStyle w:val="TableParagraph"/>
              <w:spacing w:line="240" w:lineRule="auto" w:before="70"/>
              <w:ind w:left="509" w:right="0"/>
              <w:jc w:val="left"/>
              <w:rPr>
                <w:rFonts w:ascii="Times New Roman" w:hAnsi="Times New Roman" w:cs="Times New Roman" w:eastAsia="Times New Roman" w:hint="default"/>
                <w:sz w:val="21"/>
                <w:szCs w:val="21"/>
              </w:rPr>
            </w:pPr>
            <w:r>
              <w:rPr>
                <w:rFonts w:ascii="Times New Roman"/>
                <w:w w:val="100"/>
                <w:sz w:val="21"/>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21"/>
                <w:szCs w:val="21"/>
              </w:rPr>
            </w:pPr>
            <w:r>
              <w:rPr>
                <w:rFonts w:ascii="Times New Roman"/>
                <w:sz w:val="21"/>
              </w:rPr>
              <w:t>1,768,2</w:t>
            </w:r>
          </w:p>
          <w:p>
            <w:pPr>
              <w:pStyle w:val="TableParagraph"/>
              <w:spacing w:line="240" w:lineRule="auto" w:before="70"/>
              <w:ind w:left="254" w:right="0"/>
              <w:jc w:val="center"/>
              <w:rPr>
                <w:rFonts w:ascii="Times New Roman" w:hAnsi="Times New Roman" w:cs="Times New Roman" w:eastAsia="Times New Roman" w:hint="default"/>
                <w:sz w:val="21"/>
                <w:szCs w:val="21"/>
              </w:rPr>
            </w:pPr>
            <w:r>
              <w:rPr>
                <w:rFonts w:ascii="Times New Roman"/>
                <w:sz w:val="21"/>
              </w:rPr>
              <w:t>73.24</w:t>
            </w:r>
          </w:p>
        </w:tc>
      </w:tr>
      <w:tr>
        <w:trPr>
          <w:trHeight w:val="40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2"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257"/>
              <w:jc w:val="both"/>
              <w:rPr>
                <w:rFonts w:ascii="宋体" w:hAnsi="宋体" w:cs="宋体" w:eastAsia="宋体" w:hint="default"/>
                <w:sz w:val="21"/>
                <w:szCs w:val="21"/>
              </w:rPr>
            </w:pPr>
            <w:r>
              <w:rPr>
                <w:rFonts w:ascii="宋体" w:hAnsi="宋体" w:cs="宋体" w:eastAsia="宋体" w:hint="default"/>
                <w:sz w:val="21"/>
                <w:szCs w:val="21"/>
              </w:rPr>
              <w:t>按组合计提坏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账准备的应收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4" w:right="0"/>
              <w:jc w:val="left"/>
              <w:rPr>
                <w:rFonts w:ascii="Times New Roman" w:hAnsi="Times New Roman" w:cs="Times New Roman" w:eastAsia="Times New Roman" w:hint="default"/>
                <w:sz w:val="21"/>
                <w:szCs w:val="21"/>
              </w:rPr>
            </w:pPr>
            <w:r>
              <w:rPr>
                <w:rFonts w:ascii="Times New Roman"/>
                <w:sz w:val="21"/>
              </w:rPr>
              <w:t>1,507,</w:t>
            </w:r>
          </w:p>
          <w:p>
            <w:pPr>
              <w:pStyle w:val="TableParagraph"/>
              <w:spacing w:line="240" w:lineRule="auto" w:before="65"/>
              <w:ind w:left="177" w:right="0"/>
              <w:jc w:val="left"/>
              <w:rPr>
                <w:rFonts w:ascii="Times New Roman" w:hAnsi="Times New Roman" w:cs="Times New Roman" w:eastAsia="Times New Roman" w:hint="default"/>
                <w:sz w:val="21"/>
                <w:szCs w:val="21"/>
              </w:rPr>
            </w:pPr>
            <w:r>
              <w:rPr>
                <w:rFonts w:ascii="Times New Roman"/>
                <w:sz w:val="21"/>
              </w:rPr>
              <w:t>209,5</w:t>
            </w:r>
          </w:p>
          <w:p>
            <w:pPr>
              <w:pStyle w:val="TableParagraph"/>
              <w:spacing w:line="240" w:lineRule="auto" w:before="75"/>
              <w:ind w:left="177" w:right="0"/>
              <w:jc w:val="left"/>
              <w:rPr>
                <w:rFonts w:ascii="Times New Roman" w:hAnsi="Times New Roman" w:cs="Times New Roman" w:eastAsia="Times New Roman" w:hint="default"/>
                <w:sz w:val="21"/>
                <w:szCs w:val="21"/>
              </w:rPr>
            </w:pPr>
            <w:r>
              <w:rPr>
                <w:rFonts w:ascii="Times New Roman"/>
                <w:sz w:val="21"/>
              </w:rPr>
              <w:t>30.58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97.52</w:t>
            </w:r>
          </w:p>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w w:val="100"/>
                <w:sz w:val="21"/>
              </w:rPr>
              <w:t>%</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6" w:right="0"/>
              <w:jc w:val="center"/>
              <w:rPr>
                <w:rFonts w:ascii="Times New Roman" w:hAnsi="Times New Roman" w:cs="Times New Roman" w:eastAsia="Times New Roman" w:hint="default"/>
                <w:sz w:val="21"/>
                <w:szCs w:val="21"/>
              </w:rPr>
            </w:pPr>
            <w:r>
              <w:rPr>
                <w:rFonts w:ascii="Times New Roman"/>
                <w:sz w:val="21"/>
              </w:rPr>
              <w:t>212,0</w:t>
            </w:r>
          </w:p>
          <w:p>
            <w:pPr>
              <w:pStyle w:val="TableParagraph"/>
              <w:spacing w:line="240" w:lineRule="auto" w:before="65"/>
              <w:ind w:left="86" w:right="0"/>
              <w:jc w:val="center"/>
              <w:rPr>
                <w:rFonts w:ascii="Times New Roman" w:hAnsi="Times New Roman" w:cs="Times New Roman" w:eastAsia="Times New Roman" w:hint="default"/>
                <w:sz w:val="21"/>
                <w:szCs w:val="21"/>
              </w:rPr>
            </w:pPr>
            <w:r>
              <w:rPr>
                <w:rFonts w:ascii="Times New Roman"/>
                <w:sz w:val="21"/>
              </w:rPr>
              <w:t>27,10</w:t>
            </w:r>
          </w:p>
          <w:p>
            <w:pPr>
              <w:pStyle w:val="TableParagraph"/>
              <w:spacing w:line="240" w:lineRule="auto" w:before="75"/>
              <w:ind w:left="182" w:right="0"/>
              <w:jc w:val="center"/>
              <w:rPr>
                <w:rFonts w:ascii="Times New Roman" w:hAnsi="Times New Roman" w:cs="Times New Roman" w:eastAsia="Times New Roman" w:hint="default"/>
                <w:sz w:val="21"/>
                <w:szCs w:val="21"/>
              </w:rPr>
            </w:pPr>
            <w:r>
              <w:rPr>
                <w:rFonts w:ascii="Times New Roman"/>
                <w:sz w:val="21"/>
              </w:rPr>
              <w:t>9.24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14.07</w:t>
            </w:r>
          </w:p>
          <w:p>
            <w:pPr>
              <w:pStyle w:val="TableParagraph"/>
              <w:spacing w:line="240" w:lineRule="auto" w:before="75"/>
              <w:ind w:left="480" w:right="0"/>
              <w:jc w:val="left"/>
              <w:rPr>
                <w:rFonts w:ascii="Times New Roman" w:hAnsi="Times New Roman" w:cs="Times New Roman" w:eastAsia="Times New Roman" w:hint="default"/>
                <w:sz w:val="21"/>
                <w:szCs w:val="21"/>
              </w:rPr>
            </w:pPr>
            <w:r>
              <w:rPr>
                <w:rFonts w:ascii="Times New Roman"/>
                <w:w w:val="100"/>
                <w:sz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1,295,</w:t>
            </w:r>
          </w:p>
          <w:p>
            <w:pPr>
              <w:pStyle w:val="TableParagraph"/>
              <w:spacing w:line="240" w:lineRule="auto" w:before="65"/>
              <w:ind w:left="206" w:right="0"/>
              <w:jc w:val="left"/>
              <w:rPr>
                <w:rFonts w:ascii="Times New Roman" w:hAnsi="Times New Roman" w:cs="Times New Roman" w:eastAsia="Times New Roman" w:hint="default"/>
                <w:sz w:val="21"/>
                <w:szCs w:val="21"/>
              </w:rPr>
            </w:pPr>
            <w:r>
              <w:rPr>
                <w:rFonts w:ascii="Times New Roman"/>
                <w:sz w:val="21"/>
              </w:rPr>
              <w:t>182,4</w:t>
            </w:r>
          </w:p>
          <w:p>
            <w:pPr>
              <w:pStyle w:val="TableParagraph"/>
              <w:spacing w:line="240" w:lineRule="auto" w:before="75"/>
              <w:ind w:left="206" w:right="0"/>
              <w:jc w:val="left"/>
              <w:rPr>
                <w:rFonts w:ascii="Times New Roman" w:hAnsi="Times New Roman" w:cs="Times New Roman" w:eastAsia="Times New Roman" w:hint="default"/>
                <w:sz w:val="21"/>
                <w:szCs w:val="21"/>
              </w:rPr>
            </w:pPr>
            <w:r>
              <w:rPr>
                <w:rFonts w:ascii="Times New Roman"/>
                <w:sz w:val="21"/>
              </w:rPr>
              <w:t>21.34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1,120,</w:t>
            </w:r>
          </w:p>
          <w:p>
            <w:pPr>
              <w:pStyle w:val="TableParagraph"/>
              <w:spacing w:line="240" w:lineRule="auto" w:before="65"/>
              <w:ind w:left="196" w:right="0"/>
              <w:jc w:val="left"/>
              <w:rPr>
                <w:rFonts w:ascii="Times New Roman" w:hAnsi="Times New Roman" w:cs="Times New Roman" w:eastAsia="Times New Roman" w:hint="default"/>
                <w:sz w:val="21"/>
                <w:szCs w:val="21"/>
              </w:rPr>
            </w:pPr>
            <w:r>
              <w:rPr>
                <w:rFonts w:ascii="Times New Roman"/>
                <w:sz w:val="21"/>
              </w:rPr>
              <w:t>168,2</w:t>
            </w:r>
          </w:p>
          <w:p>
            <w:pPr>
              <w:pStyle w:val="TableParagraph"/>
              <w:spacing w:line="240" w:lineRule="auto" w:before="75"/>
              <w:ind w:left="196" w:right="0"/>
              <w:jc w:val="left"/>
              <w:rPr>
                <w:rFonts w:ascii="Times New Roman" w:hAnsi="Times New Roman" w:cs="Times New Roman" w:eastAsia="Times New Roman" w:hint="default"/>
                <w:sz w:val="21"/>
                <w:szCs w:val="21"/>
              </w:rPr>
            </w:pPr>
            <w:r>
              <w:rPr>
                <w:rFonts w:ascii="Times New Roman"/>
                <w:sz w:val="21"/>
              </w:rPr>
              <w:t>01.09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6" w:right="0"/>
              <w:jc w:val="left"/>
              <w:rPr>
                <w:rFonts w:ascii="Times New Roman" w:hAnsi="Times New Roman" w:cs="Times New Roman" w:eastAsia="Times New Roman" w:hint="default"/>
                <w:sz w:val="21"/>
                <w:szCs w:val="21"/>
              </w:rPr>
            </w:pPr>
            <w:r>
              <w:rPr>
                <w:rFonts w:ascii="Times New Roman"/>
                <w:sz w:val="21"/>
              </w:rPr>
              <w:t>95.83</w:t>
            </w:r>
          </w:p>
          <w:p>
            <w:pPr>
              <w:pStyle w:val="TableParagraph"/>
              <w:spacing w:line="240" w:lineRule="auto" w:before="75"/>
              <w:ind w:left="513" w:right="0"/>
              <w:jc w:val="left"/>
              <w:rPr>
                <w:rFonts w:ascii="Times New Roman" w:hAnsi="Times New Roman" w:cs="Times New Roman" w:eastAsia="Times New Roman" w:hint="default"/>
                <w:sz w:val="21"/>
                <w:szCs w:val="21"/>
              </w:rPr>
            </w:pPr>
            <w:r>
              <w:rPr>
                <w:rFonts w:ascii="Times New Roman"/>
                <w:w w:val="100"/>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1" w:right="0"/>
              <w:jc w:val="left"/>
              <w:rPr>
                <w:rFonts w:ascii="Times New Roman" w:hAnsi="Times New Roman" w:cs="Times New Roman" w:eastAsia="Times New Roman" w:hint="default"/>
                <w:sz w:val="21"/>
                <w:szCs w:val="21"/>
              </w:rPr>
            </w:pPr>
            <w:r>
              <w:rPr>
                <w:rFonts w:ascii="Times New Roman"/>
                <w:sz w:val="21"/>
              </w:rPr>
              <w:t>217,66</w:t>
            </w:r>
          </w:p>
          <w:p>
            <w:pPr>
              <w:pStyle w:val="TableParagraph"/>
              <w:spacing w:line="240" w:lineRule="auto" w:before="65"/>
              <w:ind w:left="163" w:right="0"/>
              <w:jc w:val="left"/>
              <w:rPr>
                <w:rFonts w:ascii="Times New Roman" w:hAnsi="Times New Roman" w:cs="Times New Roman" w:eastAsia="Times New Roman" w:hint="default"/>
                <w:sz w:val="21"/>
                <w:szCs w:val="21"/>
              </w:rPr>
            </w:pPr>
            <w:r>
              <w:rPr>
                <w:rFonts w:ascii="Times New Roman"/>
                <w:sz w:val="21"/>
              </w:rPr>
              <w:t>9,099.</w:t>
            </w:r>
          </w:p>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sz w:val="21"/>
              </w:rPr>
              <w:t>92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19.43</w:t>
            </w:r>
          </w:p>
          <w:p>
            <w:pPr>
              <w:pStyle w:val="TableParagraph"/>
              <w:spacing w:line="240" w:lineRule="auto" w:before="75"/>
              <w:ind w:left="509" w:right="0"/>
              <w:jc w:val="left"/>
              <w:rPr>
                <w:rFonts w:ascii="Times New Roman" w:hAnsi="Times New Roman" w:cs="Times New Roman" w:eastAsia="Times New Roman" w:hint="default"/>
                <w:sz w:val="21"/>
                <w:szCs w:val="21"/>
              </w:rPr>
            </w:pPr>
            <w:r>
              <w:rPr>
                <w:rFonts w:ascii="Times New Roman"/>
                <w:w w:val="100"/>
                <w:sz w:val="21"/>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902,499</w:t>
            </w:r>
          </w:p>
          <w:p>
            <w:pPr>
              <w:pStyle w:val="TableParagraph"/>
              <w:spacing w:line="240" w:lineRule="auto" w:before="75"/>
              <w:ind w:left="191" w:right="0"/>
              <w:jc w:val="left"/>
              <w:rPr>
                <w:rFonts w:ascii="Times New Roman" w:hAnsi="Times New Roman" w:cs="Times New Roman" w:eastAsia="Times New Roman" w:hint="default"/>
                <w:sz w:val="21"/>
                <w:szCs w:val="21"/>
              </w:rPr>
            </w:pPr>
            <w:r>
              <w:rPr>
                <w:rFonts w:ascii="Times New Roman"/>
                <w:sz w:val="21"/>
              </w:rPr>
              <w:t>,101.17</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4" w:right="0"/>
              <w:jc w:val="left"/>
              <w:rPr>
                <w:rFonts w:ascii="Times New Roman" w:hAnsi="Times New Roman" w:cs="Times New Roman" w:eastAsia="Times New Roman" w:hint="default"/>
                <w:sz w:val="21"/>
                <w:szCs w:val="21"/>
              </w:rPr>
            </w:pPr>
            <w:r>
              <w:rPr>
                <w:rFonts w:ascii="Times New Roman"/>
                <w:sz w:val="21"/>
              </w:rPr>
              <w:t>1,507,</w:t>
            </w:r>
          </w:p>
          <w:p>
            <w:pPr>
              <w:pStyle w:val="TableParagraph"/>
              <w:spacing w:line="240" w:lineRule="auto" w:before="70"/>
              <w:ind w:left="177" w:right="0"/>
              <w:jc w:val="left"/>
              <w:rPr>
                <w:rFonts w:ascii="Times New Roman" w:hAnsi="Times New Roman" w:cs="Times New Roman" w:eastAsia="Times New Roman" w:hint="default"/>
                <w:sz w:val="21"/>
                <w:szCs w:val="21"/>
              </w:rPr>
            </w:pPr>
            <w:r>
              <w:rPr>
                <w:rFonts w:ascii="Times New Roman"/>
                <w:sz w:val="21"/>
              </w:rPr>
              <w:t>209,5</w:t>
            </w:r>
          </w:p>
          <w:p>
            <w:pPr>
              <w:pStyle w:val="TableParagraph"/>
              <w:spacing w:line="240" w:lineRule="auto" w:before="75"/>
              <w:ind w:left="177" w:right="0"/>
              <w:jc w:val="left"/>
              <w:rPr>
                <w:rFonts w:ascii="Times New Roman" w:hAnsi="Times New Roman" w:cs="Times New Roman" w:eastAsia="Times New Roman" w:hint="default"/>
                <w:sz w:val="21"/>
                <w:szCs w:val="21"/>
              </w:rPr>
            </w:pPr>
            <w:r>
              <w:rPr>
                <w:rFonts w:ascii="Times New Roman"/>
                <w:sz w:val="21"/>
              </w:rPr>
              <w:t>30.58</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97.52</w:t>
            </w:r>
          </w:p>
          <w:p>
            <w:pPr>
              <w:pStyle w:val="TableParagraph"/>
              <w:spacing w:line="240" w:lineRule="auto" w:before="70"/>
              <w:ind w:left="475" w:right="0"/>
              <w:jc w:val="left"/>
              <w:rPr>
                <w:rFonts w:ascii="Times New Roman" w:hAnsi="Times New Roman" w:cs="Times New Roman" w:eastAsia="Times New Roman" w:hint="default"/>
                <w:sz w:val="21"/>
                <w:szCs w:val="21"/>
              </w:rPr>
            </w:pPr>
            <w:r>
              <w:rPr>
                <w:rFonts w:ascii="Times New Roman"/>
                <w:w w:val="100"/>
                <w:sz w:val="21"/>
              </w:rPr>
              <w:t>%</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6" w:right="0"/>
              <w:jc w:val="center"/>
              <w:rPr>
                <w:rFonts w:ascii="Times New Roman" w:hAnsi="Times New Roman" w:cs="Times New Roman" w:eastAsia="Times New Roman" w:hint="default"/>
                <w:sz w:val="21"/>
                <w:szCs w:val="21"/>
              </w:rPr>
            </w:pPr>
            <w:r>
              <w:rPr>
                <w:rFonts w:ascii="Times New Roman"/>
                <w:sz w:val="21"/>
              </w:rPr>
              <w:t>212,0</w:t>
            </w:r>
          </w:p>
          <w:p>
            <w:pPr>
              <w:pStyle w:val="TableParagraph"/>
              <w:spacing w:line="240" w:lineRule="auto" w:before="70"/>
              <w:ind w:left="86" w:right="0"/>
              <w:jc w:val="center"/>
              <w:rPr>
                <w:rFonts w:ascii="Times New Roman" w:hAnsi="Times New Roman" w:cs="Times New Roman" w:eastAsia="Times New Roman" w:hint="default"/>
                <w:sz w:val="21"/>
                <w:szCs w:val="21"/>
              </w:rPr>
            </w:pPr>
            <w:r>
              <w:rPr>
                <w:rFonts w:ascii="Times New Roman"/>
                <w:sz w:val="21"/>
              </w:rPr>
              <w:t>27,10</w:t>
            </w:r>
          </w:p>
          <w:p>
            <w:pPr>
              <w:pStyle w:val="TableParagraph"/>
              <w:spacing w:line="240" w:lineRule="auto" w:before="75"/>
              <w:ind w:left="182" w:right="0"/>
              <w:jc w:val="center"/>
              <w:rPr>
                <w:rFonts w:ascii="Times New Roman" w:hAnsi="Times New Roman" w:cs="Times New Roman" w:eastAsia="Times New Roman" w:hint="default"/>
                <w:sz w:val="21"/>
                <w:szCs w:val="21"/>
              </w:rPr>
            </w:pPr>
            <w:r>
              <w:rPr>
                <w:rFonts w:ascii="Times New Roman"/>
                <w:sz w:val="21"/>
              </w:rPr>
              <w:t>9.24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14.07</w:t>
            </w:r>
          </w:p>
          <w:p>
            <w:pPr>
              <w:pStyle w:val="TableParagraph"/>
              <w:spacing w:line="240" w:lineRule="auto" w:before="70"/>
              <w:ind w:left="480" w:right="0"/>
              <w:jc w:val="left"/>
              <w:rPr>
                <w:rFonts w:ascii="Times New Roman" w:hAnsi="Times New Roman" w:cs="Times New Roman" w:eastAsia="Times New Roman" w:hint="default"/>
                <w:sz w:val="21"/>
                <w:szCs w:val="21"/>
              </w:rPr>
            </w:pPr>
            <w:r>
              <w:rPr>
                <w:rFonts w:ascii="Times New Roman"/>
                <w:w w:val="100"/>
                <w:sz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53" w:right="0"/>
              <w:jc w:val="left"/>
              <w:rPr>
                <w:rFonts w:ascii="Times New Roman" w:hAnsi="Times New Roman" w:cs="Times New Roman" w:eastAsia="Times New Roman" w:hint="default"/>
                <w:sz w:val="21"/>
                <w:szCs w:val="21"/>
              </w:rPr>
            </w:pPr>
            <w:r>
              <w:rPr>
                <w:rFonts w:ascii="Times New Roman"/>
                <w:sz w:val="21"/>
              </w:rPr>
              <w:t>1,295,</w:t>
            </w:r>
          </w:p>
          <w:p>
            <w:pPr>
              <w:pStyle w:val="TableParagraph"/>
              <w:spacing w:line="240" w:lineRule="auto" w:before="70"/>
              <w:ind w:left="206" w:right="0"/>
              <w:jc w:val="left"/>
              <w:rPr>
                <w:rFonts w:ascii="Times New Roman" w:hAnsi="Times New Roman" w:cs="Times New Roman" w:eastAsia="Times New Roman" w:hint="default"/>
                <w:sz w:val="21"/>
                <w:szCs w:val="21"/>
              </w:rPr>
            </w:pPr>
            <w:r>
              <w:rPr>
                <w:rFonts w:ascii="Times New Roman"/>
                <w:sz w:val="21"/>
              </w:rPr>
              <w:t>182,4</w:t>
            </w:r>
          </w:p>
          <w:p>
            <w:pPr>
              <w:pStyle w:val="TableParagraph"/>
              <w:spacing w:line="240" w:lineRule="auto" w:before="75"/>
              <w:ind w:left="206" w:right="0"/>
              <w:jc w:val="left"/>
              <w:rPr>
                <w:rFonts w:ascii="Times New Roman" w:hAnsi="Times New Roman" w:cs="Times New Roman" w:eastAsia="Times New Roman" w:hint="default"/>
                <w:sz w:val="21"/>
                <w:szCs w:val="21"/>
              </w:rPr>
            </w:pPr>
            <w:r>
              <w:rPr>
                <w:rFonts w:ascii="Times New Roman"/>
                <w:sz w:val="21"/>
              </w:rPr>
              <w:t>21.34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43" w:right="0"/>
              <w:jc w:val="left"/>
              <w:rPr>
                <w:rFonts w:ascii="Times New Roman" w:hAnsi="Times New Roman" w:cs="Times New Roman" w:eastAsia="Times New Roman" w:hint="default"/>
                <w:sz w:val="21"/>
                <w:szCs w:val="21"/>
              </w:rPr>
            </w:pPr>
            <w:r>
              <w:rPr>
                <w:rFonts w:ascii="Times New Roman"/>
                <w:sz w:val="21"/>
              </w:rPr>
              <w:t>1,120,</w:t>
            </w:r>
          </w:p>
          <w:p>
            <w:pPr>
              <w:pStyle w:val="TableParagraph"/>
              <w:spacing w:line="240" w:lineRule="auto" w:before="70"/>
              <w:ind w:left="196" w:right="0"/>
              <w:jc w:val="left"/>
              <w:rPr>
                <w:rFonts w:ascii="Times New Roman" w:hAnsi="Times New Roman" w:cs="Times New Roman" w:eastAsia="Times New Roman" w:hint="default"/>
                <w:sz w:val="21"/>
                <w:szCs w:val="21"/>
              </w:rPr>
            </w:pPr>
            <w:r>
              <w:rPr>
                <w:rFonts w:ascii="Times New Roman"/>
                <w:sz w:val="21"/>
              </w:rPr>
              <w:t>168,2</w:t>
            </w:r>
          </w:p>
          <w:p>
            <w:pPr>
              <w:pStyle w:val="TableParagraph"/>
              <w:spacing w:line="240" w:lineRule="auto" w:before="75"/>
              <w:ind w:left="196" w:right="0"/>
              <w:jc w:val="left"/>
              <w:rPr>
                <w:rFonts w:ascii="Times New Roman" w:hAnsi="Times New Roman" w:cs="Times New Roman" w:eastAsia="Times New Roman" w:hint="default"/>
                <w:sz w:val="21"/>
                <w:szCs w:val="21"/>
              </w:rPr>
            </w:pPr>
            <w:r>
              <w:rPr>
                <w:rFonts w:ascii="Times New Roman"/>
                <w:sz w:val="21"/>
              </w:rPr>
              <w:t>01.09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21"/>
                <w:szCs w:val="21"/>
              </w:rPr>
            </w:pPr>
            <w:r>
              <w:rPr>
                <w:rFonts w:ascii="Times New Roman"/>
                <w:sz w:val="21"/>
              </w:rPr>
              <w:t>95.83</w:t>
            </w:r>
          </w:p>
          <w:p>
            <w:pPr>
              <w:pStyle w:val="TableParagraph"/>
              <w:spacing w:line="240" w:lineRule="auto" w:before="70"/>
              <w:ind w:left="513" w:right="0"/>
              <w:jc w:val="left"/>
              <w:rPr>
                <w:rFonts w:ascii="Times New Roman" w:hAnsi="Times New Roman" w:cs="Times New Roman" w:eastAsia="Times New Roman" w:hint="default"/>
                <w:sz w:val="21"/>
                <w:szCs w:val="21"/>
              </w:rPr>
            </w:pPr>
            <w:r>
              <w:rPr>
                <w:rFonts w:ascii="Times New Roman"/>
                <w:w w:val="100"/>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1" w:right="0"/>
              <w:jc w:val="left"/>
              <w:rPr>
                <w:rFonts w:ascii="Times New Roman" w:hAnsi="Times New Roman" w:cs="Times New Roman" w:eastAsia="Times New Roman" w:hint="default"/>
                <w:sz w:val="21"/>
                <w:szCs w:val="21"/>
              </w:rPr>
            </w:pPr>
            <w:r>
              <w:rPr>
                <w:rFonts w:ascii="Times New Roman"/>
                <w:sz w:val="21"/>
              </w:rPr>
              <w:t>217,66</w:t>
            </w:r>
          </w:p>
          <w:p>
            <w:pPr>
              <w:pStyle w:val="TableParagraph"/>
              <w:spacing w:line="240" w:lineRule="auto" w:before="70"/>
              <w:ind w:left="163" w:right="0"/>
              <w:jc w:val="left"/>
              <w:rPr>
                <w:rFonts w:ascii="Times New Roman" w:hAnsi="Times New Roman" w:cs="Times New Roman" w:eastAsia="Times New Roman" w:hint="default"/>
                <w:sz w:val="21"/>
                <w:szCs w:val="21"/>
              </w:rPr>
            </w:pPr>
            <w:r>
              <w:rPr>
                <w:rFonts w:ascii="Times New Roman"/>
                <w:sz w:val="21"/>
              </w:rPr>
              <w:t>9,099.</w:t>
            </w:r>
          </w:p>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sz w:val="21"/>
              </w:rPr>
              <w:t>92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19.43</w:t>
            </w:r>
          </w:p>
          <w:p>
            <w:pPr>
              <w:pStyle w:val="TableParagraph"/>
              <w:spacing w:line="240" w:lineRule="auto" w:before="70"/>
              <w:ind w:left="509" w:right="0"/>
              <w:jc w:val="left"/>
              <w:rPr>
                <w:rFonts w:ascii="Times New Roman" w:hAnsi="Times New Roman" w:cs="Times New Roman" w:eastAsia="Times New Roman" w:hint="default"/>
                <w:sz w:val="21"/>
                <w:szCs w:val="21"/>
              </w:rPr>
            </w:pPr>
            <w:r>
              <w:rPr>
                <w:rFonts w:ascii="Times New Roman"/>
                <w:w w:val="100"/>
                <w:sz w:val="21"/>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902,499</w:t>
            </w:r>
          </w:p>
          <w:p>
            <w:pPr>
              <w:pStyle w:val="TableParagraph"/>
              <w:spacing w:line="240" w:lineRule="auto" w:before="70"/>
              <w:ind w:left="191" w:right="0"/>
              <w:jc w:val="left"/>
              <w:rPr>
                <w:rFonts w:ascii="Times New Roman" w:hAnsi="Times New Roman" w:cs="Times New Roman" w:eastAsia="Times New Roman" w:hint="default"/>
                <w:sz w:val="21"/>
                <w:szCs w:val="21"/>
              </w:rPr>
            </w:pPr>
            <w:r>
              <w:rPr>
                <w:rFonts w:ascii="Times New Roman"/>
                <w:sz w:val="21"/>
              </w:rPr>
              <w:t>,101.17</w:t>
            </w: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4" w:right="0"/>
              <w:jc w:val="left"/>
              <w:rPr>
                <w:rFonts w:ascii="Times New Roman" w:hAnsi="Times New Roman" w:cs="Times New Roman" w:eastAsia="Times New Roman" w:hint="default"/>
                <w:sz w:val="21"/>
                <w:szCs w:val="21"/>
              </w:rPr>
            </w:pPr>
            <w:r>
              <w:rPr>
                <w:rFonts w:ascii="Times New Roman"/>
                <w:sz w:val="21"/>
              </w:rPr>
              <w:t>1,545,</w:t>
            </w:r>
          </w:p>
          <w:p>
            <w:pPr>
              <w:pStyle w:val="TableParagraph"/>
              <w:spacing w:line="240" w:lineRule="auto" w:before="65"/>
              <w:ind w:left="177" w:right="0"/>
              <w:jc w:val="left"/>
              <w:rPr>
                <w:rFonts w:ascii="Times New Roman" w:hAnsi="Times New Roman" w:cs="Times New Roman" w:eastAsia="Times New Roman" w:hint="default"/>
                <w:sz w:val="21"/>
                <w:szCs w:val="21"/>
              </w:rPr>
            </w:pPr>
            <w:r>
              <w:rPr>
                <w:rFonts w:ascii="Times New Roman"/>
                <w:sz w:val="21"/>
              </w:rPr>
              <w:t>489,5</w:t>
            </w:r>
          </w:p>
          <w:p>
            <w:pPr>
              <w:pStyle w:val="TableParagraph"/>
              <w:spacing w:line="240" w:lineRule="auto" w:before="75"/>
              <w:ind w:left="177" w:right="0"/>
              <w:jc w:val="left"/>
              <w:rPr>
                <w:rFonts w:ascii="Times New Roman" w:hAnsi="Times New Roman" w:cs="Times New Roman" w:eastAsia="Times New Roman" w:hint="default"/>
                <w:sz w:val="21"/>
                <w:szCs w:val="21"/>
              </w:rPr>
            </w:pPr>
            <w:r>
              <w:rPr>
                <w:rFonts w:ascii="Times New Roman"/>
                <w:sz w:val="21"/>
              </w:rPr>
              <w:t>59.95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75"/>
              <w:ind w:left="271" w:right="0"/>
              <w:jc w:val="center"/>
              <w:rPr>
                <w:rFonts w:ascii="Times New Roman" w:hAnsi="Times New Roman" w:cs="Times New Roman" w:eastAsia="Times New Roman" w:hint="default"/>
                <w:sz w:val="21"/>
                <w:szCs w:val="21"/>
              </w:rPr>
            </w:pPr>
            <w:r>
              <w:rPr>
                <w:rFonts w:ascii="Times New Roman"/>
                <w:sz w:val="21"/>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6" w:right="0"/>
              <w:jc w:val="center"/>
              <w:rPr>
                <w:rFonts w:ascii="Times New Roman" w:hAnsi="Times New Roman" w:cs="Times New Roman" w:eastAsia="Times New Roman" w:hint="default"/>
                <w:sz w:val="21"/>
                <w:szCs w:val="21"/>
              </w:rPr>
            </w:pPr>
            <w:r>
              <w:rPr>
                <w:rFonts w:ascii="Times New Roman"/>
                <w:sz w:val="21"/>
              </w:rPr>
              <w:t>250,3</w:t>
            </w:r>
          </w:p>
          <w:p>
            <w:pPr>
              <w:pStyle w:val="TableParagraph"/>
              <w:spacing w:line="240" w:lineRule="auto" w:before="65"/>
              <w:ind w:left="86" w:right="0"/>
              <w:jc w:val="center"/>
              <w:rPr>
                <w:rFonts w:ascii="Times New Roman" w:hAnsi="Times New Roman" w:cs="Times New Roman" w:eastAsia="Times New Roman" w:hint="default"/>
                <w:sz w:val="21"/>
                <w:szCs w:val="21"/>
              </w:rPr>
            </w:pPr>
            <w:r>
              <w:rPr>
                <w:rFonts w:ascii="Times New Roman"/>
                <w:sz w:val="21"/>
              </w:rPr>
              <w:t>07,13</w:t>
            </w:r>
          </w:p>
          <w:p>
            <w:pPr>
              <w:pStyle w:val="TableParagraph"/>
              <w:spacing w:line="240" w:lineRule="auto" w:before="75"/>
              <w:ind w:left="182" w:right="0"/>
              <w:jc w:val="center"/>
              <w:rPr>
                <w:rFonts w:ascii="Times New Roman" w:hAnsi="Times New Roman" w:cs="Times New Roman" w:eastAsia="Times New Roman" w:hint="default"/>
                <w:sz w:val="21"/>
                <w:szCs w:val="21"/>
              </w:rPr>
            </w:pPr>
            <w:r>
              <w:rPr>
                <w:rFonts w:ascii="Times New Roman"/>
                <w:sz w:val="21"/>
              </w:rPr>
              <w:t>8.61</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1,295,</w:t>
            </w:r>
          </w:p>
          <w:p>
            <w:pPr>
              <w:pStyle w:val="TableParagraph"/>
              <w:spacing w:line="240" w:lineRule="auto" w:before="65"/>
              <w:ind w:left="206" w:right="0"/>
              <w:jc w:val="left"/>
              <w:rPr>
                <w:rFonts w:ascii="Times New Roman" w:hAnsi="Times New Roman" w:cs="Times New Roman" w:eastAsia="Times New Roman" w:hint="default"/>
                <w:sz w:val="21"/>
                <w:szCs w:val="21"/>
              </w:rPr>
            </w:pPr>
            <w:r>
              <w:rPr>
                <w:rFonts w:ascii="Times New Roman"/>
                <w:sz w:val="21"/>
              </w:rPr>
              <w:t>182,4</w:t>
            </w:r>
          </w:p>
          <w:p>
            <w:pPr>
              <w:pStyle w:val="TableParagraph"/>
              <w:spacing w:line="240" w:lineRule="auto" w:before="75"/>
              <w:ind w:left="206" w:right="0"/>
              <w:jc w:val="left"/>
              <w:rPr>
                <w:rFonts w:ascii="Times New Roman" w:hAnsi="Times New Roman" w:cs="Times New Roman" w:eastAsia="Times New Roman" w:hint="default"/>
                <w:sz w:val="21"/>
                <w:szCs w:val="21"/>
              </w:rPr>
            </w:pPr>
            <w:r>
              <w:rPr>
                <w:rFonts w:ascii="Times New Roman"/>
                <w:sz w:val="21"/>
              </w:rPr>
              <w:t>21.34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1,168,</w:t>
            </w:r>
          </w:p>
          <w:p>
            <w:pPr>
              <w:pStyle w:val="TableParagraph"/>
              <w:spacing w:line="240" w:lineRule="auto" w:before="65"/>
              <w:ind w:left="196" w:right="0"/>
              <w:jc w:val="left"/>
              <w:rPr>
                <w:rFonts w:ascii="Times New Roman" w:hAnsi="Times New Roman" w:cs="Times New Roman" w:eastAsia="Times New Roman" w:hint="default"/>
                <w:sz w:val="21"/>
                <w:szCs w:val="21"/>
              </w:rPr>
            </w:pPr>
            <w:r>
              <w:rPr>
                <w:rFonts w:ascii="Times New Roman"/>
                <w:sz w:val="21"/>
              </w:rPr>
              <w:t>953,5</w:t>
            </w:r>
          </w:p>
          <w:p>
            <w:pPr>
              <w:pStyle w:val="TableParagraph"/>
              <w:spacing w:line="240" w:lineRule="auto" w:before="75"/>
              <w:ind w:left="196" w:right="0"/>
              <w:jc w:val="left"/>
              <w:rPr>
                <w:rFonts w:ascii="Times New Roman" w:hAnsi="Times New Roman" w:cs="Times New Roman" w:eastAsia="Times New Roman" w:hint="default"/>
                <w:sz w:val="21"/>
                <w:szCs w:val="21"/>
              </w:rPr>
            </w:pPr>
            <w:r>
              <w:rPr>
                <w:rFonts w:ascii="Times New Roman"/>
                <w:sz w:val="21"/>
              </w:rPr>
              <w:t>18.94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5"/>
              <w:ind w:left="513" w:right="0"/>
              <w:jc w:val="left"/>
              <w:rPr>
                <w:rFonts w:ascii="Times New Roman" w:hAnsi="Times New Roman" w:cs="Times New Roman" w:eastAsia="Times New Roman" w:hint="default"/>
                <w:sz w:val="21"/>
                <w:szCs w:val="21"/>
              </w:rPr>
            </w:pPr>
            <w:r>
              <w:rPr>
                <w:rFonts w:ascii="Times New Roman"/>
                <w:w w:val="100"/>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1" w:right="0"/>
              <w:jc w:val="left"/>
              <w:rPr>
                <w:rFonts w:ascii="Times New Roman" w:hAnsi="Times New Roman" w:cs="Times New Roman" w:eastAsia="Times New Roman" w:hint="default"/>
                <w:sz w:val="21"/>
                <w:szCs w:val="21"/>
              </w:rPr>
            </w:pPr>
            <w:r>
              <w:rPr>
                <w:rFonts w:ascii="Times New Roman"/>
                <w:sz w:val="21"/>
              </w:rPr>
              <w:t>264,68</w:t>
            </w:r>
          </w:p>
          <w:p>
            <w:pPr>
              <w:pStyle w:val="TableParagraph"/>
              <w:spacing w:line="240" w:lineRule="auto" w:before="65"/>
              <w:ind w:left="163" w:right="0"/>
              <w:jc w:val="left"/>
              <w:rPr>
                <w:rFonts w:ascii="Times New Roman" w:hAnsi="Times New Roman" w:cs="Times New Roman" w:eastAsia="Times New Roman" w:hint="default"/>
                <w:sz w:val="21"/>
                <w:szCs w:val="21"/>
              </w:rPr>
            </w:pPr>
            <w:r>
              <w:rPr>
                <w:rFonts w:ascii="Times New Roman"/>
                <w:sz w:val="21"/>
              </w:rPr>
              <w:t>6,144.</w:t>
            </w:r>
          </w:p>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sz w:val="21"/>
              </w:rPr>
              <w:t>53</w:t>
            </w: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904,267</w:t>
            </w:r>
          </w:p>
          <w:p>
            <w:pPr>
              <w:pStyle w:val="TableParagraph"/>
              <w:spacing w:line="240" w:lineRule="auto" w:before="75"/>
              <w:ind w:left="191" w:right="0"/>
              <w:jc w:val="left"/>
              <w:rPr>
                <w:rFonts w:ascii="Times New Roman" w:hAnsi="Times New Roman" w:cs="Times New Roman" w:eastAsia="Times New Roman" w:hint="default"/>
                <w:sz w:val="21"/>
                <w:szCs w:val="21"/>
              </w:rPr>
            </w:pPr>
            <w:r>
              <w:rPr>
                <w:rFonts w:ascii="Times New Roman"/>
                <w:sz w:val="21"/>
              </w:rPr>
              <w:t>,374.41</w:t>
            </w:r>
          </w:p>
        </w:tc>
      </w:tr>
    </w:tbl>
    <w:p>
      <w:pPr>
        <w:pStyle w:val="BodyText"/>
        <w:spacing w:line="240" w:lineRule="auto" w:before="28"/>
        <w:ind w:right="1002"/>
        <w:jc w:val="left"/>
      </w:pPr>
      <w:r>
        <w:rPr/>
        <w:t>按单项计提坏账准备：</w:t>
      </w:r>
    </w:p>
    <w:p>
      <w:pPr>
        <w:pStyle w:val="BodyText"/>
        <w:spacing w:line="240" w:lineRule="auto" w:before="75"/>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270"/>
        <w:gridCol w:w="1547"/>
        <w:gridCol w:w="1575"/>
        <w:gridCol w:w="1268"/>
        <w:gridCol w:w="2559"/>
      </w:tblGrid>
      <w:tr>
        <w:trPr>
          <w:trHeight w:val="401" w:hRule="exact"/>
        </w:trPr>
        <w:tc>
          <w:tcPr>
            <w:tcW w:w="32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69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3270" w:type="dxa"/>
            <w:vMerge/>
            <w:tcBorders>
              <w:left w:val="single" w:sz="4" w:space="0" w:color="000000"/>
              <w:bottom w:val="single" w:sz="4" w:space="0" w:color="000000"/>
              <w:right w:val="single" w:sz="4" w:space="0" w:color="000000"/>
            </w:tcBorders>
            <w:shd w:val="clear" w:color="auto" w:fill="D2D2D2"/>
          </w:tcPr>
          <w:p>
            <w:pP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4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5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06"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东莞大酒店有限公司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3,800,000.00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3,800,000.00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100.00%</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公司已注销</w:t>
            </w: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繁昌县好而优购物中心有限公司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1,507,285.00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1,507,285.00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100.00%</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胜诉一年以上未回款</w:t>
            </w:r>
          </w:p>
        </w:tc>
      </w:tr>
      <w:tr>
        <w:trPr>
          <w:trHeight w:val="398"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镇江中安电子科技有限公司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14,919,171.11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14,919,171.11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100.00%</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账龄较长，预计无法收回</w:t>
            </w: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鄂尔多斯机场改扩建工程指挥部</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4,086,642.86</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4,086,642.86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z w:val="21"/>
              </w:rPr>
              <w:t>100.00%</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账龄较长，预计无法收回</w:t>
            </w:r>
          </w:p>
        </w:tc>
      </w:tr>
      <w:tr>
        <w:trPr>
          <w:trHeight w:val="404"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成都市兴城投资有限公司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3,036,863.20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3,036,863.20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Times New Roman" w:hAnsi="Times New Roman" w:cs="Times New Roman" w:eastAsia="Times New Roman" w:hint="default"/>
                <w:sz w:val="21"/>
                <w:szCs w:val="21"/>
              </w:rPr>
            </w:pPr>
            <w:r>
              <w:rPr>
                <w:rFonts w:ascii="Times New Roman"/>
                <w:sz w:val="21"/>
              </w:rPr>
              <w:t>100.00%</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账龄较长，预计无法收回</w:t>
            </w: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山东盛圆酒店管理有限公司</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2,792,513.43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2,792,513.43</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100.00%</w:t>
            </w:r>
          </w:p>
        </w:tc>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法院判决胜诉，部分收回</w:t>
            </w:r>
          </w:p>
        </w:tc>
      </w:tr>
      <w:tr>
        <w:trPr>
          <w:trHeight w:val="403" w:hRule="exact"/>
        </w:trPr>
        <w:tc>
          <w:tcPr>
            <w:tcW w:w="3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30,142,475.60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30,142,475.60</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002"/>
        <w:jc w:val="left"/>
      </w:pPr>
      <w:r>
        <w:rPr/>
        <w:t>按单项计提坏账准备：</w:t>
      </w:r>
    </w:p>
    <w:p>
      <w:pPr>
        <w:pStyle w:val="BodyText"/>
        <w:spacing w:line="240" w:lineRule="auto" w:before="76"/>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计提理由</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BodyText"/>
        <w:spacing w:line="240" w:lineRule="auto"/>
        <w:ind w:right="1002"/>
        <w:jc w:val="left"/>
      </w:pPr>
      <w:r>
        <w:rPr/>
        <w:t>按组合计提坏账准备：</w:t>
      </w:r>
    </w:p>
    <w:p>
      <w:pPr>
        <w:pStyle w:val="BodyText"/>
        <w:spacing w:line="240" w:lineRule="auto" w:before="75"/>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399"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1,044,179,657.56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31,175,736.33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2.99%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186,844,954.44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23,970,742.05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12.83%</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112,949,785.51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17,623,617.95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15.60%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54,087,166.57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32,637,067.32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60.34%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36,904,497.71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34,376,476.80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93.15%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72,243,468.79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72,243,468.79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1,507,209,530.58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212,027,109.24</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9"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headerReference w:type="default" r:id="rId22"/>
          <w:pgSz w:w="11910" w:h="16840"/>
          <w:pgMar w:header="906" w:footer="1022" w:top="1100" w:bottom="1220" w:left="1020" w:right="0"/>
        </w:sectPr>
      </w:pPr>
    </w:p>
    <w:p>
      <w:pPr>
        <w:pStyle w:val="BodyText"/>
        <w:spacing w:line="309" w:lineRule="auto" w:before="29"/>
        <w:ind w:right="-6"/>
        <w:jc w:val="left"/>
      </w:pPr>
      <w:r>
        <w:rPr>
          <w:spacing w:val="-1"/>
        </w:rPr>
        <w:t>确定该组合依据的说明：</w:t>
      </w:r>
      <w:r>
        <w:rPr>
          <w:spacing w:val="-91"/>
        </w:rPr>
        <w:t> </w:t>
      </w:r>
      <w:r>
        <w:rPr>
          <w:spacing w:val="-91"/>
        </w:rPr>
      </w:r>
      <w:r>
        <w:rPr/>
        <w:t>按组合计提坏账准备：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40"/>
          <w:pgMar w:top="1100" w:bottom="1220" w:left="1020" w:right="0"/>
          <w:cols w:num="2" w:equalWidth="0">
            <w:col w:w="2427" w:space="6269"/>
            <w:col w:w="2194"/>
          </w:cols>
        </w:sectPr>
      </w:pP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99"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2" w:right="0"/>
              <w:jc w:val="left"/>
              <w:rPr>
                <w:rFonts w:ascii="宋体" w:hAnsi="宋体" w:cs="宋体" w:eastAsia="宋体" w:hint="default"/>
                <w:sz w:val="21"/>
                <w:szCs w:val="21"/>
              </w:rPr>
            </w:pPr>
            <w:r>
              <w:rPr>
                <w:rFonts w:ascii="宋体" w:hAnsi="宋体" w:cs="宋体" w:eastAsia="宋体" w:hint="default"/>
                <w:sz w:val="21"/>
                <w:szCs w:val="21"/>
              </w:rPr>
              <w:t>计提比例</w:t>
            </w:r>
          </w:p>
        </w:tc>
      </w:tr>
    </w:tbl>
    <w:p>
      <w:pPr>
        <w:pStyle w:val="BodyText"/>
        <w:spacing w:line="290" w:lineRule="auto" w:before="28"/>
        <w:ind w:right="1002"/>
        <w:jc w:val="left"/>
      </w:pPr>
      <w:r>
        <w:rPr/>
        <w:t>确定该组合依据的说明：</w:t>
      </w:r>
      <w:r>
        <w:rPr>
          <w:spacing w:val="-102"/>
        </w:rPr>
        <w:t> </w:t>
      </w:r>
      <w:r>
        <w:rPr>
          <w:spacing w:val="-102"/>
        </w:rPr>
      </w:r>
      <w:r>
        <w:rPr>
          <w:spacing w:val="-2"/>
        </w:rPr>
        <w:t>如是按照预期信用损失一般模型计提应收账款坏账准备，请参照其他应收款的披露方式披露坏账准备的相</w:t>
      </w:r>
      <w:r>
        <w:rPr>
          <w:spacing w:val="-33"/>
        </w:rPr>
        <w:t> </w:t>
      </w:r>
      <w:r>
        <w:rPr>
          <w:spacing w:val="-33"/>
        </w:rPr>
      </w:r>
      <w:r>
        <w:rPr/>
        <w:t>关信息：</w:t>
      </w:r>
    </w:p>
    <w:p>
      <w:pPr>
        <w:pStyle w:val="BodyText"/>
        <w:spacing w:line="309" w:lineRule="auto" w:before="31"/>
        <w:ind w:right="8962"/>
        <w:jc w:val="left"/>
      </w:pPr>
      <w:r>
        <w:rPr/>
        <w:t>√ 适用 □</w:t>
      </w:r>
      <w:r>
        <w:rPr>
          <w:spacing w:val="4"/>
        </w:rPr>
        <w:t> </w:t>
      </w:r>
      <w:r>
        <w:rPr/>
        <w:t>不适用</w:t>
      </w:r>
      <w:r>
        <w:rPr>
          <w:w w:val="100"/>
        </w:rPr>
        <w:t> </w:t>
      </w:r>
      <w:r>
        <w:rPr/>
        <w:t>按账龄披露</w:t>
      </w:r>
    </w:p>
    <w:p>
      <w:pPr>
        <w:pStyle w:val="BodyText"/>
        <w:spacing w:line="240" w:lineRule="auto" w:before="14"/>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1,044,187,366.29</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186,856,061.94</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113,131,785.51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201,314,346.21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54,686,700.35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41,033,728.60</w:t>
            </w:r>
          </w:p>
        </w:tc>
      </w:tr>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105,593,917.26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1,545,489,559.95</w:t>
            </w:r>
          </w:p>
        </w:tc>
      </w:tr>
    </w:tbl>
    <w:p>
      <w:pPr>
        <w:pStyle w:val="BodyText"/>
        <w:spacing w:line="261" w:lineRule="auto" w:before="28"/>
        <w:ind w:right="1196"/>
        <w:jc w:val="left"/>
      </w:pPr>
      <w:r>
        <w:rPr/>
        <w:t>公司需要遵守《深圳证券交易所行业信息披露指引第</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号——上市公司从事软件与信息技术服务业务》</w:t>
      </w:r>
      <w:r>
        <w:rPr>
          <w:w w:val="100"/>
        </w:rPr>
        <w:t> </w:t>
      </w:r>
      <w:r>
        <w:rPr/>
        <w:t>的披露要求</w:t>
      </w:r>
    </w:p>
    <w:p>
      <w:pPr>
        <w:spacing w:line="240" w:lineRule="auto" w:before="11"/>
        <w:rPr>
          <w:rFonts w:ascii="宋体" w:hAnsi="宋体" w:cs="宋体" w:eastAsia="宋体" w:hint="default"/>
          <w:sz w:val="23"/>
          <w:szCs w:val="23"/>
        </w:rPr>
      </w:pPr>
    </w:p>
    <w:p>
      <w:pPr>
        <w:spacing w:line="511" w:lineRule="auto" w:before="0"/>
        <w:ind w:left="113" w:right="6640" w:firstLine="0"/>
        <w:jc w:val="left"/>
        <w:rPr>
          <w:rFonts w:ascii="宋体" w:hAnsi="宋体" w:cs="宋体" w:eastAsia="宋体" w:hint="default"/>
          <w:sz w:val="21"/>
          <w:szCs w:val="21"/>
        </w:rPr>
      </w:pPr>
      <w:bookmarkStart w:name="（2）本期计提、收回或转回的坏账准备情况" w:id="253"/>
      <w:bookmarkEnd w:id="2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100"/>
          <w:sz w:val="21"/>
          <w:szCs w:val="21"/>
        </w:rPr>
        <w:t> </w:t>
      </w:r>
      <w:r>
        <w:rPr>
          <w:rFonts w:ascii="宋体" w:hAnsi="宋体" w:cs="宋体" w:eastAsia="宋体" w:hint="default"/>
          <w:sz w:val="21"/>
          <w:szCs w:val="21"/>
        </w:rPr>
        <w:t>本期计提坏账准备情况：</w:t>
      </w:r>
    </w:p>
    <w:p>
      <w:pPr>
        <w:spacing w:after="0" w:line="511" w:lineRule="auto"/>
        <w:jc w:val="left"/>
        <w:rPr>
          <w:rFonts w:ascii="宋体" w:hAnsi="宋体" w:cs="宋体" w:eastAsia="宋体" w:hint="default"/>
          <w:sz w:val="21"/>
          <w:szCs w:val="21"/>
        </w:rPr>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75"/>
        <w:gridCol w:w="1695"/>
        <w:gridCol w:w="836"/>
        <w:gridCol w:w="1368"/>
        <w:gridCol w:w="1364"/>
        <w:gridCol w:w="1052"/>
        <w:gridCol w:w="1685"/>
      </w:tblGrid>
      <w:tr>
        <w:trPr>
          <w:trHeight w:val="403" w:hRule="exact"/>
        </w:trPr>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6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46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4" w:hRule="exact"/>
        </w:trPr>
        <w:tc>
          <w:tcPr>
            <w:tcW w:w="1575" w:type="dxa"/>
            <w:vMerge/>
            <w:tcBorders>
              <w:left w:val="single" w:sz="4" w:space="0" w:color="000000"/>
              <w:bottom w:val="single" w:sz="4" w:space="0" w:color="000000"/>
              <w:right w:val="single" w:sz="4" w:space="0" w:color="000000"/>
            </w:tcBorders>
            <w:shd w:val="clear" w:color="auto" w:fill="D2D2D2"/>
          </w:tcPr>
          <w:p>
            <w:pPr/>
          </w:p>
        </w:tc>
        <w:tc>
          <w:tcPr>
            <w:tcW w:w="1695" w:type="dxa"/>
            <w:vMerge/>
            <w:tcBorders>
              <w:left w:val="single" w:sz="4" w:space="0" w:color="000000"/>
              <w:bottom w:val="single" w:sz="4" w:space="0" w:color="000000"/>
              <w:right w:val="single" w:sz="4" w:space="0" w:color="000000"/>
            </w:tcBorders>
            <w:shd w:val="clear" w:color="auto" w:fill="D2D2D2"/>
          </w:tcPr>
          <w:p>
            <w:pP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02"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47"/>
              <w:jc w:val="right"/>
              <w:rPr>
                <w:rFonts w:ascii="宋体" w:hAnsi="宋体" w:cs="宋体" w:eastAsia="宋体" w:hint="default"/>
                <w:sz w:val="21"/>
                <w:szCs w:val="21"/>
              </w:rPr>
            </w:pPr>
            <w:r>
              <w:rPr>
                <w:rFonts w:ascii="宋体" w:hAnsi="宋体" w:cs="宋体" w:eastAsia="宋体" w:hint="default"/>
                <w:sz w:val="21"/>
                <w:szCs w:val="21"/>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核销</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5"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5"/>
              <w:jc w:val="both"/>
              <w:rPr>
                <w:rFonts w:ascii="宋体" w:hAnsi="宋体" w:cs="宋体" w:eastAsia="宋体" w:hint="default"/>
                <w:sz w:val="21"/>
                <w:szCs w:val="21"/>
              </w:rPr>
            </w:pPr>
            <w:r>
              <w:rPr>
                <w:rFonts w:ascii="宋体" w:hAnsi="宋体" w:cs="宋体" w:eastAsia="宋体" w:hint="default"/>
                <w:sz w:val="21"/>
                <w:szCs w:val="21"/>
              </w:rPr>
              <w:t>单项计提预期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信用损失的应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收账款</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47,017,044.61</w:t>
            </w:r>
          </w:p>
        </w:tc>
        <w:tc>
          <w:tcPr>
            <w:tcW w:w="83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133,425.91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8,603,589.33</w:t>
            </w:r>
          </w:p>
        </w:tc>
        <w:tc>
          <w:tcPr>
            <w:tcW w:w="105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38,280,029.37</w:t>
            </w:r>
          </w:p>
        </w:tc>
      </w:tr>
      <w:tr>
        <w:trPr>
          <w:trHeight w:val="1023" w:hRule="exact"/>
        </w:trPr>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5"/>
              <w:jc w:val="both"/>
              <w:rPr>
                <w:rFonts w:ascii="宋体" w:hAnsi="宋体" w:cs="宋体" w:eastAsia="宋体" w:hint="default"/>
                <w:sz w:val="21"/>
                <w:szCs w:val="21"/>
              </w:rPr>
            </w:pPr>
            <w:r>
              <w:rPr>
                <w:rFonts w:ascii="宋体" w:hAnsi="宋体" w:cs="宋体" w:eastAsia="宋体" w:hint="default"/>
                <w:sz w:val="21"/>
                <w:szCs w:val="21"/>
              </w:rPr>
              <w:t>按组合计提预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期信用损失的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应收账款</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217,669,099.92</w:t>
            </w:r>
          </w:p>
        </w:tc>
        <w:tc>
          <w:tcPr>
            <w:tcW w:w="83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5,504,550.40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137,440.28</w:t>
            </w:r>
          </w:p>
        </w:tc>
        <w:tc>
          <w:tcPr>
            <w:tcW w:w="105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212,027,109.24</w:t>
            </w:r>
          </w:p>
        </w:tc>
      </w:tr>
      <w:tr>
        <w:trPr>
          <w:trHeight w:val="403" w:hRule="exact"/>
        </w:trPr>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264,686,144.53</w:t>
            </w:r>
          </w:p>
        </w:tc>
        <w:tc>
          <w:tcPr>
            <w:tcW w:w="83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5,637,976.31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8,741,029.61</w:t>
            </w:r>
          </w:p>
        </w:tc>
        <w:tc>
          <w:tcPr>
            <w:tcW w:w="105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250,307,138.61</w:t>
            </w:r>
          </w:p>
        </w:tc>
      </w:tr>
    </w:tbl>
    <w:p>
      <w:pPr>
        <w:pStyle w:val="BodyText"/>
        <w:spacing w:line="240" w:lineRule="auto" w:before="28"/>
        <w:ind w:right="1002"/>
        <w:jc w:val="left"/>
      </w:pPr>
      <w:r>
        <w:rPr/>
        <w:t>其中本期坏账准备收回或转回金额重要的：</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9"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3）本期实际核销的应收账款情况" w:id="254"/>
      <w:bookmarkEnd w:id="25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8,741,029.61</w:t>
            </w:r>
          </w:p>
        </w:tc>
      </w:tr>
    </w:tbl>
    <w:p>
      <w:pPr>
        <w:pStyle w:val="BodyText"/>
        <w:spacing w:line="240" w:lineRule="auto" w:before="28"/>
        <w:ind w:right="1002"/>
        <w:jc w:val="left"/>
      </w:pPr>
      <w:r>
        <w:rPr/>
        <w:t>其中重要的应收账款核销情况：</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682" w:right="161" w:hanging="524"/>
              <w:jc w:val="left"/>
              <w:rPr>
                <w:rFonts w:ascii="宋体" w:hAnsi="宋体" w:cs="宋体" w:eastAsia="宋体" w:hint="default"/>
                <w:sz w:val="21"/>
                <w:szCs w:val="21"/>
              </w:rPr>
            </w:pPr>
            <w:r>
              <w:rPr>
                <w:rFonts w:ascii="宋体" w:hAnsi="宋体" w:cs="宋体" w:eastAsia="宋体" w:hint="default"/>
                <w:sz w:val="21"/>
                <w:szCs w:val="21"/>
              </w:rPr>
              <w:t>履行的核销程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68" w:right="156" w:hanging="106"/>
              <w:jc w:val="left"/>
              <w:rPr>
                <w:rFonts w:ascii="宋体" w:hAnsi="宋体" w:cs="宋体" w:eastAsia="宋体" w:hint="default"/>
                <w:sz w:val="21"/>
                <w:szCs w:val="21"/>
              </w:rPr>
            </w:pPr>
            <w:r>
              <w:rPr>
                <w:rFonts w:ascii="宋体" w:hAnsi="宋体" w:cs="宋体" w:eastAsia="宋体" w:hint="default"/>
                <w:sz w:val="21"/>
                <w:szCs w:val="21"/>
              </w:rPr>
              <w:t>款项是否由关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联交易产生</w:t>
            </w:r>
          </w:p>
        </w:tc>
      </w:tr>
    </w:tbl>
    <w:p>
      <w:pPr>
        <w:pStyle w:val="BodyText"/>
        <w:spacing w:line="240" w:lineRule="auto" w:before="28"/>
        <w:ind w:right="1002"/>
        <w:jc w:val="left"/>
      </w:pPr>
      <w:r>
        <w:rPr/>
        <w:t>应收账款核销说明：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4）按欠款方归集的期末余额前五名的应收账款情况" w:id="255"/>
      <w:bookmarkEnd w:id="25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83"/>
        <w:gridCol w:w="2531"/>
        <w:gridCol w:w="2526"/>
        <w:gridCol w:w="2531"/>
      </w:tblGrid>
      <w:tr>
        <w:trPr>
          <w:trHeight w:val="715"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35" w:right="99" w:hanging="735"/>
              <w:jc w:val="left"/>
              <w:rPr>
                <w:rFonts w:ascii="宋体" w:hAnsi="宋体" w:cs="宋体" w:eastAsia="宋体" w:hint="default"/>
                <w:sz w:val="21"/>
                <w:szCs w:val="21"/>
              </w:rPr>
            </w:pPr>
            <w:r>
              <w:rPr>
                <w:rFonts w:ascii="宋体" w:hAnsi="宋体" w:cs="宋体" w:eastAsia="宋体" w:hint="default"/>
                <w:spacing w:val="-1"/>
                <w:sz w:val="21"/>
                <w:szCs w:val="21"/>
              </w:rPr>
              <w:t>占应收账款期末余额合计</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数的比例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390,262,163.92</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25.25%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11,707,864.92</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58,701,292.96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sz w:val="21"/>
              </w:rPr>
              <w:t>3.80%</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sz w:val="21"/>
              </w:rPr>
              <w:t>1,761,038.79</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23,375,355.00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1.51%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362,318.00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23,278,605.60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1.51%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5,218,625.82</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21,892,700.00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1.42%</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597,670.71</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pacing w:val="-1"/>
                <w:sz w:val="21"/>
              </w:rPr>
              <w:t>517,510,117.48</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5"/>
              <w:jc w:val="right"/>
              <w:rPr>
                <w:rFonts w:ascii="Times New Roman" w:hAnsi="Times New Roman" w:cs="Times New Roman" w:eastAsia="Times New Roman" w:hint="default"/>
                <w:sz w:val="21"/>
                <w:szCs w:val="21"/>
              </w:rPr>
            </w:pPr>
            <w:r>
              <w:rPr>
                <w:rFonts w:ascii="Times New Roman"/>
                <w:sz w:val="21"/>
              </w:rPr>
              <w:t>33.49%</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1002"/>
        <w:jc w:val="left"/>
        <w:rPr>
          <w:b w:val="0"/>
          <w:bCs w:val="0"/>
        </w:rPr>
      </w:pPr>
      <w:bookmarkStart w:name="（5）因金融资产转移而终止确认的应收账款" w:id="256"/>
      <w:bookmarkEnd w:id="25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4"/>
          <w:szCs w:val="24"/>
        </w:rPr>
      </w:pPr>
    </w:p>
    <w:p>
      <w:pPr>
        <w:pStyle w:val="Heading5"/>
        <w:spacing w:line="511" w:lineRule="auto"/>
        <w:ind w:right="5730"/>
        <w:jc w:val="left"/>
        <w:rPr>
          <w:rFonts w:ascii="宋体" w:hAnsi="宋体" w:cs="宋体" w:eastAsia="宋体" w:hint="default"/>
          <w:b w:val="0"/>
          <w:bCs w:val="0"/>
        </w:rPr>
      </w:pPr>
      <w:bookmarkStart w:name="（6）转移应收账款且继续涉入形成的资产、负债金额" w:id="257"/>
      <w:bookmarkEnd w:id="257"/>
      <w:r>
        <w:rPr>
          <w:b w:val="0"/>
          <w:bCs w:val="0"/>
        </w:rPr>
      </w:r>
      <w:r>
        <w:rPr>
          <w:spacing w:val="-1"/>
        </w:rPr>
        <w:t>（</w:t>
      </w:r>
      <w:r>
        <w:rPr>
          <w:rFonts w:ascii="Times New Roman" w:hAnsi="Times New Roman" w:cs="Times New Roman" w:eastAsia="Times New Roman" w:hint="default"/>
          <w:spacing w:val="-1"/>
        </w:rPr>
        <w:t>6</w:t>
      </w:r>
      <w:r>
        <w:rPr>
          <w:spacing w:val="-1"/>
        </w:rPr>
        <w:t>）转移应收账款且继续涉入形成的资产、负债金额</w:t>
      </w:r>
      <w:r>
        <w:rPr>
          <w:spacing w:val="-84"/>
        </w:rPr>
        <w:t> </w:t>
      </w:r>
      <w:r>
        <w:rPr>
          <w:spacing w:val="-84"/>
        </w:rPr>
      </w:r>
      <w:r>
        <w:rPr>
          <w:rFonts w:ascii="宋体" w:hAnsi="宋体" w:cs="宋体" w:eastAsia="宋体" w:hint="default"/>
          <w:b w:val="0"/>
          <w:bCs w:val="0"/>
        </w:rPr>
        <w:t>其他说明：</w:t>
      </w:r>
    </w:p>
    <w:p>
      <w:pPr>
        <w:pStyle w:val="Heading5"/>
        <w:spacing w:line="240" w:lineRule="auto" w:before="92"/>
        <w:ind w:right="1002"/>
        <w:jc w:val="left"/>
        <w:rPr>
          <w:b w:val="0"/>
          <w:bCs w:val="0"/>
        </w:rPr>
      </w:pPr>
      <w:bookmarkStart w:name="6、应收款项融资" w:id="258"/>
      <w:bookmarkEnd w:id="258"/>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371"/>
              <w:jc w:val="right"/>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72,617,377.37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83,994,418.19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371"/>
              <w:jc w:val="righ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72,617,377.37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83,994,418.19</w:t>
            </w:r>
          </w:p>
        </w:tc>
      </w:tr>
    </w:tbl>
    <w:p>
      <w:pPr>
        <w:pStyle w:val="BodyText"/>
        <w:spacing w:line="240" w:lineRule="auto" w:before="28"/>
        <w:ind w:right="1002"/>
        <w:jc w:val="left"/>
      </w:pPr>
      <w:r>
        <w:rPr/>
        <w:t>应收款项融资本期增减变动及公允价值变动情况</w:t>
      </w:r>
    </w:p>
    <w:p>
      <w:pPr>
        <w:pStyle w:val="BodyText"/>
        <w:spacing w:line="290" w:lineRule="auto" w:before="81"/>
        <w:ind w:right="1002"/>
        <w:jc w:val="left"/>
      </w:pPr>
      <w:r>
        <w:rPr/>
        <w:t>√ 适用 □ 不适用</w:t>
      </w:r>
      <w:r>
        <w:rPr>
          <w:spacing w:val="-101"/>
        </w:rPr>
        <w:t> </w:t>
      </w:r>
      <w:r>
        <w:rPr>
          <w:spacing w:val="-101"/>
        </w:rPr>
      </w:r>
      <w:r>
        <w:rPr>
          <w:spacing w:val="-2"/>
        </w:rPr>
        <w:t>如是按照预期信用损失一般模型计提应收款项融资减值准备，请参照其他应收款的披露方式披露减值准备</w:t>
      </w:r>
      <w:r>
        <w:rPr>
          <w:spacing w:val="-33"/>
        </w:rPr>
        <w:t> </w:t>
      </w:r>
      <w:r>
        <w:rPr>
          <w:spacing w:val="-33"/>
        </w:rPr>
      </w:r>
      <w:r>
        <w:rPr/>
        <w:t>的相关信息：</w:t>
      </w:r>
    </w:p>
    <w:p>
      <w:pPr>
        <w:pStyle w:val="BodyText"/>
        <w:spacing w:line="307" w:lineRule="auto"/>
        <w:ind w:right="8962"/>
        <w:jc w:val="left"/>
      </w:pPr>
      <w:r>
        <w:rPr/>
        <w:t>√ 适用 □</w:t>
      </w:r>
      <w:r>
        <w:rPr>
          <w:spacing w:val="4"/>
        </w:rPr>
        <w:t> </w:t>
      </w:r>
      <w:r>
        <w:rPr/>
        <w:t>不适用</w:t>
      </w:r>
      <w:r>
        <w:rPr>
          <w:w w:val="100"/>
        </w:rPr>
        <w:t> </w:t>
      </w:r>
      <w:r>
        <w:rPr/>
        <w:t>其他说明：</w:t>
      </w:r>
    </w:p>
    <w:p>
      <w:pPr>
        <w:pStyle w:val="Heading5"/>
        <w:spacing w:line="240" w:lineRule="auto" w:before="94"/>
        <w:ind w:left="473" w:right="1002"/>
        <w:jc w:val="left"/>
        <w:rPr>
          <w:b w:val="0"/>
          <w:bCs w:val="0"/>
        </w:rPr>
      </w:pPr>
      <w:r>
        <w:rPr>
          <w:rFonts w:ascii="宋体" w:hAnsi="宋体" w:cs="宋体" w:eastAsia="宋体" w:hint="default"/>
        </w:rPr>
        <w:t>1</w:t>
      </w:r>
      <w:r>
        <w:rPr/>
        <w:t>、期末公司已背书或贴现且资产负债表日尚未到期的应收票据</w:t>
      </w:r>
      <w:r>
        <w:rPr>
          <w:b w:val="0"/>
          <w:bCs w:val="0"/>
        </w:rPr>
      </w:r>
    </w:p>
    <w:p>
      <w:pPr>
        <w:spacing w:line="240" w:lineRule="auto" w:before="13"/>
        <w:rPr>
          <w:rFonts w:ascii="宋体" w:hAnsi="宋体" w:cs="宋体" w:eastAsia="宋体" w:hint="default"/>
          <w:b/>
          <w:bCs/>
          <w:sz w:val="3"/>
          <w:szCs w:val="3"/>
        </w:rPr>
      </w:pPr>
    </w:p>
    <w:tbl>
      <w:tblPr>
        <w:tblW w:w="0" w:type="auto"/>
        <w:jc w:val="left"/>
        <w:tblInd w:w="103" w:type="dxa"/>
        <w:tblLayout w:type="fixed"/>
        <w:tblCellMar>
          <w:top w:w="0" w:type="dxa"/>
          <w:left w:w="0" w:type="dxa"/>
          <w:bottom w:w="0" w:type="dxa"/>
          <w:right w:w="0" w:type="dxa"/>
        </w:tblCellMar>
        <w:tblLook w:val="01E0"/>
      </w:tblPr>
      <w:tblGrid>
        <w:gridCol w:w="4264"/>
        <w:gridCol w:w="4262"/>
      </w:tblGrid>
      <w:tr>
        <w:trPr>
          <w:trHeight w:val="353" w:hRule="exact"/>
        </w:trPr>
        <w:tc>
          <w:tcPr>
            <w:tcW w:w="4264" w:type="dxa"/>
            <w:tcBorders>
              <w:top w:val="single" w:sz="6" w:space="0" w:color="000000"/>
              <w:left w:val="single" w:sz="6" w:space="0" w:color="000000"/>
              <w:bottom w:val="single" w:sz="12" w:space="0" w:color="000000"/>
              <w:right w:val="single" w:sz="6" w:space="0" w:color="000000"/>
            </w:tcBorders>
          </w:tcPr>
          <w:p>
            <w:pPr>
              <w:pStyle w:val="TableParagraph"/>
              <w:spacing w:line="270" w:lineRule="exact"/>
              <w:ind w:right="1909"/>
              <w:jc w:val="right"/>
              <w:rPr>
                <w:rFonts w:ascii="宋体" w:hAnsi="宋体" w:cs="宋体" w:eastAsia="宋体" w:hint="default"/>
                <w:sz w:val="21"/>
                <w:szCs w:val="21"/>
              </w:rPr>
            </w:pPr>
            <w:r>
              <w:rPr>
                <w:rFonts w:ascii="宋体" w:hAnsi="宋体" w:cs="宋体" w:eastAsia="宋体" w:hint="default"/>
                <w:sz w:val="21"/>
                <w:szCs w:val="21"/>
              </w:rPr>
              <w:t>项目</w:t>
            </w:r>
          </w:p>
        </w:tc>
        <w:tc>
          <w:tcPr>
            <w:tcW w:w="4262" w:type="dxa"/>
            <w:tcBorders>
              <w:top w:val="single" w:sz="6" w:space="0" w:color="000000"/>
              <w:left w:val="single" w:sz="6" w:space="0" w:color="000000"/>
              <w:bottom w:val="single" w:sz="12" w:space="0" w:color="000000"/>
              <w:right w:val="nil" w:sz="6" w:space="0" w:color="auto"/>
            </w:tcBorders>
          </w:tcPr>
          <w:p>
            <w:pPr>
              <w:pStyle w:val="TableParagraph"/>
              <w:spacing w:line="270" w:lineRule="exact"/>
              <w:ind w:left="128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r>
      <w:tr>
        <w:trPr>
          <w:trHeight w:val="355" w:hRule="exact"/>
        </w:trPr>
        <w:tc>
          <w:tcPr>
            <w:tcW w:w="4264"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4262" w:type="dxa"/>
            <w:tcBorders>
              <w:top w:val="single" w:sz="12" w:space="0" w:color="000000"/>
              <w:left w:val="single" w:sz="6" w:space="0" w:color="000000"/>
              <w:bottom w:val="single" w:sz="12" w:space="0" w:color="000000"/>
              <w:right w:val="nil" w:sz="6" w:space="0" w:color="auto"/>
            </w:tcBorders>
          </w:tcPr>
          <w:p>
            <w:pPr>
              <w:pStyle w:val="TableParagraph"/>
              <w:spacing w:line="265" w:lineRule="exact"/>
              <w:ind w:right="0"/>
              <w:jc w:val="right"/>
              <w:rPr>
                <w:rFonts w:ascii="宋体" w:hAnsi="宋体" w:cs="宋体" w:eastAsia="宋体" w:hint="default"/>
                <w:sz w:val="21"/>
                <w:szCs w:val="21"/>
              </w:rPr>
            </w:pPr>
            <w:r>
              <w:rPr>
                <w:rFonts w:ascii="宋体"/>
                <w:spacing w:val="-1"/>
                <w:sz w:val="21"/>
              </w:rPr>
              <w:t>82,337,574.25</w:t>
            </w:r>
          </w:p>
        </w:tc>
      </w:tr>
      <w:tr>
        <w:trPr>
          <w:trHeight w:val="350" w:hRule="exact"/>
        </w:trPr>
        <w:tc>
          <w:tcPr>
            <w:tcW w:w="426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right="1909"/>
              <w:jc w:val="right"/>
              <w:rPr>
                <w:rFonts w:ascii="宋体" w:hAnsi="宋体" w:cs="宋体" w:eastAsia="宋体" w:hint="default"/>
                <w:sz w:val="21"/>
                <w:szCs w:val="21"/>
              </w:rPr>
            </w:pPr>
            <w:r>
              <w:rPr>
                <w:rFonts w:ascii="宋体" w:hAnsi="宋体" w:cs="宋体" w:eastAsia="宋体" w:hint="default"/>
                <w:sz w:val="21"/>
                <w:szCs w:val="21"/>
              </w:rPr>
              <w:t>合计</w:t>
            </w:r>
          </w:p>
        </w:tc>
        <w:tc>
          <w:tcPr>
            <w:tcW w:w="4262" w:type="dxa"/>
            <w:tcBorders>
              <w:top w:val="single" w:sz="12" w:space="0" w:color="000000"/>
              <w:left w:val="single" w:sz="6" w:space="0" w:color="000000"/>
              <w:bottom w:val="single" w:sz="12" w:space="0" w:color="000000"/>
              <w:right w:val="nil" w:sz="6" w:space="0" w:color="auto"/>
            </w:tcBorders>
          </w:tcPr>
          <w:p>
            <w:pPr>
              <w:pStyle w:val="TableParagraph"/>
              <w:spacing w:line="260" w:lineRule="exact"/>
              <w:ind w:right="0"/>
              <w:jc w:val="right"/>
              <w:rPr>
                <w:rFonts w:ascii="宋体" w:hAnsi="宋体" w:cs="宋体" w:eastAsia="宋体" w:hint="default"/>
                <w:sz w:val="21"/>
                <w:szCs w:val="21"/>
              </w:rPr>
            </w:pPr>
            <w:r>
              <w:rPr>
                <w:rFonts w:ascii="宋体"/>
                <w:spacing w:val="-1"/>
                <w:sz w:val="21"/>
              </w:rPr>
              <w:t>82,337,574.25</w:t>
            </w:r>
          </w:p>
        </w:tc>
      </w:tr>
    </w:tbl>
    <w:p>
      <w:pPr>
        <w:spacing w:line="240" w:lineRule="auto" w:before="6"/>
        <w:rPr>
          <w:rFonts w:ascii="宋体" w:hAnsi="宋体" w:cs="宋体" w:eastAsia="宋体" w:hint="default"/>
          <w:b/>
          <w:bCs/>
          <w:sz w:val="14"/>
          <w:szCs w:val="14"/>
        </w:rPr>
      </w:pPr>
    </w:p>
    <w:p>
      <w:pPr>
        <w:pStyle w:val="BodyText"/>
        <w:spacing w:line="273" w:lineRule="auto"/>
        <w:ind w:right="1002" w:firstLine="360"/>
        <w:jc w:val="left"/>
      </w:pPr>
      <w:r>
        <w:rPr>
          <w:spacing w:val="-4"/>
          <w:w w:val="100"/>
        </w:rPr>
        <w:t>说明：（</w:t>
      </w:r>
      <w:r>
        <w:rPr>
          <w:rFonts w:ascii="宋体" w:hAnsi="宋体" w:cs="宋体" w:eastAsia="宋体" w:hint="default"/>
          <w:spacing w:val="-4"/>
          <w:w w:val="100"/>
        </w:rPr>
        <w:t>1</w:t>
      </w:r>
      <w:r>
        <w:rPr>
          <w:spacing w:val="-4"/>
          <w:w w:val="100"/>
        </w:rPr>
        <w:t>）银行承兑汇票的承兑人是商业银行，由于商业银行具有较高的信用，银行承兑汇票到期不</w:t>
      </w:r>
      <w:r>
        <w:rPr>
          <w:w w:val="100"/>
        </w:rPr>
        <w:t> </w:t>
      </w:r>
      <w:r>
        <w:rPr/>
        <w:t>获支付的可能性较低，故本公司将已背书或贴现的银行承兑汇票予以终止确认。</w:t>
      </w:r>
    </w:p>
    <w:p>
      <w:pPr>
        <w:pStyle w:val="BodyText"/>
        <w:spacing w:line="273" w:lineRule="auto" w:before="7"/>
        <w:ind w:right="1002" w:firstLine="360"/>
        <w:jc w:val="left"/>
      </w:pPr>
      <w:r>
        <w:rPr>
          <w:rFonts w:ascii="宋体" w:hAnsi="宋体" w:cs="宋体" w:eastAsia="宋体" w:hint="default"/>
          <w:spacing w:val="-3"/>
        </w:rPr>
        <w:t>(2)</w:t>
      </w:r>
      <w:r>
        <w:rPr>
          <w:spacing w:val="-3"/>
        </w:rPr>
        <w:t>由于银行承兑汇票除正常到期兑付外还存在背书转让或贴现且被终止确认的情况，即公司是以收取</w:t>
      </w:r>
      <w:r>
        <w:rPr>
          <w:w w:val="100"/>
        </w:rPr>
        <w:t> </w:t>
      </w:r>
      <w:r>
        <w:rPr>
          <w:spacing w:val="-2"/>
        </w:rPr>
        <w:t>合同现金流和出售兼有的业务模式管理此类票据，依据</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日开始实施的《企业会计准则第</w:t>
      </w:r>
      <w:r>
        <w:rPr>
          <w:rFonts w:ascii="宋体" w:hAnsi="宋体" w:cs="宋体" w:eastAsia="宋体" w:hint="default"/>
          <w:spacing w:val="-2"/>
        </w:rPr>
        <w:t>22</w:t>
      </w:r>
      <w:r>
        <w:rPr>
          <w:spacing w:val="-2"/>
        </w:rPr>
        <w:t>号—</w:t>
      </w:r>
    </w:p>
    <w:p>
      <w:pPr>
        <w:pStyle w:val="BodyText"/>
        <w:spacing w:line="273" w:lineRule="auto" w:before="7"/>
        <w:ind w:right="1002"/>
        <w:jc w:val="left"/>
      </w:pPr>
      <w:r>
        <w:rPr>
          <w:spacing w:val="-2"/>
        </w:rPr>
        <w:t>—金融工具确认和计量》的相关规定，自</w:t>
      </w:r>
      <w:r>
        <w:rPr>
          <w:rFonts w:ascii="宋体" w:hAnsi="宋体" w:cs="宋体" w:eastAsia="宋体" w:hint="default"/>
          <w:spacing w:val="-2"/>
        </w:rPr>
        <w:t>2019</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日起，将此类票据分类为以公允价值计量且变动入其</w:t>
      </w:r>
      <w:r>
        <w:rPr>
          <w:spacing w:val="-26"/>
        </w:rPr>
        <w:t> </w:t>
      </w:r>
      <w:r>
        <w:rPr>
          <w:spacing w:val="-26"/>
        </w:rPr>
      </w:r>
      <w:r>
        <w:rPr/>
        <w:t>他综合收益的金融资产，并在应收款项融资项目下列报。</w:t>
      </w:r>
    </w:p>
    <w:p>
      <w:pPr>
        <w:pStyle w:val="BodyText"/>
        <w:spacing w:line="273" w:lineRule="auto" w:before="7"/>
        <w:ind w:right="1002" w:firstLine="360"/>
        <w:jc w:val="left"/>
      </w:pPr>
      <w:r>
        <w:rPr>
          <w:spacing w:val="-3"/>
        </w:rPr>
        <w:t>（</w:t>
      </w:r>
      <w:r>
        <w:rPr>
          <w:rFonts w:ascii="宋体" w:hAnsi="宋体" w:cs="宋体" w:eastAsia="宋体" w:hint="default"/>
          <w:spacing w:val="-3"/>
        </w:rPr>
        <w:t>3</w:t>
      </w:r>
      <w:r>
        <w:rPr>
          <w:spacing w:val="-3"/>
        </w:rPr>
        <w:t>）于</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日，本公司认为所持有的应收款项融资不存在重大的信用风险，不会因违约而产</w:t>
      </w:r>
      <w:r>
        <w:rPr>
          <w:w w:val="100"/>
        </w:rPr>
        <w:t> </w:t>
      </w:r>
      <w:r>
        <w:rPr/>
        <w:t>生重大损失。</w:t>
      </w:r>
    </w:p>
    <w:p>
      <w:pPr>
        <w:spacing w:line="240" w:lineRule="auto" w:before="9"/>
        <w:rPr>
          <w:rFonts w:ascii="宋体" w:hAnsi="宋体" w:cs="宋体" w:eastAsia="宋体" w:hint="default"/>
          <w:sz w:val="23"/>
          <w:szCs w:val="23"/>
        </w:rPr>
      </w:pPr>
    </w:p>
    <w:p>
      <w:pPr>
        <w:pStyle w:val="Heading5"/>
        <w:spacing w:line="240" w:lineRule="auto"/>
        <w:ind w:right="1002"/>
        <w:jc w:val="left"/>
        <w:rPr>
          <w:b w:val="0"/>
          <w:bCs w:val="0"/>
        </w:rPr>
      </w:pPr>
      <w:bookmarkStart w:name="7、预付款项" w:id="259"/>
      <w:bookmarkEnd w:id="259"/>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预付款项按账龄列示" w:id="260"/>
      <w:bookmarkEnd w:id="260"/>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1"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 w:right="0"/>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17,885,690.52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36,265,263.41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96.39%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1,566,665.28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7.92%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603,678.09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1.60%</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232,867.66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549,276.19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1.46%</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88,337.41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206,231.87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0.55%</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z w:val="21"/>
              </w:rPr>
              <w:t>19,773,560.87</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5"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z w:val="21"/>
              </w:rPr>
              <w:t>37,624,449.56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5"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002"/>
        <w:jc w:val="left"/>
      </w:pPr>
      <w:r>
        <w:rPr/>
        <w:t>账龄超过</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年且金额重要的预付款项未及时结算原因的说明：</w:t>
      </w:r>
    </w:p>
    <w:p>
      <w:pPr>
        <w:spacing w:line="240" w:lineRule="auto" w:before="5"/>
        <w:rPr>
          <w:rFonts w:ascii="宋体" w:hAnsi="宋体" w:cs="宋体" w:eastAsia="宋体" w:hint="default"/>
          <w:sz w:val="24"/>
          <w:szCs w:val="24"/>
        </w:rPr>
      </w:pPr>
    </w:p>
    <w:p>
      <w:pPr>
        <w:pStyle w:val="Heading5"/>
        <w:spacing w:line="240" w:lineRule="auto"/>
        <w:ind w:right="1002"/>
        <w:jc w:val="left"/>
        <w:rPr>
          <w:b w:val="0"/>
          <w:bCs w:val="0"/>
        </w:rPr>
      </w:pPr>
      <w:bookmarkStart w:name="（2）按预付对象归集的期末余额前五名的预付款情况" w:id="261"/>
      <w:bookmarkEnd w:id="261"/>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2862"/>
        <w:gridCol w:w="1561"/>
        <w:gridCol w:w="1546"/>
        <w:gridCol w:w="1489"/>
        <w:gridCol w:w="1680"/>
      </w:tblGrid>
      <w:tr>
        <w:trPr>
          <w:trHeight w:val="658" w:hRule="exact"/>
        </w:trPr>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6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56" w:right="18" w:hanging="418"/>
              <w:jc w:val="left"/>
              <w:rPr>
                <w:rFonts w:ascii="宋体" w:hAnsi="宋体" w:cs="宋体" w:eastAsia="宋体" w:hint="default"/>
                <w:sz w:val="21"/>
                <w:szCs w:val="21"/>
              </w:rPr>
            </w:pPr>
            <w:r>
              <w:rPr>
                <w:rFonts w:ascii="宋体" w:hAnsi="宋体" w:cs="宋体" w:eastAsia="宋体" w:hint="default"/>
                <w:sz w:val="21"/>
                <w:szCs w:val="21"/>
              </w:rPr>
              <w:t>占预付款项总额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的比例</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1" w:right="0"/>
              <w:jc w:val="left"/>
              <w:rPr>
                <w:rFonts w:ascii="宋体" w:hAnsi="宋体" w:cs="宋体" w:eastAsia="宋体" w:hint="default"/>
                <w:sz w:val="21"/>
                <w:szCs w:val="21"/>
              </w:rPr>
            </w:pPr>
            <w:r>
              <w:rPr>
                <w:rFonts w:ascii="宋体" w:hAnsi="宋体" w:cs="宋体" w:eastAsia="宋体" w:hint="default"/>
                <w:sz w:val="21"/>
                <w:szCs w:val="21"/>
              </w:rPr>
              <w:t>预付款时间</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350" w:hRule="exact"/>
        </w:trPr>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中核苏电能源股份有限公司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
              <w:jc w:val="right"/>
              <w:rPr>
                <w:rFonts w:ascii="宋体" w:hAnsi="宋体" w:cs="宋体" w:eastAsia="宋体" w:hint="default"/>
                <w:sz w:val="21"/>
                <w:szCs w:val="21"/>
              </w:rPr>
            </w:pPr>
            <w:r>
              <w:rPr>
                <w:rFonts w:ascii="宋体"/>
                <w:spacing w:val="-1"/>
                <w:sz w:val="21"/>
              </w:rPr>
              <w:t>2,000,000.00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sz w:val="21"/>
              </w:rPr>
              <w:t>10.11%</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材料未到</w:t>
            </w:r>
          </w:p>
        </w:tc>
      </w:tr>
      <w:tr>
        <w:trPr>
          <w:trHeight w:val="346" w:hRule="exact"/>
        </w:trPr>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唐山智联网络有限公司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
              <w:jc w:val="right"/>
              <w:rPr>
                <w:rFonts w:ascii="宋体" w:hAnsi="宋体" w:cs="宋体" w:eastAsia="宋体" w:hint="default"/>
                <w:sz w:val="21"/>
                <w:szCs w:val="21"/>
              </w:rPr>
            </w:pPr>
            <w:r>
              <w:rPr>
                <w:rFonts w:ascii="宋体"/>
                <w:spacing w:val="-1"/>
                <w:sz w:val="21"/>
              </w:rPr>
              <w:t>1,500,000.00</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sz w:val="21"/>
              </w:rPr>
              <w:t>7.59%</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材料未到</w:t>
            </w:r>
          </w:p>
        </w:tc>
      </w:tr>
      <w:tr>
        <w:trPr>
          <w:trHeight w:val="346" w:hRule="exact"/>
        </w:trPr>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北京实创环保发展有限公司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
              <w:jc w:val="right"/>
              <w:rPr>
                <w:rFonts w:ascii="宋体" w:hAnsi="宋体" w:cs="宋体" w:eastAsia="宋体" w:hint="default"/>
                <w:sz w:val="21"/>
                <w:szCs w:val="21"/>
              </w:rPr>
            </w:pPr>
            <w:r>
              <w:rPr>
                <w:rFonts w:ascii="宋体"/>
                <w:sz w:val="21"/>
              </w:rPr>
              <w:t>811,918.78</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sz w:val="21"/>
              </w:rPr>
              <w:t>4.11%</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预付房租</w:t>
            </w:r>
          </w:p>
        </w:tc>
      </w:tr>
      <w:tr>
        <w:trPr>
          <w:trHeight w:val="346" w:hRule="exact"/>
        </w:trPr>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湖南省通晓信息科技有限公司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
              <w:jc w:val="right"/>
              <w:rPr>
                <w:rFonts w:ascii="宋体" w:hAnsi="宋体" w:cs="宋体" w:eastAsia="宋体" w:hint="default"/>
                <w:sz w:val="21"/>
                <w:szCs w:val="21"/>
              </w:rPr>
            </w:pPr>
            <w:r>
              <w:rPr>
                <w:rFonts w:ascii="宋体"/>
                <w:sz w:val="21"/>
              </w:rPr>
              <w:t>767,301.19</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sz w:val="21"/>
              </w:rPr>
              <w:t>3.88%</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材料未到</w:t>
            </w:r>
          </w:p>
        </w:tc>
      </w:tr>
      <w:tr>
        <w:trPr>
          <w:trHeight w:val="662" w:hRule="exact"/>
        </w:trPr>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04"/>
              <w:jc w:val="left"/>
              <w:rPr>
                <w:rFonts w:ascii="宋体" w:hAnsi="宋体" w:cs="宋体" w:eastAsia="宋体" w:hint="default"/>
                <w:sz w:val="21"/>
                <w:szCs w:val="21"/>
              </w:rPr>
            </w:pPr>
            <w:r>
              <w:rPr>
                <w:rFonts w:ascii="宋体" w:hAnsi="宋体" w:cs="宋体" w:eastAsia="宋体" w:hint="default"/>
                <w:sz w:val="21"/>
                <w:szCs w:val="21"/>
              </w:rPr>
              <w:t>芜湖冉电电力安装工程有限责</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任公司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
              <w:jc w:val="right"/>
              <w:rPr>
                <w:rFonts w:ascii="宋体" w:hAnsi="宋体" w:cs="宋体" w:eastAsia="宋体" w:hint="default"/>
                <w:sz w:val="21"/>
                <w:szCs w:val="21"/>
              </w:rPr>
            </w:pPr>
            <w:r>
              <w:rPr>
                <w:rFonts w:ascii="宋体"/>
                <w:sz w:val="21"/>
              </w:rPr>
              <w:t>745,081.05</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4" w:right="0"/>
              <w:jc w:val="center"/>
              <w:rPr>
                <w:rFonts w:ascii="宋体" w:hAnsi="宋体" w:cs="宋体" w:eastAsia="宋体" w:hint="default"/>
                <w:sz w:val="21"/>
                <w:szCs w:val="21"/>
              </w:rPr>
            </w:pPr>
            <w:r>
              <w:rPr>
                <w:rFonts w:ascii="宋体"/>
                <w:sz w:val="21"/>
              </w:rPr>
              <w:t>3.77%</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预付劳务款</w:t>
            </w:r>
          </w:p>
        </w:tc>
      </w:tr>
      <w:tr>
        <w:trPr>
          <w:trHeight w:val="346" w:hRule="exact"/>
        </w:trPr>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
              <w:jc w:val="right"/>
              <w:rPr>
                <w:rFonts w:ascii="宋体" w:hAnsi="宋体" w:cs="宋体" w:eastAsia="宋体" w:hint="default"/>
                <w:sz w:val="21"/>
                <w:szCs w:val="21"/>
              </w:rPr>
            </w:pPr>
            <w:r>
              <w:rPr>
                <w:rFonts w:ascii="宋体"/>
                <w:spacing w:val="-1"/>
                <w:sz w:val="21"/>
              </w:rPr>
              <w:t>5,824,301.02</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sz w:val="21"/>
              </w:rPr>
              <w:t>29.46%</w:t>
            </w:r>
          </w:p>
        </w:tc>
        <w:tc>
          <w:tcPr>
            <w:tcW w:w="1489" w:type="dxa"/>
            <w:tcBorders>
              <w:top w:val="single" w:sz="6" w:space="0" w:color="000000"/>
              <w:left w:val="single" w:sz="6" w:space="0" w:color="000000"/>
              <w:bottom w:val="single" w:sz="6" w:space="0" w:color="000000"/>
              <w:right w:val="single" w:sz="6" w:space="0" w:color="000000"/>
            </w:tcBorders>
          </w:tcPr>
          <w:p>
            <w:pPr/>
          </w:p>
        </w:tc>
        <w:tc>
          <w:tcPr>
            <w:tcW w:w="16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b/>
          <w:bCs/>
          <w:sz w:val="23"/>
          <w:szCs w:val="23"/>
        </w:rPr>
      </w:pPr>
    </w:p>
    <w:p>
      <w:pPr>
        <w:pStyle w:val="BodyText"/>
        <w:spacing w:line="240" w:lineRule="auto"/>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8、其他应收款" w:id="262"/>
      <w:bookmarkEnd w:id="262"/>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62,105.56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105,658,496.81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2"/>
                <w:sz w:val="21"/>
              </w:rPr>
              <w:t>110,639,711.91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105,720,602.37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2"/>
                <w:sz w:val="21"/>
              </w:rPr>
              <w:t>110,639,711.91</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1）应收利息" w:id="263"/>
      <w:bookmarkEnd w:id="26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1002"/>
        <w:jc w:val="left"/>
        <w:rPr>
          <w:b w:val="0"/>
          <w:bCs w:val="0"/>
        </w:rPr>
      </w:pPr>
      <w:bookmarkStart w:name="1）应收利息分类" w:id="264"/>
      <w:bookmarkEnd w:id="264"/>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62,105.56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62,105.56</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重要逾期利息" w:id="265"/>
      <w:bookmarkEnd w:id="265"/>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9"/>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2"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7" w:right="0"/>
              <w:jc w:val="left"/>
              <w:rPr>
                <w:rFonts w:ascii="宋体" w:hAnsi="宋体" w:cs="宋体" w:eastAsia="宋体" w:hint="default"/>
                <w:sz w:val="21"/>
                <w:szCs w:val="21"/>
              </w:rPr>
            </w:pPr>
            <w:r>
              <w:rPr>
                <w:rFonts w:ascii="宋体" w:hAnsi="宋体" w:cs="宋体" w:eastAsia="宋体" w:hint="default"/>
                <w:sz w:val="21"/>
                <w:szCs w:val="21"/>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3" w:right="0"/>
              <w:jc w:val="left"/>
              <w:rPr>
                <w:rFonts w:ascii="宋体" w:hAnsi="宋体" w:cs="宋体" w:eastAsia="宋体" w:hint="default"/>
                <w:sz w:val="21"/>
                <w:szCs w:val="21"/>
              </w:rPr>
            </w:pPr>
            <w:r>
              <w:rPr>
                <w:rFonts w:ascii="宋体" w:hAnsi="宋体" w:cs="宋体" w:eastAsia="宋体" w:hint="default"/>
                <w:sz w:val="21"/>
                <w:szCs w:val="21"/>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21"/>
                <w:szCs w:val="21"/>
              </w:rPr>
            </w:pPr>
            <w:r>
              <w:rPr>
                <w:rFonts w:ascii="宋体" w:hAnsi="宋体" w:cs="宋体" w:eastAsia="宋体" w:hint="default"/>
                <w:sz w:val="21"/>
                <w:szCs w:val="21"/>
              </w:rPr>
              <w:t>是否发生减值及其</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6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32" w:right="0"/>
              <w:jc w:val="left"/>
              <w:rPr>
                <w:rFonts w:ascii="宋体" w:hAnsi="宋体" w:cs="宋体" w:eastAsia="宋体" w:hint="default"/>
                <w:sz w:val="21"/>
                <w:szCs w:val="21"/>
              </w:rPr>
            </w:pPr>
            <w:r>
              <w:rPr>
                <w:rFonts w:ascii="宋体" w:hAnsi="宋体" w:cs="宋体" w:eastAsia="宋体" w:hint="default"/>
                <w:sz w:val="21"/>
                <w:szCs w:val="21"/>
              </w:rPr>
              <w:t>判断依据</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3）坏账准备计提情况" w:id="266"/>
      <w:bookmarkEnd w:id="26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002"/>
        <w:jc w:val="left"/>
      </w:pPr>
      <w:r>
        <w:rPr/>
        <w:t>□ 适用 √</w:t>
      </w:r>
      <w:r>
        <w:rPr>
          <w:spacing w:val="4"/>
        </w:rPr>
        <w:t> </w:t>
      </w:r>
      <w:r>
        <w:rPr/>
        <w:t>不适用</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2）应收股利" w:id="267"/>
      <w:bookmarkEnd w:id="26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应收股利分类" w:id="268"/>
      <w:bookmarkEnd w:id="268"/>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或被投资单位</w:t>
            </w:r>
            <w:r>
              <w:rPr>
                <w:rFonts w:ascii="Times New Roman" w:hAnsi="Times New Roman" w:cs="Times New Roman" w:eastAsia="Times New Roman" w:hint="default"/>
                <w:sz w:val="21"/>
                <w:szCs w:val="21"/>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重要的账龄超过1年的应收股利" w:id="269"/>
      <w:bookmarkEnd w:id="269"/>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816" w:right="176" w:hanging="635"/>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位</w:t>
            </w:r>
            <w:r>
              <w:rPr>
                <w:rFonts w:ascii="Times New Roman" w:hAnsi="Times New Roman" w:cs="Times New Roman" w:eastAsia="Times New Roman" w:hint="default"/>
                <w:sz w:val="21"/>
                <w:szCs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32" w:right="104" w:hanging="418"/>
              <w:jc w:val="left"/>
              <w:rPr>
                <w:rFonts w:ascii="宋体" w:hAnsi="宋体" w:cs="宋体" w:eastAsia="宋体" w:hint="default"/>
                <w:sz w:val="21"/>
                <w:szCs w:val="21"/>
              </w:rPr>
            </w:pPr>
            <w:r>
              <w:rPr>
                <w:rFonts w:ascii="宋体" w:hAnsi="宋体" w:cs="宋体" w:eastAsia="宋体" w:hint="default"/>
                <w:sz w:val="21"/>
                <w:szCs w:val="21"/>
              </w:rPr>
              <w:t>是否发生减值及其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判断依据</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3）坏账准备计提情况" w:id="270"/>
      <w:bookmarkEnd w:id="27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before="0"/>
        <w:ind w:right="8962"/>
        <w:jc w:val="left"/>
      </w:pPr>
      <w:r>
        <w:rPr/>
        <w:t>□ 适用 √</w:t>
      </w:r>
      <w:r>
        <w:rPr>
          <w:spacing w:val="4"/>
        </w:rPr>
        <w:t> </w:t>
      </w:r>
      <w:r>
        <w:rPr/>
        <w:t>不适用</w:t>
      </w:r>
      <w:r>
        <w:rPr>
          <w:w w:val="100"/>
        </w:rPr>
        <w:t> </w:t>
      </w:r>
      <w:r>
        <w:rPr/>
        <w:t>其他说明：</w:t>
      </w:r>
    </w:p>
    <w:p>
      <w:pPr>
        <w:spacing w:line="240" w:lineRule="auto" w:before="2"/>
        <w:rPr>
          <w:rFonts w:ascii="宋体" w:hAnsi="宋体" w:cs="宋体" w:eastAsia="宋体" w:hint="default"/>
          <w:sz w:val="21"/>
          <w:szCs w:val="21"/>
        </w:rPr>
      </w:pPr>
    </w:p>
    <w:p>
      <w:pPr>
        <w:pStyle w:val="Heading5"/>
        <w:spacing w:line="240" w:lineRule="auto"/>
        <w:ind w:right="1002"/>
        <w:jc w:val="left"/>
        <w:rPr>
          <w:b w:val="0"/>
          <w:bCs w:val="0"/>
        </w:rPr>
      </w:pPr>
      <w:bookmarkStart w:name="（3）其他应收款" w:id="271"/>
      <w:bookmarkEnd w:id="271"/>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其他应收款按款项性质分类情况" w:id="272"/>
      <w:bookmarkEnd w:id="272"/>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118,443,625.91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108,857,366.30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15,182,409.87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17,469,913.13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土地回收款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4,612,050.00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5,609,700.00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资金拆借</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10,172,204.78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8,817,692.07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148,410,290.56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143,254,671.50</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坏账准备计提情况" w:id="273"/>
      <w:bookmarkEnd w:id="273"/>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after="0" w:line="240" w:lineRule="auto"/>
        <w:jc w:val="right"/>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35"/>
        <w:gridCol w:w="1652"/>
        <w:gridCol w:w="2310"/>
        <w:gridCol w:w="2434"/>
        <w:gridCol w:w="1470"/>
      </w:tblGrid>
      <w:tr>
        <w:trPr>
          <w:trHeight w:val="403" w:hRule="exact"/>
        </w:trPr>
        <w:tc>
          <w:tcPr>
            <w:tcW w:w="19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03"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2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第二阶段</w:t>
            </w:r>
          </w:p>
        </w:tc>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2"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4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711" w:hRule="exact"/>
        </w:trPr>
        <w:tc>
          <w:tcPr>
            <w:tcW w:w="1935"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98" w:right="133" w:hanging="159"/>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p>
        </w:tc>
        <w:tc>
          <w:tcPr>
            <w:tcW w:w="2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34" w:right="129" w:firstLine="72"/>
              <w:jc w:val="left"/>
              <w:rPr>
                <w:rFonts w:ascii="Times New Roman" w:hAnsi="Times New Roman" w:cs="Times New Roman" w:eastAsia="Times New Roman" w:hint="default"/>
                <w:sz w:val="21"/>
                <w:szCs w:val="21"/>
              </w:rPr>
            </w:pPr>
            <w:r>
              <w:rPr>
                <w:rFonts w:ascii="宋体" w:hAnsi="宋体" w:cs="宋体" w:eastAsia="宋体" w:hint="default"/>
                <w:sz w:val="21"/>
                <w:szCs w:val="21"/>
              </w:rPr>
              <w:t>整个存续期预期信用</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未发生信用减值</w:t>
            </w:r>
            <w:r>
              <w:rPr>
                <w:rFonts w:ascii="Times New Roman" w:hAnsi="Times New Roman" w:cs="Times New Roman" w:eastAsia="Times New Roman" w:hint="default"/>
                <w:sz w:val="21"/>
                <w:szCs w:val="21"/>
              </w:rPr>
              <w:t>)</w:t>
            </w:r>
          </w:p>
        </w:tc>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02" w:right="157" w:hanging="14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整个存续期预期信用损</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失</w:t>
            </w:r>
            <w:r>
              <w:rPr>
                <w:rFonts w:ascii="Times New Roman" w:hAnsi="Times New Roman" w:cs="Times New Roman" w:eastAsia="Times New Roman" w:hint="default"/>
                <w:sz w:val="21"/>
                <w:szCs w:val="21"/>
              </w:rPr>
              <w:t>(</w:t>
            </w:r>
            <w:r>
              <w:rPr>
                <w:rFonts w:ascii="宋体" w:hAnsi="宋体" w:cs="宋体" w:eastAsia="宋体" w:hint="default"/>
                <w:sz w:val="21"/>
                <w:szCs w:val="21"/>
              </w:rPr>
              <w:t>已发生信用减值</w:t>
            </w:r>
            <w:r>
              <w:rPr>
                <w:rFonts w:ascii="Times New Roman" w:hAnsi="Times New Roman" w:cs="Times New Roman" w:eastAsia="Times New Roman" w:hint="default"/>
                <w:sz w:val="21"/>
                <w:szCs w:val="21"/>
              </w:rPr>
              <w:t>)</w:t>
            </w:r>
          </w:p>
        </w:tc>
        <w:tc>
          <w:tcPr>
            <w:tcW w:w="147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3"/>
              <w:ind w:left="105"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32,175,975.59</w:t>
            </w:r>
          </w:p>
        </w:tc>
        <w:tc>
          <w:tcPr>
            <w:tcW w:w="231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438,984.00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32,614,959.59</w:t>
            </w:r>
          </w:p>
        </w:tc>
      </w:tr>
      <w:tr>
        <w:trPr>
          <w:trHeight w:val="715"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98"/>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日余</w:t>
            </w:r>
            <w:r>
              <w:rPr>
                <w:rFonts w:ascii="宋体" w:hAnsi="宋体" w:cs="宋体" w:eastAsia="宋体" w:hint="default"/>
                <w:w w:val="100"/>
                <w:sz w:val="21"/>
                <w:szCs w:val="21"/>
              </w:rPr>
              <w:t> </w:t>
            </w:r>
            <w:r>
              <w:rPr>
                <w:rFonts w:ascii="宋体" w:hAnsi="宋体" w:cs="宋体" w:eastAsia="宋体" w:hint="default"/>
                <w:sz w:val="21"/>
                <w:szCs w:val="21"/>
              </w:rPr>
              <w:t>额在本期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w:t>
            </w:r>
          </w:p>
        </w:tc>
        <w:tc>
          <w:tcPr>
            <w:tcW w:w="2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04"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-596,369.00</w:t>
            </w:r>
          </w:p>
        </w:tc>
        <w:tc>
          <w:tcPr>
            <w:tcW w:w="231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596,369.00</w:t>
            </w:r>
          </w:p>
        </w:tc>
        <w:tc>
          <w:tcPr>
            <w:tcW w:w="147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9,358,124.71</w:t>
            </w:r>
          </w:p>
        </w:tc>
        <w:tc>
          <w:tcPr>
            <w:tcW w:w="231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980,533.00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10,338,657.71</w:t>
            </w: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192,521.55</w:t>
            </w:r>
          </w:p>
        </w:tc>
        <w:tc>
          <w:tcPr>
            <w:tcW w:w="231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192,521.55</w:t>
            </w:r>
          </w:p>
        </w:tc>
      </w:tr>
      <w:tr>
        <w:trPr>
          <w:trHeight w:val="403"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本期转销</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9,302.00</w:t>
            </w:r>
          </w:p>
        </w:tc>
        <w:tc>
          <w:tcPr>
            <w:tcW w:w="231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9,302.00</w:t>
            </w:r>
          </w:p>
        </w:tc>
      </w:tr>
      <w:tr>
        <w:trPr>
          <w:trHeight w:val="716" w:hRule="exact"/>
        </w:trPr>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p>
            <w:pPr>
              <w:pStyle w:val="TableParagraph"/>
              <w:spacing w:line="240" w:lineRule="auto" w:before="22"/>
              <w:ind w:left="105"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40,735,907.75</w:t>
            </w:r>
          </w:p>
        </w:tc>
        <w:tc>
          <w:tcPr>
            <w:tcW w:w="2310"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2,015,886.00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42,751,793.75</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00" w:right="0"/>
        </w:sectPr>
      </w:pPr>
    </w:p>
    <w:p>
      <w:pPr>
        <w:pStyle w:val="BodyText"/>
        <w:spacing w:line="240" w:lineRule="auto" w:before="28"/>
        <w:ind w:left="133" w:right="0"/>
        <w:jc w:val="left"/>
      </w:pPr>
      <w:r>
        <w:rPr>
          <w:spacing w:val="-1"/>
        </w:rPr>
        <w:t>损失准备本期变动金额重大的账面余额变动情况</w:t>
      </w:r>
    </w:p>
    <w:p>
      <w:pPr>
        <w:pStyle w:val="BodyText"/>
        <w:spacing w:line="309" w:lineRule="auto" w:before="75"/>
        <w:ind w:left="133" w:right="2607"/>
        <w:jc w:val="left"/>
      </w:pPr>
      <w:r>
        <w:rPr/>
        <w:t>□ 适用 √</w:t>
      </w:r>
      <w:r>
        <w:rPr>
          <w:spacing w:val="4"/>
        </w:rPr>
        <w:t> </w:t>
      </w:r>
      <w:r>
        <w:rPr/>
        <w:t>不适用</w:t>
      </w:r>
      <w:r>
        <w:rPr>
          <w:w w:val="100"/>
        </w:rPr>
        <w:t> </w:t>
      </w:r>
      <w:r>
        <w:rPr/>
        <w:t>按账龄披露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0"/>
        <w:ind w:left="133" w:right="0"/>
        <w:jc w:val="left"/>
      </w:pPr>
      <w:r>
        <w:rPr/>
        <w:t>单位：</w:t>
      </w:r>
      <w:r>
        <w:rPr>
          <w:spacing w:val="4"/>
        </w:rPr>
        <w:t> </w:t>
      </w:r>
      <w:r>
        <w:rPr/>
        <w:t>元</w:t>
      </w:r>
    </w:p>
    <w:p>
      <w:pPr>
        <w:spacing w:after="0" w:line="240" w:lineRule="auto"/>
        <w:jc w:val="left"/>
        <w:sectPr>
          <w:type w:val="continuous"/>
          <w:pgSz w:w="11910" w:h="16840"/>
          <w:pgMar w:top="1100" w:bottom="1220" w:left="1000" w:right="0"/>
          <w:cols w:num="2" w:equalWidth="0">
            <w:col w:w="4550" w:space="4147"/>
            <w:col w:w="2213"/>
          </w:cols>
        </w:sectPr>
      </w:pPr>
    </w:p>
    <w:p>
      <w:pPr>
        <w:spacing w:line="240" w:lineRule="auto" w:before="10"/>
        <w:rPr>
          <w:rFonts w:ascii="宋体" w:hAnsi="宋体" w:cs="宋体" w:eastAsia="宋体" w:hint="default"/>
          <w:sz w:val="6"/>
          <w:szCs w:val="6"/>
        </w:rPr>
      </w:pPr>
    </w:p>
    <w:tbl>
      <w:tblPr>
        <w:tblW w:w="0" w:type="auto"/>
        <w:jc w:val="left"/>
        <w:tblInd w:w="128" w:type="dxa"/>
        <w:tblLayout w:type="fixed"/>
        <w:tblCellMar>
          <w:top w:w="0" w:type="dxa"/>
          <w:left w:w="0" w:type="dxa"/>
          <w:bottom w:w="0" w:type="dxa"/>
          <w:right w:w="0" w:type="dxa"/>
        </w:tblCellMar>
        <w:tblLook w:val="01E0"/>
      </w:tblPr>
      <w:tblGrid>
        <w:gridCol w:w="4788"/>
        <w:gridCol w:w="4782"/>
      </w:tblGrid>
      <w:tr>
        <w:trPr>
          <w:trHeight w:val="39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60,498,044.30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43,977,848.41</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9,914,498.52</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34,019,899.33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13,180,213.69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4,750,879.66</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16,088,805.98</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148,410,290.56</w:t>
            </w:r>
          </w:p>
        </w:tc>
      </w:tr>
    </w:tbl>
    <w:p>
      <w:pPr>
        <w:spacing w:line="240" w:lineRule="auto" w:before="3"/>
        <w:rPr>
          <w:rFonts w:ascii="宋体" w:hAnsi="宋体" w:cs="宋体" w:eastAsia="宋体" w:hint="default"/>
          <w:sz w:val="19"/>
          <w:szCs w:val="19"/>
        </w:rPr>
      </w:pPr>
    </w:p>
    <w:p>
      <w:pPr>
        <w:pStyle w:val="Heading5"/>
        <w:spacing w:line="240" w:lineRule="auto" w:before="36"/>
        <w:ind w:left="133" w:right="0"/>
        <w:jc w:val="left"/>
        <w:rPr>
          <w:b w:val="0"/>
          <w:bCs w:val="0"/>
        </w:rPr>
      </w:pPr>
      <w:bookmarkStart w:name="3）本期计提、收回或转回的坏账准备情况" w:id="274"/>
      <w:bookmarkEnd w:id="274"/>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133" w:right="0"/>
        <w:jc w:val="left"/>
      </w:pPr>
      <w:r>
        <w:rPr/>
        <w:t>本期计提坏账准备情况：</w:t>
      </w:r>
    </w:p>
    <w:p>
      <w:pPr>
        <w:pStyle w:val="BodyText"/>
        <w:spacing w:line="240" w:lineRule="auto" w:before="76"/>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28" w:type="dxa"/>
        <w:tblLayout w:type="fixed"/>
        <w:tblCellMar>
          <w:top w:w="0" w:type="dxa"/>
          <w:left w:w="0" w:type="dxa"/>
          <w:bottom w:w="0" w:type="dxa"/>
          <w:right w:w="0" w:type="dxa"/>
        </w:tblCellMar>
        <w:tblLook w:val="01E0"/>
      </w:tblPr>
      <w:tblGrid>
        <w:gridCol w:w="1417"/>
        <w:gridCol w:w="1100"/>
        <w:gridCol w:w="1191"/>
        <w:gridCol w:w="1306"/>
        <w:gridCol w:w="1090"/>
        <w:gridCol w:w="1738"/>
        <w:gridCol w:w="1728"/>
      </w:tblGrid>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9"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0"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1" w:right="0"/>
              <w:jc w:val="left"/>
              <w:rPr>
                <w:rFonts w:ascii="宋体" w:hAnsi="宋体" w:cs="宋体" w:eastAsia="宋体" w:hint="default"/>
                <w:sz w:val="21"/>
                <w:szCs w:val="21"/>
              </w:rPr>
            </w:pPr>
            <w:r>
              <w:rPr>
                <w:rFonts w:ascii="宋体" w:hAnsi="宋体" w:cs="宋体" w:eastAsia="宋体" w:hint="default"/>
                <w:sz w:val="21"/>
                <w:szCs w:val="21"/>
              </w:rPr>
              <w:t>核销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2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28"/>
        <w:ind w:left="133" w:right="0"/>
        <w:jc w:val="left"/>
      </w:pPr>
      <w:r>
        <w:rPr/>
        <w:t>其中本期坏账准备转回或收回金额重要的：</w:t>
      </w:r>
    </w:p>
    <w:p>
      <w:pPr>
        <w:pStyle w:val="BodyText"/>
        <w:spacing w:line="240" w:lineRule="auto" w:before="81"/>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2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59"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after="0" w:line="240" w:lineRule="auto"/>
        <w:jc w:val="center"/>
        <w:rPr>
          <w:rFonts w:ascii="宋体" w:hAnsi="宋体" w:cs="宋体" w:eastAsia="宋体" w:hint="default"/>
          <w:sz w:val="21"/>
          <w:szCs w:val="21"/>
        </w:rPr>
        <w:sectPr>
          <w:type w:val="continuous"/>
          <w:pgSz w:w="11910" w:h="16840"/>
          <w:pgMar w:top="1100" w:bottom="1220" w:left="1000" w:right="0"/>
        </w:sectPr>
      </w:pPr>
    </w:p>
    <w:p>
      <w:pPr>
        <w:spacing w:line="240" w:lineRule="auto" w:before="13"/>
        <w:rPr>
          <w:rFonts w:ascii="宋体" w:hAnsi="宋体" w:cs="宋体" w:eastAsia="宋体" w:hint="default"/>
          <w:sz w:val="21"/>
          <w:szCs w:val="21"/>
        </w:rPr>
      </w:pPr>
    </w:p>
    <w:p>
      <w:pPr>
        <w:pStyle w:val="Heading5"/>
        <w:spacing w:line="240" w:lineRule="auto" w:before="36"/>
        <w:ind w:right="1002"/>
        <w:jc w:val="left"/>
        <w:rPr>
          <w:b w:val="0"/>
          <w:bCs w:val="0"/>
        </w:rPr>
      </w:pPr>
      <w:bookmarkStart w:name="4）本期实际核销的其他应收款情况" w:id="275"/>
      <w:bookmarkEnd w:id="275"/>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3"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Times New Roman" w:hAnsi="Times New Roman" w:cs="Times New Roman" w:eastAsia="Times New Roman" w:hint="default"/>
                <w:sz w:val="21"/>
                <w:szCs w:val="21"/>
              </w:rPr>
            </w:pPr>
            <w:r>
              <w:rPr>
                <w:rFonts w:ascii="Times New Roman"/>
                <w:sz w:val="21"/>
              </w:rPr>
              <w:t>9,302.00</w:t>
            </w:r>
          </w:p>
        </w:tc>
      </w:tr>
    </w:tbl>
    <w:p>
      <w:pPr>
        <w:pStyle w:val="BodyText"/>
        <w:spacing w:line="240" w:lineRule="auto" w:before="28"/>
        <w:ind w:right="1002"/>
        <w:jc w:val="left"/>
      </w:pPr>
      <w:r>
        <w:rPr/>
        <w:t>其中重要的其他应收款核销情况：</w:t>
      </w:r>
    </w:p>
    <w:p>
      <w:pPr>
        <w:pStyle w:val="BodyText"/>
        <w:spacing w:line="240" w:lineRule="auto" w:before="75"/>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86" w:right="156" w:hanging="524"/>
              <w:jc w:val="left"/>
              <w:rPr>
                <w:rFonts w:ascii="宋体" w:hAnsi="宋体" w:cs="宋体" w:eastAsia="宋体" w:hint="default"/>
                <w:sz w:val="21"/>
                <w:szCs w:val="21"/>
              </w:rPr>
            </w:pPr>
            <w:r>
              <w:rPr>
                <w:rFonts w:ascii="宋体" w:hAnsi="宋体" w:cs="宋体" w:eastAsia="宋体" w:hint="default"/>
                <w:sz w:val="21"/>
                <w:szCs w:val="21"/>
              </w:rPr>
              <w:t>其他应收款性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87" w:right="161" w:hanging="524"/>
              <w:jc w:val="left"/>
              <w:rPr>
                <w:rFonts w:ascii="宋体" w:hAnsi="宋体" w:cs="宋体" w:eastAsia="宋体" w:hint="default"/>
                <w:sz w:val="21"/>
                <w:szCs w:val="21"/>
              </w:rPr>
            </w:pPr>
            <w:r>
              <w:rPr>
                <w:rFonts w:ascii="宋体" w:hAnsi="宋体" w:cs="宋体" w:eastAsia="宋体" w:hint="default"/>
                <w:sz w:val="21"/>
                <w:szCs w:val="21"/>
              </w:rPr>
              <w:t>履行的核销程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63" w:right="161" w:hanging="106"/>
              <w:jc w:val="left"/>
              <w:rPr>
                <w:rFonts w:ascii="宋体" w:hAnsi="宋体" w:cs="宋体" w:eastAsia="宋体" w:hint="default"/>
                <w:sz w:val="21"/>
                <w:szCs w:val="21"/>
              </w:rPr>
            </w:pPr>
            <w:r>
              <w:rPr>
                <w:rFonts w:ascii="宋体" w:hAnsi="宋体" w:cs="宋体" w:eastAsia="宋体" w:hint="default"/>
                <w:sz w:val="21"/>
                <w:szCs w:val="21"/>
              </w:rPr>
              <w:t>款项是否由关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联交易产生</w:t>
            </w:r>
          </w:p>
        </w:tc>
      </w:tr>
    </w:tbl>
    <w:p>
      <w:pPr>
        <w:pStyle w:val="BodyText"/>
        <w:spacing w:line="240" w:lineRule="auto" w:before="30"/>
        <w:ind w:right="1002"/>
        <w:jc w:val="left"/>
      </w:pPr>
      <w:r>
        <w:rPr/>
        <w:t>其他应收款核销说明：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5）按欠款方归集的期末余额前五名的其他应收款情况" w:id="276"/>
      <w:bookmarkEnd w:id="276"/>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78"/>
        <w:gridCol w:w="1455"/>
        <w:gridCol w:w="1680"/>
        <w:gridCol w:w="1263"/>
        <w:gridCol w:w="1950"/>
        <w:gridCol w:w="1455"/>
      </w:tblGrid>
      <w:tr>
        <w:trPr>
          <w:trHeight w:val="71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129" w:right="123"/>
              <w:jc w:val="left"/>
              <w:rPr>
                <w:rFonts w:ascii="宋体" w:hAnsi="宋体" w:cs="宋体" w:eastAsia="宋体" w:hint="default"/>
                <w:sz w:val="21"/>
                <w:szCs w:val="21"/>
              </w:rPr>
            </w:pPr>
            <w:r>
              <w:rPr>
                <w:rFonts w:ascii="宋体" w:hAnsi="宋体" w:cs="宋体" w:eastAsia="宋体" w:hint="default"/>
                <w:sz w:val="21"/>
                <w:szCs w:val="21"/>
              </w:rPr>
              <w:t>占其他应收款期末</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余额合计数的比例</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403" w:right="195" w:hanging="212"/>
              <w:jc w:val="left"/>
              <w:rPr>
                <w:rFonts w:ascii="宋体" w:hAnsi="宋体" w:cs="宋体" w:eastAsia="宋体" w:hint="default"/>
                <w:sz w:val="21"/>
                <w:szCs w:val="21"/>
              </w:rPr>
            </w:pPr>
            <w:r>
              <w:rPr>
                <w:rFonts w:ascii="宋体" w:hAnsi="宋体" w:cs="宋体" w:eastAsia="宋体" w:hint="default"/>
                <w:sz w:val="21"/>
                <w:szCs w:val="21"/>
              </w:rPr>
              <w:t>坏账准备期</w:t>
            </w:r>
            <w:r>
              <w:rPr>
                <w:rFonts w:ascii="宋体" w:hAnsi="宋体" w:cs="宋体" w:eastAsia="宋体" w:hint="default"/>
                <w:spacing w:val="-99"/>
                <w:sz w:val="21"/>
                <w:szCs w:val="21"/>
              </w:rPr>
              <w:t> </w:t>
            </w:r>
            <w:r>
              <w:rPr>
                <w:rFonts w:ascii="宋体" w:hAnsi="宋体" w:cs="宋体" w:eastAsia="宋体" w:hint="default"/>
                <w:sz w:val="21"/>
                <w:szCs w:val="21"/>
              </w:rPr>
              <w:t>末余额</w:t>
            </w:r>
          </w:p>
        </w:tc>
      </w:tr>
      <w:tr>
        <w:trPr>
          <w:trHeight w:val="1028"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76"/>
              <w:jc w:val="both"/>
              <w:rPr>
                <w:rFonts w:ascii="宋体" w:hAnsi="宋体" w:cs="宋体" w:eastAsia="宋体" w:hint="default"/>
                <w:sz w:val="21"/>
                <w:szCs w:val="21"/>
              </w:rPr>
            </w:pPr>
            <w:r>
              <w:rPr>
                <w:rFonts w:ascii="宋体" w:hAnsi="宋体" w:cs="宋体" w:eastAsia="宋体" w:hint="default"/>
                <w:sz w:val="21"/>
                <w:szCs w:val="21"/>
              </w:rPr>
              <w:t>中国联合网络通信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有限公司广西壮族</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自治区分公司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360" w:right="0"/>
              <w:jc w:val="left"/>
              <w:rPr>
                <w:rFonts w:ascii="Times New Roman" w:hAnsi="Times New Roman" w:cs="Times New Roman" w:eastAsia="Times New Roman" w:hint="default"/>
                <w:sz w:val="21"/>
                <w:szCs w:val="21"/>
              </w:rPr>
            </w:pPr>
            <w:r>
              <w:rPr>
                <w:rFonts w:ascii="Times New Roman"/>
                <w:sz w:val="21"/>
              </w:rPr>
              <w:t>20,000,000.00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13.48%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598,000.00</w:t>
            </w:r>
          </w:p>
        </w:tc>
      </w:tr>
      <w:tr>
        <w:trPr>
          <w:trHeight w:val="715"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76"/>
              <w:jc w:val="left"/>
              <w:rPr>
                <w:rFonts w:ascii="宋体" w:hAnsi="宋体" w:cs="宋体" w:eastAsia="宋体" w:hint="default"/>
                <w:sz w:val="21"/>
                <w:szCs w:val="21"/>
              </w:rPr>
            </w:pPr>
            <w:r>
              <w:rPr>
                <w:rFonts w:ascii="宋体" w:hAnsi="宋体" w:cs="宋体" w:eastAsia="宋体" w:hint="default"/>
                <w:sz w:val="21"/>
                <w:szCs w:val="21"/>
              </w:rPr>
              <w:t>芜湖市公共资源交</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易中心</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质量保证金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sz w:val="21"/>
              </w:rPr>
              <w:t>14,883,167.11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10.03%</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3,772,374.74</w:t>
            </w:r>
          </w:p>
        </w:tc>
      </w:tr>
      <w:tr>
        <w:trPr>
          <w:trHeight w:val="1023"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76"/>
              <w:jc w:val="both"/>
              <w:rPr>
                <w:rFonts w:ascii="宋体" w:hAnsi="宋体" w:cs="宋体" w:eastAsia="宋体" w:hint="default"/>
                <w:sz w:val="21"/>
                <w:szCs w:val="21"/>
              </w:rPr>
            </w:pPr>
            <w:r>
              <w:rPr>
                <w:rFonts w:ascii="宋体" w:hAnsi="宋体" w:cs="宋体" w:eastAsia="宋体" w:hint="default"/>
                <w:sz w:val="21"/>
                <w:szCs w:val="21"/>
              </w:rPr>
              <w:t>中国联合网络通信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有限公司云南省分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sz w:val="21"/>
              </w:rPr>
              <w:t>10,548,113.21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7.11%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2,682,385.19</w:t>
            </w:r>
          </w:p>
        </w:tc>
      </w:tr>
      <w:tr>
        <w:trPr>
          <w:trHeight w:val="715"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3"/>
              <w:ind w:left="105" w:right="176"/>
              <w:jc w:val="left"/>
              <w:rPr>
                <w:rFonts w:ascii="宋体" w:hAnsi="宋体" w:cs="宋体" w:eastAsia="宋体" w:hint="default"/>
                <w:sz w:val="21"/>
                <w:szCs w:val="21"/>
              </w:rPr>
            </w:pPr>
            <w:r>
              <w:rPr>
                <w:rFonts w:ascii="宋体" w:hAnsi="宋体" w:cs="宋体" w:eastAsia="宋体" w:hint="default"/>
                <w:sz w:val="21"/>
                <w:szCs w:val="21"/>
              </w:rPr>
              <w:t>鸠江区湾里街道办</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事处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土地回收款</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65" w:right="0"/>
              <w:jc w:val="left"/>
              <w:rPr>
                <w:rFonts w:ascii="Times New Roman" w:hAnsi="Times New Roman" w:cs="Times New Roman" w:eastAsia="Times New Roman" w:hint="default"/>
                <w:sz w:val="21"/>
                <w:szCs w:val="21"/>
              </w:rPr>
            </w:pPr>
            <w:r>
              <w:rPr>
                <w:rFonts w:ascii="Times New Roman"/>
                <w:sz w:val="21"/>
              </w:rPr>
              <w:t>4,612,050.00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3.11%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503,635.86</w:t>
            </w:r>
          </w:p>
        </w:tc>
      </w:tr>
      <w:tr>
        <w:trPr>
          <w:trHeight w:val="716"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8"/>
              <w:ind w:left="105" w:right="176"/>
              <w:jc w:val="left"/>
              <w:rPr>
                <w:rFonts w:ascii="宋体" w:hAnsi="宋体" w:cs="宋体" w:eastAsia="宋体" w:hint="default"/>
                <w:sz w:val="21"/>
                <w:szCs w:val="21"/>
              </w:rPr>
            </w:pPr>
            <w:r>
              <w:rPr>
                <w:rFonts w:ascii="宋体" w:hAnsi="宋体" w:cs="宋体" w:eastAsia="宋体" w:hint="default"/>
                <w:sz w:val="21"/>
                <w:szCs w:val="21"/>
              </w:rPr>
              <w:t>苏州华维电网工程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65" w:right="0"/>
              <w:jc w:val="left"/>
              <w:rPr>
                <w:rFonts w:ascii="Times New Roman" w:hAnsi="Times New Roman" w:cs="Times New Roman" w:eastAsia="Times New Roman" w:hint="default"/>
                <w:sz w:val="21"/>
                <w:szCs w:val="21"/>
              </w:rPr>
            </w:pPr>
            <w:r>
              <w:rPr>
                <w:rFonts w:ascii="Times New Roman"/>
                <w:sz w:val="21"/>
              </w:rPr>
              <w:t>3,000,000.00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2.02%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90,000.00</w:t>
            </w:r>
          </w:p>
        </w:tc>
      </w:tr>
      <w:tr>
        <w:trPr>
          <w:trHeight w:val="403" w:hRule="exact"/>
        </w:trPr>
        <w:tc>
          <w:tcPr>
            <w:tcW w:w="1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60" w:right="0"/>
              <w:jc w:val="left"/>
              <w:rPr>
                <w:rFonts w:ascii="Times New Roman" w:hAnsi="Times New Roman" w:cs="Times New Roman" w:eastAsia="Times New Roman" w:hint="default"/>
                <w:sz w:val="21"/>
                <w:szCs w:val="21"/>
              </w:rPr>
            </w:pPr>
            <w:r>
              <w:rPr>
                <w:rFonts w:ascii="Times New Roman"/>
                <w:sz w:val="21"/>
              </w:rPr>
              <w:t>53,043,330.32</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35.74%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7,646,395.79</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6）涉及政府补助的应收款项" w:id="277"/>
      <w:bookmarkEnd w:id="277"/>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422" w:right="108" w:hanging="312"/>
              <w:jc w:val="left"/>
              <w:rPr>
                <w:rFonts w:ascii="宋体" w:hAnsi="宋体" w:cs="宋体" w:eastAsia="宋体" w:hint="default"/>
                <w:sz w:val="21"/>
                <w:szCs w:val="21"/>
              </w:rPr>
            </w:pPr>
            <w:r>
              <w:rPr>
                <w:rFonts w:ascii="宋体" w:hAnsi="宋体" w:cs="宋体" w:eastAsia="宋体" w:hint="default"/>
                <w:sz w:val="21"/>
                <w:szCs w:val="21"/>
              </w:rPr>
              <w:t>预计收取的时间、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金额及依据</w:t>
            </w:r>
          </w:p>
        </w:tc>
      </w:tr>
    </w:tbl>
    <w:p>
      <w:pPr>
        <w:spacing w:after="0" w:line="276"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1002"/>
        <w:jc w:val="left"/>
        <w:rPr>
          <w:b w:val="0"/>
          <w:bCs w:val="0"/>
        </w:rPr>
      </w:pPr>
      <w:bookmarkStart w:name="7）因金融资产转移而终止确认的其他应收款" w:id="278"/>
      <w:bookmarkEnd w:id="278"/>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4"/>
          <w:szCs w:val="24"/>
        </w:rPr>
      </w:pPr>
    </w:p>
    <w:p>
      <w:pPr>
        <w:pStyle w:val="Heading5"/>
        <w:spacing w:line="511" w:lineRule="auto"/>
        <w:ind w:right="5730"/>
        <w:jc w:val="left"/>
        <w:rPr>
          <w:rFonts w:ascii="宋体" w:hAnsi="宋体" w:cs="宋体" w:eastAsia="宋体" w:hint="default"/>
          <w:b w:val="0"/>
          <w:bCs w:val="0"/>
        </w:rPr>
      </w:pPr>
      <w:bookmarkStart w:name="8）转移其他应收款且继续涉入形成的资产、负债金额" w:id="279"/>
      <w:bookmarkEnd w:id="279"/>
      <w:r>
        <w:rPr>
          <w:b w:val="0"/>
          <w:bCs w:val="0"/>
        </w:rPr>
      </w:r>
      <w:r>
        <w:rPr>
          <w:rFonts w:ascii="Times New Roman" w:hAnsi="Times New Roman" w:cs="Times New Roman" w:eastAsia="Times New Roman" w:hint="default"/>
          <w:spacing w:val="-1"/>
        </w:rPr>
        <w:t>8</w:t>
      </w:r>
      <w:r>
        <w:rPr>
          <w:spacing w:val="-1"/>
        </w:rPr>
        <w:t>）转移其他应收款且继续涉入形成的资产、负债金额</w:t>
      </w:r>
      <w:r>
        <w:rPr>
          <w:spacing w:val="-83"/>
        </w:rPr>
        <w:t> </w:t>
      </w:r>
      <w:r>
        <w:rPr>
          <w:spacing w:val="-83"/>
        </w:rPr>
      </w:r>
      <w:r>
        <w:rPr>
          <w:rFonts w:ascii="宋体" w:hAnsi="宋体" w:cs="宋体" w:eastAsia="宋体" w:hint="default"/>
          <w:b w:val="0"/>
          <w:bCs w:val="0"/>
        </w:rPr>
        <w:t>其他说明：</w:t>
      </w:r>
    </w:p>
    <w:p>
      <w:pPr>
        <w:pStyle w:val="Heading5"/>
        <w:spacing w:line="240" w:lineRule="auto" w:before="92"/>
        <w:ind w:right="1002"/>
        <w:jc w:val="left"/>
        <w:rPr>
          <w:b w:val="0"/>
          <w:bCs w:val="0"/>
        </w:rPr>
      </w:pPr>
      <w:bookmarkStart w:name="9、存货" w:id="280"/>
      <w:bookmarkEnd w:id="280"/>
      <w:r>
        <w:rPr>
          <w:b w:val="0"/>
          <w:bCs w:val="0"/>
        </w:rPr>
      </w:r>
      <w:r>
        <w:rPr>
          <w:rFonts w:ascii="Times New Roman" w:hAnsi="Times New Roman" w:cs="Times New Roman" w:eastAsia="Times New Roman" w:hint="default"/>
        </w:rPr>
        <w:t>9</w:t>
      </w:r>
      <w:r>
        <w:rPr/>
        <w:t>、存货</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002"/>
        <w:jc w:val="left"/>
      </w:pPr>
      <w:r>
        <w:rPr/>
        <w:t>是否已执行新收入准则</w:t>
      </w:r>
    </w:p>
    <w:p>
      <w:pPr>
        <w:pStyle w:val="BodyText"/>
        <w:spacing w:line="240" w:lineRule="auto" w:before="76"/>
        <w:ind w:right="1002"/>
        <w:jc w:val="left"/>
      </w:pPr>
      <w:r>
        <w:rPr/>
        <w:t>□ 是 √</w:t>
      </w:r>
      <w:r>
        <w:rPr>
          <w:spacing w:val="5"/>
        </w:rPr>
        <w:t> </w:t>
      </w:r>
      <w:r>
        <w:rPr/>
        <w:t>否</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1）存货分类" w:id="281"/>
      <w:bookmarkEnd w:id="28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5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59"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45,698,766.7</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21"/>
                <w:szCs w:val="21"/>
              </w:rPr>
            </w:pPr>
            <w:r>
              <w:rPr>
                <w:rFonts w:ascii="Times New Roman"/>
                <w:sz w:val="21"/>
              </w:rPr>
              <w:t>686,281.76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45,012,484.9</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36,606,445.7</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278,828.28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36,327,617.4</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7</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235,979,163.</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37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235,979,163.</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71,094,119.0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3"/>
              <w:jc w:val="right"/>
              <w:rPr>
                <w:rFonts w:ascii="Times New Roman" w:hAnsi="Times New Roman" w:cs="Times New Roman" w:eastAsia="Times New Roman" w:hint="default"/>
                <w:sz w:val="21"/>
                <w:szCs w:val="21"/>
              </w:rPr>
            </w:pPr>
            <w:r>
              <w:rPr>
                <w:rFonts w:ascii="Times New Roman"/>
                <w:spacing w:val="-1"/>
                <w:sz w:val="21"/>
              </w:rPr>
              <w:t>71,094,119.0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6</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312,992,581.</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30,608,655.6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282,383,925.</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372,270,866.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37,529,234.3</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334,741,632.</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57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11" w:right="0"/>
              <w:jc w:val="left"/>
              <w:rPr>
                <w:rFonts w:ascii="Times New Roman" w:hAnsi="Times New Roman" w:cs="Times New Roman" w:eastAsia="Times New Roman" w:hint="default"/>
                <w:sz w:val="21"/>
                <w:szCs w:val="21"/>
              </w:rPr>
            </w:pPr>
            <w:r>
              <w:rPr>
                <w:rFonts w:ascii="Times New Roman"/>
                <w:sz w:val="21"/>
              </w:rPr>
              <w:t>191,058.07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12" w:right="0"/>
              <w:jc w:val="left"/>
              <w:rPr>
                <w:rFonts w:ascii="Times New Roman" w:hAnsi="Times New Roman" w:cs="Times New Roman" w:eastAsia="Times New Roman" w:hint="default"/>
                <w:sz w:val="21"/>
                <w:szCs w:val="21"/>
              </w:rPr>
            </w:pPr>
            <w:r>
              <w:rPr>
                <w:rFonts w:ascii="Times New Roman"/>
                <w:sz w:val="21"/>
              </w:rPr>
              <w:t>191,058.07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07" w:right="0"/>
              <w:jc w:val="left"/>
              <w:rPr>
                <w:rFonts w:ascii="Times New Roman" w:hAnsi="Times New Roman" w:cs="Times New Roman" w:eastAsia="Times New Roman" w:hint="default"/>
                <w:sz w:val="21"/>
                <w:szCs w:val="21"/>
              </w:rPr>
            </w:pPr>
            <w:r>
              <w:rPr>
                <w:rFonts w:ascii="Times New Roman"/>
                <w:sz w:val="21"/>
              </w:rPr>
              <w:t>248,583.96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12" w:right="0"/>
              <w:jc w:val="left"/>
              <w:rPr>
                <w:rFonts w:ascii="Times New Roman" w:hAnsi="Times New Roman" w:cs="Times New Roman" w:eastAsia="Times New Roman" w:hint="default"/>
                <w:sz w:val="21"/>
                <w:szCs w:val="21"/>
              </w:rPr>
            </w:pPr>
            <w:r>
              <w:rPr>
                <w:rFonts w:ascii="Times New Roman"/>
                <w:sz w:val="21"/>
              </w:rPr>
              <w:t>248,583.96</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95"/>
              <w:jc w:val="both"/>
              <w:rPr>
                <w:rFonts w:ascii="宋体" w:hAnsi="宋体" w:cs="宋体" w:eastAsia="宋体" w:hint="default"/>
                <w:sz w:val="21"/>
                <w:szCs w:val="21"/>
              </w:rPr>
            </w:pPr>
            <w:r>
              <w:rPr>
                <w:rFonts w:ascii="宋体" w:hAnsi="宋体" w:cs="宋体" w:eastAsia="宋体" w:hint="default"/>
                <w:sz w:val="21"/>
                <w:szCs w:val="21"/>
              </w:rPr>
              <w:t>建造合同形</w:t>
            </w:r>
            <w:r>
              <w:rPr>
                <w:rFonts w:ascii="宋体" w:hAnsi="宋体" w:cs="宋体" w:eastAsia="宋体" w:hint="default"/>
                <w:spacing w:val="-99"/>
                <w:sz w:val="21"/>
                <w:szCs w:val="21"/>
              </w:rPr>
              <w:t> </w:t>
            </w:r>
            <w:r>
              <w:rPr>
                <w:rFonts w:ascii="宋体" w:hAnsi="宋体" w:cs="宋体" w:eastAsia="宋体" w:hint="default"/>
                <w:sz w:val="21"/>
                <w:szCs w:val="21"/>
              </w:rPr>
              <w:t>成的已完工</w:t>
            </w:r>
            <w:r>
              <w:rPr>
                <w:rFonts w:ascii="宋体" w:hAnsi="宋体" w:cs="宋体" w:eastAsia="宋体" w:hint="default"/>
                <w:spacing w:val="-99"/>
                <w:sz w:val="21"/>
                <w:szCs w:val="21"/>
              </w:rPr>
              <w:t> </w:t>
            </w:r>
            <w:r>
              <w:rPr>
                <w:rFonts w:ascii="宋体" w:hAnsi="宋体" w:cs="宋体" w:eastAsia="宋体" w:hint="default"/>
                <w:sz w:val="21"/>
                <w:szCs w:val="21"/>
              </w:rPr>
              <w:t>未结算资产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1,184,273,73</w:t>
            </w:r>
          </w:p>
          <w:p>
            <w:pPr>
              <w:pStyle w:val="TableParagraph"/>
              <w:spacing w:line="240" w:lineRule="auto" w:before="70"/>
              <w:ind w:left="888" w:right="0"/>
              <w:jc w:val="left"/>
              <w:rPr>
                <w:rFonts w:ascii="Times New Roman" w:hAnsi="Times New Roman" w:cs="Times New Roman" w:eastAsia="Times New Roman" w:hint="default"/>
                <w:sz w:val="21"/>
                <w:szCs w:val="21"/>
              </w:rPr>
            </w:pPr>
            <w:r>
              <w:rPr>
                <w:rFonts w:ascii="Times New Roman"/>
                <w:sz w:val="21"/>
              </w:rPr>
              <w:t>5.34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326" w:right="0"/>
              <w:jc w:val="left"/>
              <w:rPr>
                <w:rFonts w:ascii="Times New Roman" w:hAnsi="Times New Roman" w:cs="Times New Roman" w:eastAsia="Times New Roman" w:hint="default"/>
                <w:sz w:val="21"/>
                <w:szCs w:val="21"/>
              </w:rPr>
            </w:pPr>
            <w:r>
              <w:rPr>
                <w:rFonts w:ascii="Times New Roman"/>
                <w:sz w:val="21"/>
              </w:rPr>
              <w:t>111,908.09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1,184,161,82</w:t>
            </w:r>
          </w:p>
          <w:p>
            <w:pPr>
              <w:pStyle w:val="TableParagraph"/>
              <w:spacing w:line="240" w:lineRule="auto" w:before="70"/>
              <w:ind w:left="888" w:right="0"/>
              <w:jc w:val="left"/>
              <w:rPr>
                <w:rFonts w:ascii="Times New Roman" w:hAnsi="Times New Roman" w:cs="Times New Roman" w:eastAsia="Times New Roman" w:hint="default"/>
                <w:sz w:val="21"/>
                <w:szCs w:val="21"/>
              </w:rPr>
            </w:pPr>
            <w:r>
              <w:rPr>
                <w:rFonts w:ascii="Times New Roman"/>
                <w:sz w:val="21"/>
              </w:rPr>
              <w:t>7.25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654,628,468.</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159,596.14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654,468,872.</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36</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1,779,135,30</w:t>
            </w:r>
          </w:p>
          <w:p>
            <w:pPr>
              <w:pStyle w:val="TableParagraph"/>
              <w:spacing w:line="240" w:lineRule="auto" w:before="70"/>
              <w:ind w:left="888" w:right="0"/>
              <w:jc w:val="left"/>
              <w:rPr>
                <w:rFonts w:ascii="Times New Roman" w:hAnsi="Times New Roman" w:cs="Times New Roman" w:eastAsia="Times New Roman" w:hint="default"/>
                <w:sz w:val="21"/>
                <w:szCs w:val="21"/>
              </w:rPr>
            </w:pPr>
            <w:r>
              <w:rPr>
                <w:rFonts w:ascii="Times New Roman"/>
                <w:sz w:val="21"/>
              </w:rPr>
              <w:t>4.80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31,406,845.5</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1,747,728,45</w:t>
            </w:r>
          </w:p>
          <w:p>
            <w:pPr>
              <w:pStyle w:val="TableParagraph"/>
              <w:spacing w:line="240" w:lineRule="auto" w:before="70"/>
              <w:ind w:left="888" w:right="0"/>
              <w:jc w:val="left"/>
              <w:rPr>
                <w:rFonts w:ascii="Times New Roman" w:hAnsi="Times New Roman" w:cs="Times New Roman" w:eastAsia="Times New Roman" w:hint="default"/>
                <w:sz w:val="21"/>
                <w:szCs w:val="21"/>
              </w:rPr>
            </w:pPr>
            <w:r>
              <w:rPr>
                <w:rFonts w:ascii="Times New Roman"/>
                <w:sz w:val="21"/>
              </w:rPr>
              <w:t>9.26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8" w:right="0"/>
              <w:jc w:val="left"/>
              <w:rPr>
                <w:rFonts w:ascii="Times New Roman" w:hAnsi="Times New Roman" w:cs="Times New Roman" w:eastAsia="Times New Roman" w:hint="default"/>
                <w:sz w:val="21"/>
                <w:szCs w:val="21"/>
              </w:rPr>
            </w:pPr>
            <w:r>
              <w:rPr>
                <w:rFonts w:ascii="Times New Roman"/>
                <w:sz w:val="21"/>
              </w:rPr>
              <w:t>1,134,848,48</w:t>
            </w:r>
          </w:p>
          <w:p>
            <w:pPr>
              <w:pStyle w:val="TableParagraph"/>
              <w:spacing w:line="240" w:lineRule="auto" w:before="70"/>
              <w:ind w:left="883" w:right="0"/>
              <w:jc w:val="left"/>
              <w:rPr>
                <w:rFonts w:ascii="Times New Roman" w:hAnsi="Times New Roman" w:cs="Times New Roman" w:eastAsia="Times New Roman" w:hint="default"/>
                <w:sz w:val="21"/>
                <w:szCs w:val="21"/>
              </w:rPr>
            </w:pPr>
            <w:r>
              <w:rPr>
                <w:rFonts w:ascii="Times New Roman"/>
                <w:sz w:val="21"/>
              </w:rPr>
              <w:t>4.20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37,967,658.7</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1,096,880,82</w:t>
            </w:r>
          </w:p>
          <w:p>
            <w:pPr>
              <w:pStyle w:val="TableParagraph"/>
              <w:spacing w:line="240" w:lineRule="auto" w:before="70"/>
              <w:ind w:left="888" w:right="0"/>
              <w:jc w:val="left"/>
              <w:rPr>
                <w:rFonts w:ascii="Times New Roman" w:hAnsi="Times New Roman" w:cs="Times New Roman" w:eastAsia="Times New Roman" w:hint="default"/>
                <w:sz w:val="21"/>
                <w:szCs w:val="21"/>
              </w:rPr>
            </w:pPr>
            <w:r>
              <w:rPr>
                <w:rFonts w:ascii="Times New Roman"/>
                <w:sz w:val="21"/>
              </w:rPr>
              <w:t>5.42</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存货跌价准备" w:id="282"/>
      <w:bookmarkEnd w:id="28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369"/>
        <w:gridCol w:w="1613"/>
        <w:gridCol w:w="1503"/>
        <w:gridCol w:w="989"/>
        <w:gridCol w:w="1652"/>
        <w:gridCol w:w="1080"/>
        <w:gridCol w:w="1561"/>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4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61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729"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613" w:type="dxa"/>
            <w:vMerge/>
            <w:tcBorders>
              <w:left w:val="single" w:sz="4" w:space="0" w:color="000000"/>
              <w:bottom w:val="single" w:sz="4" w:space="0" w:color="000000"/>
              <w:right w:val="single" w:sz="4" w:space="0" w:color="000000"/>
            </w:tcBorders>
            <w:shd w:val="clear" w:color="auto" w:fill="D2D2D2"/>
          </w:tcPr>
          <w:p>
            <w:pPr/>
          </w:p>
        </w:tc>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7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92" w:right="0"/>
              <w:jc w:val="left"/>
              <w:rPr>
                <w:rFonts w:ascii="宋体" w:hAnsi="宋体" w:cs="宋体" w:eastAsia="宋体" w:hint="default"/>
                <w:sz w:val="21"/>
                <w:szCs w:val="21"/>
              </w:rPr>
            </w:pPr>
            <w:r>
              <w:rPr>
                <w:rFonts w:ascii="宋体" w:hAnsi="宋体" w:cs="宋体" w:eastAsia="宋体" w:hint="default"/>
                <w:sz w:val="21"/>
                <w:szCs w:val="21"/>
              </w:rPr>
              <w:t>转回或转销</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2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278,828.28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407,453.48</w:t>
            </w:r>
          </w:p>
        </w:tc>
        <w:tc>
          <w:tcPr>
            <w:tcW w:w="9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686,281.76</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37,529,234.36</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15,348,382.61</w:t>
            </w:r>
          </w:p>
        </w:tc>
        <w:tc>
          <w:tcPr>
            <w:tcW w:w="9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22,268,961.28</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30,608,655.69</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05" w:right="195"/>
              <w:jc w:val="both"/>
              <w:rPr>
                <w:rFonts w:ascii="宋体" w:hAnsi="宋体" w:cs="宋体" w:eastAsia="宋体" w:hint="default"/>
                <w:sz w:val="21"/>
                <w:szCs w:val="21"/>
              </w:rPr>
            </w:pPr>
            <w:r>
              <w:rPr>
                <w:rFonts w:ascii="宋体" w:hAnsi="宋体" w:cs="宋体" w:eastAsia="宋体" w:hint="default"/>
                <w:sz w:val="21"/>
                <w:szCs w:val="21"/>
              </w:rPr>
              <w:t>建造合同形</w:t>
            </w:r>
            <w:r>
              <w:rPr>
                <w:rFonts w:ascii="宋体" w:hAnsi="宋体" w:cs="宋体" w:eastAsia="宋体" w:hint="default"/>
                <w:spacing w:val="-99"/>
                <w:sz w:val="21"/>
                <w:szCs w:val="21"/>
              </w:rPr>
              <w:t> </w:t>
            </w:r>
            <w:r>
              <w:rPr>
                <w:rFonts w:ascii="宋体" w:hAnsi="宋体" w:cs="宋体" w:eastAsia="宋体" w:hint="default"/>
                <w:sz w:val="21"/>
                <w:szCs w:val="21"/>
              </w:rPr>
              <w:t>成的已完工</w:t>
            </w:r>
            <w:r>
              <w:rPr>
                <w:rFonts w:ascii="宋体" w:hAnsi="宋体" w:cs="宋体" w:eastAsia="宋体" w:hint="default"/>
                <w:spacing w:val="-99"/>
                <w:sz w:val="21"/>
                <w:szCs w:val="21"/>
              </w:rPr>
              <w:t> </w:t>
            </w:r>
            <w:r>
              <w:rPr>
                <w:rFonts w:ascii="宋体" w:hAnsi="宋体" w:cs="宋体" w:eastAsia="宋体" w:hint="default"/>
                <w:sz w:val="21"/>
                <w:szCs w:val="21"/>
              </w:rPr>
              <w:t>未结算资产</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4"/>
              <w:jc w:val="right"/>
              <w:rPr>
                <w:rFonts w:ascii="Times New Roman" w:hAnsi="Times New Roman" w:cs="Times New Roman" w:eastAsia="Times New Roman" w:hint="default"/>
                <w:sz w:val="21"/>
                <w:szCs w:val="21"/>
              </w:rPr>
            </w:pPr>
            <w:r>
              <w:rPr>
                <w:rFonts w:ascii="Times New Roman"/>
                <w:sz w:val="21"/>
              </w:rPr>
              <w:t>159,596.14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8"/>
              <w:jc w:val="right"/>
              <w:rPr>
                <w:rFonts w:ascii="Times New Roman" w:hAnsi="Times New Roman" w:cs="Times New Roman" w:eastAsia="Times New Roman" w:hint="default"/>
                <w:sz w:val="21"/>
                <w:szCs w:val="21"/>
              </w:rPr>
            </w:pPr>
            <w:r>
              <w:rPr>
                <w:rFonts w:ascii="Times New Roman"/>
                <w:sz w:val="21"/>
              </w:rPr>
              <w:t>9,081.54</w:t>
            </w:r>
          </w:p>
        </w:tc>
        <w:tc>
          <w:tcPr>
            <w:tcW w:w="9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z w:val="21"/>
              </w:rPr>
              <w:t>56,769.59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99"/>
              <w:jc w:val="right"/>
              <w:rPr>
                <w:rFonts w:ascii="Times New Roman" w:hAnsi="Times New Roman" w:cs="Times New Roman" w:eastAsia="Times New Roman" w:hint="default"/>
                <w:sz w:val="21"/>
                <w:szCs w:val="21"/>
              </w:rPr>
            </w:pPr>
            <w:r>
              <w:rPr>
                <w:rFonts w:ascii="Times New Roman"/>
                <w:spacing w:val="-2"/>
                <w:sz w:val="21"/>
              </w:rPr>
              <w:t>111,908.09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37,967,658.78</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15,764,917.63</w:t>
            </w:r>
          </w:p>
        </w:tc>
        <w:tc>
          <w:tcPr>
            <w:tcW w:w="989" w:type="dxa"/>
            <w:tcBorders>
              <w:top w:val="single" w:sz="4" w:space="0" w:color="000000"/>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22,325,730.87</w:t>
            </w:r>
          </w:p>
        </w:tc>
        <w:tc>
          <w:tcPr>
            <w:tcW w:w="1080"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31,406,845.54</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1002"/>
        <w:jc w:val="left"/>
        <w:rPr>
          <w:b w:val="0"/>
          <w:bCs w:val="0"/>
        </w:rPr>
      </w:pPr>
      <w:bookmarkStart w:name="（3）存货期末余额含有借款费用资本化金额的说明" w:id="283"/>
      <w:bookmarkEnd w:id="28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1002"/>
        <w:jc w:val="left"/>
        <w:rPr>
          <w:b w:val="0"/>
          <w:bCs w:val="0"/>
        </w:rPr>
      </w:pPr>
      <w:bookmarkStart w:name="（4）期末建造合同形成的已完工未结算资产情况" w:id="284"/>
      <w:bookmarkEnd w:id="28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累计已发生成本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2,860,800,603.30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累计已确认毛利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1,064,407,506.78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减：预计损失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2"/>
                <w:sz w:val="21"/>
              </w:rPr>
              <w:t>111,908.09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已办理结算的金额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2,740,934,374.74</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建造合同形成的已完工未结算资产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1,184,161,827.25</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10、合同资产" w:id="285"/>
      <w:bookmarkEnd w:id="285"/>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132"/>
        <w:gridCol w:w="1196"/>
        <w:gridCol w:w="1330"/>
        <w:gridCol w:w="1196"/>
        <w:gridCol w:w="1195"/>
        <w:gridCol w:w="1201"/>
        <w:gridCol w:w="1323"/>
      </w:tblGrid>
      <w:tr>
        <w:trPr>
          <w:trHeight w:val="403"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4"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5"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pStyle w:val="BodyText"/>
        <w:spacing w:line="240" w:lineRule="auto" w:before="28"/>
        <w:ind w:right="1002"/>
        <w:jc w:val="left"/>
      </w:pPr>
      <w:r>
        <w:rPr/>
        <w:t>合同资产的账面价值在本期内发生的重大变动金额和原因：</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204"/>
        <w:gridCol w:w="2420"/>
        <w:gridCol w:w="4945"/>
      </w:tblGrid>
      <w:tr>
        <w:trPr>
          <w:trHeight w:val="403"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87" w:right="0"/>
              <w:jc w:val="left"/>
              <w:rPr>
                <w:rFonts w:ascii="宋体" w:hAnsi="宋体" w:cs="宋体" w:eastAsia="宋体" w:hint="default"/>
                <w:sz w:val="21"/>
                <w:szCs w:val="21"/>
              </w:rPr>
            </w:pPr>
            <w:r>
              <w:rPr>
                <w:rFonts w:ascii="宋体" w:hAnsi="宋体" w:cs="宋体" w:eastAsia="宋体" w:hint="default"/>
                <w:sz w:val="21"/>
                <w:szCs w:val="21"/>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变动原因</w:t>
            </w:r>
          </w:p>
        </w:tc>
      </w:tr>
    </w:tbl>
    <w:p>
      <w:pPr>
        <w:pStyle w:val="BodyText"/>
        <w:spacing w:line="273" w:lineRule="auto" w:before="28"/>
        <w:ind w:right="1002"/>
        <w:jc w:val="left"/>
      </w:pPr>
      <w:r>
        <w:rPr>
          <w:spacing w:val="-2"/>
        </w:rPr>
        <w:t>如是按照预期信用损失一般模型计提合同资产坏账准备，请参照其他应收款的披露方式披露坏账准备的相</w:t>
      </w:r>
      <w:r>
        <w:rPr>
          <w:spacing w:val="-33"/>
        </w:rPr>
        <w:t> </w:t>
      </w:r>
      <w:r>
        <w:rPr>
          <w:spacing w:val="-33"/>
        </w:rPr>
      </w:r>
      <w:r>
        <w:rPr/>
        <w:t>关信息：</w:t>
      </w:r>
    </w:p>
    <w:p>
      <w:pPr>
        <w:pStyle w:val="BodyText"/>
        <w:spacing w:line="309" w:lineRule="auto" w:before="46"/>
        <w:ind w:right="7667"/>
        <w:jc w:val="left"/>
      </w:pPr>
      <w:r>
        <w:rPr/>
        <w:t>□ 适用 √ 不适用</w:t>
      </w:r>
      <w:r>
        <w:rPr>
          <w:spacing w:val="-101"/>
        </w:rPr>
        <w:t> </w:t>
      </w:r>
      <w:r>
        <w:rPr>
          <w:spacing w:val="-101"/>
        </w:rPr>
      </w:r>
      <w:r>
        <w:rPr>
          <w:spacing w:val="-2"/>
        </w:rPr>
        <w:t>本期合同资产计提减值准备情况</w:t>
      </w:r>
    </w:p>
    <w:p>
      <w:pPr>
        <w:pStyle w:val="BodyText"/>
        <w:spacing w:line="240" w:lineRule="auto" w:before="14"/>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28"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27"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29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Times New Roman" w:hAnsi="Times New Roman" w:cs="Times New Roman" w:eastAsia="Times New Roman" w:hint="default"/>
                <w:sz w:val="21"/>
                <w:szCs w:val="21"/>
              </w:rPr>
              <w:t>/</w:t>
            </w:r>
            <w:r>
              <w:rPr>
                <w:rFonts w:ascii="宋体" w:hAnsi="宋体" w:cs="宋体" w:eastAsia="宋体" w:hint="default"/>
                <w:sz w:val="21"/>
                <w:szCs w:val="21"/>
              </w:rPr>
              <w:t>核销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5" w:right="0"/>
              <w:jc w:val="center"/>
              <w:rPr>
                <w:rFonts w:ascii="宋体" w:hAnsi="宋体" w:cs="宋体" w:eastAsia="宋体" w:hint="default"/>
                <w:sz w:val="21"/>
                <w:szCs w:val="21"/>
              </w:rPr>
            </w:pPr>
            <w:r>
              <w:rPr>
                <w:rFonts w:ascii="宋体" w:hAnsi="宋体" w:cs="宋体" w:eastAsia="宋体" w:hint="default"/>
                <w:sz w:val="21"/>
                <w:szCs w:val="21"/>
              </w:rPr>
              <w:t>原因</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11、持有待售资产" w:id="286"/>
      <w:bookmarkEnd w:id="286"/>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4"/>
        <w:gridCol w:w="1368"/>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575" w:right="147" w:hanging="423"/>
              <w:jc w:val="left"/>
              <w:rPr>
                <w:rFonts w:ascii="宋体" w:hAnsi="宋体" w:cs="宋体" w:eastAsia="宋体" w:hint="default"/>
                <w:sz w:val="21"/>
                <w:szCs w:val="21"/>
              </w:rPr>
            </w:pPr>
            <w:r>
              <w:rPr>
                <w:rFonts w:ascii="宋体" w:hAnsi="宋体" w:cs="宋体" w:eastAsia="宋体" w:hint="default"/>
                <w:sz w:val="21"/>
                <w:szCs w:val="21"/>
              </w:rPr>
              <w:t>期末账面余</w:t>
            </w:r>
            <w:r>
              <w:rPr>
                <w:rFonts w:ascii="宋体" w:hAnsi="宋体" w:cs="宋体" w:eastAsia="宋体" w:hint="default"/>
                <w:spacing w:val="-99"/>
                <w:sz w:val="21"/>
                <w:szCs w:val="21"/>
              </w:rPr>
              <w:t> </w:t>
            </w:r>
            <w:r>
              <w:rPr>
                <w:rFonts w:ascii="宋体" w:hAnsi="宋体" w:cs="宋体" w:eastAsia="宋体" w:hint="default"/>
                <w:sz w:val="21"/>
                <w:szCs w:val="21"/>
              </w:rPr>
              <w:t>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571" w:right="147" w:hanging="423"/>
              <w:jc w:val="left"/>
              <w:rPr>
                <w:rFonts w:ascii="宋体" w:hAnsi="宋体" w:cs="宋体" w:eastAsia="宋体" w:hint="default"/>
                <w:sz w:val="21"/>
                <w:szCs w:val="21"/>
              </w:rPr>
            </w:pPr>
            <w:r>
              <w:rPr>
                <w:rFonts w:ascii="宋体" w:hAnsi="宋体" w:cs="宋体" w:eastAsia="宋体" w:hint="default"/>
                <w:sz w:val="21"/>
                <w:szCs w:val="21"/>
              </w:rPr>
              <w:t>期末账面价</w:t>
            </w:r>
            <w:r>
              <w:rPr>
                <w:rFonts w:ascii="宋体" w:hAnsi="宋体" w:cs="宋体" w:eastAsia="宋体" w:hint="default"/>
                <w:spacing w:val="-99"/>
                <w:sz w:val="21"/>
                <w:szCs w:val="21"/>
              </w:rPr>
              <w:t> </w:t>
            </w:r>
            <w:r>
              <w:rPr>
                <w:rFonts w:ascii="宋体" w:hAnsi="宋体" w:cs="宋体" w:eastAsia="宋体" w:hint="default"/>
                <w:sz w:val="21"/>
                <w:szCs w:val="21"/>
              </w:rPr>
              <w:t>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576" w:right="147" w:hanging="423"/>
              <w:jc w:val="left"/>
              <w:rPr>
                <w:rFonts w:ascii="宋体" w:hAnsi="宋体" w:cs="宋体" w:eastAsia="宋体" w:hint="default"/>
                <w:sz w:val="21"/>
                <w:szCs w:val="21"/>
              </w:rPr>
            </w:pPr>
            <w:r>
              <w:rPr>
                <w:rFonts w:ascii="宋体" w:hAnsi="宋体" w:cs="宋体" w:eastAsia="宋体" w:hint="default"/>
                <w:sz w:val="21"/>
                <w:szCs w:val="21"/>
              </w:rPr>
              <w:t>预计处置费</w:t>
            </w:r>
            <w:r>
              <w:rPr>
                <w:rFonts w:ascii="宋体" w:hAnsi="宋体" w:cs="宋体" w:eastAsia="宋体" w:hint="default"/>
                <w:spacing w:val="-99"/>
                <w:sz w:val="21"/>
                <w:szCs w:val="21"/>
              </w:rPr>
              <w:t> </w:t>
            </w:r>
            <w:r>
              <w:rPr>
                <w:rFonts w:ascii="宋体" w:hAnsi="宋体" w:cs="宋体" w:eastAsia="宋体" w:hint="default"/>
                <w:sz w:val="21"/>
                <w:szCs w:val="21"/>
              </w:rPr>
              <w:t>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576" w:right="146" w:hanging="423"/>
              <w:jc w:val="left"/>
              <w:rPr>
                <w:rFonts w:ascii="宋体" w:hAnsi="宋体" w:cs="宋体" w:eastAsia="宋体" w:hint="default"/>
                <w:sz w:val="21"/>
                <w:szCs w:val="21"/>
              </w:rPr>
            </w:pPr>
            <w:r>
              <w:rPr>
                <w:rFonts w:ascii="宋体" w:hAnsi="宋体" w:cs="宋体" w:eastAsia="宋体" w:hint="default"/>
                <w:sz w:val="21"/>
                <w:szCs w:val="21"/>
              </w:rPr>
              <w:t>预计处置时</w:t>
            </w:r>
            <w:r>
              <w:rPr>
                <w:rFonts w:ascii="宋体" w:hAnsi="宋体" w:cs="宋体" w:eastAsia="宋体" w:hint="default"/>
                <w:spacing w:val="-99"/>
                <w:sz w:val="21"/>
                <w:szCs w:val="21"/>
              </w:rPr>
              <w:t> </w:t>
            </w:r>
            <w:r>
              <w:rPr>
                <w:rFonts w:ascii="宋体" w:hAnsi="宋体" w:cs="宋体" w:eastAsia="宋体" w:hint="default"/>
                <w:sz w:val="21"/>
                <w:szCs w:val="21"/>
              </w:rPr>
              <w:t>间</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12、一年内到期的非流动资产" w:id="287"/>
      <w:bookmarkEnd w:id="28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after="0" w:line="240" w:lineRule="auto"/>
        <w:jc w:val="right"/>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240" w:lineRule="auto" w:before="28"/>
        <w:ind w:right="1002"/>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59"/>
        <w:ind w:left="0" w:right="1122"/>
        <w:jc w:val="right"/>
      </w:pPr>
      <w:r>
        <w:rPr/>
        <w:t>单位：</w:t>
      </w:r>
      <w:r>
        <w:rPr>
          <w:spacing w:val="4"/>
        </w:rPr>
        <w:t> </w:t>
      </w:r>
      <w:r>
        <w:rPr/>
        <w:t>元</w:t>
      </w:r>
    </w:p>
    <w:p>
      <w:pPr>
        <w:spacing w:line="240" w:lineRule="auto" w:before="1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10"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64" w:right="152" w:hanging="207"/>
              <w:jc w:val="left"/>
              <w:rPr>
                <w:rFonts w:ascii="宋体" w:hAnsi="宋体" w:cs="宋体" w:eastAsia="宋体" w:hint="default"/>
                <w:sz w:val="21"/>
                <w:szCs w:val="21"/>
              </w:rPr>
            </w:pPr>
            <w:r>
              <w:rPr>
                <w:rFonts w:ascii="宋体" w:hAnsi="宋体" w:cs="宋体" w:eastAsia="宋体" w:hint="default"/>
                <w:sz w:val="21"/>
                <w:szCs w:val="21"/>
              </w:rPr>
              <w:t>票面利</w:t>
            </w:r>
            <w:r>
              <w:rPr>
                <w:rFonts w:ascii="宋体" w:hAnsi="宋体" w:cs="宋体" w:eastAsia="宋体" w:hint="default"/>
                <w:spacing w:val="-102"/>
                <w:sz w:val="21"/>
                <w:szCs w:val="21"/>
              </w:rPr>
              <w:t> </w:t>
            </w:r>
            <w:r>
              <w:rPr>
                <w:rFonts w:ascii="宋体" w:hAnsi="宋体" w:cs="宋体" w:eastAsia="宋体" w:hint="default"/>
                <w:sz w:val="21"/>
                <w:szCs w:val="21"/>
              </w:rPr>
              <w:t>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69" w:right="153" w:hanging="212"/>
              <w:jc w:val="left"/>
              <w:rPr>
                <w:rFonts w:ascii="宋体" w:hAnsi="宋体" w:cs="宋体" w:eastAsia="宋体" w:hint="default"/>
                <w:sz w:val="21"/>
                <w:szCs w:val="21"/>
              </w:rPr>
            </w:pPr>
            <w:r>
              <w:rPr>
                <w:rFonts w:ascii="宋体" w:hAnsi="宋体" w:cs="宋体" w:eastAsia="宋体" w:hint="default"/>
                <w:sz w:val="21"/>
                <w:szCs w:val="21"/>
              </w:rPr>
              <w:t>实际利</w:t>
            </w:r>
            <w:r>
              <w:rPr>
                <w:rFonts w:ascii="宋体" w:hAnsi="宋体" w:cs="宋体" w:eastAsia="宋体" w:hint="default"/>
                <w:spacing w:val="-102"/>
                <w:sz w:val="21"/>
                <w:szCs w:val="21"/>
              </w:rPr>
              <w:t> </w:t>
            </w:r>
            <w:r>
              <w:rPr>
                <w:rFonts w:ascii="宋体" w:hAnsi="宋体" w:cs="宋体" w:eastAsia="宋体" w:hint="default"/>
                <w:sz w:val="21"/>
                <w:szCs w:val="21"/>
              </w:rPr>
              <w:t>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70" w:right="152" w:hanging="212"/>
              <w:jc w:val="left"/>
              <w:rPr>
                <w:rFonts w:ascii="宋体" w:hAnsi="宋体" w:cs="宋体" w:eastAsia="宋体" w:hint="default"/>
                <w:sz w:val="21"/>
                <w:szCs w:val="21"/>
              </w:rPr>
            </w:pPr>
            <w:r>
              <w:rPr>
                <w:rFonts w:ascii="宋体" w:hAnsi="宋体" w:cs="宋体" w:eastAsia="宋体" w:hint="default"/>
                <w:sz w:val="21"/>
                <w:szCs w:val="21"/>
              </w:rPr>
              <w:t>票面利</w:t>
            </w:r>
            <w:r>
              <w:rPr>
                <w:rFonts w:ascii="宋体" w:hAnsi="宋体" w:cs="宋体" w:eastAsia="宋体" w:hint="default"/>
                <w:spacing w:val="-102"/>
                <w:sz w:val="21"/>
                <w:szCs w:val="21"/>
              </w:rPr>
              <w:t> </w:t>
            </w:r>
            <w:r>
              <w:rPr>
                <w:rFonts w:ascii="宋体" w:hAnsi="宋体" w:cs="宋体" w:eastAsia="宋体" w:hint="default"/>
                <w:sz w:val="21"/>
                <w:szCs w:val="21"/>
              </w:rPr>
              <w:t>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69" w:right="153" w:hanging="212"/>
              <w:jc w:val="left"/>
              <w:rPr>
                <w:rFonts w:ascii="宋体" w:hAnsi="宋体" w:cs="宋体" w:eastAsia="宋体" w:hint="default"/>
                <w:sz w:val="21"/>
                <w:szCs w:val="21"/>
              </w:rPr>
            </w:pPr>
            <w:r>
              <w:rPr>
                <w:rFonts w:ascii="宋体" w:hAnsi="宋体" w:cs="宋体" w:eastAsia="宋体" w:hint="default"/>
                <w:sz w:val="21"/>
                <w:szCs w:val="21"/>
              </w:rPr>
              <w:t>实际利</w:t>
            </w:r>
            <w:r>
              <w:rPr>
                <w:rFonts w:ascii="宋体" w:hAnsi="宋体" w:cs="宋体" w:eastAsia="宋体" w:hint="default"/>
                <w:spacing w:val="-102"/>
                <w:sz w:val="21"/>
                <w:szCs w:val="21"/>
              </w:rPr>
              <w:t> </w:t>
            </w:r>
            <w:r>
              <w:rPr>
                <w:rFonts w:ascii="宋体" w:hAnsi="宋体" w:cs="宋体" w:eastAsia="宋体" w:hint="default"/>
                <w:sz w:val="21"/>
                <w:szCs w:val="21"/>
              </w:rPr>
              <w:t>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到期日</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13、其他流动资产" w:id="288"/>
      <w:bookmarkEnd w:id="28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2" w:top="1100" w:bottom="1220" w:left="1020" w:right="0"/>
        </w:sectPr>
      </w:pPr>
    </w:p>
    <w:p>
      <w:pPr>
        <w:pStyle w:val="BodyText"/>
        <w:spacing w:line="240" w:lineRule="auto"/>
        <w:ind w:right="-8"/>
        <w:jc w:val="left"/>
      </w:pPr>
      <w:r>
        <w:rPr>
          <w:spacing w:val="-1"/>
        </w:rPr>
        <w:t>是否已执行新收入准则</w:t>
      </w:r>
    </w:p>
    <w:p>
      <w:pPr>
        <w:pStyle w:val="BodyText"/>
        <w:spacing w:line="240" w:lineRule="auto" w:before="75"/>
        <w:ind w:right="-8"/>
        <w:jc w:val="left"/>
      </w:pPr>
      <w:r>
        <w:rPr/>
        <w:t>□ 是 √</w:t>
      </w:r>
      <w:r>
        <w:rPr>
          <w:spacing w:val="5"/>
        </w:rPr>
        <w:t> </w:t>
      </w:r>
      <w:r>
        <w:rPr/>
        <w:t>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40"/>
          <w:pgMar w:top="1100" w:bottom="1220" w:left="1020" w:right="0"/>
          <w:cols w:num="2" w:equalWidth="0">
            <w:col w:w="2216" w:space="6480"/>
            <w:col w:w="2194"/>
          </w:cols>
        </w:sectPr>
      </w:pP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109,933,336.67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79,094,212.06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预缴税款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552,287.53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1,422,720.95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待摊费用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48,479.07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149,804.59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110,534,103.27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80,666,737.60</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14、债权投资" w:id="289"/>
      <w:bookmarkEnd w:id="289"/>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pStyle w:val="BodyText"/>
        <w:spacing w:line="240" w:lineRule="auto" w:before="28"/>
        <w:ind w:right="1002"/>
        <w:jc w:val="left"/>
      </w:pPr>
      <w:r>
        <w:rPr/>
        <w:t>重要的债权投资</w:t>
      </w:r>
    </w:p>
    <w:p>
      <w:pPr>
        <w:pStyle w:val="BodyText"/>
        <w:spacing w:line="240" w:lineRule="auto" w:before="81"/>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364" w:right="152" w:hanging="207"/>
              <w:jc w:val="left"/>
              <w:rPr>
                <w:rFonts w:ascii="宋体" w:hAnsi="宋体" w:cs="宋体" w:eastAsia="宋体" w:hint="default"/>
                <w:sz w:val="21"/>
                <w:szCs w:val="21"/>
              </w:rPr>
            </w:pPr>
            <w:r>
              <w:rPr>
                <w:rFonts w:ascii="宋体" w:hAnsi="宋体" w:cs="宋体" w:eastAsia="宋体" w:hint="default"/>
                <w:sz w:val="21"/>
                <w:szCs w:val="21"/>
              </w:rPr>
              <w:t>票面利</w:t>
            </w:r>
            <w:r>
              <w:rPr>
                <w:rFonts w:ascii="宋体" w:hAnsi="宋体" w:cs="宋体" w:eastAsia="宋体" w:hint="default"/>
                <w:spacing w:val="-102"/>
                <w:sz w:val="21"/>
                <w:szCs w:val="21"/>
              </w:rPr>
              <w:t> </w:t>
            </w:r>
            <w:r>
              <w:rPr>
                <w:rFonts w:ascii="宋体" w:hAnsi="宋体" w:cs="宋体" w:eastAsia="宋体" w:hint="default"/>
                <w:sz w:val="21"/>
                <w:szCs w:val="21"/>
              </w:rPr>
              <w:t>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369" w:right="153" w:hanging="212"/>
              <w:jc w:val="left"/>
              <w:rPr>
                <w:rFonts w:ascii="宋体" w:hAnsi="宋体" w:cs="宋体" w:eastAsia="宋体" w:hint="default"/>
                <w:sz w:val="21"/>
                <w:szCs w:val="21"/>
              </w:rPr>
            </w:pPr>
            <w:r>
              <w:rPr>
                <w:rFonts w:ascii="宋体" w:hAnsi="宋体" w:cs="宋体" w:eastAsia="宋体" w:hint="default"/>
                <w:sz w:val="21"/>
                <w:szCs w:val="21"/>
              </w:rPr>
              <w:t>实际利</w:t>
            </w:r>
            <w:r>
              <w:rPr>
                <w:rFonts w:ascii="宋体" w:hAnsi="宋体" w:cs="宋体" w:eastAsia="宋体" w:hint="default"/>
                <w:spacing w:val="-102"/>
                <w:sz w:val="21"/>
                <w:szCs w:val="21"/>
              </w:rPr>
              <w:t> </w:t>
            </w:r>
            <w:r>
              <w:rPr>
                <w:rFonts w:ascii="宋体" w:hAnsi="宋体" w:cs="宋体" w:eastAsia="宋体" w:hint="default"/>
                <w:sz w:val="21"/>
                <w:szCs w:val="21"/>
              </w:rPr>
              <w:t>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370" w:right="152" w:hanging="212"/>
              <w:jc w:val="left"/>
              <w:rPr>
                <w:rFonts w:ascii="宋体" w:hAnsi="宋体" w:cs="宋体" w:eastAsia="宋体" w:hint="default"/>
                <w:sz w:val="21"/>
                <w:szCs w:val="21"/>
              </w:rPr>
            </w:pPr>
            <w:r>
              <w:rPr>
                <w:rFonts w:ascii="宋体" w:hAnsi="宋体" w:cs="宋体" w:eastAsia="宋体" w:hint="default"/>
                <w:sz w:val="21"/>
                <w:szCs w:val="21"/>
              </w:rPr>
              <w:t>票面利</w:t>
            </w:r>
            <w:r>
              <w:rPr>
                <w:rFonts w:ascii="宋体" w:hAnsi="宋体" w:cs="宋体" w:eastAsia="宋体" w:hint="default"/>
                <w:spacing w:val="-102"/>
                <w:sz w:val="21"/>
                <w:szCs w:val="21"/>
              </w:rPr>
              <w:t> </w:t>
            </w:r>
            <w:r>
              <w:rPr>
                <w:rFonts w:ascii="宋体" w:hAnsi="宋体" w:cs="宋体" w:eastAsia="宋体" w:hint="default"/>
                <w:sz w:val="21"/>
                <w:szCs w:val="21"/>
              </w:rPr>
              <w:t>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369" w:right="153" w:hanging="212"/>
              <w:jc w:val="left"/>
              <w:rPr>
                <w:rFonts w:ascii="宋体" w:hAnsi="宋体" w:cs="宋体" w:eastAsia="宋体" w:hint="default"/>
                <w:sz w:val="21"/>
                <w:szCs w:val="21"/>
              </w:rPr>
            </w:pPr>
            <w:r>
              <w:rPr>
                <w:rFonts w:ascii="宋体" w:hAnsi="宋体" w:cs="宋体" w:eastAsia="宋体" w:hint="default"/>
                <w:sz w:val="21"/>
                <w:szCs w:val="21"/>
              </w:rPr>
              <w:t>实际利</w:t>
            </w:r>
            <w:r>
              <w:rPr>
                <w:rFonts w:ascii="宋体" w:hAnsi="宋体" w:cs="宋体" w:eastAsia="宋体" w:hint="default"/>
                <w:spacing w:val="-102"/>
                <w:sz w:val="21"/>
                <w:szCs w:val="21"/>
              </w:rPr>
              <w:t> </w:t>
            </w:r>
            <w:r>
              <w:rPr>
                <w:rFonts w:ascii="宋体" w:hAnsi="宋体" w:cs="宋体" w:eastAsia="宋体" w:hint="default"/>
                <w:sz w:val="21"/>
                <w:szCs w:val="21"/>
              </w:rPr>
              <w:t>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到期日</w:t>
            </w:r>
          </w:p>
        </w:tc>
      </w:tr>
    </w:tbl>
    <w:p>
      <w:pPr>
        <w:pStyle w:val="BodyText"/>
        <w:spacing w:line="240" w:lineRule="auto" w:before="28"/>
        <w:ind w:right="1002"/>
        <w:jc w:val="left"/>
      </w:pPr>
      <w:r>
        <w:rPr/>
        <w:t>减值准备计提情况</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372"/>
        <w:gridCol w:w="2430"/>
        <w:gridCol w:w="12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第一阶段</w:t>
            </w:r>
          </w:p>
        </w:tc>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第二阶段</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第三阶段</w:t>
            </w: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298" w:right="133" w:hanging="159"/>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p>
        </w:tc>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73" w:right="123" w:hanging="14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整个存续期预期信用损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未发生信用减值</w:t>
            </w:r>
            <w:r>
              <w:rPr>
                <w:rFonts w:ascii="Times New Roman" w:hAnsi="Times New Roman" w:cs="Times New Roman" w:eastAsia="Times New Roman" w:hint="default"/>
                <w:sz w:val="21"/>
                <w:szCs w:val="21"/>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02" w:right="152" w:hanging="14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整个存续期预期信用损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失</w:t>
            </w:r>
            <w:r>
              <w:rPr>
                <w:rFonts w:ascii="Times New Roman" w:hAnsi="Times New Roman" w:cs="Times New Roman" w:eastAsia="Times New Roman" w:hint="default"/>
                <w:sz w:val="21"/>
                <w:szCs w:val="21"/>
              </w:rPr>
              <w:t>(</w:t>
            </w:r>
            <w:r>
              <w:rPr>
                <w:rFonts w:ascii="宋体" w:hAnsi="宋体" w:cs="宋体" w:eastAsia="宋体" w:hint="default"/>
                <w:sz w:val="21"/>
                <w:szCs w:val="21"/>
              </w:rPr>
              <w:t>已发生信用减值</w:t>
            </w:r>
            <w:r>
              <w:rPr>
                <w:rFonts w:ascii="Times New Roman" w:hAnsi="Times New Roman" w:cs="Times New Roman" w:eastAsia="Times New Roman" w:hint="default"/>
                <w:sz w:val="21"/>
                <w:szCs w:val="21"/>
              </w:rPr>
              <w:t>)</w:t>
            </w:r>
          </w:p>
        </w:tc>
        <w:tc>
          <w:tcPr>
            <w:tcW w:w="120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1"/>
              <w:ind w:left="105"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日余</w:t>
            </w:r>
            <w:r>
              <w:rPr>
                <w:rFonts w:ascii="宋体" w:hAnsi="宋体" w:cs="宋体" w:eastAsia="宋体" w:hint="default"/>
                <w:w w:val="100"/>
                <w:sz w:val="21"/>
                <w:szCs w:val="21"/>
              </w:rPr>
              <w:t> </w:t>
            </w:r>
            <w:r>
              <w:rPr>
                <w:rFonts w:ascii="宋体" w:hAnsi="宋体" w:cs="宋体" w:eastAsia="宋体" w:hint="default"/>
                <w:sz w:val="21"/>
                <w:szCs w:val="21"/>
              </w:rPr>
              <w:t>额在本期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w:t>
            </w:r>
          </w:p>
        </w:tc>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88" w:right="0"/>
              <w:jc w:val="left"/>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40" w:lineRule="auto" w:before="28"/>
        <w:ind w:right="1002"/>
        <w:jc w:val="left"/>
      </w:pPr>
      <w:r>
        <w:rPr/>
        <w:t>损失准备本期变动金额重大的账面余额变动情况</w:t>
      </w:r>
    </w:p>
    <w:p>
      <w:pPr>
        <w:spacing w:after="0" w:line="240" w:lineRule="auto"/>
        <w:jc w:val="left"/>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BodyText"/>
        <w:spacing w:line="307" w:lineRule="auto"/>
        <w:ind w:right="8962"/>
        <w:jc w:val="left"/>
      </w:pPr>
      <w:r>
        <w:rPr/>
        <w:t>□ 适用 √</w:t>
      </w:r>
      <w:r>
        <w:rPr>
          <w:spacing w:val="4"/>
        </w:rPr>
        <w:t> </w:t>
      </w:r>
      <w:r>
        <w:rPr/>
        <w:t>不适用</w:t>
      </w:r>
      <w:r>
        <w:rPr>
          <w:w w:val="100"/>
        </w:rPr>
        <w:t> </w:t>
      </w:r>
      <w:r>
        <w:rPr/>
        <w:t>其他说明：</w:t>
      </w:r>
    </w:p>
    <w:p>
      <w:pPr>
        <w:spacing w:line="240" w:lineRule="auto" w:before="2"/>
        <w:rPr>
          <w:rFonts w:ascii="宋体" w:hAnsi="宋体" w:cs="宋体" w:eastAsia="宋体" w:hint="default"/>
          <w:sz w:val="21"/>
          <w:szCs w:val="21"/>
        </w:rPr>
      </w:pPr>
    </w:p>
    <w:p>
      <w:pPr>
        <w:pStyle w:val="Heading5"/>
        <w:spacing w:line="240" w:lineRule="auto"/>
        <w:ind w:right="1002"/>
        <w:jc w:val="left"/>
        <w:rPr>
          <w:b w:val="0"/>
          <w:bCs w:val="0"/>
        </w:rPr>
      </w:pPr>
      <w:bookmarkStart w:name="15、其他债权投资" w:id="290"/>
      <w:bookmarkEnd w:id="290"/>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297"/>
        <w:gridCol w:w="1037"/>
        <w:gridCol w:w="1033"/>
        <w:gridCol w:w="1032"/>
        <w:gridCol w:w="1037"/>
        <w:gridCol w:w="759"/>
        <w:gridCol w:w="1109"/>
        <w:gridCol w:w="1474"/>
        <w:gridCol w:w="797"/>
      </w:tblGrid>
      <w:tr>
        <w:trPr>
          <w:trHeight w:val="1340" w:hRule="exact"/>
        </w:trPr>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407" w:right="190" w:hanging="207"/>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0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403" w:right="195" w:hanging="212"/>
              <w:jc w:val="left"/>
              <w:rPr>
                <w:rFonts w:ascii="宋体" w:hAnsi="宋体" w:cs="宋体" w:eastAsia="宋体" w:hint="default"/>
                <w:sz w:val="21"/>
                <w:szCs w:val="21"/>
              </w:rPr>
            </w:pPr>
            <w:r>
              <w:rPr>
                <w:rFonts w:ascii="宋体" w:hAnsi="宋体" w:cs="宋体" w:eastAsia="宋体" w:hint="default"/>
                <w:sz w:val="21"/>
                <w:szCs w:val="21"/>
              </w:rPr>
              <w:t>应计利</w:t>
            </w:r>
            <w:r>
              <w:rPr>
                <w:rFonts w:ascii="宋体" w:hAnsi="宋体" w:cs="宋体" w:eastAsia="宋体" w:hint="default"/>
                <w:spacing w:val="-102"/>
                <w:sz w:val="21"/>
                <w:szCs w:val="21"/>
              </w:rPr>
              <w:t> </w:t>
            </w:r>
            <w:r>
              <w:rPr>
                <w:rFonts w:ascii="宋体" w:hAnsi="宋体" w:cs="宋体" w:eastAsia="宋体" w:hint="default"/>
                <w:sz w:val="21"/>
                <w:szCs w:val="21"/>
              </w:rPr>
              <w:t>息</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96" w:right="191"/>
              <w:jc w:val="both"/>
              <w:rPr>
                <w:rFonts w:ascii="宋体" w:hAnsi="宋体" w:cs="宋体" w:eastAsia="宋体" w:hint="default"/>
                <w:sz w:val="21"/>
                <w:szCs w:val="21"/>
              </w:rPr>
            </w:pPr>
            <w:r>
              <w:rPr>
                <w:rFonts w:ascii="宋体" w:hAnsi="宋体" w:cs="宋体" w:eastAsia="宋体" w:hint="default"/>
                <w:sz w:val="21"/>
                <w:szCs w:val="21"/>
              </w:rPr>
              <w:t>本期公</w:t>
            </w:r>
            <w:r>
              <w:rPr>
                <w:rFonts w:ascii="宋体" w:hAnsi="宋体" w:cs="宋体" w:eastAsia="宋体" w:hint="default"/>
                <w:spacing w:val="-102"/>
                <w:sz w:val="21"/>
                <w:szCs w:val="21"/>
              </w:rPr>
              <w:t> </w:t>
            </w:r>
            <w:r>
              <w:rPr>
                <w:rFonts w:ascii="宋体" w:hAnsi="宋体" w:cs="宋体" w:eastAsia="宋体" w:hint="default"/>
                <w:sz w:val="21"/>
                <w:szCs w:val="21"/>
              </w:rPr>
              <w:t>允价值</w:t>
            </w:r>
            <w:r>
              <w:rPr>
                <w:rFonts w:ascii="宋体" w:hAnsi="宋体" w:cs="宋体" w:eastAsia="宋体" w:hint="default"/>
                <w:spacing w:val="-102"/>
                <w:sz w:val="21"/>
                <w:szCs w:val="21"/>
              </w:rPr>
              <w:t> </w:t>
            </w:r>
            <w:r>
              <w:rPr>
                <w:rFonts w:ascii="宋体" w:hAnsi="宋体" w:cs="宋体" w:eastAsia="宋体" w:hint="default"/>
                <w:sz w:val="21"/>
                <w:szCs w:val="21"/>
              </w:rPr>
              <w:t>变动</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408" w:right="194" w:hanging="212"/>
              <w:jc w:val="left"/>
              <w:rPr>
                <w:rFonts w:ascii="宋体" w:hAnsi="宋体" w:cs="宋体" w:eastAsia="宋体" w:hint="default"/>
                <w:sz w:val="21"/>
                <w:szCs w:val="21"/>
              </w:rPr>
            </w:pPr>
            <w:r>
              <w:rPr>
                <w:rFonts w:ascii="宋体" w:hAnsi="宋体" w:cs="宋体" w:eastAsia="宋体" w:hint="default"/>
                <w:sz w:val="21"/>
                <w:szCs w:val="21"/>
              </w:rPr>
              <w:t>期末余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成本</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29" w:right="123"/>
              <w:jc w:val="left"/>
              <w:rPr>
                <w:rFonts w:ascii="宋体" w:hAnsi="宋体" w:cs="宋体" w:eastAsia="宋体" w:hint="default"/>
                <w:sz w:val="21"/>
                <w:szCs w:val="21"/>
              </w:rPr>
            </w:pPr>
            <w:r>
              <w:rPr>
                <w:rFonts w:ascii="宋体" w:hAnsi="宋体" w:cs="宋体" w:eastAsia="宋体" w:hint="default"/>
                <w:sz w:val="21"/>
                <w:szCs w:val="21"/>
              </w:rPr>
              <w:t>累计公允</w:t>
            </w:r>
            <w:r>
              <w:rPr>
                <w:rFonts w:ascii="宋体" w:hAnsi="宋体" w:cs="宋体" w:eastAsia="宋体" w:hint="default"/>
                <w:spacing w:val="-101"/>
                <w:sz w:val="21"/>
                <w:szCs w:val="21"/>
              </w:rPr>
              <w:t> </w:t>
            </w:r>
            <w:r>
              <w:rPr>
                <w:rFonts w:ascii="宋体" w:hAnsi="宋体" w:cs="宋体" w:eastAsia="宋体" w:hint="default"/>
                <w:sz w:val="21"/>
                <w:szCs w:val="21"/>
              </w:rPr>
              <w:t>价值变动</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06" w:right="201"/>
              <w:jc w:val="center"/>
              <w:rPr>
                <w:rFonts w:ascii="宋体" w:hAnsi="宋体" w:cs="宋体" w:eastAsia="宋体" w:hint="default"/>
                <w:sz w:val="21"/>
                <w:szCs w:val="21"/>
              </w:rPr>
            </w:pPr>
            <w:r>
              <w:rPr>
                <w:rFonts w:ascii="宋体" w:hAnsi="宋体" w:cs="宋体" w:eastAsia="宋体" w:hint="default"/>
                <w:sz w:val="21"/>
                <w:szCs w:val="21"/>
              </w:rPr>
              <w:t>累计在其他</w:t>
            </w:r>
            <w:r>
              <w:rPr>
                <w:rFonts w:ascii="宋体" w:hAnsi="宋体" w:cs="宋体" w:eastAsia="宋体" w:hint="default"/>
                <w:w w:val="100"/>
                <w:sz w:val="21"/>
                <w:szCs w:val="21"/>
              </w:rPr>
              <w:t> </w:t>
            </w:r>
            <w:r>
              <w:rPr>
                <w:rFonts w:ascii="宋体" w:hAnsi="宋体" w:cs="宋体" w:eastAsia="宋体" w:hint="default"/>
                <w:sz w:val="21"/>
                <w:szCs w:val="21"/>
              </w:rPr>
              <w:t>综合收益中</w:t>
            </w:r>
            <w:r>
              <w:rPr>
                <w:rFonts w:ascii="宋体" w:hAnsi="宋体" w:cs="宋体" w:eastAsia="宋体" w:hint="default"/>
                <w:w w:val="100"/>
                <w:sz w:val="21"/>
                <w:szCs w:val="21"/>
              </w:rPr>
              <w:t> </w:t>
            </w:r>
            <w:r>
              <w:rPr>
                <w:rFonts w:ascii="宋体" w:hAnsi="宋体" w:cs="宋体" w:eastAsia="宋体" w:hint="default"/>
                <w:sz w:val="21"/>
                <w:szCs w:val="21"/>
              </w:rPr>
              <w:t>确认的损失</w:t>
            </w:r>
            <w:r>
              <w:rPr>
                <w:rFonts w:ascii="宋体" w:hAnsi="宋体" w:cs="宋体" w:eastAsia="宋体" w:hint="default"/>
                <w:w w:val="100"/>
                <w:sz w:val="21"/>
                <w:szCs w:val="21"/>
              </w:rPr>
              <w:t> </w:t>
            </w:r>
            <w:r>
              <w:rPr>
                <w:rFonts w:ascii="宋体" w:hAnsi="宋体" w:cs="宋体" w:eastAsia="宋体" w:hint="default"/>
                <w:sz w:val="21"/>
                <w:szCs w:val="21"/>
              </w:rPr>
              <w:t>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240" w:lineRule="auto" w:before="28"/>
        <w:ind w:right="1002"/>
        <w:jc w:val="left"/>
      </w:pPr>
      <w:r>
        <w:rPr/>
        <w:t>重要的其他债权投资</w:t>
      </w:r>
    </w:p>
    <w:p>
      <w:pPr>
        <w:pStyle w:val="BodyText"/>
        <w:spacing w:line="240" w:lineRule="auto" w:before="75"/>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960"/>
        <w:gridCol w:w="956"/>
        <w:gridCol w:w="956"/>
        <w:gridCol w:w="960"/>
        <w:gridCol w:w="956"/>
        <w:gridCol w:w="956"/>
        <w:gridCol w:w="956"/>
        <w:gridCol w:w="96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其他债权项目</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1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364" w:right="152" w:hanging="207"/>
              <w:jc w:val="left"/>
              <w:rPr>
                <w:rFonts w:ascii="宋体" w:hAnsi="宋体" w:cs="宋体" w:eastAsia="宋体" w:hint="default"/>
                <w:sz w:val="21"/>
                <w:szCs w:val="21"/>
              </w:rPr>
            </w:pPr>
            <w:r>
              <w:rPr>
                <w:rFonts w:ascii="宋体" w:hAnsi="宋体" w:cs="宋体" w:eastAsia="宋体" w:hint="default"/>
                <w:sz w:val="21"/>
                <w:szCs w:val="21"/>
              </w:rPr>
              <w:t>票面利</w:t>
            </w:r>
            <w:r>
              <w:rPr>
                <w:rFonts w:ascii="宋体" w:hAnsi="宋体" w:cs="宋体" w:eastAsia="宋体" w:hint="default"/>
                <w:spacing w:val="-102"/>
                <w:sz w:val="21"/>
                <w:szCs w:val="21"/>
              </w:rPr>
              <w:t> </w:t>
            </w:r>
            <w:r>
              <w:rPr>
                <w:rFonts w:ascii="宋体" w:hAnsi="宋体" w:cs="宋体" w:eastAsia="宋体" w:hint="default"/>
                <w:sz w:val="21"/>
                <w:szCs w:val="21"/>
              </w:rPr>
              <w:t>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369" w:right="153" w:hanging="212"/>
              <w:jc w:val="left"/>
              <w:rPr>
                <w:rFonts w:ascii="宋体" w:hAnsi="宋体" w:cs="宋体" w:eastAsia="宋体" w:hint="default"/>
                <w:sz w:val="21"/>
                <w:szCs w:val="21"/>
              </w:rPr>
            </w:pPr>
            <w:r>
              <w:rPr>
                <w:rFonts w:ascii="宋体" w:hAnsi="宋体" w:cs="宋体" w:eastAsia="宋体" w:hint="default"/>
                <w:sz w:val="21"/>
                <w:szCs w:val="21"/>
              </w:rPr>
              <w:t>实际利</w:t>
            </w:r>
            <w:r>
              <w:rPr>
                <w:rFonts w:ascii="宋体" w:hAnsi="宋体" w:cs="宋体" w:eastAsia="宋体" w:hint="default"/>
                <w:spacing w:val="-102"/>
                <w:sz w:val="21"/>
                <w:szCs w:val="21"/>
              </w:rPr>
              <w:t> </w:t>
            </w:r>
            <w:r>
              <w:rPr>
                <w:rFonts w:ascii="宋体" w:hAnsi="宋体" w:cs="宋体" w:eastAsia="宋体" w:hint="default"/>
                <w:sz w:val="21"/>
                <w:szCs w:val="21"/>
              </w:rPr>
              <w:t>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370" w:right="152" w:hanging="212"/>
              <w:jc w:val="left"/>
              <w:rPr>
                <w:rFonts w:ascii="宋体" w:hAnsi="宋体" w:cs="宋体" w:eastAsia="宋体" w:hint="default"/>
                <w:sz w:val="21"/>
                <w:szCs w:val="21"/>
              </w:rPr>
            </w:pPr>
            <w:r>
              <w:rPr>
                <w:rFonts w:ascii="宋体" w:hAnsi="宋体" w:cs="宋体" w:eastAsia="宋体" w:hint="default"/>
                <w:sz w:val="21"/>
                <w:szCs w:val="21"/>
              </w:rPr>
              <w:t>票面利</w:t>
            </w:r>
            <w:r>
              <w:rPr>
                <w:rFonts w:ascii="宋体" w:hAnsi="宋体" w:cs="宋体" w:eastAsia="宋体" w:hint="default"/>
                <w:spacing w:val="-102"/>
                <w:sz w:val="21"/>
                <w:szCs w:val="21"/>
              </w:rPr>
              <w:t> </w:t>
            </w:r>
            <w:r>
              <w:rPr>
                <w:rFonts w:ascii="宋体" w:hAnsi="宋体" w:cs="宋体" w:eastAsia="宋体" w:hint="default"/>
                <w:sz w:val="21"/>
                <w:szCs w:val="21"/>
              </w:rPr>
              <w:t>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369" w:right="153" w:hanging="212"/>
              <w:jc w:val="left"/>
              <w:rPr>
                <w:rFonts w:ascii="宋体" w:hAnsi="宋体" w:cs="宋体" w:eastAsia="宋体" w:hint="default"/>
                <w:sz w:val="21"/>
                <w:szCs w:val="21"/>
              </w:rPr>
            </w:pPr>
            <w:r>
              <w:rPr>
                <w:rFonts w:ascii="宋体" w:hAnsi="宋体" w:cs="宋体" w:eastAsia="宋体" w:hint="default"/>
                <w:sz w:val="21"/>
                <w:szCs w:val="21"/>
              </w:rPr>
              <w:t>实际利</w:t>
            </w:r>
            <w:r>
              <w:rPr>
                <w:rFonts w:ascii="宋体" w:hAnsi="宋体" w:cs="宋体" w:eastAsia="宋体" w:hint="default"/>
                <w:spacing w:val="-102"/>
                <w:sz w:val="21"/>
                <w:szCs w:val="21"/>
              </w:rPr>
              <w:t> </w:t>
            </w:r>
            <w:r>
              <w:rPr>
                <w:rFonts w:ascii="宋体" w:hAnsi="宋体" w:cs="宋体" w:eastAsia="宋体" w:hint="default"/>
                <w:sz w:val="21"/>
                <w:szCs w:val="21"/>
              </w:rPr>
              <w:t>率</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到期日</w:t>
            </w:r>
          </w:p>
        </w:tc>
      </w:tr>
    </w:tbl>
    <w:p>
      <w:pPr>
        <w:pStyle w:val="BodyText"/>
        <w:spacing w:line="240" w:lineRule="auto" w:before="28"/>
        <w:ind w:right="1002"/>
        <w:jc w:val="left"/>
      </w:pPr>
      <w:r>
        <w:rPr/>
        <w:t>减值准备计提情况</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358"/>
        <w:gridCol w:w="2641"/>
        <w:gridCol w:w="1003"/>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第一阶段</w:t>
            </w:r>
          </w:p>
        </w:tc>
        <w:tc>
          <w:tcPr>
            <w:tcW w:w="2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第二阶段</w:t>
            </w:r>
          </w:p>
        </w:tc>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第三阶段</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298" w:right="133" w:hanging="159"/>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p>
        </w:tc>
        <w:tc>
          <w:tcPr>
            <w:tcW w:w="2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63" w:right="118" w:hanging="14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整个存续期预期信用损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未发生信用减值</w:t>
            </w:r>
            <w:r>
              <w:rPr>
                <w:rFonts w:ascii="Times New Roman" w:hAnsi="Times New Roman" w:cs="Times New Roman" w:eastAsia="Times New Roman" w:hint="default"/>
                <w:sz w:val="21"/>
                <w:szCs w:val="21"/>
              </w:rPr>
              <w:t>)</w:t>
            </w:r>
          </w:p>
        </w:tc>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21"/>
                <w:szCs w:val="21"/>
              </w:rPr>
            </w:pPr>
            <w:r>
              <w:rPr>
                <w:rFonts w:ascii="宋体" w:hAnsi="宋体" w:cs="宋体" w:eastAsia="宋体" w:hint="default"/>
                <w:sz w:val="21"/>
                <w:szCs w:val="21"/>
              </w:rPr>
              <w:t>整个存续期预期信用损失</w:t>
            </w:r>
          </w:p>
          <w:p>
            <w:pPr>
              <w:pStyle w:val="TableParagraph"/>
              <w:spacing w:line="240" w:lineRule="auto" w:before="42"/>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已发生信用减值</w:t>
            </w:r>
            <w:r>
              <w:rPr>
                <w:rFonts w:ascii="Times New Roman" w:hAnsi="Times New Roman" w:cs="Times New Roman" w:eastAsia="Times New Roman" w:hint="default"/>
                <w:sz w:val="21"/>
                <w:szCs w:val="21"/>
              </w:rPr>
              <w:t>)</w:t>
            </w: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日余</w:t>
            </w:r>
            <w:r>
              <w:rPr>
                <w:rFonts w:ascii="宋体" w:hAnsi="宋体" w:cs="宋体" w:eastAsia="宋体" w:hint="default"/>
                <w:w w:val="100"/>
                <w:sz w:val="21"/>
                <w:szCs w:val="21"/>
              </w:rPr>
              <w:t> </w:t>
            </w:r>
            <w:r>
              <w:rPr>
                <w:rFonts w:ascii="宋体" w:hAnsi="宋体" w:cs="宋体" w:eastAsia="宋体" w:hint="default"/>
                <w:sz w:val="21"/>
                <w:szCs w:val="21"/>
              </w:rPr>
              <w:t>额在本期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w:t>
            </w:r>
          </w:p>
        </w:tc>
        <w:tc>
          <w:tcPr>
            <w:tcW w:w="2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40" w:lineRule="auto" w:before="28"/>
        <w:ind w:right="1002"/>
        <w:jc w:val="left"/>
      </w:pPr>
      <w:r>
        <w:rPr/>
        <w:t>损失准备本期变动金额重大的账面余额变动情况</w:t>
      </w:r>
    </w:p>
    <w:p>
      <w:pPr>
        <w:pStyle w:val="BodyText"/>
        <w:spacing w:line="309" w:lineRule="auto" w:before="75"/>
        <w:ind w:right="8962"/>
        <w:jc w:val="left"/>
      </w:pPr>
      <w:r>
        <w:rPr/>
        <w:t>□ 适用 √</w:t>
      </w:r>
      <w:r>
        <w:rPr>
          <w:spacing w:val="4"/>
        </w:rPr>
        <w:t> </w:t>
      </w:r>
      <w:r>
        <w:rPr/>
        <w:t>不适用</w:t>
      </w:r>
      <w:r>
        <w:rPr>
          <w:w w:val="100"/>
        </w:rPr>
        <w:t> </w:t>
      </w:r>
      <w:r>
        <w:rPr/>
        <w:t>其他说明：</w:t>
      </w:r>
    </w:p>
    <w:p>
      <w:pPr>
        <w:spacing w:line="240" w:lineRule="auto" w:before="7"/>
        <w:rPr>
          <w:rFonts w:ascii="宋体" w:hAnsi="宋体" w:cs="宋体" w:eastAsia="宋体" w:hint="default"/>
          <w:sz w:val="20"/>
          <w:szCs w:val="20"/>
        </w:rPr>
      </w:pPr>
    </w:p>
    <w:p>
      <w:pPr>
        <w:pStyle w:val="Heading5"/>
        <w:spacing w:line="240" w:lineRule="auto"/>
        <w:ind w:right="1002"/>
        <w:jc w:val="left"/>
        <w:rPr>
          <w:b w:val="0"/>
          <w:bCs w:val="0"/>
        </w:rPr>
      </w:pPr>
      <w:bookmarkStart w:name="16、长期应收款" w:id="291"/>
      <w:bookmarkEnd w:id="291"/>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长期应收款情况" w:id="292"/>
      <w:bookmarkEnd w:id="292"/>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403"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475" w:right="151" w:hanging="317"/>
              <w:jc w:val="left"/>
              <w:rPr>
                <w:rFonts w:ascii="宋体" w:hAnsi="宋体" w:cs="宋体" w:eastAsia="宋体" w:hint="default"/>
                <w:sz w:val="21"/>
                <w:szCs w:val="21"/>
              </w:rPr>
            </w:pPr>
            <w:r>
              <w:rPr>
                <w:rFonts w:ascii="宋体" w:hAnsi="宋体" w:cs="宋体" w:eastAsia="宋体" w:hint="default"/>
                <w:sz w:val="21"/>
                <w:szCs w:val="21"/>
              </w:rPr>
              <w:t>折现率区</w:t>
            </w:r>
            <w:r>
              <w:rPr>
                <w:rFonts w:ascii="宋体" w:hAnsi="宋体" w:cs="宋体" w:eastAsia="宋体" w:hint="default"/>
                <w:spacing w:val="-101"/>
                <w:sz w:val="21"/>
                <w:szCs w:val="21"/>
              </w:rPr>
              <w:t> </w:t>
            </w:r>
            <w:r>
              <w:rPr>
                <w:rFonts w:ascii="宋体" w:hAnsi="宋体" w:cs="宋体" w:eastAsia="宋体" w:hint="default"/>
                <w:sz w:val="21"/>
                <w:szCs w:val="21"/>
              </w:rPr>
              <w:t>间</w:t>
            </w:r>
          </w:p>
        </w:tc>
      </w:tr>
      <w:tr>
        <w:trPr>
          <w:trHeight w:val="404"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67"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28"/>
              <w:jc w:val="left"/>
              <w:rPr>
                <w:rFonts w:ascii="宋体" w:hAnsi="宋体" w:cs="宋体" w:eastAsia="宋体" w:hint="default"/>
                <w:sz w:val="21"/>
                <w:szCs w:val="21"/>
              </w:rPr>
            </w:pPr>
            <w:r>
              <w:rPr>
                <w:rFonts w:ascii="宋体" w:hAnsi="宋体" w:cs="宋体" w:eastAsia="宋体" w:hint="default"/>
                <w:sz w:val="21"/>
                <w:szCs w:val="21"/>
              </w:rPr>
              <w:t>分期收款销</w:t>
            </w:r>
            <w:r>
              <w:rPr>
                <w:rFonts w:ascii="宋体" w:hAnsi="宋体" w:cs="宋体" w:eastAsia="宋体" w:hint="default"/>
                <w:spacing w:val="-99"/>
                <w:sz w:val="21"/>
                <w:szCs w:val="21"/>
              </w:rPr>
              <w:t> </w:t>
            </w:r>
            <w:r>
              <w:rPr>
                <w:rFonts w:ascii="宋体" w:hAnsi="宋体" w:cs="宋体" w:eastAsia="宋体" w:hint="default"/>
                <w:sz w:val="21"/>
                <w:szCs w:val="21"/>
              </w:rPr>
              <w:t>售商品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159,996,24</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7.64</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159,996,24</w:t>
            </w:r>
          </w:p>
          <w:p>
            <w:pPr>
              <w:pStyle w:val="TableParagraph"/>
              <w:spacing w:line="240" w:lineRule="auto" w:before="70"/>
              <w:ind w:left="681" w:right="0"/>
              <w:jc w:val="left"/>
              <w:rPr>
                <w:rFonts w:ascii="Times New Roman" w:hAnsi="Times New Roman" w:cs="Times New Roman" w:eastAsia="Times New Roman" w:hint="default"/>
                <w:sz w:val="21"/>
                <w:szCs w:val="21"/>
              </w:rPr>
            </w:pPr>
            <w:r>
              <w:rPr>
                <w:rFonts w:ascii="Times New Roman"/>
                <w:sz w:val="21"/>
              </w:rPr>
              <w:t>7.64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171,162,64</w:t>
            </w:r>
          </w:p>
          <w:p>
            <w:pPr>
              <w:pStyle w:val="TableParagraph"/>
              <w:spacing w:line="240" w:lineRule="auto" w:before="70"/>
              <w:ind w:left="681" w:right="0"/>
              <w:jc w:val="left"/>
              <w:rPr>
                <w:rFonts w:ascii="Times New Roman" w:hAnsi="Times New Roman" w:cs="Times New Roman" w:eastAsia="Times New Roman" w:hint="default"/>
                <w:sz w:val="21"/>
                <w:szCs w:val="21"/>
              </w:rPr>
            </w:pPr>
            <w:r>
              <w:rPr>
                <w:rFonts w:ascii="Times New Roman"/>
                <w:sz w:val="21"/>
              </w:rPr>
              <w:t>7.64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171,162,64</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7.64</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228"/>
              <w:jc w:val="left"/>
              <w:rPr>
                <w:rFonts w:ascii="宋体" w:hAnsi="宋体" w:cs="宋体" w:eastAsia="宋体" w:hint="default"/>
                <w:sz w:val="21"/>
                <w:szCs w:val="21"/>
              </w:rPr>
            </w:pPr>
            <w:r>
              <w:rPr>
                <w:rFonts w:ascii="宋体" w:hAnsi="宋体" w:cs="宋体" w:eastAsia="宋体" w:hint="default"/>
                <w:sz w:val="21"/>
                <w:szCs w:val="21"/>
              </w:rPr>
              <w:t>未实现融资</w:t>
            </w:r>
            <w:r>
              <w:rPr>
                <w:rFonts w:ascii="宋体" w:hAnsi="宋体" w:cs="宋体" w:eastAsia="宋体" w:hint="default"/>
                <w:spacing w:val="-99"/>
                <w:sz w:val="21"/>
                <w:szCs w:val="21"/>
              </w:rPr>
              <w:t> </w:t>
            </w:r>
            <w:r>
              <w:rPr>
                <w:rFonts w:ascii="宋体" w:hAnsi="宋体" w:cs="宋体" w:eastAsia="宋体" w:hint="default"/>
                <w:sz w:val="21"/>
                <w:szCs w:val="21"/>
              </w:rPr>
              <w:t>收益</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-16,691,76</w:t>
            </w:r>
          </w:p>
          <w:p>
            <w:pPr>
              <w:pStyle w:val="TableParagraph"/>
              <w:spacing w:line="240" w:lineRule="auto" w:before="75"/>
              <w:ind w:left="686" w:right="0"/>
              <w:jc w:val="left"/>
              <w:rPr>
                <w:rFonts w:ascii="Times New Roman" w:hAnsi="Times New Roman" w:cs="Times New Roman" w:eastAsia="Times New Roman" w:hint="default"/>
                <w:sz w:val="21"/>
                <w:szCs w:val="21"/>
              </w:rPr>
            </w:pPr>
            <w:r>
              <w:rPr>
                <w:rFonts w:ascii="Times New Roman"/>
                <w:sz w:val="21"/>
              </w:rPr>
              <w:t>9.14</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9" w:right="0"/>
              <w:jc w:val="left"/>
              <w:rPr>
                <w:rFonts w:ascii="Times New Roman" w:hAnsi="Times New Roman" w:cs="Times New Roman" w:eastAsia="Times New Roman" w:hint="default"/>
                <w:sz w:val="21"/>
                <w:szCs w:val="21"/>
              </w:rPr>
            </w:pPr>
            <w:r>
              <w:rPr>
                <w:rFonts w:ascii="Times New Roman"/>
                <w:sz w:val="21"/>
              </w:rPr>
              <w:t>-16,691,76</w:t>
            </w:r>
          </w:p>
          <w:p>
            <w:pPr>
              <w:pStyle w:val="TableParagraph"/>
              <w:spacing w:line="240" w:lineRule="auto" w:before="75"/>
              <w:ind w:left="681" w:right="0"/>
              <w:jc w:val="left"/>
              <w:rPr>
                <w:rFonts w:ascii="Times New Roman" w:hAnsi="Times New Roman" w:cs="Times New Roman" w:eastAsia="Times New Roman" w:hint="default"/>
                <w:sz w:val="21"/>
                <w:szCs w:val="21"/>
              </w:rPr>
            </w:pPr>
            <w:r>
              <w:rPr>
                <w:rFonts w:ascii="Times New Roman"/>
                <w:sz w:val="21"/>
              </w:rPr>
              <w:t>9.14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9" w:right="0"/>
              <w:jc w:val="left"/>
              <w:rPr>
                <w:rFonts w:ascii="Times New Roman" w:hAnsi="Times New Roman" w:cs="Times New Roman" w:eastAsia="Times New Roman" w:hint="default"/>
                <w:sz w:val="21"/>
                <w:szCs w:val="21"/>
              </w:rPr>
            </w:pPr>
            <w:r>
              <w:rPr>
                <w:rFonts w:ascii="Times New Roman"/>
                <w:sz w:val="21"/>
              </w:rPr>
              <w:t>-24,389,62</w:t>
            </w:r>
          </w:p>
          <w:p>
            <w:pPr>
              <w:pStyle w:val="TableParagraph"/>
              <w:spacing w:line="240" w:lineRule="auto" w:before="75"/>
              <w:ind w:left="681" w:right="0"/>
              <w:jc w:val="left"/>
              <w:rPr>
                <w:rFonts w:ascii="Times New Roman" w:hAnsi="Times New Roman" w:cs="Times New Roman" w:eastAsia="Times New Roman" w:hint="default"/>
                <w:sz w:val="21"/>
                <w:szCs w:val="21"/>
              </w:rPr>
            </w:pPr>
            <w:r>
              <w:rPr>
                <w:rFonts w:ascii="Times New Roman"/>
                <w:sz w:val="21"/>
              </w:rPr>
              <w:t>9.93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-24,389,62</w:t>
            </w:r>
          </w:p>
          <w:p>
            <w:pPr>
              <w:pStyle w:val="TableParagraph"/>
              <w:spacing w:line="240" w:lineRule="auto" w:before="75"/>
              <w:ind w:left="686" w:right="0"/>
              <w:jc w:val="left"/>
              <w:rPr>
                <w:rFonts w:ascii="Times New Roman" w:hAnsi="Times New Roman" w:cs="Times New Roman" w:eastAsia="Times New Roman" w:hint="default"/>
                <w:sz w:val="21"/>
                <w:szCs w:val="21"/>
              </w:rPr>
            </w:pPr>
            <w:r>
              <w:rPr>
                <w:rFonts w:ascii="Times New Roman"/>
                <w:sz w:val="21"/>
              </w:rPr>
              <w:t>9.93</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143,304,47</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8.50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143,304,47</w:t>
            </w:r>
          </w:p>
          <w:p>
            <w:pPr>
              <w:pStyle w:val="TableParagraph"/>
              <w:spacing w:line="240" w:lineRule="auto" w:before="70"/>
              <w:ind w:left="681" w:right="0"/>
              <w:jc w:val="left"/>
              <w:rPr>
                <w:rFonts w:ascii="Times New Roman" w:hAnsi="Times New Roman" w:cs="Times New Roman" w:eastAsia="Times New Roman" w:hint="default"/>
                <w:sz w:val="21"/>
                <w:szCs w:val="21"/>
              </w:rPr>
            </w:pPr>
            <w:r>
              <w:rPr>
                <w:rFonts w:ascii="Times New Roman"/>
                <w:sz w:val="21"/>
              </w:rPr>
              <w:t>8.50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146,773,01</w:t>
            </w:r>
          </w:p>
          <w:p>
            <w:pPr>
              <w:pStyle w:val="TableParagraph"/>
              <w:spacing w:line="240" w:lineRule="auto" w:before="70"/>
              <w:ind w:left="681" w:right="0"/>
              <w:jc w:val="left"/>
              <w:rPr>
                <w:rFonts w:ascii="Times New Roman" w:hAnsi="Times New Roman" w:cs="Times New Roman" w:eastAsia="Times New Roman" w:hint="default"/>
                <w:sz w:val="21"/>
                <w:szCs w:val="21"/>
              </w:rPr>
            </w:pPr>
            <w:r>
              <w:rPr>
                <w:rFonts w:ascii="Times New Roman"/>
                <w:sz w:val="21"/>
              </w:rPr>
              <w:t>7.71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146,773,01</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7.71</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002"/>
        <w:jc w:val="left"/>
      </w:pPr>
      <w:r>
        <w:rPr/>
        <w:t>坏账准备减值情况</w:t>
      </w:r>
    </w:p>
    <w:p>
      <w:pPr>
        <w:spacing w:after="0" w:line="240"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588" w:type="dxa"/>
        <w:tblLayout w:type="fixed"/>
        <w:tblCellMar>
          <w:top w:w="0" w:type="dxa"/>
          <w:left w:w="0" w:type="dxa"/>
          <w:bottom w:w="0" w:type="dxa"/>
          <w:right w:w="0" w:type="dxa"/>
        </w:tblCellMar>
        <w:tblLook w:val="01E0"/>
      </w:tblPr>
      <w:tblGrid>
        <w:gridCol w:w="1916"/>
        <w:gridCol w:w="1652"/>
        <w:gridCol w:w="2415"/>
        <w:gridCol w:w="2401"/>
        <w:gridCol w:w="118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第一阶段</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第二阶段</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第三阶段</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716"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8"/>
              <w:ind w:left="298" w:right="133" w:hanging="159"/>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92" w:right="147" w:hanging="14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整个存续期预期信用损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未发生信用减值</w:t>
            </w:r>
            <w:r>
              <w:rPr>
                <w:rFonts w:ascii="Times New Roman" w:hAnsi="Times New Roman" w:cs="Times New Roman" w:eastAsia="Times New Roman" w:hint="default"/>
                <w:sz w:val="21"/>
                <w:szCs w:val="21"/>
              </w:rPr>
              <w:t>)</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88" w:right="138" w:hanging="14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整个存续期预期信用损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失</w:t>
            </w:r>
            <w:r>
              <w:rPr>
                <w:rFonts w:ascii="Times New Roman" w:hAnsi="Times New Roman" w:cs="Times New Roman" w:eastAsia="Times New Roman" w:hint="default"/>
                <w:sz w:val="21"/>
                <w:szCs w:val="21"/>
              </w:rPr>
              <w:t>(</w:t>
            </w:r>
            <w:r>
              <w:rPr>
                <w:rFonts w:ascii="宋体" w:hAnsi="宋体" w:cs="宋体" w:eastAsia="宋体" w:hint="default"/>
                <w:sz w:val="21"/>
                <w:szCs w:val="21"/>
              </w:rPr>
              <w:t>已发生信用减值</w:t>
            </w:r>
            <w:r>
              <w:rPr>
                <w:rFonts w:ascii="Times New Roman" w:hAnsi="Times New Roman" w:cs="Times New Roman" w:eastAsia="Times New Roman" w:hint="default"/>
                <w:sz w:val="21"/>
                <w:szCs w:val="21"/>
              </w:rPr>
              <w:t>)</w:t>
            </w:r>
          </w:p>
        </w:tc>
        <w:tc>
          <w:tcPr>
            <w:tcW w:w="118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日余</w:t>
            </w:r>
            <w:r>
              <w:rPr>
                <w:rFonts w:ascii="宋体" w:hAnsi="宋体" w:cs="宋体" w:eastAsia="宋体" w:hint="default"/>
                <w:w w:val="100"/>
                <w:sz w:val="21"/>
                <w:szCs w:val="21"/>
              </w:rPr>
              <w:t> </w:t>
            </w:r>
            <w:r>
              <w:rPr>
                <w:rFonts w:ascii="宋体" w:hAnsi="宋体" w:cs="宋体" w:eastAsia="宋体" w:hint="default"/>
                <w:sz w:val="21"/>
                <w:szCs w:val="21"/>
              </w:rPr>
              <w:t>额在本期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w:t>
            </w:r>
          </w:p>
        </w:tc>
        <w:tc>
          <w:tcPr>
            <w:tcW w:w="2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w:t>
            </w:r>
          </w:p>
        </w:tc>
      </w:tr>
    </w:tbl>
    <w:p>
      <w:pPr>
        <w:pStyle w:val="BodyText"/>
        <w:spacing w:line="240" w:lineRule="auto" w:before="28"/>
        <w:ind w:left="593" w:right="4811"/>
        <w:jc w:val="left"/>
      </w:pPr>
      <w:r>
        <w:rPr/>
        <w:t>损失准备本期变动金额重大的账面余额变动情况</w:t>
      </w:r>
    </w:p>
    <w:p>
      <w:pPr>
        <w:pStyle w:val="BodyText"/>
        <w:spacing w:line="240" w:lineRule="auto" w:before="76"/>
        <w:ind w:left="593" w:right="4811"/>
        <w:jc w:val="left"/>
      </w:pPr>
      <w:r>
        <w:rPr/>
        <w:t>□ 适用 √</w:t>
      </w:r>
      <w:r>
        <w:rPr>
          <w:spacing w:val="4"/>
        </w:rPr>
        <w:t> </w:t>
      </w:r>
      <w:r>
        <w:rPr/>
        <w:t>不适用</w:t>
      </w:r>
    </w:p>
    <w:p>
      <w:pPr>
        <w:spacing w:line="240" w:lineRule="auto" w:before="8"/>
        <w:rPr>
          <w:rFonts w:ascii="宋体" w:hAnsi="宋体" w:cs="宋体" w:eastAsia="宋体" w:hint="default"/>
          <w:sz w:val="25"/>
          <w:szCs w:val="25"/>
        </w:rPr>
      </w:pPr>
    </w:p>
    <w:p>
      <w:pPr>
        <w:pStyle w:val="Heading5"/>
        <w:spacing w:line="240" w:lineRule="auto"/>
        <w:ind w:left="593" w:right="4811"/>
        <w:jc w:val="left"/>
        <w:rPr>
          <w:b w:val="0"/>
          <w:bCs w:val="0"/>
        </w:rPr>
      </w:pPr>
      <w:bookmarkStart w:name="（2）因金融资产转移而终止确认的长期应收款" w:id="293"/>
      <w:bookmarkEnd w:id="293"/>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5"/>
        <w:spacing w:line="508" w:lineRule="auto"/>
        <w:ind w:left="593" w:right="4811"/>
        <w:jc w:val="left"/>
        <w:rPr>
          <w:rFonts w:ascii="宋体" w:hAnsi="宋体" w:cs="宋体" w:eastAsia="宋体" w:hint="default"/>
          <w:b w:val="0"/>
          <w:bCs w:val="0"/>
        </w:rPr>
      </w:pPr>
      <w:bookmarkStart w:name="（3）转移长期应收款且继续涉入形成的资产、负债金额" w:id="294"/>
      <w:bookmarkEnd w:id="294"/>
      <w:r>
        <w:rPr>
          <w:b w:val="0"/>
          <w:bCs w:val="0"/>
        </w:rPr>
      </w:r>
      <w:r>
        <w:rPr>
          <w:spacing w:val="-1"/>
        </w:rPr>
        <w:t>（</w:t>
      </w:r>
      <w:r>
        <w:rPr>
          <w:rFonts w:ascii="Times New Roman" w:hAnsi="Times New Roman" w:cs="Times New Roman" w:eastAsia="Times New Roman" w:hint="default"/>
          <w:spacing w:val="-1"/>
        </w:rPr>
        <w:t>3</w:t>
      </w:r>
      <w:r>
        <w:rPr>
          <w:spacing w:val="-1"/>
        </w:rPr>
        <w:t>）转移长期应收款且继续涉入形成的资产、负债金额</w:t>
      </w:r>
      <w:r>
        <w:rPr>
          <w:spacing w:val="-83"/>
        </w:rPr>
        <w:t> </w:t>
      </w:r>
      <w:r>
        <w:rPr>
          <w:spacing w:val="-83"/>
        </w:rPr>
      </w:r>
      <w:r>
        <w:rPr>
          <w:rFonts w:ascii="宋体" w:hAnsi="宋体" w:cs="宋体" w:eastAsia="宋体" w:hint="default"/>
          <w:b w:val="0"/>
          <w:bCs w:val="0"/>
        </w:rPr>
        <w:t>其他说明</w:t>
      </w:r>
    </w:p>
    <w:p>
      <w:pPr>
        <w:pStyle w:val="Heading5"/>
        <w:spacing w:line="240" w:lineRule="auto" w:before="99"/>
        <w:ind w:left="593" w:right="4811"/>
        <w:jc w:val="left"/>
        <w:rPr>
          <w:b w:val="0"/>
          <w:bCs w:val="0"/>
        </w:rPr>
      </w:pPr>
      <w:bookmarkStart w:name="17、长期股权投资" w:id="295"/>
      <w:bookmarkEnd w:id="295"/>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18" w:type="dxa"/>
        <w:tblLayout w:type="fixed"/>
        <w:tblCellMar>
          <w:top w:w="0" w:type="dxa"/>
          <w:left w:w="0" w:type="dxa"/>
          <w:bottom w:w="0" w:type="dxa"/>
          <w:right w:w="0" w:type="dxa"/>
        </w:tblCellMar>
        <w:tblLook w:val="01E0"/>
      </w:tblPr>
      <w:tblGrid>
        <w:gridCol w:w="1268"/>
        <w:gridCol w:w="797"/>
        <w:gridCol w:w="797"/>
        <w:gridCol w:w="797"/>
        <w:gridCol w:w="797"/>
        <w:gridCol w:w="802"/>
        <w:gridCol w:w="797"/>
        <w:gridCol w:w="797"/>
        <w:gridCol w:w="797"/>
        <w:gridCol w:w="802"/>
        <w:gridCol w:w="797"/>
        <w:gridCol w:w="797"/>
      </w:tblGrid>
      <w:tr>
        <w:trPr>
          <w:trHeight w:val="404"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73" w:lineRule="auto"/>
              <w:ind w:left="523" w:right="204" w:hanging="317"/>
              <w:jc w:val="left"/>
              <w:rPr>
                <w:rFonts w:ascii="宋体" w:hAnsi="宋体" w:cs="宋体" w:eastAsia="宋体" w:hint="default"/>
                <w:sz w:val="21"/>
                <w:szCs w:val="21"/>
              </w:rPr>
            </w:pPr>
            <w:r>
              <w:rPr>
                <w:rFonts w:ascii="宋体" w:hAnsi="宋体" w:cs="宋体" w:eastAsia="宋体" w:hint="default"/>
                <w:sz w:val="21"/>
                <w:szCs w:val="21"/>
              </w:rPr>
              <w:t>被投资单</w:t>
            </w:r>
            <w:r>
              <w:rPr>
                <w:rFonts w:ascii="宋体" w:hAnsi="宋体" w:cs="宋体" w:eastAsia="宋体" w:hint="default"/>
                <w:spacing w:val="-101"/>
                <w:sz w:val="21"/>
                <w:szCs w:val="21"/>
              </w:rPr>
              <w:t> </w:t>
            </w:r>
            <w:r>
              <w:rPr>
                <w:rFonts w:ascii="宋体" w:hAnsi="宋体" w:cs="宋体" w:eastAsia="宋体" w:hint="default"/>
                <w:sz w:val="21"/>
                <w:szCs w:val="21"/>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71" w:lineRule="auto"/>
              <w:ind w:left="148" w:right="143" w:firstLine="38"/>
              <w:jc w:val="both"/>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账面</w:t>
            </w:r>
          </w:p>
          <w:p>
            <w:pPr>
              <w:pStyle w:val="TableParagraph"/>
              <w:spacing w:line="287" w:lineRule="exact"/>
              <w:ind w:left="148"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价值</w:t>
            </w:r>
            <w:r>
              <w:rPr>
                <w:rFonts w:ascii="Times New Roman" w:hAnsi="Times New Roman" w:cs="Times New Roman" w:eastAsia="Times New Roman" w:hint="default"/>
                <w:sz w:val="21"/>
                <w:szCs w:val="21"/>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71" w:lineRule="auto"/>
              <w:ind w:left="143" w:right="147" w:firstLine="38"/>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账面</w:t>
            </w:r>
          </w:p>
          <w:p>
            <w:pPr>
              <w:pStyle w:val="TableParagraph"/>
              <w:spacing w:line="287" w:lineRule="exact"/>
              <w:ind w:left="14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价值</w:t>
            </w:r>
            <w:r>
              <w:rPr>
                <w:rFonts w:ascii="Times New Roman" w:hAnsi="Times New Roman" w:cs="Times New Roman" w:eastAsia="Times New Roman" w:hint="default"/>
                <w:sz w:val="21"/>
                <w:szCs w:val="21"/>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187" w:right="17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96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187" w:right="177"/>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73" w:lineRule="auto"/>
              <w:ind w:left="187" w:right="175"/>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87" w:right="175"/>
              <w:jc w:val="both"/>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7" w:right="180"/>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182" w:right="180"/>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87" w:right="177"/>
              <w:jc w:val="both"/>
              <w:rPr>
                <w:rFonts w:ascii="宋体" w:hAnsi="宋体" w:cs="宋体" w:eastAsia="宋体" w:hint="default"/>
                <w:sz w:val="21"/>
                <w:szCs w:val="21"/>
              </w:rPr>
            </w:pPr>
            <w:r>
              <w:rPr>
                <w:rFonts w:ascii="宋体" w:hAnsi="宋体" w:cs="宋体" w:eastAsia="宋体" w:hint="default"/>
                <w:sz w:val="21"/>
                <w:szCs w:val="21"/>
              </w:rPr>
              <w:t>宣告</w:t>
            </w:r>
            <w:r>
              <w:rPr>
                <w:rFonts w:ascii="宋体" w:hAnsi="宋体" w:cs="宋体" w:eastAsia="宋体" w:hint="default"/>
                <w:spacing w:val="-103"/>
                <w:sz w:val="21"/>
                <w:szCs w:val="21"/>
              </w:rPr>
              <w:t> </w:t>
            </w: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187" w:right="176"/>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04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3" w:hRule="exact"/>
        </w:trPr>
        <w:tc>
          <w:tcPr>
            <w:tcW w:w="1004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305"/>
              <w:jc w:val="both"/>
              <w:rPr>
                <w:rFonts w:ascii="宋体" w:hAnsi="宋体" w:cs="宋体" w:eastAsia="宋体" w:hint="default"/>
                <w:sz w:val="21"/>
                <w:szCs w:val="21"/>
              </w:rPr>
            </w:pPr>
            <w:r>
              <w:rPr>
                <w:rFonts w:ascii="宋体" w:hAnsi="宋体" w:cs="宋体" w:eastAsia="宋体" w:hint="default"/>
                <w:sz w:val="21"/>
                <w:szCs w:val="21"/>
              </w:rPr>
              <w:t>安徽美能</w:t>
            </w:r>
            <w:r>
              <w:rPr>
                <w:rFonts w:ascii="宋体" w:hAnsi="宋体" w:cs="宋体" w:eastAsia="宋体" w:hint="default"/>
                <w:spacing w:val="-101"/>
                <w:sz w:val="21"/>
                <w:szCs w:val="21"/>
              </w:rPr>
              <w:t> </w:t>
            </w:r>
            <w:r>
              <w:rPr>
                <w:rFonts w:ascii="宋体" w:hAnsi="宋体" w:cs="宋体" w:eastAsia="宋体" w:hint="default"/>
                <w:sz w:val="21"/>
                <w:szCs w:val="21"/>
              </w:rPr>
              <w:t>储能系统</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2"/>
                <w:sz w:val="21"/>
              </w:rPr>
              <w:t>11,525</w:t>
            </w:r>
          </w:p>
          <w:p>
            <w:pPr>
              <w:pStyle w:val="TableParagraph"/>
              <w:spacing w:line="240" w:lineRule="auto" w:before="66"/>
              <w:ind w:right="95"/>
              <w:jc w:val="right"/>
              <w:rPr>
                <w:rFonts w:ascii="Times New Roman" w:hAnsi="Times New Roman" w:cs="Times New Roman" w:eastAsia="Times New Roman" w:hint="default"/>
                <w:sz w:val="21"/>
                <w:szCs w:val="21"/>
              </w:rPr>
            </w:pPr>
            <w:r>
              <w:rPr>
                <w:rFonts w:ascii="Times New Roman"/>
                <w:sz w:val="21"/>
              </w:rPr>
              <w:t>,055.2</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-2,870</w:t>
            </w:r>
          </w:p>
          <w:p>
            <w:pPr>
              <w:pStyle w:val="TableParagraph"/>
              <w:spacing w:line="240" w:lineRule="auto" w:before="66"/>
              <w:ind w:right="95"/>
              <w:jc w:val="right"/>
              <w:rPr>
                <w:rFonts w:ascii="Times New Roman" w:hAnsi="Times New Roman" w:cs="Times New Roman" w:eastAsia="Times New Roman" w:hint="default"/>
                <w:sz w:val="21"/>
                <w:szCs w:val="21"/>
              </w:rPr>
            </w:pPr>
            <w:r>
              <w:rPr>
                <w:rFonts w:ascii="Times New Roman"/>
                <w:sz w:val="21"/>
              </w:rPr>
              <w:t>,026.1</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8,655,</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029.04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305"/>
              <w:jc w:val="both"/>
              <w:rPr>
                <w:rFonts w:ascii="宋体" w:hAnsi="宋体" w:cs="宋体" w:eastAsia="宋体" w:hint="default"/>
                <w:sz w:val="21"/>
                <w:szCs w:val="21"/>
              </w:rPr>
            </w:pPr>
            <w:r>
              <w:rPr>
                <w:rFonts w:ascii="宋体" w:hAnsi="宋体" w:cs="宋体" w:eastAsia="宋体" w:hint="default"/>
                <w:sz w:val="21"/>
                <w:szCs w:val="21"/>
              </w:rPr>
              <w:t>惠国征信</w:t>
            </w:r>
            <w:r>
              <w:rPr>
                <w:rFonts w:ascii="宋体" w:hAnsi="宋体" w:cs="宋体" w:eastAsia="宋体" w:hint="default"/>
                <w:spacing w:val="-101"/>
                <w:sz w:val="21"/>
                <w:szCs w:val="21"/>
              </w:rPr>
              <w:t> </w:t>
            </w:r>
            <w:r>
              <w:rPr>
                <w:rFonts w:ascii="宋体" w:hAnsi="宋体" w:cs="宋体" w:eastAsia="宋体" w:hint="default"/>
                <w:sz w:val="21"/>
                <w:szCs w:val="21"/>
              </w:rPr>
              <w:t>服务股份</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3" w:right="0"/>
              <w:jc w:val="left"/>
              <w:rPr>
                <w:rFonts w:ascii="Times New Roman" w:hAnsi="Times New Roman" w:cs="Times New Roman" w:eastAsia="Times New Roman" w:hint="default"/>
                <w:sz w:val="21"/>
                <w:szCs w:val="21"/>
              </w:rPr>
            </w:pPr>
            <w:r>
              <w:rPr>
                <w:rFonts w:ascii="Times New Roman"/>
                <w:sz w:val="21"/>
              </w:rPr>
              <w:t>4,741,</w:t>
            </w:r>
          </w:p>
          <w:p>
            <w:pPr>
              <w:pStyle w:val="TableParagraph"/>
              <w:spacing w:line="240" w:lineRule="auto" w:before="75"/>
              <w:ind w:left="110" w:right="0"/>
              <w:jc w:val="left"/>
              <w:rPr>
                <w:rFonts w:ascii="Times New Roman" w:hAnsi="Times New Roman" w:cs="Times New Roman" w:eastAsia="Times New Roman" w:hint="default"/>
                <w:sz w:val="21"/>
                <w:szCs w:val="21"/>
              </w:rPr>
            </w:pPr>
            <w:r>
              <w:rPr>
                <w:rFonts w:ascii="Times New Roman"/>
                <w:sz w:val="21"/>
              </w:rPr>
              <w:t>132.07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1" w:right="0"/>
              <w:jc w:val="left"/>
              <w:rPr>
                <w:rFonts w:ascii="Times New Roman" w:hAnsi="Times New Roman" w:cs="Times New Roman" w:eastAsia="Times New Roman" w:hint="default"/>
                <w:sz w:val="21"/>
                <w:szCs w:val="21"/>
              </w:rPr>
            </w:pPr>
            <w:r>
              <w:rPr>
                <w:rFonts w:ascii="Times New Roman"/>
                <w:sz w:val="21"/>
              </w:rPr>
              <w:t>162,99</w:t>
            </w:r>
          </w:p>
          <w:p>
            <w:pPr>
              <w:pStyle w:val="TableParagraph"/>
              <w:spacing w:line="240" w:lineRule="auto" w:before="75"/>
              <w:ind w:left="317" w:right="0"/>
              <w:jc w:val="left"/>
              <w:rPr>
                <w:rFonts w:ascii="Times New Roman" w:hAnsi="Times New Roman" w:cs="Times New Roman" w:eastAsia="Times New Roman" w:hint="default"/>
                <w:sz w:val="21"/>
                <w:szCs w:val="21"/>
              </w:rPr>
            </w:pPr>
            <w:r>
              <w:rPr>
                <w:rFonts w:ascii="Times New Roman"/>
                <w:sz w:val="21"/>
              </w:rPr>
              <w:t>5.69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4,904,</w:t>
            </w:r>
          </w:p>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127.76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3"/>
              <w:ind w:left="105" w:right="305"/>
              <w:jc w:val="both"/>
              <w:rPr>
                <w:rFonts w:ascii="宋体" w:hAnsi="宋体" w:cs="宋体" w:eastAsia="宋体" w:hint="default"/>
                <w:sz w:val="21"/>
                <w:szCs w:val="21"/>
              </w:rPr>
            </w:pPr>
            <w:r>
              <w:rPr>
                <w:rFonts w:ascii="宋体" w:hAnsi="宋体" w:cs="宋体" w:eastAsia="宋体" w:hint="default"/>
                <w:sz w:val="21"/>
                <w:szCs w:val="21"/>
              </w:rPr>
              <w:t>芜湖中电</w:t>
            </w:r>
            <w:r>
              <w:rPr>
                <w:rFonts w:ascii="宋体" w:hAnsi="宋体" w:cs="宋体" w:eastAsia="宋体" w:hint="default"/>
                <w:spacing w:val="-101"/>
                <w:sz w:val="21"/>
                <w:szCs w:val="21"/>
              </w:rPr>
              <w:t> </w:t>
            </w:r>
            <w:r>
              <w:rPr>
                <w:rFonts w:ascii="宋体" w:hAnsi="宋体" w:cs="宋体" w:eastAsia="宋体" w:hint="default"/>
                <w:sz w:val="21"/>
                <w:szCs w:val="21"/>
              </w:rPr>
              <w:t>兆威电子</w:t>
            </w:r>
            <w:r>
              <w:rPr>
                <w:rFonts w:ascii="宋体" w:hAnsi="宋体" w:cs="宋体" w:eastAsia="宋体" w:hint="default"/>
                <w:spacing w:val="-101"/>
                <w:sz w:val="21"/>
                <w:szCs w:val="21"/>
              </w:rPr>
              <w:t> </w:t>
            </w:r>
            <w:r>
              <w:rPr>
                <w:rFonts w:ascii="宋体" w:hAnsi="宋体" w:cs="宋体" w:eastAsia="宋体" w:hint="default"/>
                <w:sz w:val="21"/>
                <w:szCs w:val="21"/>
              </w:rPr>
              <w:t>股份有限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163" w:right="0"/>
              <w:jc w:val="left"/>
              <w:rPr>
                <w:rFonts w:ascii="Times New Roman" w:hAnsi="Times New Roman" w:cs="Times New Roman" w:eastAsia="Times New Roman" w:hint="default"/>
                <w:sz w:val="21"/>
                <w:szCs w:val="21"/>
              </w:rPr>
            </w:pPr>
            <w:r>
              <w:rPr>
                <w:rFonts w:ascii="Times New Roman"/>
                <w:sz w:val="21"/>
              </w:rPr>
              <w:t>5,586,</w:t>
            </w:r>
          </w:p>
          <w:p>
            <w:pPr>
              <w:pStyle w:val="TableParagraph"/>
              <w:spacing w:line="240" w:lineRule="auto" w:before="70"/>
              <w:ind w:left="110" w:right="0"/>
              <w:jc w:val="left"/>
              <w:rPr>
                <w:rFonts w:ascii="Times New Roman" w:hAnsi="Times New Roman" w:cs="Times New Roman" w:eastAsia="Times New Roman" w:hint="default"/>
                <w:sz w:val="21"/>
                <w:szCs w:val="21"/>
              </w:rPr>
            </w:pPr>
            <w:r>
              <w:rPr>
                <w:rFonts w:ascii="Times New Roman"/>
                <w:sz w:val="21"/>
              </w:rPr>
              <w:t>593.55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111" w:right="0"/>
              <w:jc w:val="left"/>
              <w:rPr>
                <w:rFonts w:ascii="Times New Roman" w:hAnsi="Times New Roman" w:cs="Times New Roman" w:eastAsia="Times New Roman" w:hint="default"/>
                <w:sz w:val="21"/>
                <w:szCs w:val="21"/>
              </w:rPr>
            </w:pPr>
            <w:r>
              <w:rPr>
                <w:rFonts w:ascii="Times New Roman"/>
                <w:sz w:val="21"/>
              </w:rPr>
              <w:t>543,65</w:t>
            </w:r>
          </w:p>
          <w:p>
            <w:pPr>
              <w:pStyle w:val="TableParagraph"/>
              <w:spacing w:line="240" w:lineRule="auto" w:before="70"/>
              <w:ind w:left="317" w:right="0"/>
              <w:jc w:val="left"/>
              <w:rPr>
                <w:rFonts w:ascii="Times New Roman" w:hAnsi="Times New Roman" w:cs="Times New Roman" w:eastAsia="Times New Roman" w:hint="default"/>
                <w:sz w:val="21"/>
                <w:szCs w:val="21"/>
              </w:rPr>
            </w:pPr>
            <w:r>
              <w:rPr>
                <w:rFonts w:ascii="Times New Roman"/>
                <w:sz w:val="21"/>
              </w:rPr>
              <w:t>5.31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158" w:right="0"/>
              <w:jc w:val="left"/>
              <w:rPr>
                <w:rFonts w:ascii="Times New Roman" w:hAnsi="Times New Roman" w:cs="Times New Roman" w:eastAsia="Times New Roman" w:hint="default"/>
                <w:sz w:val="21"/>
                <w:szCs w:val="21"/>
              </w:rPr>
            </w:pPr>
            <w:r>
              <w:rPr>
                <w:rFonts w:ascii="Times New Roman"/>
                <w:sz w:val="21"/>
              </w:rPr>
              <w:t>6,130,</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248.86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305"/>
              <w:jc w:val="both"/>
              <w:rPr>
                <w:rFonts w:ascii="宋体" w:hAnsi="宋体" w:cs="宋体" w:eastAsia="宋体" w:hint="default"/>
                <w:sz w:val="21"/>
                <w:szCs w:val="21"/>
              </w:rPr>
            </w:pPr>
            <w:r>
              <w:rPr>
                <w:rFonts w:ascii="宋体" w:hAnsi="宋体" w:cs="宋体" w:eastAsia="宋体" w:hint="default"/>
                <w:sz w:val="21"/>
                <w:szCs w:val="21"/>
              </w:rPr>
              <w:t>天津泰能</w:t>
            </w:r>
            <w:r>
              <w:rPr>
                <w:rFonts w:ascii="宋体" w:hAnsi="宋体" w:cs="宋体" w:eastAsia="宋体" w:hint="default"/>
                <w:spacing w:val="-101"/>
                <w:sz w:val="21"/>
                <w:szCs w:val="21"/>
              </w:rPr>
              <w:t> </w:t>
            </w:r>
            <w:r>
              <w:rPr>
                <w:rFonts w:ascii="宋体" w:hAnsi="宋体" w:cs="宋体" w:eastAsia="宋体" w:hint="default"/>
                <w:sz w:val="21"/>
                <w:szCs w:val="21"/>
              </w:rPr>
              <w:t>综合能源</w:t>
            </w:r>
            <w:r>
              <w:rPr>
                <w:rFonts w:ascii="宋体" w:hAnsi="宋体" w:cs="宋体" w:eastAsia="宋体" w:hint="default"/>
                <w:spacing w:val="-101"/>
                <w:sz w:val="21"/>
                <w:szCs w:val="21"/>
              </w:rPr>
              <w:t> </w:t>
            </w:r>
            <w:r>
              <w:rPr>
                <w:rFonts w:ascii="宋体" w:hAnsi="宋体" w:cs="宋体" w:eastAsia="宋体" w:hint="default"/>
                <w:sz w:val="21"/>
                <w:szCs w:val="21"/>
              </w:rPr>
              <w:t>服务有限</w:t>
            </w:r>
            <w:r>
              <w:rPr>
                <w:rFonts w:ascii="宋体" w:hAnsi="宋体" w:cs="宋体" w:eastAsia="宋体" w:hint="default"/>
                <w:spacing w:val="-101"/>
                <w:sz w:val="21"/>
                <w:szCs w:val="21"/>
              </w:rPr>
              <w:t> </w:t>
            </w:r>
            <w:r>
              <w:rPr>
                <w:rFonts w:ascii="宋体" w:hAnsi="宋体" w:cs="宋体" w:eastAsia="宋体" w:hint="default"/>
                <w:sz w:val="21"/>
                <w:szCs w:val="21"/>
              </w:rPr>
              <w:t>责任公司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200,00</w:t>
            </w:r>
          </w:p>
          <w:p>
            <w:pPr>
              <w:pStyle w:val="TableParagraph"/>
              <w:spacing w:line="240" w:lineRule="auto" w:before="75"/>
              <w:ind w:left="316" w:right="0"/>
              <w:jc w:val="left"/>
              <w:rPr>
                <w:rFonts w:ascii="Times New Roman" w:hAnsi="Times New Roman" w:cs="Times New Roman" w:eastAsia="Times New Roman" w:hint="default"/>
                <w:sz w:val="21"/>
                <w:szCs w:val="21"/>
              </w:rPr>
            </w:pPr>
            <w:r>
              <w:rPr>
                <w:rFonts w:ascii="Times New Roman"/>
                <w:sz w:val="21"/>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58" w:right="0"/>
              <w:jc w:val="center"/>
              <w:rPr>
                <w:rFonts w:ascii="Times New Roman" w:hAnsi="Times New Roman" w:cs="Times New Roman" w:eastAsia="Times New Roman" w:hint="default"/>
                <w:sz w:val="21"/>
                <w:szCs w:val="21"/>
              </w:rPr>
            </w:pPr>
            <w:r>
              <w:rPr>
                <w:rFonts w:ascii="Times New Roman"/>
                <w:sz w:val="21"/>
              </w:rPr>
              <w:t>-11,75</w:t>
            </w:r>
          </w:p>
          <w:p>
            <w:pPr>
              <w:pStyle w:val="TableParagraph"/>
              <w:spacing w:line="240" w:lineRule="auto" w:before="75"/>
              <w:ind w:left="216" w:right="0"/>
              <w:jc w:val="center"/>
              <w:rPr>
                <w:rFonts w:ascii="Times New Roman" w:hAnsi="Times New Roman" w:cs="Times New Roman" w:eastAsia="Times New Roman" w:hint="default"/>
                <w:sz w:val="21"/>
                <w:szCs w:val="21"/>
              </w:rPr>
            </w:pPr>
            <w:r>
              <w:rPr>
                <w:rFonts w:ascii="Times New Roman"/>
                <w:sz w:val="21"/>
              </w:rPr>
              <w:t>9.74</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188,24</w:t>
            </w:r>
          </w:p>
          <w:p>
            <w:pPr>
              <w:pStyle w:val="TableParagraph"/>
              <w:spacing w:line="240" w:lineRule="auto" w:before="75"/>
              <w:ind w:left="311" w:right="0"/>
              <w:jc w:val="left"/>
              <w:rPr>
                <w:rFonts w:ascii="Times New Roman" w:hAnsi="Times New Roman" w:cs="Times New Roman" w:eastAsia="Times New Roman" w:hint="default"/>
                <w:sz w:val="21"/>
                <w:szCs w:val="21"/>
              </w:rPr>
            </w:pPr>
            <w:r>
              <w:rPr>
                <w:rFonts w:ascii="Times New Roman"/>
                <w:sz w:val="21"/>
              </w:rPr>
              <w:t>0.26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540" w:right="0"/>
        </w:sectPr>
      </w:pPr>
    </w:p>
    <w:p>
      <w:pPr>
        <w:spacing w:line="240" w:lineRule="auto" w:before="7"/>
        <w:rPr>
          <w:rFonts w:ascii="宋体" w:hAnsi="宋体" w:cs="宋体" w:eastAsia="宋体" w:hint="default"/>
          <w:sz w:val="25"/>
          <w:szCs w:val="25"/>
        </w:rPr>
      </w:pPr>
    </w:p>
    <w:tbl>
      <w:tblPr>
        <w:tblW w:w="0" w:type="auto"/>
        <w:jc w:val="left"/>
        <w:tblInd w:w="100" w:type="dxa"/>
        <w:tblLayout w:type="fixed"/>
        <w:tblCellMar>
          <w:top w:w="0" w:type="dxa"/>
          <w:left w:w="0" w:type="dxa"/>
          <w:bottom w:w="0" w:type="dxa"/>
          <w:right w:w="0" w:type="dxa"/>
        </w:tblCellMar>
        <w:tblLook w:val="01E0"/>
      </w:tblPr>
      <w:tblGrid>
        <w:gridCol w:w="1265"/>
        <w:gridCol w:w="797"/>
        <w:gridCol w:w="797"/>
        <w:gridCol w:w="797"/>
        <w:gridCol w:w="797"/>
        <w:gridCol w:w="802"/>
        <w:gridCol w:w="797"/>
        <w:gridCol w:w="797"/>
        <w:gridCol w:w="797"/>
        <w:gridCol w:w="802"/>
        <w:gridCol w:w="797"/>
        <w:gridCol w:w="797"/>
      </w:tblGrid>
      <w:tr>
        <w:trPr>
          <w:trHeight w:val="1027" w:hRule="exact"/>
        </w:trPr>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3" w:right="305"/>
              <w:jc w:val="both"/>
              <w:rPr>
                <w:rFonts w:ascii="宋体" w:hAnsi="宋体" w:cs="宋体" w:eastAsia="宋体" w:hint="default"/>
                <w:sz w:val="21"/>
                <w:szCs w:val="21"/>
              </w:rPr>
            </w:pPr>
            <w:r>
              <w:rPr>
                <w:rFonts w:ascii="宋体" w:hAnsi="宋体" w:cs="宋体" w:eastAsia="宋体" w:hint="default"/>
                <w:sz w:val="21"/>
                <w:szCs w:val="21"/>
              </w:rPr>
              <w:t>云南联通</w:t>
            </w:r>
            <w:r>
              <w:rPr>
                <w:rFonts w:ascii="宋体" w:hAnsi="宋体" w:cs="宋体" w:eastAsia="宋体" w:hint="default"/>
                <w:spacing w:val="-101"/>
                <w:sz w:val="21"/>
                <w:szCs w:val="21"/>
              </w:rPr>
              <w:t> </w:t>
            </w:r>
            <w:r>
              <w:rPr>
                <w:rFonts w:ascii="宋体" w:hAnsi="宋体" w:cs="宋体" w:eastAsia="宋体" w:hint="default"/>
                <w:sz w:val="21"/>
                <w:szCs w:val="21"/>
              </w:rPr>
              <w:t>新通信有</w:t>
            </w:r>
            <w:r>
              <w:rPr>
                <w:rFonts w:ascii="宋体" w:hAnsi="宋体" w:cs="宋体" w:eastAsia="宋体" w:hint="default"/>
                <w:spacing w:val="-101"/>
                <w:sz w:val="21"/>
                <w:szCs w:val="21"/>
              </w:rPr>
              <w:t> </w:t>
            </w:r>
            <w:r>
              <w:rPr>
                <w:rFonts w:ascii="宋体" w:hAnsi="宋体" w:cs="宋体" w:eastAsia="宋体" w:hint="default"/>
                <w:sz w:val="21"/>
                <w:szCs w:val="21"/>
              </w:rPr>
              <w:t>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19,364</w:t>
            </w:r>
          </w:p>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sz w:val="21"/>
              </w:rPr>
              <w:t>,250.0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63" w:right="0"/>
              <w:jc w:val="left"/>
              <w:rPr>
                <w:rFonts w:ascii="Times New Roman" w:hAnsi="Times New Roman" w:cs="Times New Roman" w:eastAsia="Times New Roman" w:hint="default"/>
                <w:sz w:val="21"/>
                <w:szCs w:val="21"/>
              </w:rPr>
            </w:pPr>
            <w:r>
              <w:rPr>
                <w:rFonts w:ascii="Times New Roman"/>
                <w:sz w:val="21"/>
              </w:rPr>
              <w:t>2,640,</w:t>
            </w:r>
          </w:p>
          <w:p>
            <w:pPr>
              <w:pStyle w:val="TableParagraph"/>
              <w:spacing w:line="240" w:lineRule="auto" w:before="70"/>
              <w:ind w:left="111" w:right="0"/>
              <w:jc w:val="left"/>
              <w:rPr>
                <w:rFonts w:ascii="Times New Roman" w:hAnsi="Times New Roman" w:cs="Times New Roman" w:eastAsia="Times New Roman" w:hint="default"/>
                <w:sz w:val="21"/>
                <w:szCs w:val="21"/>
              </w:rPr>
            </w:pPr>
            <w:r>
              <w:rPr>
                <w:rFonts w:ascii="Times New Roman"/>
                <w:sz w:val="21"/>
              </w:rPr>
              <w:t>322.35</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22,004</w:t>
            </w:r>
          </w:p>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,572.3</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21,852</w:t>
            </w:r>
          </w:p>
          <w:p>
            <w:pPr>
              <w:pStyle w:val="TableParagraph"/>
              <w:spacing w:line="240" w:lineRule="auto" w:before="65"/>
              <w:ind w:right="95"/>
              <w:jc w:val="right"/>
              <w:rPr>
                <w:rFonts w:ascii="Times New Roman" w:hAnsi="Times New Roman" w:cs="Times New Roman" w:eastAsia="Times New Roman" w:hint="default"/>
                <w:sz w:val="21"/>
                <w:szCs w:val="21"/>
              </w:rPr>
            </w:pPr>
            <w:r>
              <w:rPr>
                <w:rFonts w:ascii="Times New Roman"/>
                <w:sz w:val="21"/>
              </w:rPr>
              <w:t>,780.8</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19,564</w:t>
            </w:r>
          </w:p>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sz w:val="21"/>
              </w:rPr>
              <w:t>,250.0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1" w:right="0"/>
              <w:jc w:val="left"/>
              <w:rPr>
                <w:rFonts w:ascii="Times New Roman" w:hAnsi="Times New Roman" w:cs="Times New Roman" w:eastAsia="Times New Roman" w:hint="default"/>
                <w:sz w:val="21"/>
                <w:szCs w:val="21"/>
              </w:rPr>
            </w:pPr>
            <w:r>
              <w:rPr>
                <w:rFonts w:ascii="Times New Roman"/>
                <w:sz w:val="21"/>
              </w:rPr>
              <w:t>465,18</w:t>
            </w:r>
          </w:p>
          <w:p>
            <w:pPr>
              <w:pStyle w:val="TableParagraph"/>
              <w:spacing w:line="240" w:lineRule="auto" w:before="75"/>
              <w:ind w:left="317" w:right="0"/>
              <w:jc w:val="left"/>
              <w:rPr>
                <w:rFonts w:ascii="Times New Roman" w:hAnsi="Times New Roman" w:cs="Times New Roman" w:eastAsia="Times New Roman" w:hint="default"/>
                <w:sz w:val="21"/>
                <w:szCs w:val="21"/>
              </w:rPr>
            </w:pPr>
            <w:r>
              <w:rPr>
                <w:rFonts w:ascii="Times New Roman"/>
                <w:sz w:val="21"/>
              </w:rPr>
              <w:t>7.42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41,882</w:t>
            </w:r>
          </w:p>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,218.2</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sz w:val="21"/>
              </w:rPr>
              <w:t>21,852</w:t>
            </w:r>
          </w:p>
          <w:p>
            <w:pPr>
              <w:pStyle w:val="TableParagraph"/>
              <w:spacing w:line="240" w:lineRule="auto" w:before="65"/>
              <w:ind w:right="95"/>
              <w:jc w:val="right"/>
              <w:rPr>
                <w:rFonts w:ascii="Times New Roman" w:hAnsi="Times New Roman" w:cs="Times New Roman" w:eastAsia="Times New Roman" w:hint="default"/>
                <w:sz w:val="21"/>
                <w:szCs w:val="21"/>
              </w:rPr>
            </w:pPr>
            <w:r>
              <w:rPr>
                <w:rFonts w:ascii="Times New Roman"/>
                <w:sz w:val="21"/>
              </w:rPr>
              <w:t>,780.8</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19,564</w:t>
            </w:r>
          </w:p>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sz w:val="21"/>
              </w:rPr>
              <w:t>,250.0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21"/>
                <w:szCs w:val="21"/>
              </w:rPr>
            </w:pPr>
            <w:r>
              <w:rPr>
                <w:rFonts w:ascii="Times New Roman"/>
                <w:sz w:val="21"/>
              </w:rPr>
              <w:t>465,18</w:t>
            </w:r>
          </w:p>
          <w:p>
            <w:pPr>
              <w:pStyle w:val="TableParagraph"/>
              <w:spacing w:line="240" w:lineRule="auto" w:before="71"/>
              <w:ind w:left="317" w:right="0"/>
              <w:jc w:val="left"/>
              <w:rPr>
                <w:rFonts w:ascii="Times New Roman" w:hAnsi="Times New Roman" w:cs="Times New Roman" w:eastAsia="Times New Roman" w:hint="default"/>
                <w:sz w:val="21"/>
                <w:szCs w:val="21"/>
              </w:rPr>
            </w:pPr>
            <w:r>
              <w:rPr>
                <w:rFonts w:ascii="Times New Roman"/>
                <w:sz w:val="21"/>
              </w:rPr>
              <w:t>7.42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41,882</w:t>
            </w:r>
          </w:p>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,218.2</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7</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left="573" w:right="6969"/>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left="573" w:right="6969"/>
        <w:jc w:val="left"/>
        <w:rPr>
          <w:b w:val="0"/>
          <w:bCs w:val="0"/>
        </w:rPr>
      </w:pPr>
      <w:bookmarkStart w:name="18、其他权益工具投资" w:id="296"/>
      <w:bookmarkEnd w:id="296"/>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568" w:type="dxa"/>
        <w:tblLayout w:type="fixed"/>
        <w:tblCellMar>
          <w:top w:w="0" w:type="dxa"/>
          <w:left w:w="0" w:type="dxa"/>
          <w:bottom w:w="0" w:type="dxa"/>
          <w:right w:w="0" w:type="dxa"/>
        </w:tblCellMar>
        <w:tblLook w:val="01E0"/>
      </w:tblPr>
      <w:tblGrid>
        <w:gridCol w:w="4005"/>
        <w:gridCol w:w="2881"/>
        <w:gridCol w:w="2689"/>
      </w:tblGrid>
      <w:tr>
        <w:trPr>
          <w:trHeight w:val="403" w:hRule="exact"/>
        </w:trPr>
        <w:tc>
          <w:tcPr>
            <w:tcW w:w="4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庄河市智慧城市科技发展有限公司</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1,917,656.41</w:t>
            </w:r>
          </w:p>
        </w:tc>
        <w:tc>
          <w:tcPr>
            <w:tcW w:w="26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芜湖市中小企业融资担保有限公司</w:t>
            </w:r>
          </w:p>
        </w:tc>
        <w:tc>
          <w:tcPr>
            <w:tcW w:w="2881"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5,000,000.00</w:t>
            </w:r>
          </w:p>
        </w:tc>
      </w:tr>
      <w:tr>
        <w:trPr>
          <w:trHeight w:val="399" w:hRule="exact"/>
        </w:trPr>
        <w:tc>
          <w:tcPr>
            <w:tcW w:w="4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1,917,656.41</w:t>
            </w:r>
          </w:p>
        </w:tc>
        <w:tc>
          <w:tcPr>
            <w:tcW w:w="2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5,000,000.00</w:t>
            </w:r>
          </w:p>
        </w:tc>
      </w:tr>
    </w:tbl>
    <w:p>
      <w:pPr>
        <w:pStyle w:val="BodyText"/>
        <w:spacing w:line="240" w:lineRule="auto" w:before="28"/>
        <w:ind w:left="573" w:right="6969"/>
        <w:jc w:val="left"/>
      </w:pPr>
      <w:r>
        <w:rPr/>
        <w:t>分项披露本期非交易性权益工具投资</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568" w:type="dxa"/>
        <w:tblLayout w:type="fixed"/>
        <w:tblCellMar>
          <w:top w:w="0" w:type="dxa"/>
          <w:left w:w="0" w:type="dxa"/>
          <w:bottom w:w="0" w:type="dxa"/>
          <w:right w:w="0" w:type="dxa"/>
        </w:tblCellMar>
        <w:tblLook w:val="01E0"/>
      </w:tblPr>
      <w:tblGrid>
        <w:gridCol w:w="1369"/>
        <w:gridCol w:w="1368"/>
        <w:gridCol w:w="1369"/>
        <w:gridCol w:w="1100"/>
        <w:gridCol w:w="1392"/>
        <w:gridCol w:w="1801"/>
        <w:gridCol w:w="1176"/>
      </w:tblGrid>
      <w:tr>
        <w:trPr>
          <w:trHeight w:val="134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6" w:lineRule="auto"/>
              <w:ind w:left="470" w:right="147" w:hanging="317"/>
              <w:jc w:val="left"/>
              <w:rPr>
                <w:rFonts w:ascii="宋体" w:hAnsi="宋体" w:cs="宋体" w:eastAsia="宋体" w:hint="default"/>
                <w:sz w:val="21"/>
                <w:szCs w:val="21"/>
              </w:rPr>
            </w:pPr>
            <w:r>
              <w:rPr>
                <w:rFonts w:ascii="宋体" w:hAnsi="宋体" w:cs="宋体" w:eastAsia="宋体" w:hint="default"/>
                <w:sz w:val="21"/>
                <w:szCs w:val="21"/>
              </w:rPr>
              <w:t>确认的股利</w:t>
            </w:r>
            <w:r>
              <w:rPr>
                <w:rFonts w:ascii="宋体" w:hAnsi="宋体" w:cs="宋体" w:eastAsia="宋体" w:hint="default"/>
                <w:spacing w:val="-99"/>
                <w:sz w:val="21"/>
                <w:szCs w:val="21"/>
              </w:rPr>
              <w:t> </w:t>
            </w:r>
            <w:r>
              <w:rPr>
                <w:rFonts w:ascii="宋体" w:hAnsi="宋体" w:cs="宋体" w:eastAsia="宋体" w:hint="default"/>
                <w:sz w:val="21"/>
                <w:szCs w:val="21"/>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累计利得</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sz w:val="21"/>
                <w:szCs w:val="21"/>
              </w:rPr>
              <w:t>累计损失</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63" w:right="161"/>
              <w:jc w:val="both"/>
              <w:rPr>
                <w:rFonts w:ascii="宋体" w:hAnsi="宋体" w:cs="宋体" w:eastAsia="宋体" w:hint="default"/>
                <w:sz w:val="21"/>
                <w:szCs w:val="21"/>
              </w:rPr>
            </w:pPr>
            <w:r>
              <w:rPr>
                <w:rFonts w:ascii="宋体" w:hAnsi="宋体" w:cs="宋体" w:eastAsia="宋体" w:hint="default"/>
                <w:sz w:val="21"/>
                <w:szCs w:val="21"/>
              </w:rPr>
              <w:t>其他综合收</w:t>
            </w:r>
            <w:r>
              <w:rPr>
                <w:rFonts w:ascii="宋体" w:hAnsi="宋体" w:cs="宋体" w:eastAsia="宋体" w:hint="default"/>
                <w:spacing w:val="-99"/>
                <w:sz w:val="21"/>
                <w:szCs w:val="21"/>
              </w:rPr>
              <w:t> </w:t>
            </w:r>
            <w:r>
              <w:rPr>
                <w:rFonts w:ascii="宋体" w:hAnsi="宋体" w:cs="宋体" w:eastAsia="宋体" w:hint="default"/>
                <w:sz w:val="21"/>
                <w:szCs w:val="21"/>
              </w:rPr>
              <w:t>益转入留存</w:t>
            </w:r>
            <w:r>
              <w:rPr>
                <w:rFonts w:ascii="宋体" w:hAnsi="宋体" w:cs="宋体" w:eastAsia="宋体" w:hint="default"/>
                <w:spacing w:val="-99"/>
                <w:sz w:val="21"/>
                <w:szCs w:val="21"/>
              </w:rPr>
              <w:t> </w:t>
            </w:r>
            <w:r>
              <w:rPr>
                <w:rFonts w:ascii="宋体" w:hAnsi="宋体" w:cs="宋体" w:eastAsia="宋体" w:hint="default"/>
                <w:sz w:val="21"/>
                <w:szCs w:val="21"/>
              </w:rPr>
              <w:t>收益的金额</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63" w:right="152"/>
              <w:jc w:val="center"/>
              <w:rPr>
                <w:rFonts w:ascii="宋体" w:hAnsi="宋体" w:cs="宋体" w:eastAsia="宋体" w:hint="default"/>
                <w:sz w:val="21"/>
                <w:szCs w:val="21"/>
              </w:rPr>
            </w:pPr>
            <w:r>
              <w:rPr>
                <w:rFonts w:ascii="宋体" w:hAnsi="宋体" w:cs="宋体" w:eastAsia="宋体" w:hint="default"/>
                <w:spacing w:val="-1"/>
                <w:sz w:val="21"/>
                <w:szCs w:val="21"/>
              </w:rPr>
              <w:t>指定为以公允价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值计量且其变动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计入其他综合收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益的原因</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63" w:right="156"/>
              <w:jc w:val="both"/>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spacing w:val="-101"/>
                <w:sz w:val="21"/>
                <w:szCs w:val="21"/>
              </w:rPr>
              <w:t> </w:t>
            </w:r>
            <w:r>
              <w:rPr>
                <w:rFonts w:ascii="宋体" w:hAnsi="宋体" w:cs="宋体" w:eastAsia="宋体" w:hint="default"/>
                <w:sz w:val="21"/>
                <w:szCs w:val="21"/>
              </w:rPr>
              <w:t>收益转入</w:t>
            </w:r>
            <w:r>
              <w:rPr>
                <w:rFonts w:ascii="宋体" w:hAnsi="宋体" w:cs="宋体" w:eastAsia="宋体" w:hint="default"/>
                <w:spacing w:val="-101"/>
                <w:sz w:val="21"/>
                <w:szCs w:val="21"/>
              </w:rPr>
              <w:t> </w:t>
            </w:r>
            <w:r>
              <w:rPr>
                <w:rFonts w:ascii="宋体" w:hAnsi="宋体" w:cs="宋体" w:eastAsia="宋体" w:hint="default"/>
                <w:sz w:val="21"/>
                <w:szCs w:val="21"/>
              </w:rPr>
              <w:t>留存收益</w:t>
            </w:r>
            <w:r>
              <w:rPr>
                <w:rFonts w:ascii="宋体" w:hAnsi="宋体" w:cs="宋体" w:eastAsia="宋体" w:hint="default"/>
                <w:spacing w:val="-101"/>
                <w:sz w:val="21"/>
                <w:szCs w:val="21"/>
              </w:rPr>
              <w:t> </w:t>
            </w:r>
            <w:r>
              <w:rPr>
                <w:rFonts w:ascii="宋体" w:hAnsi="宋体" w:cs="宋体" w:eastAsia="宋体" w:hint="default"/>
                <w:sz w:val="21"/>
                <w:szCs w:val="21"/>
              </w:rPr>
              <w:t>的原因</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5"/>
              <w:jc w:val="both"/>
              <w:rPr>
                <w:rFonts w:ascii="宋体" w:hAnsi="宋体" w:cs="宋体" w:eastAsia="宋体" w:hint="default"/>
                <w:sz w:val="21"/>
                <w:szCs w:val="21"/>
              </w:rPr>
            </w:pPr>
            <w:r>
              <w:rPr>
                <w:rFonts w:ascii="宋体" w:hAnsi="宋体" w:cs="宋体" w:eastAsia="宋体" w:hint="default"/>
                <w:sz w:val="21"/>
                <w:szCs w:val="21"/>
              </w:rPr>
              <w:t>庄河市智慧</w:t>
            </w:r>
            <w:r>
              <w:rPr>
                <w:rFonts w:ascii="宋体" w:hAnsi="宋体" w:cs="宋体" w:eastAsia="宋体" w:hint="default"/>
                <w:spacing w:val="-99"/>
                <w:sz w:val="21"/>
                <w:szCs w:val="21"/>
              </w:rPr>
              <w:t> </w:t>
            </w:r>
            <w:r>
              <w:rPr>
                <w:rFonts w:ascii="宋体" w:hAnsi="宋体" w:cs="宋体" w:eastAsia="宋体" w:hint="default"/>
                <w:sz w:val="21"/>
                <w:szCs w:val="21"/>
              </w:rPr>
              <w:t>城市科技发</w:t>
            </w:r>
            <w:r>
              <w:rPr>
                <w:rFonts w:ascii="宋体" w:hAnsi="宋体" w:cs="宋体" w:eastAsia="宋体" w:hint="default"/>
                <w:spacing w:val="-99"/>
                <w:sz w:val="21"/>
                <w:szCs w:val="21"/>
              </w:rPr>
              <w:t> </w:t>
            </w:r>
            <w:r>
              <w:rPr>
                <w:rFonts w:ascii="宋体" w:hAnsi="宋体" w:cs="宋体" w:eastAsia="宋体" w:hint="default"/>
                <w:sz w:val="21"/>
                <w:szCs w:val="21"/>
              </w:rPr>
              <w:t>展有限公司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392"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非交易目的股权</w:t>
            </w:r>
          </w:p>
        </w:tc>
        <w:tc>
          <w:tcPr>
            <w:tcW w:w="11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9"/>
        <w:ind w:left="573" w:right="6969"/>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left="573" w:right="6969"/>
        <w:jc w:val="left"/>
        <w:rPr>
          <w:b w:val="0"/>
          <w:bCs w:val="0"/>
        </w:rPr>
      </w:pPr>
      <w:bookmarkStart w:name="19、其他非流动金融资产" w:id="297"/>
      <w:bookmarkEnd w:id="297"/>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568" w:type="dxa"/>
        <w:tblLayout w:type="fixed"/>
        <w:tblCellMar>
          <w:top w:w="0" w:type="dxa"/>
          <w:left w:w="0" w:type="dxa"/>
          <w:bottom w:w="0" w:type="dxa"/>
          <w:right w:w="0" w:type="dxa"/>
        </w:tblCellMar>
        <w:tblLook w:val="01E0"/>
      </w:tblPr>
      <w:tblGrid>
        <w:gridCol w:w="4062"/>
        <w:gridCol w:w="2319"/>
        <w:gridCol w:w="3193"/>
      </w:tblGrid>
      <w:tr>
        <w:trPr>
          <w:trHeight w:val="404" w:hRule="exact"/>
        </w:trPr>
        <w:tc>
          <w:tcPr>
            <w:tcW w:w="4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8" w:hRule="exact"/>
        </w:trPr>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芜湖扬子农村商业银行股份有限公司</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3,243,335.39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2,703,743.81</w:t>
            </w:r>
          </w:p>
        </w:tc>
      </w:tr>
      <w:tr>
        <w:trPr>
          <w:trHeight w:val="403" w:hRule="exact"/>
        </w:trPr>
        <w:tc>
          <w:tcPr>
            <w:tcW w:w="4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3,243,335.39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2,703,743.81</w:t>
            </w:r>
          </w:p>
        </w:tc>
      </w:tr>
    </w:tbl>
    <w:p>
      <w:pPr>
        <w:pStyle w:val="BodyText"/>
        <w:spacing w:line="240" w:lineRule="auto" w:before="28"/>
        <w:ind w:left="573" w:right="6969"/>
        <w:jc w:val="left"/>
      </w:pPr>
      <w:r>
        <w:rPr/>
        <w:t>其他说明：</w:t>
      </w:r>
    </w:p>
    <w:p>
      <w:pPr>
        <w:spacing w:after="0" w:line="240" w:lineRule="auto"/>
        <w:jc w:val="left"/>
        <w:sectPr>
          <w:pgSz w:w="11910" w:h="16840"/>
          <w:pgMar w:header="906" w:footer="1022" w:top="1100" w:bottom="1220" w:left="56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20、投资性房地产" w:id="298"/>
      <w:bookmarkEnd w:id="298"/>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采用成本计量模式的投资性房地产" w:id="299"/>
      <w:bookmarkEnd w:id="299"/>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right="1002"/>
        <w:jc w:val="left"/>
      </w:pPr>
      <w:r>
        <w:rPr/>
        <w:t>√ 适用 □</w:t>
      </w:r>
      <w:r>
        <w:rPr>
          <w:spacing w:val="4"/>
        </w:rPr>
        <w:t> </w:t>
      </w:r>
      <w:r>
        <w:rPr/>
        <w:t>不适用</w:t>
      </w:r>
    </w:p>
    <w:p>
      <w:pPr>
        <w:pStyle w:val="BodyText"/>
        <w:spacing w:line="240" w:lineRule="auto" w:before="75"/>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396"/>
        <w:gridCol w:w="1877"/>
        <w:gridCol w:w="1983"/>
        <w:gridCol w:w="1801"/>
        <w:gridCol w:w="1782"/>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07"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61"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7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134,097,042.36</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134,097,042.36</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）外购</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84" w:right="0"/>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）存货</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固定资产</w:t>
            </w:r>
          </w:p>
          <w:p>
            <w:pPr>
              <w:pStyle w:val="TableParagraph"/>
              <w:spacing w:line="240" w:lineRule="auto" w:before="2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在建工程转入</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13" w:right="0"/>
              <w:jc w:val="left"/>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）企业合并增加</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32,614,738.65</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32,614,738.65</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）重分类减少</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32,614,738.65</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32,614,738.65</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101,482,303.71</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101,482,303.71</w:t>
            </w:r>
          </w:p>
        </w:tc>
      </w:tr>
      <w:tr>
        <w:trPr>
          <w:trHeight w:val="716"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76"/>
              <w:jc w:val="left"/>
              <w:rPr>
                <w:rFonts w:ascii="宋体" w:hAnsi="宋体" w:cs="宋体" w:eastAsia="宋体" w:hint="default"/>
                <w:sz w:val="21"/>
                <w:szCs w:val="21"/>
              </w:rPr>
            </w:pPr>
            <w:r>
              <w:rPr>
                <w:rFonts w:ascii="宋体" w:hAnsi="宋体" w:cs="宋体" w:eastAsia="宋体" w:hint="default"/>
                <w:spacing w:val="-1"/>
                <w:sz w:val="21"/>
                <w:szCs w:val="21"/>
              </w:rPr>
              <w:t>二、累计折旧和累计摊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销</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41,728,573.52</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41,728,573.52</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6,094,625.52</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6,094,625.52</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）计提或摊销</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6,094,625.52</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6,094,625.52</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10,825,846.75</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10,825,846.75</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）重分类减少</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10,825,846.75</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10,825,846.75</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36,997,352.29</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36,997,352.29</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6,567,212.47</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6,567,212.47</w:t>
            </w: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6"/>
        <w:gridCol w:w="1877"/>
        <w:gridCol w:w="1983"/>
        <w:gridCol w:w="1801"/>
        <w:gridCol w:w="1782"/>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）其他转出</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6,567,212.47</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6,567,212.47</w:t>
            </w:r>
          </w:p>
        </w:tc>
      </w:tr>
      <w:tr>
        <w:trPr>
          <w:trHeight w:val="398"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8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57,917,738.95</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57,917,738.95</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85,801,256.37</w:t>
            </w:r>
          </w:p>
        </w:tc>
        <w:tc>
          <w:tcPr>
            <w:tcW w:w="198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85,801,256.37</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采用公允价值计量模式的投资性房地产" w:id="300"/>
      <w:bookmarkEnd w:id="300"/>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1002"/>
        <w:jc w:val="left"/>
      </w:pPr>
      <w:r>
        <w:rPr/>
        <w:t>□ 适用 √</w:t>
      </w:r>
      <w:r>
        <w:rPr>
          <w:spacing w:val="4"/>
        </w:rPr>
        <w:t> </w:t>
      </w:r>
      <w:r>
        <w:rPr/>
        <w:t>不适用</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3）未办妥产权证书的投资性房地产情况" w:id="301"/>
      <w:bookmarkEnd w:id="301"/>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21、固定资产" w:id="302"/>
      <w:bookmarkEnd w:id="302"/>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559,790,072.73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581,933,466.35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559,790,072.73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581,933,466.35</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1）固定资产情况" w:id="303"/>
      <w:bookmarkEnd w:id="303"/>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27"/>
        <w:gridCol w:w="1210"/>
        <w:gridCol w:w="1364"/>
        <w:gridCol w:w="1368"/>
        <w:gridCol w:w="1368"/>
        <w:gridCol w:w="1369"/>
        <w:gridCol w:w="1369"/>
      </w:tblGrid>
      <w:tr>
        <w:trPr>
          <w:trHeight w:val="1023"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388" w:right="177" w:hanging="212"/>
              <w:jc w:val="left"/>
              <w:rPr>
                <w:rFonts w:ascii="宋体" w:hAnsi="宋体" w:cs="宋体" w:eastAsia="宋体" w:hint="default"/>
                <w:sz w:val="21"/>
                <w:szCs w:val="21"/>
              </w:rPr>
            </w:pPr>
            <w:r>
              <w:rPr>
                <w:rFonts w:ascii="宋体" w:hAnsi="宋体" w:cs="宋体" w:eastAsia="宋体" w:hint="default"/>
                <w:sz w:val="21"/>
                <w:szCs w:val="21"/>
              </w:rPr>
              <w:t>房屋及建</w:t>
            </w:r>
            <w:r>
              <w:rPr>
                <w:rFonts w:ascii="宋体" w:hAnsi="宋体" w:cs="宋体" w:eastAsia="宋体" w:hint="default"/>
                <w:spacing w:val="-101"/>
                <w:sz w:val="21"/>
                <w:szCs w:val="21"/>
              </w:rPr>
              <w:t> </w:t>
            </w:r>
            <w:r>
              <w:rPr>
                <w:rFonts w:ascii="宋体" w:hAnsi="宋体" w:cs="宋体" w:eastAsia="宋体" w:hint="default"/>
                <w:sz w:val="21"/>
                <w:szCs w:val="21"/>
              </w:rPr>
              <w:t>筑物</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电子设备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3" w:right="147"/>
              <w:jc w:val="center"/>
              <w:rPr>
                <w:rFonts w:ascii="宋体" w:hAnsi="宋体" w:cs="宋体" w:eastAsia="宋体" w:hint="default"/>
                <w:sz w:val="21"/>
                <w:szCs w:val="21"/>
              </w:rPr>
            </w:pPr>
            <w:r>
              <w:rPr>
                <w:rFonts w:ascii="宋体" w:hAnsi="宋体" w:cs="宋体" w:eastAsia="宋体" w:hint="default"/>
                <w:sz w:val="21"/>
                <w:szCs w:val="21"/>
              </w:rPr>
              <w:t>六盘水天网</w:t>
            </w:r>
            <w:r>
              <w:rPr>
                <w:rFonts w:ascii="宋体" w:hAnsi="宋体" w:cs="宋体" w:eastAsia="宋体" w:hint="default"/>
                <w:w w:val="100"/>
                <w:sz w:val="21"/>
                <w:szCs w:val="21"/>
              </w:rPr>
              <w:t> </w:t>
            </w:r>
            <w:r>
              <w:rPr>
                <w:rFonts w:ascii="宋体" w:hAnsi="宋体" w:cs="宋体" w:eastAsia="宋体" w:hint="default"/>
                <w:sz w:val="21"/>
                <w:szCs w:val="21"/>
              </w:rPr>
              <w:t>工程租赁部</w:t>
            </w:r>
            <w:r>
              <w:rPr>
                <w:rFonts w:ascii="宋体" w:hAnsi="宋体" w:cs="宋体" w:eastAsia="宋体" w:hint="default"/>
                <w:w w:val="100"/>
                <w:sz w:val="21"/>
                <w:szCs w:val="21"/>
              </w:rPr>
              <w:t> </w:t>
            </w:r>
            <w:r>
              <w:rPr>
                <w:rFonts w:ascii="宋体" w:hAnsi="宋体" w:cs="宋体" w:eastAsia="宋体" w:hint="default"/>
                <w:sz w:val="21"/>
                <w:szCs w:val="21"/>
              </w:rPr>
              <w:t>分资产</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0"/>
              <w:jc w:val="right"/>
              <w:rPr>
                <w:rFonts w:ascii="宋体" w:hAnsi="宋体" w:cs="宋体" w:eastAsia="宋体" w:hint="default"/>
                <w:sz w:val="21"/>
                <w:szCs w:val="21"/>
              </w:rPr>
            </w:pPr>
            <w:r>
              <w:rPr>
                <w:rFonts w:ascii="宋体" w:hAnsi="宋体" w:cs="宋体" w:eastAsia="宋体" w:hint="default"/>
                <w:spacing w:val="-9"/>
                <w:sz w:val="21"/>
                <w:szCs w:val="21"/>
              </w:rPr>
              <w:t>一、账面原值：</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8" w:right="0"/>
              <w:jc w:val="left"/>
              <w:rPr>
                <w:rFonts w:ascii="Times New Roman" w:hAnsi="Times New Roman" w:cs="Times New Roman" w:eastAsia="Times New Roman" w:hint="default"/>
                <w:sz w:val="21"/>
                <w:szCs w:val="21"/>
              </w:rPr>
            </w:pPr>
            <w:r>
              <w:rPr>
                <w:rFonts w:ascii="Times New Roman"/>
                <w:sz w:val="21"/>
              </w:rPr>
              <w:t>563,910,01</w:t>
            </w:r>
          </w:p>
          <w:p>
            <w:pPr>
              <w:pStyle w:val="TableParagraph"/>
              <w:spacing w:line="240" w:lineRule="auto" w:before="75"/>
              <w:ind w:left="725" w:right="0"/>
              <w:jc w:val="left"/>
              <w:rPr>
                <w:rFonts w:ascii="Times New Roman" w:hAnsi="Times New Roman" w:cs="Times New Roman" w:eastAsia="Times New Roman" w:hint="default"/>
                <w:sz w:val="21"/>
                <w:szCs w:val="21"/>
              </w:rPr>
            </w:pPr>
            <w:r>
              <w:rPr>
                <w:rFonts w:ascii="Times New Roman"/>
                <w:sz w:val="21"/>
              </w:rPr>
              <w:t>7.17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83,804,926.9</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28,799,382.9</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35,337,983.1</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236,350,974.</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948,203,284.</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z w:val="21"/>
              </w:rPr>
              <w:t>74</w:t>
            </w:r>
          </w:p>
        </w:tc>
      </w:tr>
      <w:tr>
        <w:trPr>
          <w:trHeight w:val="716"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8"/>
              <w:ind w:left="105" w:right="195" w:firstLine="21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44,929,296</w:t>
            </w:r>
          </w:p>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sz w:val="21"/>
              </w:rPr>
              <w:t>.18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1,355,779.89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2,040,502.78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2,958,310.78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51,283,889.6</w:t>
            </w:r>
          </w:p>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w w:val="100"/>
                <w:sz w:val="21"/>
              </w:rPr>
              <w:t>3</w:t>
            </w:r>
          </w:p>
        </w:tc>
      </w:tr>
      <w:tr>
        <w:trPr>
          <w:trHeight w:val="398"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93"/>
              <w:jc w:val="righ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）购置</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2" w:right="0"/>
              <w:jc w:val="center"/>
              <w:rPr>
                <w:rFonts w:ascii="Times New Roman" w:hAnsi="Times New Roman" w:cs="Times New Roman" w:eastAsia="Times New Roman" w:hint="default"/>
                <w:sz w:val="21"/>
                <w:szCs w:val="21"/>
              </w:rPr>
            </w:pPr>
            <w:r>
              <w:rPr>
                <w:rFonts w:ascii="Times New Roman"/>
                <w:sz w:val="21"/>
              </w:rPr>
              <w:t>1,355,779.89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center"/>
              <w:rPr>
                <w:rFonts w:ascii="Times New Roman" w:hAnsi="Times New Roman" w:cs="Times New Roman" w:eastAsia="Times New Roman" w:hint="default"/>
                <w:sz w:val="21"/>
                <w:szCs w:val="21"/>
              </w:rPr>
            </w:pPr>
            <w:r>
              <w:rPr>
                <w:rFonts w:ascii="Times New Roman"/>
                <w:sz w:val="21"/>
              </w:rPr>
              <w:t>1,534,555.08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center"/>
              <w:rPr>
                <w:rFonts w:ascii="Times New Roman" w:hAnsi="Times New Roman" w:cs="Times New Roman" w:eastAsia="Times New Roman" w:hint="default"/>
                <w:sz w:val="21"/>
                <w:szCs w:val="21"/>
              </w:rPr>
            </w:pPr>
            <w:r>
              <w:rPr>
                <w:rFonts w:ascii="Times New Roman"/>
                <w:sz w:val="21"/>
              </w:rPr>
              <w:t>2,915,584.02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 w:right="0"/>
              <w:jc w:val="center"/>
              <w:rPr>
                <w:rFonts w:ascii="Times New Roman" w:hAnsi="Times New Roman" w:cs="Times New Roman" w:eastAsia="Times New Roman" w:hint="default"/>
                <w:sz w:val="21"/>
                <w:szCs w:val="21"/>
              </w:rPr>
            </w:pPr>
            <w:r>
              <w:rPr>
                <w:rFonts w:ascii="Times New Roman"/>
                <w:sz w:val="21"/>
              </w:rPr>
              <w:t>5,805,918.99</w:t>
            </w: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3"/>
              <w:jc w:val="righ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）在建</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527"/>
        <w:gridCol w:w="1210"/>
        <w:gridCol w:w="1364"/>
        <w:gridCol w:w="1368"/>
        <w:gridCol w:w="1368"/>
        <w:gridCol w:w="1369"/>
        <w:gridCol w:w="1369"/>
      </w:tblGrid>
      <w:tr>
        <w:trPr>
          <w:trHeight w:val="360"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工程转入</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93" w:firstLine="393"/>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）企业</w:t>
            </w:r>
            <w:r>
              <w:rPr>
                <w:rFonts w:ascii="宋体" w:hAnsi="宋体" w:cs="宋体" w:eastAsia="宋体" w:hint="default"/>
                <w:w w:val="100"/>
                <w:sz w:val="21"/>
                <w:szCs w:val="21"/>
              </w:rPr>
              <w:t> </w:t>
            </w:r>
            <w:r>
              <w:rPr>
                <w:rFonts w:ascii="宋体" w:hAnsi="宋体" w:cs="宋体" w:eastAsia="宋体" w:hint="default"/>
                <w:sz w:val="21"/>
                <w:szCs w:val="21"/>
              </w:rPr>
              <w:t>合并增加</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10,559,399</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z w:val="21"/>
              </w:rPr>
              <w:t>.83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505,947.70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42,726.76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11,108,074.2</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9</w:t>
            </w: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94" w:firstLine="422"/>
              <w:jc w:val="left"/>
              <w:rPr>
                <w:rFonts w:ascii="宋体" w:hAnsi="宋体" w:cs="宋体" w:eastAsia="宋体" w:hint="default"/>
                <w:sz w:val="21"/>
                <w:szCs w:val="21"/>
              </w:rPr>
            </w:pPr>
            <w:r>
              <w:rPr>
                <w:rFonts w:ascii="宋体" w:hAnsi="宋体" w:cs="宋体" w:eastAsia="宋体" w:hint="default"/>
                <w:spacing w:val="-12"/>
                <w:sz w:val="21"/>
                <w:szCs w:val="21"/>
              </w:rPr>
              <w:t>（</w:t>
            </w:r>
            <w:r>
              <w:rPr>
                <w:rFonts w:ascii="Times New Roman" w:hAnsi="Times New Roman" w:cs="Times New Roman" w:eastAsia="Times New Roman" w:hint="default"/>
                <w:spacing w:val="-12"/>
                <w:sz w:val="21"/>
                <w:szCs w:val="21"/>
              </w:rPr>
              <w:t>4</w:t>
            </w:r>
            <w:r>
              <w:rPr>
                <w:rFonts w:ascii="宋体" w:hAnsi="宋体" w:cs="宋体" w:eastAsia="宋体" w:hint="default"/>
                <w:spacing w:val="-12"/>
                <w:sz w:val="21"/>
                <w:szCs w:val="21"/>
              </w:rPr>
              <w:t>）重分</w:t>
            </w:r>
            <w:r>
              <w:rPr>
                <w:rFonts w:ascii="宋体" w:hAnsi="宋体" w:cs="宋体" w:eastAsia="宋体" w:hint="default"/>
                <w:w w:val="100"/>
                <w:sz w:val="21"/>
                <w:szCs w:val="21"/>
              </w:rPr>
              <w:t> </w:t>
            </w:r>
            <w:r>
              <w:rPr>
                <w:rFonts w:ascii="宋体" w:hAnsi="宋体" w:cs="宋体" w:eastAsia="宋体" w:hint="default"/>
                <w:sz w:val="21"/>
                <w:szCs w:val="21"/>
              </w:rPr>
              <w:t>类增加</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32,614,738</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z w:val="21"/>
              </w:rPr>
              <w:t>.65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32,614,738.6</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5</w:t>
            </w: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94" w:firstLine="422"/>
              <w:jc w:val="left"/>
              <w:rPr>
                <w:rFonts w:ascii="宋体" w:hAnsi="宋体" w:cs="宋体" w:eastAsia="宋体" w:hint="default"/>
                <w:sz w:val="21"/>
                <w:szCs w:val="21"/>
              </w:rPr>
            </w:pPr>
            <w:r>
              <w:rPr>
                <w:rFonts w:ascii="宋体" w:hAnsi="宋体" w:cs="宋体" w:eastAsia="宋体" w:hint="default"/>
                <w:spacing w:val="-12"/>
                <w:sz w:val="21"/>
                <w:szCs w:val="21"/>
              </w:rPr>
              <w:t>（</w:t>
            </w:r>
            <w:r>
              <w:rPr>
                <w:rFonts w:ascii="Times New Roman" w:hAnsi="Times New Roman" w:cs="Times New Roman" w:eastAsia="Times New Roman" w:hint="default"/>
                <w:spacing w:val="-12"/>
                <w:sz w:val="21"/>
                <w:szCs w:val="21"/>
              </w:rPr>
              <w:t>5</w:t>
            </w:r>
            <w:r>
              <w:rPr>
                <w:rFonts w:ascii="宋体" w:hAnsi="宋体" w:cs="宋体" w:eastAsia="宋体" w:hint="default"/>
                <w:spacing w:val="-12"/>
                <w:sz w:val="21"/>
                <w:szCs w:val="21"/>
              </w:rPr>
              <w:t>）其他</w:t>
            </w:r>
            <w:r>
              <w:rPr>
                <w:rFonts w:ascii="宋体" w:hAnsi="宋体" w:cs="宋体" w:eastAsia="宋体" w:hint="default"/>
                <w:w w:val="100"/>
                <w:sz w:val="21"/>
                <w:szCs w:val="21"/>
              </w:rPr>
              <w:t> </w:t>
            </w:r>
            <w:r>
              <w:rPr>
                <w:rFonts w:ascii="宋体" w:hAnsi="宋体" w:cs="宋体" w:eastAsia="宋体" w:hint="default"/>
                <w:sz w:val="21"/>
                <w:szCs w:val="21"/>
              </w:rPr>
              <w:t>增加</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1,755,157.</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z w:val="21"/>
              </w:rPr>
              <w:t>70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1,755,157.70</w:t>
            </w:r>
          </w:p>
        </w:tc>
      </w:tr>
      <w:tr>
        <w:trPr>
          <w:trHeight w:val="711"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195" w:firstLine="21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1,741,224.58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1,318,169.83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1,036,815.22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4,096,209.63</w:t>
            </w: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93" w:firstLine="393"/>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1,741,224.58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1,318,169.83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1,036,815.22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4,096,209.63</w:t>
            </w: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2"/>
              <w:ind w:right="195"/>
              <w:jc w:val="righ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48" w:right="0"/>
              <w:jc w:val="left"/>
              <w:rPr>
                <w:rFonts w:ascii="Times New Roman" w:hAnsi="Times New Roman" w:cs="Times New Roman" w:eastAsia="Times New Roman" w:hint="default"/>
                <w:sz w:val="21"/>
                <w:szCs w:val="21"/>
              </w:rPr>
            </w:pPr>
            <w:r>
              <w:rPr>
                <w:rFonts w:ascii="Times New Roman"/>
                <w:sz w:val="21"/>
              </w:rPr>
              <w:t>608,839,31</w:t>
            </w:r>
          </w:p>
          <w:p>
            <w:pPr>
              <w:pStyle w:val="TableParagraph"/>
              <w:spacing w:line="240" w:lineRule="auto" w:before="70"/>
              <w:ind w:left="725" w:right="0"/>
              <w:jc w:val="left"/>
              <w:rPr>
                <w:rFonts w:ascii="Times New Roman" w:hAnsi="Times New Roman" w:cs="Times New Roman" w:eastAsia="Times New Roman" w:hint="default"/>
                <w:sz w:val="21"/>
                <w:szCs w:val="21"/>
              </w:rPr>
            </w:pPr>
            <w:r>
              <w:rPr>
                <w:rFonts w:ascii="Times New Roman"/>
                <w:sz w:val="21"/>
              </w:rPr>
              <w:t>3.35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83,419,482.2</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29,521,715.9</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37,259,478.6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236,350,974.</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995,390,964.</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z w:val="21"/>
              </w:rPr>
              <w:t>74</w:t>
            </w:r>
          </w:p>
        </w:tc>
      </w:tr>
      <w:tr>
        <w:trPr>
          <w:trHeight w:val="398"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right="19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8" w:right="0"/>
              <w:jc w:val="left"/>
              <w:rPr>
                <w:rFonts w:ascii="Times New Roman" w:hAnsi="Times New Roman" w:cs="Times New Roman" w:eastAsia="Times New Roman" w:hint="default"/>
                <w:sz w:val="21"/>
                <w:szCs w:val="21"/>
              </w:rPr>
            </w:pPr>
            <w:r>
              <w:rPr>
                <w:rFonts w:ascii="Times New Roman"/>
                <w:sz w:val="21"/>
              </w:rPr>
              <w:t>160,899,49</w:t>
            </w:r>
          </w:p>
          <w:p>
            <w:pPr>
              <w:pStyle w:val="TableParagraph"/>
              <w:spacing w:line="240" w:lineRule="auto" w:before="75"/>
              <w:ind w:left="725" w:right="0"/>
              <w:jc w:val="left"/>
              <w:rPr>
                <w:rFonts w:ascii="Times New Roman" w:hAnsi="Times New Roman" w:cs="Times New Roman" w:eastAsia="Times New Roman" w:hint="default"/>
                <w:sz w:val="21"/>
                <w:szCs w:val="21"/>
              </w:rPr>
            </w:pPr>
            <w:r>
              <w:rPr>
                <w:rFonts w:ascii="Times New Roman"/>
                <w:sz w:val="21"/>
              </w:rPr>
              <w:t>5.25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61,985,794.2</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22,115,825.0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29,058,135.4</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92,210,568.4</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366,269,818.</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z w:val="21"/>
              </w:rPr>
              <w:t>39</w:t>
            </w: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195" w:firstLine="21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40,715,715</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z w:val="21"/>
              </w:rPr>
              <w:t>.19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4,848,570.54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1,667,583.12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2,222,547.28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22,452,979.6</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71,907,395.7</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5</w:t>
            </w: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2"/>
              <w:ind w:right="93"/>
              <w:jc w:val="righ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）计提</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29,468,217</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z w:val="21"/>
              </w:rPr>
              <w:t>.81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4,848,570.54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1,508,081.31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2,190,587.53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22,452,979.6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60,468,436.8</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1</w:t>
            </w:r>
          </w:p>
        </w:tc>
      </w:tr>
      <w:tr>
        <w:trPr>
          <w:trHeight w:val="711"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pacing w:val="-12"/>
                <w:sz w:val="21"/>
                <w:szCs w:val="21"/>
              </w:rPr>
              <w:t>（</w:t>
            </w:r>
            <w:r>
              <w:rPr>
                <w:rFonts w:ascii="Times New Roman" w:hAnsi="Times New Roman" w:cs="Times New Roman" w:eastAsia="Times New Roman" w:hint="default"/>
                <w:spacing w:val="-12"/>
                <w:sz w:val="21"/>
                <w:szCs w:val="21"/>
              </w:rPr>
              <w:t>2</w:t>
            </w:r>
            <w:r>
              <w:rPr>
                <w:rFonts w:ascii="宋体" w:hAnsi="宋体" w:cs="宋体" w:eastAsia="宋体" w:hint="default"/>
                <w:spacing w:val="-12"/>
                <w:sz w:val="21"/>
                <w:szCs w:val="21"/>
              </w:rPr>
              <w:t>）重分</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w w:val="100"/>
                <w:sz w:val="21"/>
                <w:szCs w:val="21"/>
              </w:rPr>
              <w:t>类</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10,825,846</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z w:val="21"/>
              </w:rPr>
              <w:t>.75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10,825,846.7</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5</w:t>
            </w:r>
          </w:p>
        </w:tc>
      </w:tr>
      <w:tr>
        <w:trPr>
          <w:trHeight w:val="1027"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05" w:right="94" w:firstLine="422"/>
              <w:jc w:val="both"/>
              <w:rPr>
                <w:rFonts w:ascii="宋体" w:hAnsi="宋体" w:cs="宋体" w:eastAsia="宋体" w:hint="default"/>
                <w:sz w:val="21"/>
                <w:szCs w:val="21"/>
              </w:rPr>
            </w:pPr>
            <w:r>
              <w:rPr>
                <w:rFonts w:ascii="宋体" w:hAnsi="宋体" w:cs="宋体" w:eastAsia="宋体" w:hint="default"/>
                <w:spacing w:val="-12"/>
                <w:sz w:val="21"/>
                <w:szCs w:val="21"/>
              </w:rPr>
              <w:t>（</w:t>
            </w:r>
            <w:r>
              <w:rPr>
                <w:rFonts w:ascii="Times New Roman" w:hAnsi="Times New Roman" w:cs="Times New Roman" w:eastAsia="Times New Roman" w:hint="default"/>
                <w:spacing w:val="-12"/>
                <w:sz w:val="21"/>
                <w:szCs w:val="21"/>
              </w:rPr>
              <w:t>3</w:t>
            </w:r>
            <w:r>
              <w:rPr>
                <w:rFonts w:ascii="宋体" w:hAnsi="宋体" w:cs="宋体" w:eastAsia="宋体" w:hint="default"/>
                <w:spacing w:val="-12"/>
                <w:sz w:val="21"/>
                <w:szCs w:val="21"/>
              </w:rPr>
              <w:t>）非同</w:t>
            </w:r>
            <w:r>
              <w:rPr>
                <w:rFonts w:ascii="宋体" w:hAnsi="宋体" w:cs="宋体" w:eastAsia="宋体" w:hint="default"/>
                <w:w w:val="100"/>
                <w:sz w:val="21"/>
                <w:szCs w:val="21"/>
              </w:rPr>
              <w:t> </w:t>
            </w:r>
            <w:r>
              <w:rPr>
                <w:rFonts w:ascii="宋体" w:hAnsi="宋体" w:cs="宋体" w:eastAsia="宋体" w:hint="default"/>
                <w:sz w:val="21"/>
                <w:szCs w:val="21"/>
              </w:rPr>
              <w:t>一控制下企业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合并</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left="148" w:right="0"/>
              <w:jc w:val="left"/>
              <w:rPr>
                <w:rFonts w:ascii="Times New Roman" w:hAnsi="Times New Roman" w:cs="Times New Roman" w:eastAsia="Times New Roman" w:hint="default"/>
                <w:sz w:val="21"/>
                <w:szCs w:val="21"/>
              </w:rPr>
            </w:pPr>
            <w:r>
              <w:rPr>
                <w:rFonts w:ascii="Times New Roman"/>
                <w:sz w:val="21"/>
              </w:rPr>
              <w:t>421,650.63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4"/>
              <w:jc w:val="right"/>
              <w:rPr>
                <w:rFonts w:ascii="Times New Roman" w:hAnsi="Times New Roman" w:cs="Times New Roman" w:eastAsia="Times New Roman" w:hint="default"/>
                <w:sz w:val="21"/>
                <w:szCs w:val="21"/>
              </w:rPr>
            </w:pPr>
            <w:r>
              <w:rPr>
                <w:rFonts w:ascii="Times New Roman"/>
                <w:sz w:val="21"/>
              </w:rPr>
              <w:t>159,501.81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5"/>
              <w:jc w:val="right"/>
              <w:rPr>
                <w:rFonts w:ascii="Times New Roman" w:hAnsi="Times New Roman" w:cs="Times New Roman" w:eastAsia="Times New Roman" w:hint="default"/>
                <w:sz w:val="21"/>
                <w:szCs w:val="21"/>
              </w:rPr>
            </w:pPr>
            <w:r>
              <w:rPr>
                <w:rFonts w:ascii="Times New Roman"/>
                <w:sz w:val="21"/>
              </w:rPr>
              <w:t>31,959.75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8"/>
              <w:jc w:val="right"/>
              <w:rPr>
                <w:rFonts w:ascii="Times New Roman" w:hAnsi="Times New Roman" w:cs="Times New Roman" w:eastAsia="Times New Roman" w:hint="default"/>
                <w:sz w:val="21"/>
                <w:szCs w:val="21"/>
              </w:rPr>
            </w:pPr>
            <w:r>
              <w:rPr>
                <w:rFonts w:ascii="Times New Roman"/>
                <w:spacing w:val="-1"/>
                <w:sz w:val="21"/>
              </w:rPr>
              <w:t>613,112.19</w:t>
            </w:r>
          </w:p>
        </w:tc>
      </w:tr>
      <w:tr>
        <w:trPr>
          <w:trHeight w:val="716"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9"/>
              <w:ind w:left="105" w:right="195" w:firstLine="21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1,208,581.</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z w:val="21"/>
              </w:rPr>
              <w:t>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15,372.72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347,896.83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1,004,471.33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2,576,322.13</w:t>
            </w: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93" w:firstLine="393"/>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1,208,581.</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z w:val="21"/>
              </w:rPr>
              <w:t>25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15,372.72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347,896.83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1,004,471.33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2,576,322.13</w:t>
            </w:r>
          </w:p>
        </w:tc>
      </w:tr>
      <w:tr>
        <w:trPr>
          <w:trHeight w:val="398"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7"/>
              <w:ind w:right="195"/>
              <w:jc w:val="righ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48" w:right="0"/>
              <w:jc w:val="left"/>
              <w:rPr>
                <w:rFonts w:ascii="Times New Roman" w:hAnsi="Times New Roman" w:cs="Times New Roman" w:eastAsia="Times New Roman" w:hint="default"/>
                <w:sz w:val="21"/>
                <w:szCs w:val="21"/>
              </w:rPr>
            </w:pPr>
            <w:r>
              <w:rPr>
                <w:rFonts w:ascii="Times New Roman"/>
                <w:sz w:val="21"/>
              </w:rPr>
              <w:t>200,406,62</w:t>
            </w:r>
          </w:p>
          <w:p>
            <w:pPr>
              <w:pStyle w:val="TableParagraph"/>
              <w:spacing w:line="240" w:lineRule="auto" w:before="75"/>
              <w:ind w:left="725" w:right="0"/>
              <w:jc w:val="left"/>
              <w:rPr>
                <w:rFonts w:ascii="Times New Roman" w:hAnsi="Times New Roman" w:cs="Times New Roman" w:eastAsia="Times New Roman" w:hint="default"/>
                <w:sz w:val="21"/>
                <w:szCs w:val="21"/>
              </w:rPr>
            </w:pPr>
            <w:r>
              <w:rPr>
                <w:rFonts w:ascii="Times New Roman"/>
                <w:sz w:val="21"/>
              </w:rPr>
              <w:t>9.19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66,818,992.0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23,435,511.3</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30,276,211.3</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114,663,548.</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435,600,892.</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z w:val="21"/>
              </w:rPr>
              <w:t>01</w:t>
            </w: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5"/>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9"/>
              <w:ind w:left="105" w:right="195" w:firstLine="21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93"/>
              <w:jc w:val="righ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）计提</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527"/>
        <w:gridCol w:w="1210"/>
        <w:gridCol w:w="1364"/>
        <w:gridCol w:w="1368"/>
        <w:gridCol w:w="1368"/>
        <w:gridCol w:w="1369"/>
        <w:gridCol w:w="1369"/>
      </w:tblGrid>
      <w:tr>
        <w:trPr>
          <w:trHeight w:val="403"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195" w:firstLine="21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w:t>
            </w:r>
            <w:r>
              <w:rPr>
                <w:rFonts w:ascii="宋体" w:hAnsi="宋体" w:cs="宋体" w:eastAsia="宋体" w:hint="default"/>
                <w:w w:val="100"/>
                <w:sz w:val="21"/>
                <w:szCs w:val="21"/>
              </w:rPr>
              <w:t> </w:t>
            </w:r>
            <w:r>
              <w:rPr>
                <w:rFonts w:ascii="宋体" w:hAnsi="宋体" w:cs="宋体" w:eastAsia="宋体" w:hint="default"/>
                <w:sz w:val="21"/>
                <w:szCs w:val="21"/>
              </w:rPr>
              <w:t>金额</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3"/>
              <w:ind w:left="105" w:right="93" w:firstLine="393"/>
              <w:jc w:val="left"/>
              <w:rPr>
                <w:rFonts w:ascii="宋体" w:hAnsi="宋体" w:cs="宋体" w:eastAsia="宋体" w:hint="default"/>
                <w:sz w:val="21"/>
                <w:szCs w:val="21"/>
              </w:rPr>
            </w:pP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95"/>
              <w:jc w:val="righ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47"/>
              <w:jc w:val="right"/>
              <w:rPr>
                <w:rFonts w:ascii="宋体" w:hAnsi="宋体" w:cs="宋体" w:eastAsia="宋体" w:hint="default"/>
                <w:sz w:val="21"/>
                <w:szCs w:val="21"/>
              </w:rPr>
            </w:pPr>
            <w:r>
              <w:rPr>
                <w:rFonts w:ascii="宋体" w:hAnsi="宋体" w:cs="宋体" w:eastAsia="宋体" w:hint="default"/>
                <w:spacing w:val="-1"/>
                <w:sz w:val="21"/>
                <w:szCs w:val="21"/>
              </w:rPr>
              <w:t>四、账面价值</w:t>
            </w:r>
          </w:p>
        </w:tc>
        <w:tc>
          <w:tcPr>
            <w:tcW w:w="1210"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3"/>
              <w:ind w:left="105" w:right="195" w:firstLine="21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48" w:right="0"/>
              <w:jc w:val="left"/>
              <w:rPr>
                <w:rFonts w:ascii="Times New Roman" w:hAnsi="Times New Roman" w:cs="Times New Roman" w:eastAsia="Times New Roman" w:hint="default"/>
                <w:sz w:val="21"/>
                <w:szCs w:val="21"/>
              </w:rPr>
            </w:pPr>
            <w:r>
              <w:rPr>
                <w:rFonts w:ascii="Times New Roman"/>
                <w:sz w:val="21"/>
              </w:rPr>
              <w:t>408,432,68</w:t>
            </w:r>
          </w:p>
          <w:p>
            <w:pPr>
              <w:pStyle w:val="TableParagraph"/>
              <w:spacing w:line="240" w:lineRule="auto" w:before="70"/>
              <w:ind w:left="725" w:right="0"/>
              <w:jc w:val="left"/>
              <w:rPr>
                <w:rFonts w:ascii="Times New Roman" w:hAnsi="Times New Roman" w:cs="Times New Roman" w:eastAsia="Times New Roman" w:hint="default"/>
                <w:sz w:val="21"/>
                <w:szCs w:val="21"/>
              </w:rPr>
            </w:pPr>
            <w:r>
              <w:rPr>
                <w:rFonts w:ascii="Times New Roman"/>
                <w:sz w:val="21"/>
              </w:rPr>
              <w:t>4.16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16,600,490.2</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6,086,204.55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6,983,267.32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121,687,426.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559,790,072.</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sz w:val="21"/>
              </w:rPr>
              <w:t>73</w:t>
            </w:r>
          </w:p>
        </w:tc>
      </w:tr>
      <w:tr>
        <w:trPr>
          <w:trHeight w:val="716"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195" w:firstLine="211"/>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w:t>
            </w:r>
            <w:r>
              <w:rPr>
                <w:rFonts w:ascii="宋体" w:hAnsi="宋体" w:cs="宋体" w:eastAsia="宋体" w:hint="default"/>
                <w:w w:val="100"/>
                <w:sz w:val="21"/>
                <w:szCs w:val="21"/>
              </w:rPr>
              <w:t> </w:t>
            </w:r>
            <w:r>
              <w:rPr>
                <w:rFonts w:ascii="宋体" w:hAnsi="宋体" w:cs="宋体" w:eastAsia="宋体" w:hint="default"/>
                <w:sz w:val="21"/>
                <w:szCs w:val="21"/>
              </w:rPr>
              <w:t>价值</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8" w:right="0"/>
              <w:jc w:val="left"/>
              <w:rPr>
                <w:rFonts w:ascii="Times New Roman" w:hAnsi="Times New Roman" w:cs="Times New Roman" w:eastAsia="Times New Roman" w:hint="default"/>
                <w:sz w:val="21"/>
                <w:szCs w:val="21"/>
              </w:rPr>
            </w:pPr>
            <w:r>
              <w:rPr>
                <w:rFonts w:ascii="Times New Roman"/>
                <w:sz w:val="21"/>
              </w:rPr>
              <w:t>403,010,52</w:t>
            </w:r>
          </w:p>
          <w:p>
            <w:pPr>
              <w:pStyle w:val="TableParagraph"/>
              <w:spacing w:line="240" w:lineRule="auto" w:before="75"/>
              <w:ind w:left="725" w:right="0"/>
              <w:jc w:val="left"/>
              <w:rPr>
                <w:rFonts w:ascii="Times New Roman" w:hAnsi="Times New Roman" w:cs="Times New Roman" w:eastAsia="Times New Roman" w:hint="default"/>
                <w:sz w:val="21"/>
                <w:szCs w:val="21"/>
              </w:rPr>
            </w:pPr>
            <w:r>
              <w:rPr>
                <w:rFonts w:ascii="Times New Roman"/>
                <w:sz w:val="21"/>
              </w:rPr>
              <w:t>1.92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21,819,132.7</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6,683,557.89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6,279,847.71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144,140,406.</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581,933,466.</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z w:val="21"/>
              </w:rPr>
              <w:t>35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1002"/>
        <w:jc w:val="left"/>
        <w:rPr>
          <w:b w:val="0"/>
          <w:bCs w:val="0"/>
        </w:rPr>
      </w:pPr>
      <w:bookmarkStart w:name="（2）暂时闲置的固定资产情况" w:id="304"/>
      <w:bookmarkEnd w:id="304"/>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0"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spacing w:line="240" w:lineRule="auto" w:before="5"/>
        <w:rPr>
          <w:rFonts w:ascii="宋体" w:hAnsi="宋体" w:cs="宋体" w:eastAsia="宋体" w:hint="default"/>
          <w:sz w:val="19"/>
          <w:szCs w:val="19"/>
        </w:rPr>
      </w:pPr>
    </w:p>
    <w:p>
      <w:pPr>
        <w:pStyle w:val="Heading5"/>
        <w:spacing w:line="240" w:lineRule="auto" w:before="36"/>
        <w:ind w:right="1002"/>
        <w:jc w:val="left"/>
        <w:rPr>
          <w:b w:val="0"/>
          <w:bCs w:val="0"/>
        </w:rPr>
      </w:pPr>
      <w:bookmarkStart w:name="（3）通过融资租赁租入的固定资产情况" w:id="305"/>
      <w:bookmarkEnd w:id="305"/>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4）通过经营租赁租出的固定资产" w:id="306"/>
      <w:bookmarkEnd w:id="306"/>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六盘水租赁资产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Times New Roman" w:hAnsi="Times New Roman" w:cs="Times New Roman" w:eastAsia="Times New Roman" w:hint="default"/>
                <w:sz w:val="21"/>
                <w:szCs w:val="21"/>
              </w:rPr>
            </w:pPr>
            <w:r>
              <w:rPr>
                <w:rFonts w:ascii="Times New Roman"/>
                <w:spacing w:val="-1"/>
                <w:sz w:val="21"/>
              </w:rPr>
              <w:t>121,687,426.45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Times New Roman" w:hAnsi="Times New Roman" w:cs="Times New Roman" w:eastAsia="Times New Roman" w:hint="default"/>
                <w:sz w:val="21"/>
                <w:szCs w:val="21"/>
              </w:rPr>
            </w:pPr>
            <w:r>
              <w:rPr>
                <w:rFonts w:ascii="Times New Roman"/>
                <w:spacing w:val="-1"/>
                <w:sz w:val="21"/>
              </w:rPr>
              <w:t>121,687,426.45</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5）未办妥产权证书的固定资产情况" w:id="307"/>
      <w:bookmarkEnd w:id="307"/>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42"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17,152,462.32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17,152,462.32</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9"/>
        <w:ind w:right="1002"/>
        <w:jc w:val="left"/>
      </w:pPr>
      <w:r>
        <w:rPr/>
        <w:t>其他说明</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6）固定资产清理" w:id="308"/>
      <w:bookmarkEnd w:id="308"/>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22、在建工程" w:id="309"/>
      <w:bookmarkEnd w:id="309"/>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1,895,510.36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1,895,510.36</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1）在建工程情况" w:id="310"/>
      <w:bookmarkEnd w:id="310"/>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9"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厂房工程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center"/>
              <w:rPr>
                <w:rFonts w:ascii="Times New Roman" w:hAnsi="Times New Roman" w:cs="Times New Roman" w:eastAsia="Times New Roman" w:hint="default"/>
                <w:sz w:val="21"/>
                <w:szCs w:val="21"/>
              </w:rPr>
            </w:pPr>
            <w:r>
              <w:rPr>
                <w:rFonts w:ascii="Times New Roman"/>
                <w:sz w:val="21"/>
              </w:rPr>
              <w:t>1,895,510.36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center"/>
              <w:rPr>
                <w:rFonts w:ascii="Times New Roman" w:hAnsi="Times New Roman" w:cs="Times New Roman" w:eastAsia="Times New Roman" w:hint="default"/>
                <w:sz w:val="21"/>
                <w:szCs w:val="21"/>
              </w:rPr>
            </w:pPr>
            <w:r>
              <w:rPr>
                <w:rFonts w:ascii="Times New Roman"/>
                <w:sz w:val="21"/>
              </w:rPr>
              <w:t>1,895,510.36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center"/>
              <w:rPr>
                <w:rFonts w:ascii="Times New Roman" w:hAnsi="Times New Roman" w:cs="Times New Roman" w:eastAsia="Times New Roman" w:hint="default"/>
                <w:sz w:val="21"/>
                <w:szCs w:val="21"/>
              </w:rPr>
            </w:pPr>
            <w:r>
              <w:rPr>
                <w:rFonts w:ascii="Times New Roman"/>
                <w:sz w:val="21"/>
              </w:rPr>
              <w:t>1,895,510.36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center"/>
              <w:rPr>
                <w:rFonts w:ascii="Times New Roman" w:hAnsi="Times New Roman" w:cs="Times New Roman" w:eastAsia="Times New Roman" w:hint="default"/>
                <w:sz w:val="21"/>
                <w:szCs w:val="21"/>
              </w:rPr>
            </w:pPr>
            <w:r>
              <w:rPr>
                <w:rFonts w:ascii="Times New Roman"/>
                <w:sz w:val="21"/>
              </w:rPr>
              <w:t>1,895,510.36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重要在建工程项目本期变动情况" w:id="311"/>
      <w:bookmarkEnd w:id="31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2273"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53" w:right="146"/>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254" w:right="151" w:hanging="106"/>
              <w:jc w:val="left"/>
              <w:rPr>
                <w:rFonts w:ascii="宋体" w:hAnsi="宋体" w:cs="宋体" w:eastAsia="宋体" w:hint="default"/>
                <w:sz w:val="21"/>
                <w:szCs w:val="21"/>
              </w:rPr>
            </w:pPr>
            <w:r>
              <w:rPr>
                <w:rFonts w:ascii="宋体" w:hAnsi="宋体" w:cs="宋体" w:eastAsia="宋体" w:hint="default"/>
                <w:sz w:val="21"/>
                <w:szCs w:val="21"/>
              </w:rPr>
              <w:t>预算</w:t>
            </w:r>
            <w:r>
              <w:rPr>
                <w:rFonts w:ascii="宋体" w:hAnsi="宋体" w:cs="宋体" w:eastAsia="宋体" w:hint="default"/>
                <w:spacing w:val="-103"/>
                <w:sz w:val="21"/>
                <w:szCs w:val="21"/>
              </w:rPr>
              <w:t> </w:t>
            </w:r>
            <w:r>
              <w:rPr>
                <w:rFonts w:ascii="宋体" w:hAnsi="宋体" w:cs="宋体" w:eastAsia="宋体" w:hint="default"/>
                <w:sz w:val="21"/>
                <w:szCs w:val="21"/>
              </w:rPr>
              <w:t>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53" w:right="14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1"/>
              <w:ind w:left="153" w:right="151"/>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增加</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148" w:right="152"/>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53" w:right="146"/>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53" w:right="15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73" w:lineRule="auto"/>
              <w:ind w:left="148" w:right="153"/>
              <w:jc w:val="both"/>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占预</w:t>
            </w:r>
            <w:r>
              <w:rPr>
                <w:rFonts w:ascii="宋体" w:hAnsi="宋体" w:cs="宋体" w:eastAsia="宋体" w:hint="default"/>
                <w:spacing w:val="-103"/>
                <w:sz w:val="21"/>
                <w:szCs w:val="21"/>
              </w:rPr>
              <w:t> </w:t>
            </w:r>
            <w:r>
              <w:rPr>
                <w:rFonts w:ascii="宋体" w:hAnsi="宋体" w:cs="宋体" w:eastAsia="宋体" w:hint="default"/>
                <w:sz w:val="21"/>
                <w:szCs w:val="21"/>
              </w:rPr>
              <w:t>算比</w:t>
            </w:r>
            <w:r>
              <w:rPr>
                <w:rFonts w:ascii="宋体" w:hAnsi="宋体" w:cs="宋体" w:eastAsia="宋体" w:hint="default"/>
                <w:spacing w:val="-103"/>
                <w:sz w:val="21"/>
                <w:szCs w:val="21"/>
              </w:rPr>
              <w:t> </w:t>
            </w:r>
            <w:r>
              <w:rPr>
                <w:rFonts w:ascii="宋体" w:hAnsi="宋体" w:cs="宋体" w:eastAsia="宋体" w:hint="default"/>
                <w:sz w:val="21"/>
                <w:szCs w:val="21"/>
              </w:rPr>
              <w:t>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53" w:right="146"/>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273" w:lineRule="auto"/>
              <w:ind w:left="153" w:right="152"/>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148" w:right="151"/>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利息</w:t>
            </w:r>
            <w:r>
              <w:rPr>
                <w:rFonts w:ascii="宋体" w:hAnsi="宋体" w:cs="宋体" w:eastAsia="宋体" w:hint="default"/>
                <w:w w:val="100"/>
                <w:sz w:val="21"/>
                <w:szCs w:val="21"/>
              </w:rPr>
              <w:t> </w:t>
            </w:r>
            <w:r>
              <w:rPr>
                <w:rFonts w:ascii="宋体" w:hAnsi="宋体" w:cs="宋体" w:eastAsia="宋体" w:hint="default"/>
                <w:sz w:val="21"/>
                <w:szCs w:val="21"/>
              </w:rPr>
              <w:t>资本</w:t>
            </w:r>
            <w:r>
              <w:rPr>
                <w:rFonts w:ascii="宋体" w:hAnsi="宋体" w:cs="宋体" w:eastAsia="宋体" w:hint="default"/>
                <w:w w:val="100"/>
                <w:sz w:val="21"/>
                <w:szCs w:val="21"/>
              </w:rPr>
              <w:t> </w:t>
            </w:r>
            <w:r>
              <w:rPr>
                <w:rFonts w:ascii="宋体" w:hAnsi="宋体" w:cs="宋体" w:eastAsia="宋体" w:hint="default"/>
                <w:sz w:val="21"/>
                <w:szCs w:val="21"/>
              </w:rPr>
              <w:t>化金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53" w:right="147"/>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73" w:lineRule="auto"/>
              <w:ind w:left="153" w:right="151"/>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3）本期计提在建工程减值准备情况" w:id="312"/>
      <w:bookmarkEnd w:id="312"/>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5" w:right="0"/>
              <w:jc w:val="left"/>
              <w:rPr>
                <w:rFonts w:ascii="宋体" w:hAnsi="宋体" w:cs="宋体" w:eastAsia="宋体" w:hint="default"/>
                <w:sz w:val="21"/>
                <w:szCs w:val="21"/>
              </w:rPr>
            </w:pPr>
            <w:r>
              <w:rPr>
                <w:rFonts w:ascii="宋体" w:hAnsi="宋体" w:cs="宋体" w:eastAsia="宋体" w:hint="default"/>
                <w:sz w:val="21"/>
                <w:szCs w:val="21"/>
              </w:rPr>
              <w:t>本期计提金额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计提原因</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4）工程物资" w:id="313"/>
      <w:bookmarkEnd w:id="313"/>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after="0" w:line="240" w:lineRule="auto"/>
        <w:jc w:val="right"/>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132"/>
        <w:gridCol w:w="1330"/>
        <w:gridCol w:w="1330"/>
        <w:gridCol w:w="1196"/>
        <w:gridCol w:w="1196"/>
        <w:gridCol w:w="1196"/>
        <w:gridCol w:w="1193"/>
      </w:tblGrid>
      <w:tr>
        <w:trPr>
          <w:trHeight w:val="403" w:hRule="exact"/>
        </w:trPr>
        <w:tc>
          <w:tcPr>
            <w:tcW w:w="21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2132"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68"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72"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pStyle w:val="BodyText"/>
        <w:spacing w:line="240" w:lineRule="auto" w:before="31"/>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23、生产性生物资产" w:id="314"/>
      <w:bookmarkEnd w:id="314"/>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采用成本计量模式的生产性生物资产" w:id="315"/>
      <w:bookmarkEnd w:id="315"/>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1002"/>
        <w:jc w:val="left"/>
      </w:pPr>
      <w:r>
        <w:rPr/>
        <w:t>□ 适用 √</w:t>
      </w:r>
      <w:r>
        <w:rPr>
          <w:spacing w:val="4"/>
        </w:rPr>
        <w:t> </w:t>
      </w:r>
      <w:r>
        <w:rPr/>
        <w:t>不适用</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2）采用公允价值计量模式的生产性生物资产" w:id="316"/>
      <w:bookmarkEnd w:id="316"/>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002"/>
        <w:jc w:val="left"/>
      </w:pPr>
      <w:r>
        <w:rPr/>
        <w:t>□ 适用 √</w:t>
      </w:r>
      <w:r>
        <w:rPr>
          <w:spacing w:val="4"/>
        </w:rPr>
        <w:t> </w:t>
      </w:r>
      <w:r>
        <w:rPr/>
        <w:t>不适用</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24、油气资产" w:id="317"/>
      <w:bookmarkEnd w:id="317"/>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1002"/>
        <w:jc w:val="left"/>
      </w:pPr>
      <w:r>
        <w:rPr/>
        <w:t>□ 适用 √</w:t>
      </w:r>
      <w:r>
        <w:rPr>
          <w:spacing w:val="4"/>
        </w:rPr>
        <w:t> </w:t>
      </w:r>
      <w:r>
        <w:rPr/>
        <w:t>不适用</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25、使用权资产" w:id="318"/>
      <w:bookmarkEnd w:id="318"/>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26、无形资产" w:id="319"/>
      <w:bookmarkEnd w:id="319"/>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无形资产情况" w:id="320"/>
      <w:bookmarkEnd w:id="320"/>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258"/>
        <w:gridCol w:w="1109"/>
        <w:gridCol w:w="821"/>
        <w:gridCol w:w="1066"/>
        <w:gridCol w:w="1061"/>
        <w:gridCol w:w="1066"/>
        <w:gridCol w:w="1061"/>
        <w:gridCol w:w="1066"/>
        <w:gridCol w:w="1061"/>
      </w:tblGrid>
      <w:tr>
        <w:trPr>
          <w:trHeight w:val="711"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446" w:right="123" w:hanging="317"/>
              <w:jc w:val="left"/>
              <w:rPr>
                <w:rFonts w:ascii="宋体" w:hAnsi="宋体" w:cs="宋体" w:eastAsia="宋体" w:hint="default"/>
                <w:sz w:val="21"/>
                <w:szCs w:val="21"/>
              </w:rPr>
            </w:pPr>
            <w:r>
              <w:rPr>
                <w:rFonts w:ascii="宋体" w:hAnsi="宋体" w:cs="宋体" w:eastAsia="宋体" w:hint="default"/>
                <w:sz w:val="21"/>
                <w:szCs w:val="21"/>
              </w:rPr>
              <w:t>土地使用</w:t>
            </w:r>
            <w:r>
              <w:rPr>
                <w:rFonts w:ascii="宋体" w:hAnsi="宋体" w:cs="宋体" w:eastAsia="宋体" w:hint="default"/>
                <w:spacing w:val="-101"/>
                <w:sz w:val="21"/>
                <w:szCs w:val="21"/>
              </w:rPr>
              <w:t> </w:t>
            </w:r>
            <w:r>
              <w:rPr>
                <w:rFonts w:ascii="宋体" w:hAnsi="宋体" w:cs="宋体" w:eastAsia="宋体" w:hint="default"/>
                <w:sz w:val="21"/>
                <w:szCs w:val="21"/>
              </w:rPr>
              <w:t>权</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302" w:right="191" w:hanging="106"/>
              <w:jc w:val="left"/>
              <w:rPr>
                <w:rFonts w:ascii="宋体" w:hAnsi="宋体" w:cs="宋体" w:eastAsia="宋体" w:hint="default"/>
                <w:sz w:val="21"/>
                <w:szCs w:val="21"/>
              </w:rPr>
            </w:pPr>
            <w:r>
              <w:rPr>
                <w:rFonts w:ascii="宋体" w:hAnsi="宋体" w:cs="宋体" w:eastAsia="宋体" w:hint="default"/>
                <w:sz w:val="21"/>
                <w:szCs w:val="21"/>
              </w:rPr>
              <w:t>专利</w:t>
            </w:r>
            <w:r>
              <w:rPr>
                <w:rFonts w:ascii="宋体" w:hAnsi="宋体" w:cs="宋体" w:eastAsia="宋体" w:hint="default"/>
                <w:spacing w:val="-103"/>
                <w:sz w:val="21"/>
                <w:szCs w:val="21"/>
              </w:rPr>
              <w:t> </w:t>
            </w:r>
            <w:r>
              <w:rPr>
                <w:rFonts w:ascii="宋体" w:hAnsi="宋体" w:cs="宋体" w:eastAsia="宋体" w:hint="default"/>
                <w:sz w:val="21"/>
                <w:szCs w:val="21"/>
              </w:rPr>
              <w:t>权</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423" w:right="103" w:hanging="317"/>
              <w:jc w:val="left"/>
              <w:rPr>
                <w:rFonts w:ascii="宋体" w:hAnsi="宋体" w:cs="宋体" w:eastAsia="宋体" w:hint="default"/>
                <w:sz w:val="21"/>
                <w:szCs w:val="21"/>
              </w:rPr>
            </w:pPr>
            <w:r>
              <w:rPr>
                <w:rFonts w:ascii="宋体" w:hAnsi="宋体" w:cs="宋体" w:eastAsia="宋体" w:hint="default"/>
                <w:sz w:val="21"/>
                <w:szCs w:val="21"/>
              </w:rPr>
              <w:t>非专利技</w:t>
            </w:r>
            <w:r>
              <w:rPr>
                <w:rFonts w:ascii="宋体" w:hAnsi="宋体" w:cs="宋体" w:eastAsia="宋体" w:hint="default"/>
                <w:spacing w:val="-101"/>
                <w:sz w:val="21"/>
                <w:szCs w:val="21"/>
              </w:rPr>
              <w:t> </w:t>
            </w:r>
            <w:r>
              <w:rPr>
                <w:rFonts w:ascii="宋体" w:hAnsi="宋体" w:cs="宋体" w:eastAsia="宋体" w:hint="default"/>
                <w:sz w:val="21"/>
                <w:szCs w:val="21"/>
              </w:rPr>
              <w:t>术</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专有技术</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417" w:right="104" w:hanging="317"/>
              <w:jc w:val="left"/>
              <w:rPr>
                <w:rFonts w:ascii="宋体" w:hAnsi="宋体" w:cs="宋体" w:eastAsia="宋体" w:hint="default"/>
                <w:sz w:val="21"/>
                <w:szCs w:val="21"/>
              </w:rPr>
            </w:pPr>
            <w:r>
              <w:rPr>
                <w:rFonts w:ascii="宋体" w:hAnsi="宋体" w:cs="宋体" w:eastAsia="宋体" w:hint="default"/>
                <w:sz w:val="21"/>
                <w:szCs w:val="21"/>
              </w:rPr>
              <w:t>特许经营</w:t>
            </w:r>
            <w:r>
              <w:rPr>
                <w:rFonts w:ascii="宋体" w:hAnsi="宋体" w:cs="宋体" w:eastAsia="宋体" w:hint="default"/>
                <w:spacing w:val="-101"/>
                <w:sz w:val="21"/>
                <w:szCs w:val="21"/>
              </w:rPr>
              <w:t> </w:t>
            </w:r>
            <w:r>
              <w:rPr>
                <w:rFonts w:ascii="宋体" w:hAnsi="宋体" w:cs="宋体" w:eastAsia="宋体" w:hint="default"/>
                <w:sz w:val="21"/>
                <w:szCs w:val="21"/>
              </w:rPr>
              <w:t>权</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著作权</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94"/>
              <w:jc w:val="left"/>
              <w:rPr>
                <w:rFonts w:ascii="宋体" w:hAnsi="宋体" w:cs="宋体" w:eastAsia="宋体" w:hint="default"/>
                <w:sz w:val="21"/>
                <w:szCs w:val="21"/>
              </w:rPr>
            </w:pPr>
            <w:r>
              <w:rPr>
                <w:rFonts w:ascii="宋体" w:hAnsi="宋体" w:cs="宋体" w:eastAsia="宋体" w:hint="default"/>
                <w:spacing w:val="-2"/>
                <w:sz w:val="21"/>
                <w:szCs w:val="21"/>
              </w:rPr>
              <w:t>一、账面原</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值</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8" w:right="0"/>
              <w:jc w:val="left"/>
              <w:rPr>
                <w:rFonts w:ascii="Times New Roman" w:hAnsi="Times New Roman" w:cs="Times New Roman" w:eastAsia="Times New Roman" w:hint="default"/>
                <w:sz w:val="21"/>
                <w:szCs w:val="21"/>
              </w:rPr>
            </w:pPr>
            <w:r>
              <w:rPr>
                <w:rFonts w:ascii="Times New Roman"/>
                <w:sz w:val="21"/>
              </w:rPr>
              <w:t>93,196,05</w:t>
            </w:r>
          </w:p>
          <w:p>
            <w:pPr>
              <w:pStyle w:val="TableParagraph"/>
              <w:spacing w:line="240" w:lineRule="auto" w:before="75"/>
              <w:ind w:left="628" w:right="0"/>
              <w:jc w:val="left"/>
              <w:rPr>
                <w:rFonts w:ascii="Times New Roman" w:hAnsi="Times New Roman" w:cs="Times New Roman" w:eastAsia="Times New Roman" w:hint="default"/>
                <w:sz w:val="21"/>
                <w:szCs w:val="21"/>
              </w:rPr>
            </w:pPr>
            <w:r>
              <w:rPr>
                <w:rFonts w:ascii="Times New Roman"/>
                <w:sz w:val="21"/>
              </w:rPr>
              <w:t>6.06</w:t>
            </w: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9,834,722</w:t>
            </w:r>
          </w:p>
          <w:p>
            <w:pPr>
              <w:pStyle w:val="TableParagraph"/>
              <w:spacing w:line="240" w:lineRule="auto" w:before="75"/>
              <w:ind w:left="686" w:right="0"/>
              <w:jc w:val="left"/>
              <w:rPr>
                <w:rFonts w:ascii="Times New Roman" w:hAnsi="Times New Roman" w:cs="Times New Roman" w:eastAsia="Times New Roman" w:hint="default"/>
                <w:sz w:val="21"/>
                <w:szCs w:val="21"/>
              </w:rPr>
            </w:pPr>
            <w:r>
              <w:rPr>
                <w:rFonts w:ascii="Times New Roman"/>
                <w:sz w:val="21"/>
              </w:rPr>
              <w:t>.08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93,003,05</w:t>
            </w:r>
          </w:p>
          <w:p>
            <w:pPr>
              <w:pStyle w:val="TableParagraph"/>
              <w:spacing w:line="240" w:lineRule="auto" w:before="75"/>
              <w:ind w:left="581" w:right="0"/>
              <w:jc w:val="left"/>
              <w:rPr>
                <w:rFonts w:ascii="Times New Roman" w:hAnsi="Times New Roman" w:cs="Times New Roman" w:eastAsia="Times New Roman" w:hint="default"/>
                <w:sz w:val="21"/>
                <w:szCs w:val="21"/>
              </w:rPr>
            </w:pPr>
            <w:r>
              <w:rPr>
                <w:rFonts w:ascii="Times New Roman"/>
                <w:sz w:val="21"/>
              </w:rPr>
              <w:t>4.89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499,275,1</w:t>
            </w:r>
          </w:p>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sz w:val="21"/>
              </w:rPr>
              <w:t>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28,301,88</w:t>
            </w:r>
          </w:p>
          <w:p>
            <w:pPr>
              <w:pStyle w:val="TableParagraph"/>
              <w:spacing w:line="240" w:lineRule="auto" w:before="75"/>
              <w:ind w:left="580" w:right="0"/>
              <w:jc w:val="left"/>
              <w:rPr>
                <w:rFonts w:ascii="Times New Roman" w:hAnsi="Times New Roman" w:cs="Times New Roman" w:eastAsia="Times New Roman" w:hint="default"/>
                <w:sz w:val="21"/>
                <w:szCs w:val="21"/>
              </w:rPr>
            </w:pPr>
            <w:r>
              <w:rPr>
                <w:rFonts w:ascii="Times New Roman"/>
                <w:sz w:val="21"/>
              </w:rPr>
              <w:t>6.89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723,610,8</w:t>
            </w:r>
          </w:p>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sz w:val="21"/>
              </w:rPr>
              <w:t>19.92</w:t>
            </w:r>
          </w:p>
        </w:tc>
      </w:tr>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增加金额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9,503,364</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.04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1,596,406</w:t>
            </w:r>
          </w:p>
          <w:p>
            <w:pPr>
              <w:pStyle w:val="TableParagraph"/>
              <w:spacing w:line="240" w:lineRule="auto" w:before="70"/>
              <w:ind w:left="682" w:right="0"/>
              <w:jc w:val="left"/>
              <w:rPr>
                <w:rFonts w:ascii="Times New Roman" w:hAnsi="Times New Roman" w:cs="Times New Roman" w:eastAsia="Times New Roman" w:hint="default"/>
                <w:sz w:val="21"/>
                <w:szCs w:val="21"/>
              </w:rPr>
            </w:pPr>
            <w:r>
              <w:rPr>
                <w:rFonts w:ascii="Times New Roman"/>
                <w:sz w:val="21"/>
              </w:rPr>
              <w:t>.04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Times New Roman" w:hAnsi="Times New Roman" w:cs="Times New Roman" w:eastAsia="Times New Roman" w:hint="default"/>
                <w:sz w:val="21"/>
                <w:szCs w:val="21"/>
              </w:rPr>
            </w:pPr>
            <w:r>
              <w:rPr>
                <w:rFonts w:ascii="Times New Roman"/>
                <w:sz w:val="21"/>
              </w:rPr>
              <w:t>11,099,77</w:t>
            </w:r>
          </w:p>
          <w:p>
            <w:pPr>
              <w:pStyle w:val="TableParagraph"/>
              <w:spacing w:line="240" w:lineRule="auto" w:before="70"/>
              <w:ind w:left="576" w:right="0"/>
              <w:jc w:val="left"/>
              <w:rPr>
                <w:rFonts w:ascii="Times New Roman" w:hAnsi="Times New Roman" w:cs="Times New Roman" w:eastAsia="Times New Roman" w:hint="default"/>
                <w:sz w:val="21"/>
                <w:szCs w:val="21"/>
              </w:rPr>
            </w:pPr>
            <w:r>
              <w:rPr>
                <w:rFonts w:ascii="Times New Roman"/>
                <w:sz w:val="21"/>
              </w:rPr>
              <w:t>0.08</w:t>
            </w:r>
          </w:p>
        </w:tc>
      </w:tr>
      <w:tr>
        <w:trPr>
          <w:trHeight w:val="711"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2"/>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9,503,364</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.04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9,503,364</w:t>
            </w:r>
          </w:p>
          <w:p>
            <w:pPr>
              <w:pStyle w:val="TableParagraph"/>
              <w:spacing w:line="240" w:lineRule="auto" w:before="70"/>
              <w:ind w:left="681" w:right="0"/>
              <w:jc w:val="left"/>
              <w:rPr>
                <w:rFonts w:ascii="Times New Roman" w:hAnsi="Times New Roman" w:cs="Times New Roman" w:eastAsia="Times New Roman" w:hint="default"/>
                <w:sz w:val="21"/>
                <w:szCs w:val="21"/>
              </w:rPr>
            </w:pPr>
            <w:r>
              <w:rPr>
                <w:rFonts w:ascii="Times New Roman"/>
                <w:sz w:val="21"/>
              </w:rPr>
              <w:t>.04</w:t>
            </w:r>
          </w:p>
        </w:tc>
      </w:tr>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190" w:firstLine="211"/>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部研发</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58"/>
        <w:gridCol w:w="1109"/>
        <w:gridCol w:w="821"/>
        <w:gridCol w:w="1066"/>
        <w:gridCol w:w="1061"/>
        <w:gridCol w:w="1066"/>
        <w:gridCol w:w="1061"/>
        <w:gridCol w:w="1066"/>
        <w:gridCol w:w="1061"/>
      </w:tblGrid>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19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）企业</w:t>
            </w:r>
            <w:r>
              <w:rPr>
                <w:rFonts w:ascii="宋体" w:hAnsi="宋体" w:cs="宋体" w:eastAsia="宋体" w:hint="default"/>
                <w:spacing w:val="-100"/>
                <w:sz w:val="21"/>
                <w:szCs w:val="21"/>
              </w:rPr>
              <w:t> </w:t>
            </w:r>
            <w:r>
              <w:rPr>
                <w:rFonts w:ascii="宋体" w:hAnsi="宋体" w:cs="宋体" w:eastAsia="宋体" w:hint="default"/>
                <w:sz w:val="21"/>
                <w:szCs w:val="21"/>
              </w:rPr>
              <w:t>合并增加</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28"/>
              <w:ind w:left="105" w:right="94" w:firstLine="105"/>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）其他</w:t>
            </w:r>
            <w:r>
              <w:rPr>
                <w:rFonts w:ascii="宋体" w:hAnsi="宋体" w:cs="宋体" w:eastAsia="宋体" w:hint="default"/>
                <w:w w:val="100"/>
                <w:sz w:val="21"/>
                <w:szCs w:val="21"/>
              </w:rPr>
              <w:t> </w:t>
            </w:r>
            <w:r>
              <w:rPr>
                <w:rFonts w:ascii="宋体" w:hAnsi="宋体" w:cs="宋体" w:eastAsia="宋体" w:hint="default"/>
                <w:sz w:val="21"/>
                <w:szCs w:val="21"/>
              </w:rPr>
              <w:t>原因增加</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1,596,406</w:t>
            </w:r>
          </w:p>
          <w:p>
            <w:pPr>
              <w:pStyle w:val="TableParagraph"/>
              <w:spacing w:line="240" w:lineRule="auto" w:before="71"/>
              <w:ind w:left="682" w:right="0"/>
              <w:jc w:val="left"/>
              <w:rPr>
                <w:rFonts w:ascii="Times New Roman" w:hAnsi="Times New Roman" w:cs="Times New Roman" w:eastAsia="Times New Roman" w:hint="default"/>
                <w:sz w:val="21"/>
                <w:szCs w:val="21"/>
              </w:rPr>
            </w:pPr>
            <w:r>
              <w:rPr>
                <w:rFonts w:ascii="Times New Roman"/>
                <w:sz w:val="21"/>
              </w:rPr>
              <w:t>.04</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1,596,406</w:t>
            </w:r>
          </w:p>
          <w:p>
            <w:pPr>
              <w:pStyle w:val="TableParagraph"/>
              <w:spacing w:line="240" w:lineRule="auto" w:before="71"/>
              <w:ind w:left="681" w:right="0"/>
              <w:jc w:val="left"/>
              <w:rPr>
                <w:rFonts w:ascii="Times New Roman" w:hAnsi="Times New Roman" w:cs="Times New Roman" w:eastAsia="Times New Roman" w:hint="default"/>
                <w:sz w:val="21"/>
                <w:szCs w:val="21"/>
              </w:rPr>
            </w:pPr>
            <w:r>
              <w:rPr>
                <w:rFonts w:ascii="Times New Roman"/>
                <w:sz w:val="21"/>
              </w:rPr>
              <w:t>.04</w:t>
            </w:r>
          </w:p>
        </w:tc>
      </w:tr>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3"/>
              <w:ind w:left="105" w:right="137" w:firstLine="211"/>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w:t>
            </w:r>
            <w:r>
              <w:rPr>
                <w:rFonts w:ascii="宋体" w:hAnsi="宋体" w:cs="宋体" w:eastAsia="宋体" w:hint="default"/>
                <w:w w:val="100"/>
                <w:sz w:val="21"/>
                <w:szCs w:val="21"/>
              </w:rPr>
              <w:t> </w:t>
            </w:r>
            <w:r>
              <w:rPr>
                <w:rFonts w:ascii="宋体" w:hAnsi="宋体" w:cs="宋体" w:eastAsia="宋体" w:hint="default"/>
                <w:sz w:val="21"/>
                <w:szCs w:val="21"/>
              </w:rPr>
              <w:t>少金额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12,000,00</w:t>
            </w:r>
          </w:p>
          <w:p>
            <w:pPr>
              <w:pStyle w:val="TableParagraph"/>
              <w:spacing w:line="240" w:lineRule="auto" w:before="70"/>
              <w:ind w:left="581" w:right="0"/>
              <w:jc w:val="left"/>
              <w:rPr>
                <w:rFonts w:ascii="Times New Roman" w:hAnsi="Times New Roman" w:cs="Times New Roman" w:eastAsia="Times New Roman" w:hint="default"/>
                <w:sz w:val="21"/>
                <w:szCs w:val="21"/>
              </w:rPr>
            </w:pPr>
            <w:r>
              <w:rPr>
                <w:rFonts w:ascii="Times New Roman"/>
                <w:sz w:val="21"/>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12,000,00</w:t>
            </w:r>
          </w:p>
          <w:p>
            <w:pPr>
              <w:pStyle w:val="TableParagraph"/>
              <w:spacing w:line="240" w:lineRule="auto" w:before="70"/>
              <w:ind w:left="576" w:right="0"/>
              <w:jc w:val="left"/>
              <w:rPr>
                <w:rFonts w:ascii="Times New Roman" w:hAnsi="Times New Roman" w:cs="Times New Roman" w:eastAsia="Times New Roman" w:hint="default"/>
                <w:sz w:val="21"/>
                <w:szCs w:val="21"/>
              </w:rPr>
            </w:pPr>
            <w:r>
              <w:rPr>
                <w:rFonts w:ascii="Times New Roman"/>
                <w:sz w:val="21"/>
              </w:rPr>
              <w:t>0.00</w:t>
            </w:r>
          </w:p>
        </w:tc>
      </w:tr>
      <w:tr>
        <w:trPr>
          <w:trHeight w:val="716"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12,000,00</w:t>
            </w:r>
          </w:p>
          <w:p>
            <w:pPr>
              <w:pStyle w:val="TableParagraph"/>
              <w:spacing w:line="240" w:lineRule="auto" w:before="75"/>
              <w:ind w:left="581" w:right="0"/>
              <w:jc w:val="left"/>
              <w:rPr>
                <w:rFonts w:ascii="Times New Roman" w:hAnsi="Times New Roman" w:cs="Times New Roman" w:eastAsia="Times New Roman" w:hint="default"/>
                <w:sz w:val="21"/>
                <w:szCs w:val="21"/>
              </w:rPr>
            </w:pPr>
            <w:r>
              <w:rPr>
                <w:rFonts w:ascii="Times New Roman"/>
                <w:sz w:val="21"/>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12,000,00</w:t>
            </w:r>
          </w:p>
          <w:p>
            <w:pPr>
              <w:pStyle w:val="TableParagraph"/>
              <w:spacing w:line="240" w:lineRule="auto" w:before="75"/>
              <w:ind w:left="576" w:right="0"/>
              <w:jc w:val="lef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8" w:right="0"/>
              <w:jc w:val="left"/>
              <w:rPr>
                <w:rFonts w:ascii="Times New Roman" w:hAnsi="Times New Roman" w:cs="Times New Roman" w:eastAsia="Times New Roman" w:hint="default"/>
                <w:sz w:val="21"/>
                <w:szCs w:val="21"/>
              </w:rPr>
            </w:pPr>
            <w:r>
              <w:rPr>
                <w:rFonts w:ascii="Times New Roman"/>
                <w:sz w:val="21"/>
              </w:rPr>
              <w:t>93,196,05</w:t>
            </w:r>
          </w:p>
          <w:p>
            <w:pPr>
              <w:pStyle w:val="TableParagraph"/>
              <w:spacing w:line="240" w:lineRule="auto" w:before="70"/>
              <w:ind w:left="628" w:right="0"/>
              <w:jc w:val="left"/>
              <w:rPr>
                <w:rFonts w:ascii="Times New Roman" w:hAnsi="Times New Roman" w:cs="Times New Roman" w:eastAsia="Times New Roman" w:hint="default"/>
                <w:sz w:val="21"/>
                <w:szCs w:val="21"/>
              </w:rPr>
            </w:pPr>
            <w:r>
              <w:rPr>
                <w:rFonts w:ascii="Times New Roman"/>
                <w:sz w:val="21"/>
              </w:rPr>
              <w:t>6.06</w:t>
            </w: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19,338,08</w:t>
            </w:r>
          </w:p>
          <w:p>
            <w:pPr>
              <w:pStyle w:val="TableParagraph"/>
              <w:spacing w:line="240" w:lineRule="auto" w:before="70"/>
              <w:ind w:left="581" w:right="0"/>
              <w:jc w:val="left"/>
              <w:rPr>
                <w:rFonts w:ascii="Times New Roman" w:hAnsi="Times New Roman" w:cs="Times New Roman" w:eastAsia="Times New Roman" w:hint="default"/>
                <w:sz w:val="21"/>
                <w:szCs w:val="21"/>
              </w:rPr>
            </w:pPr>
            <w:r>
              <w:rPr>
                <w:rFonts w:ascii="Times New Roman"/>
                <w:sz w:val="21"/>
              </w:rPr>
              <w:t>6.12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81,003,05</w:t>
            </w:r>
          </w:p>
          <w:p>
            <w:pPr>
              <w:pStyle w:val="TableParagraph"/>
              <w:spacing w:line="240" w:lineRule="auto" w:before="70"/>
              <w:ind w:left="581" w:right="0"/>
              <w:jc w:val="left"/>
              <w:rPr>
                <w:rFonts w:ascii="Times New Roman" w:hAnsi="Times New Roman" w:cs="Times New Roman" w:eastAsia="Times New Roman" w:hint="default"/>
                <w:sz w:val="21"/>
                <w:szCs w:val="21"/>
              </w:rPr>
            </w:pPr>
            <w:r>
              <w:rPr>
                <w:rFonts w:ascii="Times New Roman"/>
                <w:sz w:val="21"/>
              </w:rPr>
              <w:t>4.89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500,871,5</w:t>
            </w:r>
          </w:p>
          <w:p>
            <w:pPr>
              <w:pStyle w:val="TableParagraph"/>
              <w:spacing w:line="240" w:lineRule="auto" w:before="70"/>
              <w:ind w:left="475" w:right="0"/>
              <w:jc w:val="left"/>
              <w:rPr>
                <w:rFonts w:ascii="Times New Roman" w:hAnsi="Times New Roman" w:cs="Times New Roman" w:eastAsia="Times New Roman" w:hint="default"/>
                <w:sz w:val="21"/>
                <w:szCs w:val="21"/>
              </w:rPr>
            </w:pPr>
            <w:r>
              <w:rPr>
                <w:rFonts w:ascii="Times New Roman"/>
                <w:sz w:val="21"/>
              </w:rPr>
              <w:t>06.04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28,301,88</w:t>
            </w:r>
          </w:p>
          <w:p>
            <w:pPr>
              <w:pStyle w:val="TableParagraph"/>
              <w:spacing w:line="240" w:lineRule="auto" w:before="70"/>
              <w:ind w:left="580" w:right="0"/>
              <w:jc w:val="left"/>
              <w:rPr>
                <w:rFonts w:ascii="Times New Roman" w:hAnsi="Times New Roman" w:cs="Times New Roman" w:eastAsia="Times New Roman" w:hint="default"/>
                <w:sz w:val="21"/>
                <w:szCs w:val="21"/>
              </w:rPr>
            </w:pPr>
            <w:r>
              <w:rPr>
                <w:rFonts w:ascii="Times New Roman"/>
                <w:sz w:val="21"/>
              </w:rPr>
              <w:t>6.89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722,710,5</w:t>
            </w:r>
          </w:p>
          <w:p>
            <w:pPr>
              <w:pStyle w:val="TableParagraph"/>
              <w:spacing w:line="240" w:lineRule="auto" w:before="70"/>
              <w:ind w:left="475" w:right="0"/>
              <w:jc w:val="left"/>
              <w:rPr>
                <w:rFonts w:ascii="Times New Roman" w:hAnsi="Times New Roman" w:cs="Times New Roman" w:eastAsia="Times New Roman" w:hint="default"/>
                <w:sz w:val="21"/>
                <w:szCs w:val="21"/>
              </w:rPr>
            </w:pPr>
            <w:r>
              <w:rPr>
                <w:rFonts w:ascii="Times New Roman"/>
                <w:sz w:val="21"/>
              </w:rPr>
              <w:t>90.00</w:t>
            </w:r>
          </w:p>
        </w:tc>
      </w:tr>
      <w:tr>
        <w:trPr>
          <w:trHeight w:val="716"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05" w:right="94"/>
              <w:jc w:val="left"/>
              <w:rPr>
                <w:rFonts w:ascii="宋体" w:hAnsi="宋体" w:cs="宋体" w:eastAsia="宋体" w:hint="default"/>
                <w:sz w:val="21"/>
                <w:szCs w:val="21"/>
              </w:rPr>
            </w:pPr>
            <w:r>
              <w:rPr>
                <w:rFonts w:ascii="宋体" w:hAnsi="宋体" w:cs="宋体" w:eastAsia="宋体" w:hint="default"/>
                <w:spacing w:val="-2"/>
                <w:sz w:val="21"/>
                <w:szCs w:val="21"/>
              </w:rPr>
              <w:t>二、累计摊</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销</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8" w:right="0"/>
              <w:jc w:val="left"/>
              <w:rPr>
                <w:rFonts w:ascii="Times New Roman" w:hAnsi="Times New Roman" w:cs="Times New Roman" w:eastAsia="Times New Roman" w:hint="default"/>
                <w:sz w:val="21"/>
                <w:szCs w:val="21"/>
              </w:rPr>
            </w:pPr>
            <w:r>
              <w:rPr>
                <w:rFonts w:ascii="Times New Roman"/>
                <w:sz w:val="21"/>
              </w:rPr>
              <w:t>18,494,38</w:t>
            </w:r>
          </w:p>
          <w:p>
            <w:pPr>
              <w:pStyle w:val="TableParagraph"/>
              <w:spacing w:line="240" w:lineRule="auto" w:before="75"/>
              <w:ind w:left="628" w:right="0"/>
              <w:jc w:val="left"/>
              <w:rPr>
                <w:rFonts w:ascii="Times New Roman" w:hAnsi="Times New Roman" w:cs="Times New Roman" w:eastAsia="Times New Roman" w:hint="default"/>
                <w:sz w:val="21"/>
                <w:szCs w:val="21"/>
              </w:rPr>
            </w:pPr>
            <w:r>
              <w:rPr>
                <w:rFonts w:ascii="Times New Roman"/>
                <w:sz w:val="21"/>
              </w:rPr>
              <w:t>6.05</w:t>
            </w: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4,354,075</w:t>
            </w:r>
          </w:p>
          <w:p>
            <w:pPr>
              <w:pStyle w:val="TableParagraph"/>
              <w:spacing w:line="240" w:lineRule="auto" w:before="75"/>
              <w:ind w:left="686" w:right="0"/>
              <w:jc w:val="left"/>
              <w:rPr>
                <w:rFonts w:ascii="Times New Roman" w:hAnsi="Times New Roman" w:cs="Times New Roman" w:eastAsia="Times New Roman" w:hint="default"/>
                <w:sz w:val="21"/>
                <w:szCs w:val="21"/>
              </w:rPr>
            </w:pPr>
            <w:r>
              <w:rPr>
                <w:rFonts w:ascii="Times New Roman"/>
                <w:sz w:val="21"/>
              </w:rPr>
              <w:t>.98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50,491,22</w:t>
            </w:r>
          </w:p>
          <w:p>
            <w:pPr>
              <w:pStyle w:val="TableParagraph"/>
              <w:spacing w:line="240" w:lineRule="auto" w:before="75"/>
              <w:ind w:left="581" w:right="0"/>
              <w:jc w:val="left"/>
              <w:rPr>
                <w:rFonts w:ascii="Times New Roman" w:hAnsi="Times New Roman" w:cs="Times New Roman" w:eastAsia="Times New Roman" w:hint="default"/>
                <w:sz w:val="21"/>
                <w:szCs w:val="21"/>
              </w:rPr>
            </w:pPr>
            <w:r>
              <w:rPr>
                <w:rFonts w:ascii="Times New Roman"/>
                <w:sz w:val="21"/>
              </w:rPr>
              <w:t>3.53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38,273,70</w:t>
            </w:r>
          </w:p>
          <w:p>
            <w:pPr>
              <w:pStyle w:val="TableParagraph"/>
              <w:spacing w:line="240" w:lineRule="auto" w:before="75"/>
              <w:ind w:left="575" w:right="0"/>
              <w:jc w:val="left"/>
              <w:rPr>
                <w:rFonts w:ascii="Times New Roman" w:hAnsi="Times New Roman" w:cs="Times New Roman" w:eastAsia="Times New Roman" w:hint="default"/>
                <w:sz w:val="21"/>
                <w:szCs w:val="21"/>
              </w:rPr>
            </w:pPr>
            <w:r>
              <w:rPr>
                <w:rFonts w:ascii="Times New Roman"/>
                <w:sz w:val="21"/>
              </w:rPr>
              <w:t>7.68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3,537,735</w:t>
            </w:r>
          </w:p>
          <w:p>
            <w:pPr>
              <w:pStyle w:val="TableParagraph"/>
              <w:spacing w:line="240" w:lineRule="auto" w:before="75"/>
              <w:ind w:left="686" w:right="0"/>
              <w:jc w:val="left"/>
              <w:rPr>
                <w:rFonts w:ascii="Times New Roman" w:hAnsi="Times New Roman" w:cs="Times New Roman" w:eastAsia="Times New Roman" w:hint="default"/>
                <w:sz w:val="21"/>
                <w:szCs w:val="21"/>
              </w:rPr>
            </w:pPr>
            <w:r>
              <w:rPr>
                <w:rFonts w:ascii="Times New Roman"/>
                <w:sz w:val="21"/>
              </w:rPr>
              <w:t>.84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5" w:right="0"/>
              <w:jc w:val="left"/>
              <w:rPr>
                <w:rFonts w:ascii="Times New Roman" w:hAnsi="Times New Roman" w:cs="Times New Roman" w:eastAsia="Times New Roman" w:hint="default"/>
                <w:sz w:val="21"/>
                <w:szCs w:val="21"/>
              </w:rPr>
            </w:pPr>
            <w:r>
              <w:rPr>
                <w:rFonts w:ascii="Times New Roman"/>
                <w:sz w:val="21"/>
              </w:rPr>
              <w:t>115,151,1</w:t>
            </w:r>
          </w:p>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sz w:val="21"/>
              </w:rPr>
              <w:t>29.08</w:t>
            </w:r>
          </w:p>
        </w:tc>
      </w:tr>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增加金额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1,896,454.</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43</w:t>
            </w: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1,958,763</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3,035,785</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50,083,29</w:t>
            </w:r>
          </w:p>
          <w:p>
            <w:pPr>
              <w:pStyle w:val="TableParagraph"/>
              <w:spacing w:line="240" w:lineRule="auto" w:before="70"/>
              <w:ind w:left="575" w:right="0"/>
              <w:jc w:val="left"/>
              <w:rPr>
                <w:rFonts w:ascii="Times New Roman" w:hAnsi="Times New Roman" w:cs="Times New Roman" w:eastAsia="Times New Roman" w:hint="default"/>
                <w:sz w:val="21"/>
                <w:szCs w:val="21"/>
              </w:rPr>
            </w:pPr>
            <w:r>
              <w:rPr>
                <w:rFonts w:ascii="Times New Roman"/>
                <w:sz w:val="21"/>
              </w:rPr>
              <w:t>0.17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3,537,735</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60,512,02</w:t>
            </w:r>
          </w:p>
          <w:p>
            <w:pPr>
              <w:pStyle w:val="TableParagraph"/>
              <w:spacing w:line="240" w:lineRule="auto" w:before="70"/>
              <w:ind w:left="576" w:right="0"/>
              <w:jc w:val="left"/>
              <w:rPr>
                <w:rFonts w:ascii="Times New Roman" w:hAnsi="Times New Roman" w:cs="Times New Roman" w:eastAsia="Times New Roman" w:hint="default"/>
                <w:sz w:val="21"/>
                <w:szCs w:val="21"/>
              </w:rPr>
            </w:pPr>
            <w:r>
              <w:rPr>
                <w:rFonts w:ascii="Times New Roman"/>
                <w:sz w:val="21"/>
              </w:rPr>
              <w:t>9.87</w:t>
            </w:r>
          </w:p>
        </w:tc>
      </w:tr>
      <w:tr>
        <w:trPr>
          <w:trHeight w:val="711"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2"/>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1,896,454.</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43</w:t>
            </w: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0" w:right="0"/>
              <w:jc w:val="left"/>
              <w:rPr>
                <w:rFonts w:ascii="Times New Roman" w:hAnsi="Times New Roman" w:cs="Times New Roman" w:eastAsia="Times New Roman" w:hint="default"/>
                <w:sz w:val="21"/>
                <w:szCs w:val="21"/>
              </w:rPr>
            </w:pPr>
            <w:r>
              <w:rPr>
                <w:rFonts w:ascii="Times New Roman"/>
                <w:sz w:val="21"/>
              </w:rPr>
              <w:t>1,958,763</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0" w:right="0"/>
              <w:jc w:val="left"/>
              <w:rPr>
                <w:rFonts w:ascii="Times New Roman" w:hAnsi="Times New Roman" w:cs="Times New Roman" w:eastAsia="Times New Roman" w:hint="default"/>
                <w:sz w:val="21"/>
                <w:szCs w:val="21"/>
              </w:rPr>
            </w:pPr>
            <w:r>
              <w:rPr>
                <w:rFonts w:ascii="Times New Roman"/>
                <w:sz w:val="21"/>
              </w:rPr>
              <w:t>3,035,785</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.81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50,083,29</w:t>
            </w:r>
          </w:p>
          <w:p>
            <w:pPr>
              <w:pStyle w:val="TableParagraph"/>
              <w:spacing w:line="240" w:lineRule="auto" w:before="70"/>
              <w:ind w:left="575" w:right="0"/>
              <w:jc w:val="left"/>
              <w:rPr>
                <w:rFonts w:ascii="Times New Roman" w:hAnsi="Times New Roman" w:cs="Times New Roman" w:eastAsia="Times New Roman" w:hint="default"/>
                <w:sz w:val="21"/>
                <w:szCs w:val="21"/>
              </w:rPr>
            </w:pPr>
            <w:r>
              <w:rPr>
                <w:rFonts w:ascii="Times New Roman"/>
                <w:sz w:val="21"/>
              </w:rPr>
              <w:t>0.17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0" w:right="0"/>
              <w:jc w:val="left"/>
              <w:rPr>
                <w:rFonts w:ascii="Times New Roman" w:hAnsi="Times New Roman" w:cs="Times New Roman" w:eastAsia="Times New Roman" w:hint="default"/>
                <w:sz w:val="21"/>
                <w:szCs w:val="21"/>
              </w:rPr>
            </w:pPr>
            <w:r>
              <w:rPr>
                <w:rFonts w:ascii="Times New Roman"/>
                <w:sz w:val="21"/>
              </w:rPr>
              <w:t>3,537,735</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.84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60,512,02</w:t>
            </w:r>
          </w:p>
          <w:p>
            <w:pPr>
              <w:pStyle w:val="TableParagraph"/>
              <w:spacing w:line="240" w:lineRule="auto" w:before="70"/>
              <w:ind w:left="576" w:right="0"/>
              <w:jc w:val="left"/>
              <w:rPr>
                <w:rFonts w:ascii="Times New Roman" w:hAnsi="Times New Roman" w:cs="Times New Roman" w:eastAsia="Times New Roman" w:hint="default"/>
                <w:sz w:val="21"/>
                <w:szCs w:val="21"/>
              </w:rPr>
            </w:pPr>
            <w:r>
              <w:rPr>
                <w:rFonts w:ascii="Times New Roman"/>
                <w:sz w:val="21"/>
              </w:rPr>
              <w:t>9.87</w:t>
            </w:r>
          </w:p>
        </w:tc>
      </w:tr>
      <w:tr>
        <w:trPr>
          <w:trHeight w:val="403"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减少金额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4,300,000</w:t>
            </w:r>
          </w:p>
          <w:p>
            <w:pPr>
              <w:pStyle w:val="TableParagraph"/>
              <w:spacing w:line="240" w:lineRule="auto" w:before="75"/>
              <w:ind w:left="686" w:right="0"/>
              <w:jc w:val="left"/>
              <w:rPr>
                <w:rFonts w:ascii="Times New Roman" w:hAnsi="Times New Roman" w:cs="Times New Roman" w:eastAsia="Times New Roman" w:hint="default"/>
                <w:sz w:val="21"/>
                <w:szCs w:val="21"/>
              </w:rPr>
            </w:pPr>
            <w:r>
              <w:rPr>
                <w:rFonts w:ascii="Times New Roman"/>
                <w:sz w:val="21"/>
              </w:rPr>
              <w:t>.00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4,300,000</w:t>
            </w:r>
          </w:p>
          <w:p>
            <w:pPr>
              <w:pStyle w:val="TableParagraph"/>
              <w:spacing w:line="240" w:lineRule="auto" w:before="75"/>
              <w:ind w:left="681" w:right="0"/>
              <w:jc w:val="left"/>
              <w:rPr>
                <w:rFonts w:ascii="Times New Roman" w:hAnsi="Times New Roman" w:cs="Times New Roman" w:eastAsia="Times New Roman" w:hint="default"/>
                <w:sz w:val="21"/>
                <w:szCs w:val="21"/>
              </w:rPr>
            </w:pPr>
            <w:r>
              <w:rPr>
                <w:rFonts w:ascii="Times New Roman"/>
                <w:sz w:val="21"/>
              </w:rPr>
              <w:t>.00</w:t>
            </w:r>
          </w:p>
        </w:tc>
      </w:tr>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29" w:right="-1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4,300,000</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4,300,000</w:t>
            </w:r>
          </w:p>
          <w:p>
            <w:pPr>
              <w:pStyle w:val="TableParagraph"/>
              <w:spacing w:line="240" w:lineRule="auto" w:before="70"/>
              <w:ind w:left="681" w:right="0"/>
              <w:jc w:val="left"/>
              <w:rPr>
                <w:rFonts w:ascii="Times New Roman" w:hAnsi="Times New Roman" w:cs="Times New Roman" w:eastAsia="Times New Roman" w:hint="default"/>
                <w:sz w:val="21"/>
                <w:szCs w:val="21"/>
              </w:rPr>
            </w:pPr>
            <w:r>
              <w:rPr>
                <w:rFonts w:ascii="Times New Roman"/>
                <w:sz w:val="21"/>
              </w:rPr>
              <w:t>.00</w:t>
            </w:r>
          </w:p>
        </w:tc>
      </w:tr>
      <w:tr>
        <w:trPr>
          <w:trHeight w:val="398"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auto" w:before="33"/>
              <w:ind w:left="105"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58" w:right="0"/>
              <w:jc w:val="left"/>
              <w:rPr>
                <w:rFonts w:ascii="Times New Roman" w:hAnsi="Times New Roman" w:cs="Times New Roman" w:eastAsia="Times New Roman" w:hint="default"/>
                <w:sz w:val="21"/>
                <w:szCs w:val="21"/>
              </w:rPr>
            </w:pPr>
            <w:r>
              <w:rPr>
                <w:rFonts w:ascii="Times New Roman"/>
                <w:sz w:val="21"/>
              </w:rPr>
              <w:t>20,390,84</w:t>
            </w:r>
          </w:p>
          <w:p>
            <w:pPr>
              <w:pStyle w:val="TableParagraph"/>
              <w:spacing w:line="240" w:lineRule="auto" w:before="71"/>
              <w:ind w:left="628" w:right="0"/>
              <w:jc w:val="left"/>
              <w:rPr>
                <w:rFonts w:ascii="Times New Roman" w:hAnsi="Times New Roman" w:cs="Times New Roman" w:eastAsia="Times New Roman" w:hint="default"/>
                <w:sz w:val="21"/>
                <w:szCs w:val="21"/>
              </w:rPr>
            </w:pPr>
            <w:r>
              <w:rPr>
                <w:rFonts w:ascii="Times New Roman"/>
                <w:sz w:val="21"/>
              </w:rPr>
              <w:t>0.48</w:t>
            </w: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6,312,839</w:t>
            </w:r>
          </w:p>
          <w:p>
            <w:pPr>
              <w:pStyle w:val="TableParagraph"/>
              <w:spacing w:line="240" w:lineRule="auto" w:before="71"/>
              <w:ind w:left="686" w:right="0"/>
              <w:jc w:val="left"/>
              <w:rPr>
                <w:rFonts w:ascii="Times New Roman" w:hAnsi="Times New Roman" w:cs="Times New Roman" w:eastAsia="Times New Roman" w:hint="default"/>
                <w:sz w:val="21"/>
                <w:szCs w:val="21"/>
              </w:rPr>
            </w:pPr>
            <w:r>
              <w:rPr>
                <w:rFonts w:ascii="Times New Roman"/>
                <w:sz w:val="21"/>
              </w:rPr>
              <w:t>.60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49,227,00</w:t>
            </w:r>
          </w:p>
          <w:p>
            <w:pPr>
              <w:pStyle w:val="TableParagraph"/>
              <w:spacing w:line="240" w:lineRule="auto" w:before="71"/>
              <w:ind w:left="581" w:right="0"/>
              <w:jc w:val="left"/>
              <w:rPr>
                <w:rFonts w:ascii="Times New Roman" w:hAnsi="Times New Roman" w:cs="Times New Roman" w:eastAsia="Times New Roman" w:hint="default"/>
                <w:sz w:val="21"/>
                <w:szCs w:val="21"/>
              </w:rPr>
            </w:pPr>
            <w:r>
              <w:rPr>
                <w:rFonts w:ascii="Times New Roman"/>
                <w:sz w:val="21"/>
              </w:rPr>
              <w:t>9.34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88,356,99</w:t>
            </w:r>
          </w:p>
          <w:p>
            <w:pPr>
              <w:pStyle w:val="TableParagraph"/>
              <w:spacing w:line="240" w:lineRule="auto" w:before="71"/>
              <w:ind w:left="575" w:right="0"/>
              <w:jc w:val="left"/>
              <w:rPr>
                <w:rFonts w:ascii="Times New Roman" w:hAnsi="Times New Roman" w:cs="Times New Roman" w:eastAsia="Times New Roman" w:hint="default"/>
                <w:sz w:val="21"/>
                <w:szCs w:val="21"/>
              </w:rPr>
            </w:pPr>
            <w:r>
              <w:rPr>
                <w:rFonts w:ascii="Times New Roman"/>
                <w:sz w:val="21"/>
              </w:rPr>
              <w:t>7.85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7,075,471</w:t>
            </w:r>
          </w:p>
          <w:p>
            <w:pPr>
              <w:pStyle w:val="TableParagraph"/>
              <w:spacing w:line="240" w:lineRule="auto" w:before="71"/>
              <w:ind w:left="686" w:right="0"/>
              <w:jc w:val="left"/>
              <w:rPr>
                <w:rFonts w:ascii="Times New Roman" w:hAnsi="Times New Roman" w:cs="Times New Roman" w:eastAsia="Times New Roman" w:hint="default"/>
                <w:sz w:val="21"/>
                <w:szCs w:val="21"/>
              </w:rPr>
            </w:pPr>
            <w:r>
              <w:rPr>
                <w:rFonts w:ascii="Times New Roman"/>
                <w:sz w:val="21"/>
              </w:rPr>
              <w:t>.68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171,363,1</w:t>
            </w:r>
          </w:p>
          <w:p>
            <w:pPr>
              <w:pStyle w:val="TableParagraph"/>
              <w:spacing w:line="240" w:lineRule="auto" w:before="71"/>
              <w:ind w:left="475" w:right="0"/>
              <w:jc w:val="left"/>
              <w:rPr>
                <w:rFonts w:ascii="Times New Roman" w:hAnsi="Times New Roman" w:cs="Times New Roman" w:eastAsia="Times New Roman" w:hint="default"/>
                <w:sz w:val="21"/>
                <w:szCs w:val="21"/>
              </w:rPr>
            </w:pPr>
            <w:r>
              <w:rPr>
                <w:rFonts w:ascii="Times New Roman"/>
                <w:sz w:val="21"/>
              </w:rPr>
              <w:t>58.95</w:t>
            </w:r>
          </w:p>
        </w:tc>
      </w:tr>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94"/>
              <w:jc w:val="left"/>
              <w:rPr>
                <w:rFonts w:ascii="宋体" w:hAnsi="宋体" w:cs="宋体" w:eastAsia="宋体" w:hint="default"/>
                <w:sz w:val="21"/>
                <w:szCs w:val="21"/>
              </w:rPr>
            </w:pPr>
            <w:r>
              <w:rPr>
                <w:rFonts w:ascii="宋体" w:hAnsi="宋体" w:cs="宋体" w:eastAsia="宋体" w:hint="default"/>
                <w:spacing w:val="-2"/>
                <w:sz w:val="21"/>
                <w:szCs w:val="21"/>
              </w:rPr>
              <w:t>三、减值准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备</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25,902,82</w:t>
            </w:r>
          </w:p>
          <w:p>
            <w:pPr>
              <w:pStyle w:val="TableParagraph"/>
              <w:spacing w:line="240" w:lineRule="auto" w:before="70"/>
              <w:ind w:left="581" w:right="0"/>
              <w:jc w:val="left"/>
              <w:rPr>
                <w:rFonts w:ascii="Times New Roman" w:hAnsi="Times New Roman" w:cs="Times New Roman" w:eastAsia="Times New Roman" w:hint="default"/>
                <w:sz w:val="21"/>
                <w:szCs w:val="21"/>
              </w:rPr>
            </w:pPr>
            <w:r>
              <w:rPr>
                <w:rFonts w:ascii="Times New Roman"/>
                <w:sz w:val="21"/>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25,902,82</w:t>
            </w:r>
          </w:p>
          <w:p>
            <w:pPr>
              <w:pStyle w:val="TableParagraph"/>
              <w:spacing w:line="240" w:lineRule="auto" w:before="70"/>
              <w:ind w:left="576" w:right="0"/>
              <w:jc w:val="left"/>
              <w:rPr>
                <w:rFonts w:ascii="Times New Roman" w:hAnsi="Times New Roman" w:cs="Times New Roman" w:eastAsia="Times New Roman" w:hint="default"/>
                <w:sz w:val="21"/>
                <w:szCs w:val="21"/>
              </w:rPr>
            </w:pPr>
            <w:r>
              <w:rPr>
                <w:rFonts w:ascii="Times New Roman"/>
                <w:sz w:val="21"/>
              </w:rPr>
              <w:t>0.00</w:t>
            </w:r>
          </w:p>
        </w:tc>
      </w:tr>
      <w:tr>
        <w:trPr>
          <w:trHeight w:val="710"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增加金额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729" w:right="-1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TableParagraph"/>
              <w:spacing w:line="240" w:lineRule="auto" w:before="21"/>
              <w:ind w:left="105"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减少金额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348" w:type="dxa"/>
        <w:tblLayout w:type="fixed"/>
        <w:tblCellMar>
          <w:top w:w="0" w:type="dxa"/>
          <w:left w:w="0" w:type="dxa"/>
          <w:bottom w:w="0" w:type="dxa"/>
          <w:right w:w="0" w:type="dxa"/>
        </w:tblCellMar>
        <w:tblLook w:val="01E0"/>
      </w:tblPr>
      <w:tblGrid>
        <w:gridCol w:w="1258"/>
        <w:gridCol w:w="1109"/>
        <w:gridCol w:w="821"/>
        <w:gridCol w:w="1066"/>
        <w:gridCol w:w="1061"/>
        <w:gridCol w:w="1066"/>
        <w:gridCol w:w="1061"/>
        <w:gridCol w:w="1066"/>
        <w:gridCol w:w="1061"/>
      </w:tblGrid>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190"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处置</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33"/>
              <w:ind w:left="105"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0" w:right="0"/>
              <w:jc w:val="left"/>
              <w:rPr>
                <w:rFonts w:ascii="Times New Roman" w:hAnsi="Times New Roman" w:cs="Times New Roman" w:eastAsia="Times New Roman" w:hint="default"/>
                <w:sz w:val="21"/>
                <w:szCs w:val="21"/>
              </w:rPr>
            </w:pPr>
            <w:r>
              <w:rPr>
                <w:rFonts w:ascii="Times New Roman"/>
                <w:sz w:val="21"/>
              </w:rPr>
              <w:t>25,902,82</w:t>
            </w:r>
          </w:p>
          <w:p>
            <w:pPr>
              <w:pStyle w:val="TableParagraph"/>
              <w:spacing w:line="240" w:lineRule="auto" w:before="70"/>
              <w:ind w:left="581" w:right="0"/>
              <w:jc w:val="left"/>
              <w:rPr>
                <w:rFonts w:ascii="Times New Roman" w:hAnsi="Times New Roman" w:cs="Times New Roman" w:eastAsia="Times New Roman" w:hint="default"/>
                <w:sz w:val="21"/>
                <w:szCs w:val="21"/>
              </w:rPr>
            </w:pPr>
            <w:r>
              <w:rPr>
                <w:rFonts w:ascii="Times New Roman"/>
                <w:sz w:val="21"/>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Times New Roman" w:hAnsi="Times New Roman" w:cs="Times New Roman" w:eastAsia="Times New Roman" w:hint="default"/>
                <w:sz w:val="21"/>
                <w:szCs w:val="21"/>
              </w:rPr>
            </w:pPr>
            <w:r>
              <w:rPr>
                <w:rFonts w:ascii="Times New Roman"/>
                <w:sz w:val="21"/>
              </w:rPr>
              <w:t>25,902,82</w:t>
            </w:r>
          </w:p>
          <w:p>
            <w:pPr>
              <w:pStyle w:val="TableParagraph"/>
              <w:spacing w:line="240" w:lineRule="auto" w:before="70"/>
              <w:ind w:left="576" w:right="0"/>
              <w:jc w:val="left"/>
              <w:rPr>
                <w:rFonts w:ascii="Times New Roman" w:hAnsi="Times New Roman" w:cs="Times New Roman" w:eastAsia="Times New Roman" w:hint="default"/>
                <w:sz w:val="21"/>
                <w:szCs w:val="21"/>
              </w:rPr>
            </w:pPr>
            <w:r>
              <w:rPr>
                <w:rFonts w:ascii="Times New Roman"/>
                <w:sz w:val="21"/>
              </w:rPr>
              <w:t>0.00</w:t>
            </w:r>
          </w:p>
        </w:tc>
      </w:tr>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94"/>
              <w:jc w:val="left"/>
              <w:rPr>
                <w:rFonts w:ascii="宋体" w:hAnsi="宋体" w:cs="宋体" w:eastAsia="宋体" w:hint="default"/>
                <w:sz w:val="21"/>
                <w:szCs w:val="21"/>
              </w:rPr>
            </w:pPr>
            <w:r>
              <w:rPr>
                <w:rFonts w:ascii="宋体" w:hAnsi="宋体" w:cs="宋体" w:eastAsia="宋体" w:hint="default"/>
                <w:spacing w:val="-2"/>
                <w:sz w:val="21"/>
                <w:szCs w:val="21"/>
              </w:rPr>
              <w:t>四、账面价</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值</w:t>
            </w:r>
          </w:p>
        </w:tc>
        <w:tc>
          <w:tcPr>
            <w:tcW w:w="1109"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账面价值</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58" w:right="0"/>
              <w:jc w:val="left"/>
              <w:rPr>
                <w:rFonts w:ascii="Times New Roman" w:hAnsi="Times New Roman" w:cs="Times New Roman" w:eastAsia="Times New Roman" w:hint="default"/>
                <w:sz w:val="21"/>
                <w:szCs w:val="21"/>
              </w:rPr>
            </w:pPr>
            <w:r>
              <w:rPr>
                <w:rFonts w:ascii="Times New Roman"/>
                <w:sz w:val="21"/>
              </w:rPr>
              <w:t>72,805,21</w:t>
            </w:r>
          </w:p>
          <w:p>
            <w:pPr>
              <w:pStyle w:val="TableParagraph"/>
              <w:spacing w:line="240" w:lineRule="auto" w:before="70"/>
              <w:ind w:left="628" w:right="0"/>
              <w:jc w:val="left"/>
              <w:rPr>
                <w:rFonts w:ascii="Times New Roman" w:hAnsi="Times New Roman" w:cs="Times New Roman" w:eastAsia="Times New Roman" w:hint="default"/>
                <w:sz w:val="21"/>
                <w:szCs w:val="21"/>
              </w:rPr>
            </w:pPr>
            <w:r>
              <w:rPr>
                <w:rFonts w:ascii="Times New Roman"/>
                <w:sz w:val="21"/>
              </w:rPr>
              <w:t>5.58</w:t>
            </w: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0" w:right="0"/>
              <w:jc w:val="left"/>
              <w:rPr>
                <w:rFonts w:ascii="Times New Roman" w:hAnsi="Times New Roman" w:cs="Times New Roman" w:eastAsia="Times New Roman" w:hint="default"/>
                <w:sz w:val="21"/>
                <w:szCs w:val="21"/>
              </w:rPr>
            </w:pPr>
            <w:r>
              <w:rPr>
                <w:rFonts w:ascii="Times New Roman"/>
                <w:sz w:val="21"/>
              </w:rPr>
              <w:t>13,025,24</w:t>
            </w:r>
          </w:p>
          <w:p>
            <w:pPr>
              <w:pStyle w:val="TableParagraph"/>
              <w:spacing w:line="240" w:lineRule="auto" w:before="70"/>
              <w:ind w:left="581" w:right="0"/>
              <w:jc w:val="left"/>
              <w:rPr>
                <w:rFonts w:ascii="Times New Roman" w:hAnsi="Times New Roman" w:cs="Times New Roman" w:eastAsia="Times New Roman" w:hint="default"/>
                <w:sz w:val="21"/>
                <w:szCs w:val="21"/>
              </w:rPr>
            </w:pPr>
            <w:r>
              <w:rPr>
                <w:rFonts w:ascii="Times New Roman"/>
                <w:sz w:val="21"/>
              </w:rPr>
              <w:t>6.52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0" w:right="0"/>
              <w:jc w:val="left"/>
              <w:rPr>
                <w:rFonts w:ascii="Times New Roman" w:hAnsi="Times New Roman" w:cs="Times New Roman" w:eastAsia="Times New Roman" w:hint="default"/>
                <w:sz w:val="21"/>
                <w:szCs w:val="21"/>
              </w:rPr>
            </w:pPr>
            <w:r>
              <w:rPr>
                <w:rFonts w:ascii="Times New Roman"/>
                <w:sz w:val="21"/>
              </w:rPr>
              <w:t>5,873,225</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.55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412,514,5</w:t>
            </w:r>
          </w:p>
          <w:p>
            <w:pPr>
              <w:pStyle w:val="TableParagraph"/>
              <w:spacing w:line="240" w:lineRule="auto" w:before="70"/>
              <w:ind w:left="475" w:right="0"/>
              <w:jc w:val="left"/>
              <w:rPr>
                <w:rFonts w:ascii="Times New Roman" w:hAnsi="Times New Roman" w:cs="Times New Roman" w:eastAsia="Times New Roman" w:hint="default"/>
                <w:sz w:val="21"/>
                <w:szCs w:val="21"/>
              </w:rPr>
            </w:pPr>
            <w:r>
              <w:rPr>
                <w:rFonts w:ascii="Times New Roman"/>
                <w:sz w:val="21"/>
              </w:rPr>
              <w:t>08.19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0" w:right="0"/>
              <w:jc w:val="left"/>
              <w:rPr>
                <w:rFonts w:ascii="Times New Roman" w:hAnsi="Times New Roman" w:cs="Times New Roman" w:eastAsia="Times New Roman" w:hint="default"/>
                <w:sz w:val="21"/>
                <w:szCs w:val="21"/>
              </w:rPr>
            </w:pPr>
            <w:r>
              <w:rPr>
                <w:rFonts w:ascii="Times New Roman"/>
                <w:sz w:val="21"/>
              </w:rPr>
              <w:t>21,226,41</w:t>
            </w:r>
          </w:p>
          <w:p>
            <w:pPr>
              <w:pStyle w:val="TableParagraph"/>
              <w:spacing w:line="240" w:lineRule="auto" w:before="70"/>
              <w:ind w:left="580" w:right="0"/>
              <w:jc w:val="left"/>
              <w:rPr>
                <w:rFonts w:ascii="Times New Roman" w:hAnsi="Times New Roman" w:cs="Times New Roman" w:eastAsia="Times New Roman" w:hint="default"/>
                <w:sz w:val="21"/>
                <w:szCs w:val="21"/>
              </w:rPr>
            </w:pPr>
            <w:r>
              <w:rPr>
                <w:rFonts w:ascii="Times New Roman"/>
                <w:sz w:val="21"/>
              </w:rPr>
              <w:t>5.21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525,444,6</w:t>
            </w:r>
          </w:p>
          <w:p>
            <w:pPr>
              <w:pStyle w:val="TableParagraph"/>
              <w:spacing w:line="240" w:lineRule="auto" w:before="70"/>
              <w:ind w:left="480" w:right="0"/>
              <w:jc w:val="left"/>
              <w:rPr>
                <w:rFonts w:ascii="Times New Roman" w:hAnsi="Times New Roman" w:cs="Times New Roman" w:eastAsia="Times New Roman" w:hint="default"/>
                <w:sz w:val="21"/>
                <w:szCs w:val="21"/>
              </w:rPr>
            </w:pPr>
            <w:r>
              <w:rPr>
                <w:rFonts w:ascii="Times New Roman"/>
                <w:sz w:val="21"/>
              </w:rPr>
              <w:t>11.05</w:t>
            </w:r>
          </w:p>
        </w:tc>
      </w:tr>
      <w:tr>
        <w:trPr>
          <w:trHeight w:val="715" w:hRule="exact"/>
        </w:trPr>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13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账面价值</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8" w:right="0"/>
              <w:jc w:val="left"/>
              <w:rPr>
                <w:rFonts w:ascii="Times New Roman" w:hAnsi="Times New Roman" w:cs="Times New Roman" w:eastAsia="Times New Roman" w:hint="default"/>
                <w:sz w:val="21"/>
                <w:szCs w:val="21"/>
              </w:rPr>
            </w:pPr>
            <w:r>
              <w:rPr>
                <w:rFonts w:ascii="Times New Roman"/>
                <w:sz w:val="21"/>
              </w:rPr>
              <w:t>74,701,67</w:t>
            </w:r>
          </w:p>
          <w:p>
            <w:pPr>
              <w:pStyle w:val="TableParagraph"/>
              <w:spacing w:line="240" w:lineRule="auto" w:before="70"/>
              <w:ind w:left="628" w:right="0"/>
              <w:jc w:val="left"/>
              <w:rPr>
                <w:rFonts w:ascii="Times New Roman" w:hAnsi="Times New Roman" w:cs="Times New Roman" w:eastAsia="Times New Roman" w:hint="default"/>
                <w:sz w:val="21"/>
                <w:szCs w:val="21"/>
              </w:rPr>
            </w:pPr>
            <w:r>
              <w:rPr>
                <w:rFonts w:ascii="Times New Roman"/>
                <w:sz w:val="21"/>
              </w:rPr>
              <w:t>0.01</w:t>
            </w:r>
          </w:p>
        </w:tc>
        <w:tc>
          <w:tcPr>
            <w:tcW w:w="82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5,480,646</w:t>
            </w:r>
          </w:p>
          <w:p>
            <w:pPr>
              <w:pStyle w:val="TableParagraph"/>
              <w:spacing w:line="240" w:lineRule="auto" w:before="70"/>
              <w:ind w:left="686" w:right="0"/>
              <w:jc w:val="left"/>
              <w:rPr>
                <w:rFonts w:ascii="Times New Roman" w:hAnsi="Times New Roman" w:cs="Times New Roman" w:eastAsia="Times New Roman" w:hint="default"/>
                <w:sz w:val="21"/>
                <w:szCs w:val="21"/>
              </w:rPr>
            </w:pPr>
            <w:r>
              <w:rPr>
                <w:rFonts w:ascii="Times New Roman"/>
                <w:sz w:val="21"/>
              </w:rPr>
              <w:t>.10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0" w:right="0"/>
              <w:jc w:val="left"/>
              <w:rPr>
                <w:rFonts w:ascii="Times New Roman" w:hAnsi="Times New Roman" w:cs="Times New Roman" w:eastAsia="Times New Roman" w:hint="default"/>
                <w:sz w:val="21"/>
                <w:szCs w:val="21"/>
              </w:rPr>
            </w:pPr>
            <w:r>
              <w:rPr>
                <w:rFonts w:ascii="Times New Roman"/>
                <w:sz w:val="21"/>
              </w:rPr>
              <w:t>16,609,01</w:t>
            </w:r>
          </w:p>
          <w:p>
            <w:pPr>
              <w:pStyle w:val="TableParagraph"/>
              <w:spacing w:line="240" w:lineRule="auto" w:before="70"/>
              <w:ind w:left="581" w:right="0"/>
              <w:jc w:val="left"/>
              <w:rPr>
                <w:rFonts w:ascii="Times New Roman" w:hAnsi="Times New Roman" w:cs="Times New Roman" w:eastAsia="Times New Roman" w:hint="default"/>
                <w:sz w:val="21"/>
                <w:szCs w:val="21"/>
              </w:rPr>
            </w:pPr>
            <w:r>
              <w:rPr>
                <w:rFonts w:ascii="Times New Roman"/>
                <w:sz w:val="21"/>
              </w:rPr>
              <w:t>1.36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461,001,3</w:t>
            </w:r>
          </w:p>
          <w:p>
            <w:pPr>
              <w:pStyle w:val="TableParagraph"/>
              <w:spacing w:line="240" w:lineRule="auto" w:before="70"/>
              <w:ind w:left="475" w:right="0"/>
              <w:jc w:val="left"/>
              <w:rPr>
                <w:rFonts w:ascii="Times New Roman" w:hAnsi="Times New Roman" w:cs="Times New Roman" w:eastAsia="Times New Roman" w:hint="default"/>
                <w:sz w:val="21"/>
                <w:szCs w:val="21"/>
              </w:rPr>
            </w:pPr>
            <w:r>
              <w:rPr>
                <w:rFonts w:ascii="Times New Roman"/>
                <w:sz w:val="21"/>
              </w:rPr>
              <w:t>92.32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left"/>
              <w:rPr>
                <w:rFonts w:ascii="Times New Roman" w:hAnsi="Times New Roman" w:cs="Times New Roman" w:eastAsia="Times New Roman" w:hint="default"/>
                <w:sz w:val="21"/>
                <w:szCs w:val="21"/>
              </w:rPr>
            </w:pPr>
            <w:r>
              <w:rPr>
                <w:rFonts w:ascii="Times New Roman"/>
                <w:sz w:val="21"/>
              </w:rPr>
              <w:t>24,764,15</w:t>
            </w:r>
          </w:p>
          <w:p>
            <w:pPr>
              <w:pStyle w:val="TableParagraph"/>
              <w:spacing w:line="240" w:lineRule="auto" w:before="70"/>
              <w:ind w:left="580" w:right="0"/>
              <w:jc w:val="left"/>
              <w:rPr>
                <w:rFonts w:ascii="Times New Roman" w:hAnsi="Times New Roman" w:cs="Times New Roman" w:eastAsia="Times New Roman" w:hint="default"/>
                <w:sz w:val="21"/>
                <w:szCs w:val="21"/>
              </w:rPr>
            </w:pPr>
            <w:r>
              <w:rPr>
                <w:rFonts w:ascii="Times New Roman"/>
                <w:sz w:val="21"/>
              </w:rPr>
              <w:t>1.05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Times New Roman" w:hAnsi="Times New Roman" w:cs="Times New Roman" w:eastAsia="Times New Roman" w:hint="default"/>
                <w:sz w:val="21"/>
                <w:szCs w:val="21"/>
              </w:rPr>
            </w:pPr>
            <w:r>
              <w:rPr>
                <w:rFonts w:ascii="Times New Roman"/>
                <w:sz w:val="21"/>
              </w:rPr>
              <w:t>582,556,8</w:t>
            </w:r>
          </w:p>
          <w:p>
            <w:pPr>
              <w:pStyle w:val="TableParagraph"/>
              <w:spacing w:line="240" w:lineRule="auto" w:before="70"/>
              <w:ind w:left="475" w:right="0"/>
              <w:jc w:val="left"/>
              <w:rPr>
                <w:rFonts w:ascii="Times New Roman" w:hAnsi="Times New Roman" w:cs="Times New Roman" w:eastAsia="Times New Roman" w:hint="default"/>
                <w:sz w:val="21"/>
                <w:szCs w:val="21"/>
              </w:rPr>
            </w:pPr>
            <w:r>
              <w:rPr>
                <w:rFonts w:ascii="Times New Roman"/>
                <w:sz w:val="21"/>
              </w:rPr>
              <w:t>70.84</w:t>
            </w:r>
          </w:p>
        </w:tc>
      </w:tr>
    </w:tbl>
    <w:p>
      <w:pPr>
        <w:pStyle w:val="BodyText"/>
        <w:spacing w:line="240" w:lineRule="auto" w:before="28"/>
        <w:ind w:left="353" w:right="0"/>
        <w:jc w:val="left"/>
      </w:pPr>
      <w:r>
        <w:rPr/>
        <w:t>本期末通过公司内部研发形成的无形资产占无形资产余额的比例。</w:t>
      </w:r>
    </w:p>
    <w:p>
      <w:pPr>
        <w:spacing w:line="240" w:lineRule="auto" w:before="3"/>
        <w:rPr>
          <w:rFonts w:ascii="宋体" w:hAnsi="宋体" w:cs="宋体" w:eastAsia="宋体" w:hint="default"/>
          <w:sz w:val="25"/>
          <w:szCs w:val="25"/>
        </w:rPr>
      </w:pPr>
    </w:p>
    <w:p>
      <w:pPr>
        <w:pStyle w:val="Heading5"/>
        <w:spacing w:line="240" w:lineRule="auto"/>
        <w:ind w:left="353" w:right="0"/>
        <w:jc w:val="left"/>
        <w:rPr>
          <w:b w:val="0"/>
          <w:bCs w:val="0"/>
        </w:rPr>
      </w:pPr>
      <w:bookmarkStart w:name="（2）未办妥产权证书的土地使用权情况" w:id="321"/>
      <w:bookmarkEnd w:id="321"/>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3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2" w:right="0"/>
              <w:jc w:val="left"/>
              <w:rPr>
                <w:rFonts w:ascii="宋体" w:hAnsi="宋体" w:cs="宋体" w:eastAsia="宋体" w:hint="default"/>
                <w:sz w:val="21"/>
                <w:szCs w:val="21"/>
              </w:rPr>
            </w:pPr>
            <w:r>
              <w:rPr>
                <w:rFonts w:ascii="宋体" w:hAnsi="宋体" w:cs="宋体" w:eastAsia="宋体" w:hint="default"/>
                <w:sz w:val="21"/>
                <w:szCs w:val="21"/>
              </w:rPr>
              <w:t>未办妥产权证书的原因</w:t>
            </w:r>
          </w:p>
        </w:tc>
      </w:tr>
    </w:tbl>
    <w:p>
      <w:pPr>
        <w:pStyle w:val="BodyText"/>
        <w:spacing w:line="240" w:lineRule="auto" w:before="28"/>
        <w:ind w:left="353" w:right="0"/>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left="353" w:right="0"/>
        <w:jc w:val="left"/>
        <w:rPr>
          <w:b w:val="0"/>
          <w:bCs w:val="0"/>
        </w:rPr>
      </w:pPr>
      <w:bookmarkStart w:name="27、开发支出" w:id="322"/>
      <w:bookmarkEnd w:id="322"/>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3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404"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6" w:right="98" w:hanging="212"/>
              <w:jc w:val="left"/>
              <w:rPr>
                <w:rFonts w:ascii="宋体" w:hAnsi="宋体" w:cs="宋体" w:eastAsia="宋体" w:hint="default"/>
                <w:sz w:val="21"/>
                <w:szCs w:val="21"/>
              </w:rPr>
            </w:pPr>
            <w:r>
              <w:rPr>
                <w:rFonts w:ascii="宋体" w:hAnsi="宋体" w:cs="宋体" w:eastAsia="宋体" w:hint="default"/>
                <w:sz w:val="21"/>
                <w:szCs w:val="21"/>
              </w:rPr>
              <w:t>内部开发</w:t>
            </w:r>
            <w:r>
              <w:rPr>
                <w:rFonts w:ascii="宋体" w:hAnsi="宋体" w:cs="宋体" w:eastAsia="宋体" w:hint="default"/>
                <w:spacing w:val="-101"/>
                <w:sz w:val="21"/>
                <w:szCs w:val="21"/>
              </w:rPr>
              <w:t> </w:t>
            </w:r>
            <w:r>
              <w:rPr>
                <w:rFonts w:ascii="宋体" w:hAnsi="宋体" w:cs="宋体" w:eastAsia="宋体" w:hint="default"/>
                <w:sz w:val="21"/>
                <w:szCs w:val="21"/>
              </w:rPr>
              <w:t>支出</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1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11" w:right="105" w:hanging="106"/>
              <w:jc w:val="left"/>
              <w:rPr>
                <w:rFonts w:ascii="宋体" w:hAnsi="宋体" w:cs="宋体" w:eastAsia="宋体" w:hint="default"/>
                <w:sz w:val="21"/>
                <w:szCs w:val="21"/>
              </w:rPr>
            </w:pPr>
            <w:r>
              <w:rPr>
                <w:rFonts w:ascii="宋体" w:hAnsi="宋体" w:cs="宋体" w:eastAsia="宋体" w:hint="default"/>
                <w:sz w:val="21"/>
                <w:szCs w:val="21"/>
              </w:rPr>
              <w:t>确认为无</w:t>
            </w:r>
            <w:r>
              <w:rPr>
                <w:rFonts w:ascii="宋体" w:hAnsi="宋体" w:cs="宋体" w:eastAsia="宋体" w:hint="default"/>
                <w:spacing w:val="-101"/>
                <w:sz w:val="21"/>
                <w:szCs w:val="21"/>
              </w:rPr>
              <w:t> </w:t>
            </w:r>
            <w:r>
              <w:rPr>
                <w:rFonts w:ascii="宋体" w:hAnsi="宋体" w:cs="宋体" w:eastAsia="宋体" w:hint="default"/>
                <w:sz w:val="21"/>
                <w:szCs w:val="21"/>
              </w:rPr>
              <w:t>形资产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1" w:right="104" w:hanging="212"/>
              <w:jc w:val="left"/>
              <w:rPr>
                <w:rFonts w:ascii="宋体" w:hAnsi="宋体" w:cs="宋体" w:eastAsia="宋体" w:hint="default"/>
                <w:sz w:val="21"/>
                <w:szCs w:val="21"/>
              </w:rPr>
            </w:pPr>
            <w:r>
              <w:rPr>
                <w:rFonts w:ascii="宋体" w:hAnsi="宋体" w:cs="宋体" w:eastAsia="宋体" w:hint="default"/>
                <w:sz w:val="21"/>
                <w:szCs w:val="21"/>
              </w:rPr>
              <w:t>转入当期</w:t>
            </w:r>
            <w:r>
              <w:rPr>
                <w:rFonts w:ascii="宋体" w:hAnsi="宋体" w:cs="宋体" w:eastAsia="宋体" w:hint="default"/>
                <w:spacing w:val="-101"/>
                <w:sz w:val="21"/>
                <w:szCs w:val="21"/>
              </w:rPr>
              <w:t> </w:t>
            </w:r>
            <w:r>
              <w:rPr>
                <w:rFonts w:ascii="宋体" w:hAnsi="宋体" w:cs="宋体" w:eastAsia="宋体" w:hint="default"/>
                <w:sz w:val="21"/>
                <w:szCs w:val="21"/>
              </w:rPr>
              <w:t>损益</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left="353" w:right="0"/>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left="353" w:right="0"/>
        <w:jc w:val="left"/>
        <w:rPr>
          <w:b w:val="0"/>
          <w:bCs w:val="0"/>
        </w:rPr>
      </w:pPr>
      <w:bookmarkStart w:name="28、商誉" w:id="323"/>
      <w:bookmarkEnd w:id="323"/>
      <w:r>
        <w:rPr>
          <w:b w:val="0"/>
          <w:bCs w:val="0"/>
        </w:rPr>
      </w: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353" w:right="0"/>
        <w:jc w:val="left"/>
        <w:rPr>
          <w:b w:val="0"/>
          <w:bCs w:val="0"/>
        </w:rPr>
      </w:pPr>
      <w:bookmarkStart w:name="（1）商誉账面原值" w:id="324"/>
      <w:bookmarkEnd w:id="324"/>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798"/>
        <w:gridCol w:w="1772"/>
        <w:gridCol w:w="1503"/>
        <w:gridCol w:w="854"/>
        <w:gridCol w:w="1152"/>
        <w:gridCol w:w="949"/>
        <w:gridCol w:w="1789"/>
      </w:tblGrid>
      <w:tr>
        <w:trPr>
          <w:trHeight w:val="403" w:hRule="exact"/>
        </w:trPr>
        <w:tc>
          <w:tcPr>
            <w:tcW w:w="179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6"/>
              <w:ind w:left="160" w:right="152"/>
              <w:jc w:val="center"/>
              <w:rPr>
                <w:rFonts w:ascii="宋体" w:hAnsi="宋体" w:cs="宋体" w:eastAsia="宋体" w:hint="default"/>
                <w:sz w:val="21"/>
                <w:szCs w:val="21"/>
              </w:rPr>
            </w:pPr>
            <w:r>
              <w:rPr>
                <w:rFonts w:ascii="宋体" w:hAnsi="宋体" w:cs="宋体" w:eastAsia="宋体" w:hint="default"/>
                <w:spacing w:val="-1"/>
                <w:sz w:val="21"/>
                <w:szCs w:val="21"/>
              </w:rPr>
              <w:t>被投资单位名称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或形成商誉的事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项</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6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5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6" w:hRule="exact"/>
        </w:trPr>
        <w:tc>
          <w:tcPr>
            <w:tcW w:w="1798" w:type="dxa"/>
            <w:vMerge/>
            <w:tcBorders>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c>
          <w:tcPr>
            <w:tcW w:w="15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38" w:right="113" w:hanging="524"/>
              <w:jc w:val="left"/>
              <w:rPr>
                <w:rFonts w:ascii="宋体" w:hAnsi="宋体" w:cs="宋体" w:eastAsia="宋体" w:hint="default"/>
                <w:sz w:val="21"/>
                <w:szCs w:val="21"/>
              </w:rPr>
            </w:pPr>
            <w:r>
              <w:rPr>
                <w:rFonts w:ascii="宋体" w:hAnsi="宋体" w:cs="宋体" w:eastAsia="宋体" w:hint="default"/>
                <w:sz w:val="21"/>
                <w:szCs w:val="21"/>
              </w:rPr>
              <w:t>企业合并形成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9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89"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3" w:right="209"/>
              <w:jc w:val="left"/>
              <w:rPr>
                <w:rFonts w:ascii="宋体" w:hAnsi="宋体" w:cs="宋体" w:eastAsia="宋体" w:hint="default"/>
                <w:sz w:val="21"/>
                <w:szCs w:val="21"/>
              </w:rPr>
            </w:pPr>
            <w:r>
              <w:rPr>
                <w:rFonts w:ascii="宋体" w:hAnsi="宋体" w:cs="宋体" w:eastAsia="宋体" w:hint="default"/>
                <w:sz w:val="21"/>
                <w:szCs w:val="21"/>
              </w:rPr>
              <w:t>天津市泰达工程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设计有限公司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51" w:right="0"/>
              <w:jc w:val="left"/>
              <w:rPr>
                <w:rFonts w:ascii="Times New Roman" w:hAnsi="Times New Roman" w:cs="Times New Roman" w:eastAsia="Times New Roman" w:hint="default"/>
                <w:sz w:val="21"/>
                <w:szCs w:val="21"/>
              </w:rPr>
            </w:pPr>
            <w:r>
              <w:rPr>
                <w:rFonts w:ascii="Times New Roman"/>
                <w:sz w:val="21"/>
              </w:rPr>
              <w:t>78,884,309.82</w:t>
            </w:r>
          </w:p>
        </w:tc>
        <w:tc>
          <w:tcPr>
            <w:tcW w:w="150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49" w:type="dxa"/>
            <w:tcBorders>
              <w:top w:val="single" w:sz="4" w:space="0" w:color="000000"/>
              <w:left w:val="single" w:sz="4" w:space="0" w:color="000000"/>
              <w:bottom w:val="single" w:sz="4" w:space="0" w:color="000000"/>
              <w:right w:val="single" w:sz="4" w:space="0" w:color="000000"/>
            </w:tcBorders>
          </w:tcPr>
          <w:p>
            <w:pP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63" w:right="0"/>
              <w:jc w:val="left"/>
              <w:rPr>
                <w:rFonts w:ascii="Times New Roman" w:hAnsi="Times New Roman" w:cs="Times New Roman" w:eastAsia="Times New Roman" w:hint="default"/>
                <w:sz w:val="21"/>
                <w:szCs w:val="21"/>
              </w:rPr>
            </w:pPr>
            <w:r>
              <w:rPr>
                <w:rFonts w:ascii="Times New Roman"/>
                <w:sz w:val="21"/>
              </w:rPr>
              <w:t>78,884,309.82</w:t>
            </w:r>
          </w:p>
        </w:tc>
      </w:tr>
    </w:tbl>
    <w:p>
      <w:pPr>
        <w:spacing w:after="0" w:line="240" w:lineRule="auto"/>
        <w:jc w:val="left"/>
        <w:rPr>
          <w:rFonts w:ascii="Times New Roman" w:hAnsi="Times New Roman" w:cs="Times New Roman" w:eastAsia="Times New Roman" w:hint="default"/>
          <w:sz w:val="21"/>
          <w:szCs w:val="21"/>
        </w:rPr>
        <w:sectPr>
          <w:pgSz w:w="11910" w:h="16840"/>
          <w:pgMar w:header="906" w:footer="1022" w:top="1100" w:bottom="1220" w:left="780" w:right="0"/>
        </w:sectPr>
      </w:pPr>
    </w:p>
    <w:p>
      <w:pPr>
        <w:spacing w:line="240" w:lineRule="auto" w:before="7"/>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1798"/>
        <w:gridCol w:w="1772"/>
        <w:gridCol w:w="1503"/>
        <w:gridCol w:w="854"/>
        <w:gridCol w:w="1152"/>
        <w:gridCol w:w="946"/>
        <w:gridCol w:w="1791"/>
      </w:tblGrid>
      <w:tr>
        <w:trPr>
          <w:trHeight w:val="715"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3" w:right="209"/>
              <w:jc w:val="left"/>
              <w:rPr>
                <w:rFonts w:ascii="宋体" w:hAnsi="宋体" w:cs="宋体" w:eastAsia="宋体" w:hint="default"/>
                <w:sz w:val="21"/>
                <w:szCs w:val="21"/>
              </w:rPr>
            </w:pPr>
            <w:r>
              <w:rPr>
                <w:rFonts w:ascii="宋体" w:hAnsi="宋体" w:cs="宋体" w:eastAsia="宋体" w:hint="default"/>
                <w:sz w:val="21"/>
                <w:szCs w:val="21"/>
              </w:rPr>
              <w:t>北京中电兴发科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1,219,495,624.54</w:t>
            </w:r>
          </w:p>
        </w:tc>
        <w:tc>
          <w:tcPr>
            <w:tcW w:w="150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1,219,495,624.54</w:t>
            </w:r>
          </w:p>
        </w:tc>
      </w:tr>
      <w:tr>
        <w:trPr>
          <w:trHeight w:val="711"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3" w:right="209"/>
              <w:jc w:val="left"/>
              <w:rPr>
                <w:rFonts w:ascii="宋体" w:hAnsi="宋体" w:cs="宋体" w:eastAsia="宋体" w:hint="default"/>
                <w:sz w:val="21"/>
                <w:szCs w:val="21"/>
              </w:rPr>
            </w:pPr>
            <w:r>
              <w:rPr>
                <w:rFonts w:ascii="宋体" w:hAnsi="宋体" w:cs="宋体" w:eastAsia="宋体" w:hint="default"/>
                <w:sz w:val="21"/>
                <w:szCs w:val="21"/>
              </w:rPr>
              <w:t>苏州开关二厂有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pacing w:val="-1"/>
                <w:sz w:val="21"/>
              </w:rPr>
              <w:t>167,044,277.43</w:t>
            </w:r>
          </w:p>
        </w:tc>
        <w:tc>
          <w:tcPr>
            <w:tcW w:w="150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167,044,277.43</w:t>
            </w:r>
          </w:p>
        </w:tc>
      </w:tr>
      <w:tr>
        <w:trPr>
          <w:trHeight w:val="715"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03" w:right="209"/>
              <w:jc w:val="left"/>
              <w:rPr>
                <w:rFonts w:ascii="宋体" w:hAnsi="宋体" w:cs="宋体" w:eastAsia="宋体" w:hint="default"/>
                <w:sz w:val="21"/>
                <w:szCs w:val="21"/>
              </w:rPr>
            </w:pPr>
            <w:r>
              <w:rPr>
                <w:rFonts w:ascii="宋体" w:hAnsi="宋体" w:cs="宋体" w:eastAsia="宋体" w:hint="default"/>
                <w:sz w:val="21"/>
                <w:szCs w:val="21"/>
              </w:rPr>
              <w:t>苏州天平安装工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程有限公司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59,523,284.91</w:t>
            </w:r>
          </w:p>
        </w:tc>
        <w:tc>
          <w:tcPr>
            <w:tcW w:w="1503"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59,523,284.91</w:t>
            </w:r>
          </w:p>
        </w:tc>
      </w:tr>
      <w:tr>
        <w:trPr>
          <w:trHeight w:val="716"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3" w:right="209"/>
              <w:jc w:val="left"/>
              <w:rPr>
                <w:rFonts w:ascii="宋体" w:hAnsi="宋体" w:cs="宋体" w:eastAsia="宋体" w:hint="default"/>
                <w:sz w:val="21"/>
                <w:szCs w:val="21"/>
              </w:rPr>
            </w:pPr>
            <w:r>
              <w:rPr>
                <w:rFonts w:ascii="宋体" w:hAnsi="宋体" w:cs="宋体" w:eastAsia="宋体" w:hint="default"/>
                <w:sz w:val="21"/>
                <w:szCs w:val="21"/>
              </w:rPr>
              <w:t>湖南易晟通信网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络技术有限公司</w:t>
            </w:r>
          </w:p>
        </w:tc>
        <w:tc>
          <w:tcPr>
            <w:tcW w:w="1772" w:type="dxa"/>
            <w:tcBorders>
              <w:top w:val="single" w:sz="4" w:space="0" w:color="000000"/>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21"/>
                <w:szCs w:val="21"/>
              </w:rPr>
            </w:pPr>
            <w:r>
              <w:rPr>
                <w:rFonts w:ascii="Times New Roman"/>
                <w:sz w:val="21"/>
              </w:rPr>
              <w:t>60,798,377.31</w:t>
            </w:r>
          </w:p>
        </w:tc>
        <w:tc>
          <w:tcPr>
            <w:tcW w:w="8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60,798,377.31</w:t>
            </w:r>
          </w:p>
        </w:tc>
      </w:tr>
      <w:tr>
        <w:trPr>
          <w:trHeight w:val="403" w:hRule="exact"/>
        </w:trPr>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1,524,947,496.70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6" w:right="0"/>
              <w:jc w:val="center"/>
              <w:rPr>
                <w:rFonts w:ascii="Times New Roman" w:hAnsi="Times New Roman" w:cs="Times New Roman" w:eastAsia="Times New Roman" w:hint="default"/>
                <w:sz w:val="21"/>
                <w:szCs w:val="21"/>
              </w:rPr>
            </w:pPr>
            <w:r>
              <w:rPr>
                <w:rFonts w:ascii="Times New Roman"/>
                <w:sz w:val="21"/>
              </w:rPr>
              <w:t>60,798,377.31</w:t>
            </w:r>
          </w:p>
        </w:tc>
        <w:tc>
          <w:tcPr>
            <w:tcW w:w="854"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1,585,745,874.01</w:t>
            </w:r>
          </w:p>
        </w:tc>
      </w:tr>
    </w:tbl>
    <w:p>
      <w:pPr>
        <w:spacing w:line="240" w:lineRule="auto" w:before="3"/>
        <w:rPr>
          <w:rFonts w:ascii="宋体" w:hAnsi="宋体" w:cs="宋体" w:eastAsia="宋体" w:hint="default"/>
          <w:sz w:val="19"/>
          <w:szCs w:val="19"/>
        </w:rPr>
      </w:pPr>
    </w:p>
    <w:p>
      <w:pPr>
        <w:pStyle w:val="Heading5"/>
        <w:spacing w:line="240" w:lineRule="auto" w:before="36"/>
        <w:ind w:left="353" w:right="0"/>
        <w:jc w:val="left"/>
        <w:rPr>
          <w:b w:val="0"/>
          <w:bCs w:val="0"/>
        </w:rPr>
      </w:pPr>
      <w:bookmarkStart w:name="（2）商誉减值准备" w:id="325"/>
      <w:bookmarkEnd w:id="325"/>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348" w:type="dxa"/>
        <w:tblLayout w:type="fixed"/>
        <w:tblCellMar>
          <w:top w:w="0" w:type="dxa"/>
          <w:left w:w="0" w:type="dxa"/>
          <w:bottom w:w="0" w:type="dxa"/>
          <w:right w:w="0" w:type="dxa"/>
        </w:tblCellMar>
        <w:tblLook w:val="01E0"/>
      </w:tblPr>
      <w:tblGrid>
        <w:gridCol w:w="1709"/>
        <w:gridCol w:w="1028"/>
        <w:gridCol w:w="1719"/>
        <w:gridCol w:w="1013"/>
        <w:gridCol w:w="1368"/>
        <w:gridCol w:w="1052"/>
        <w:gridCol w:w="1685"/>
      </w:tblGrid>
      <w:tr>
        <w:trPr>
          <w:trHeight w:val="403" w:hRule="exact"/>
        </w:trPr>
        <w:tc>
          <w:tcPr>
            <w:tcW w:w="170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33"/>
              <w:ind w:left="115" w:right="108"/>
              <w:jc w:val="center"/>
              <w:rPr>
                <w:rFonts w:ascii="宋体" w:hAnsi="宋体" w:cs="宋体" w:eastAsia="宋体" w:hint="default"/>
                <w:sz w:val="21"/>
                <w:szCs w:val="21"/>
              </w:rPr>
            </w:pPr>
            <w:r>
              <w:rPr>
                <w:rFonts w:ascii="宋体" w:hAnsi="宋体" w:cs="宋体" w:eastAsia="宋体" w:hint="default"/>
                <w:spacing w:val="-1"/>
                <w:sz w:val="21"/>
                <w:szCs w:val="21"/>
              </w:rPr>
              <w:t>被投资单位名称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或形成商誉的事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项</w:t>
            </w:r>
          </w:p>
        </w:tc>
        <w:tc>
          <w:tcPr>
            <w:tcW w:w="10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398" w:right="190" w:hanging="207"/>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24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78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24"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1028" w:type="dxa"/>
            <w:vMerge/>
            <w:tcBorders>
              <w:left w:val="single" w:sz="4" w:space="0" w:color="000000"/>
              <w:bottom w:val="single" w:sz="4" w:space="0" w:color="000000"/>
              <w:right w:val="single" w:sz="4" w:space="0" w:color="000000"/>
            </w:tcBorders>
            <w:shd w:val="clear" w:color="auto" w:fill="D2D2D2"/>
          </w:tcPr>
          <w:p>
            <w:pPr/>
          </w:p>
        </w:tc>
        <w:tc>
          <w:tcPr>
            <w:tcW w:w="1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5" w:right="0"/>
              <w:jc w:val="center"/>
              <w:rPr>
                <w:rFonts w:ascii="宋体" w:hAnsi="宋体" w:cs="宋体" w:eastAsia="宋体" w:hint="default"/>
                <w:sz w:val="21"/>
                <w:szCs w:val="21"/>
              </w:rPr>
            </w:pPr>
            <w:r>
              <w:rPr>
                <w:rFonts w:ascii="宋体" w:hAnsi="宋体" w:cs="宋体" w:eastAsia="宋体" w:hint="default"/>
                <w:sz w:val="21"/>
                <w:szCs w:val="21"/>
              </w:rPr>
              <w:t>处置</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8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118"/>
              <w:jc w:val="left"/>
              <w:rPr>
                <w:rFonts w:ascii="宋体" w:hAnsi="宋体" w:cs="宋体" w:eastAsia="宋体" w:hint="default"/>
                <w:sz w:val="21"/>
                <w:szCs w:val="21"/>
              </w:rPr>
            </w:pPr>
            <w:r>
              <w:rPr>
                <w:rFonts w:ascii="宋体" w:hAnsi="宋体" w:cs="宋体" w:eastAsia="宋体" w:hint="default"/>
                <w:sz w:val="21"/>
                <w:szCs w:val="21"/>
              </w:rPr>
              <w:t>天津市泰达工程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设计有限公司</w:t>
            </w:r>
          </w:p>
        </w:tc>
        <w:tc>
          <w:tcPr>
            <w:tcW w:w="1028"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13,438,359.17</w:t>
            </w:r>
          </w:p>
        </w:tc>
        <w:tc>
          <w:tcPr>
            <w:tcW w:w="101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13,438,359.17</w:t>
            </w:r>
          </w:p>
        </w:tc>
      </w:tr>
      <w:tr>
        <w:trPr>
          <w:trHeight w:val="40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28" w:type="dxa"/>
            <w:tcBorders>
              <w:top w:val="single" w:sz="4" w:space="0" w:color="000000"/>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13,438,359.17</w:t>
            </w:r>
          </w:p>
        </w:tc>
        <w:tc>
          <w:tcPr>
            <w:tcW w:w="101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13,438,359.17</w:t>
            </w:r>
          </w:p>
        </w:tc>
      </w:tr>
    </w:tbl>
    <w:p>
      <w:pPr>
        <w:pStyle w:val="BodyText"/>
        <w:spacing w:line="240" w:lineRule="auto" w:before="28"/>
        <w:ind w:left="353" w:right="0"/>
        <w:jc w:val="left"/>
      </w:pPr>
      <w:r>
        <w:rPr/>
        <w:t>商誉所在资产组或资产组组合的相关信息</w:t>
      </w:r>
    </w:p>
    <w:p>
      <w:pPr>
        <w:pStyle w:val="BodyText"/>
        <w:spacing w:line="240" w:lineRule="auto" w:before="70"/>
        <w:ind w:left="713" w:right="0"/>
        <w:jc w:val="left"/>
      </w:pPr>
      <w:r>
        <w:rPr/>
        <w:t>截至 </w:t>
      </w:r>
      <w:r>
        <w:rPr>
          <w:rFonts w:ascii="宋体" w:hAnsi="宋体" w:cs="宋体" w:eastAsia="宋体" w:hint="default"/>
        </w:rPr>
        <w:t>2019 </w:t>
      </w:r>
      <w:r>
        <w:rPr/>
        <w:t>年 </w:t>
      </w:r>
      <w:r>
        <w:rPr>
          <w:rFonts w:ascii="宋体" w:hAnsi="宋体" w:cs="宋体" w:eastAsia="宋体" w:hint="default"/>
        </w:rPr>
        <w:t>12 </w:t>
      </w:r>
      <w:r>
        <w:rPr/>
        <w:t>月 </w:t>
      </w:r>
      <w:r>
        <w:rPr>
          <w:rFonts w:ascii="宋体" w:hAnsi="宋体" w:cs="宋体" w:eastAsia="宋体" w:hint="default"/>
        </w:rPr>
        <w:t>31</w:t>
      </w:r>
      <w:r>
        <w:rPr>
          <w:rFonts w:ascii="宋体" w:hAnsi="宋体" w:cs="宋体" w:eastAsia="宋体" w:hint="default"/>
          <w:spacing w:val="3"/>
        </w:rPr>
        <w:t> </w:t>
      </w:r>
      <w:r>
        <w:rPr/>
        <w:t>日，资产组构成如下：</w:t>
      </w:r>
    </w:p>
    <w:p>
      <w:pPr>
        <w:spacing w:line="240" w:lineRule="auto" w:before="13"/>
        <w:rPr>
          <w:rFonts w:ascii="宋体" w:hAnsi="宋体" w:cs="宋体" w:eastAsia="宋体" w:hint="default"/>
          <w:sz w:val="3"/>
          <w:szCs w:val="3"/>
        </w:rPr>
      </w:pPr>
    </w:p>
    <w:tbl>
      <w:tblPr>
        <w:tblW w:w="0" w:type="auto"/>
        <w:jc w:val="left"/>
        <w:tblInd w:w="343" w:type="dxa"/>
        <w:tblLayout w:type="fixed"/>
        <w:tblCellMar>
          <w:top w:w="0" w:type="dxa"/>
          <w:left w:w="0" w:type="dxa"/>
          <w:bottom w:w="0" w:type="dxa"/>
          <w:right w:w="0" w:type="dxa"/>
        </w:tblCellMar>
        <w:tblLook w:val="01E0"/>
      </w:tblPr>
      <w:tblGrid>
        <w:gridCol w:w="2108"/>
        <w:gridCol w:w="2089"/>
        <w:gridCol w:w="1638"/>
        <w:gridCol w:w="1743"/>
        <w:gridCol w:w="1541"/>
      </w:tblGrid>
      <w:tr>
        <w:trPr>
          <w:trHeight w:val="663"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13" w:right="0"/>
              <w:jc w:val="left"/>
              <w:rPr>
                <w:rFonts w:ascii="宋体" w:hAnsi="宋体" w:cs="宋体" w:eastAsia="宋体" w:hint="default"/>
                <w:sz w:val="21"/>
                <w:szCs w:val="21"/>
              </w:rPr>
            </w:pPr>
            <w:r>
              <w:rPr>
                <w:rFonts w:ascii="宋体" w:hAnsi="宋体" w:cs="宋体" w:eastAsia="宋体" w:hint="default"/>
                <w:sz w:val="21"/>
                <w:szCs w:val="21"/>
              </w:rPr>
              <w:t>资产组构成</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93" w:right="0"/>
              <w:jc w:val="left"/>
              <w:rPr>
                <w:rFonts w:ascii="宋体" w:hAnsi="宋体" w:cs="宋体" w:eastAsia="宋体" w:hint="default"/>
                <w:sz w:val="21"/>
                <w:szCs w:val="21"/>
              </w:rPr>
            </w:pPr>
            <w:r>
              <w:rPr>
                <w:rFonts w:ascii="宋体" w:hAnsi="宋体" w:cs="宋体" w:eastAsia="宋体" w:hint="default"/>
                <w:sz w:val="21"/>
                <w:szCs w:val="21"/>
              </w:rPr>
              <w:t>整体商誉</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41" w:right="17" w:hanging="418"/>
              <w:jc w:val="left"/>
              <w:rPr>
                <w:rFonts w:ascii="宋体" w:hAnsi="宋体" w:cs="宋体" w:eastAsia="宋体" w:hint="default"/>
                <w:sz w:val="21"/>
                <w:szCs w:val="21"/>
              </w:rPr>
            </w:pPr>
            <w:r>
              <w:rPr>
                <w:rFonts w:ascii="宋体" w:hAnsi="宋体" w:cs="宋体" w:eastAsia="宋体" w:hint="default"/>
                <w:sz w:val="21"/>
                <w:szCs w:val="21"/>
              </w:rPr>
              <w:t>包含商誉的资产组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账面价值</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45" w:right="17" w:hanging="312"/>
              <w:jc w:val="left"/>
              <w:rPr>
                <w:rFonts w:ascii="宋体" w:hAnsi="宋体" w:cs="宋体" w:eastAsia="宋体" w:hint="default"/>
                <w:sz w:val="21"/>
                <w:szCs w:val="21"/>
              </w:rPr>
            </w:pPr>
            <w:r>
              <w:rPr>
                <w:rFonts w:ascii="宋体" w:hAnsi="宋体" w:cs="宋体" w:eastAsia="宋体" w:hint="default"/>
                <w:sz w:val="21"/>
                <w:szCs w:val="21"/>
              </w:rPr>
              <w:t>资产组是否与购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买日一致</w:t>
            </w:r>
          </w:p>
        </w:tc>
      </w:tr>
      <w:tr>
        <w:trPr>
          <w:trHeight w:val="658"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90"/>
              <w:jc w:val="left"/>
              <w:rPr>
                <w:rFonts w:ascii="宋体" w:hAnsi="宋体" w:cs="宋体" w:eastAsia="宋体" w:hint="default"/>
                <w:sz w:val="21"/>
                <w:szCs w:val="21"/>
              </w:rPr>
            </w:pPr>
            <w:r>
              <w:rPr>
                <w:rFonts w:ascii="宋体" w:hAnsi="宋体" w:cs="宋体" w:eastAsia="宋体" w:hint="default"/>
                <w:sz w:val="21"/>
                <w:szCs w:val="21"/>
              </w:rPr>
              <w:t>北京中电兴发科技有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0" w:firstLine="91"/>
              <w:jc w:val="left"/>
              <w:rPr>
                <w:rFonts w:ascii="宋体" w:hAnsi="宋体" w:cs="宋体" w:eastAsia="宋体" w:hint="default"/>
                <w:sz w:val="21"/>
                <w:szCs w:val="21"/>
              </w:rPr>
            </w:pPr>
            <w:r>
              <w:rPr>
                <w:rFonts w:ascii="宋体" w:hAnsi="宋体" w:cs="宋体" w:eastAsia="宋体" w:hint="default"/>
                <w:sz w:val="21"/>
                <w:szCs w:val="21"/>
              </w:rPr>
              <w:t>与购并日经营业务相</w:t>
            </w:r>
            <w:r>
              <w:rPr>
                <w:rFonts w:ascii="宋体" w:hAnsi="宋体" w:cs="宋体" w:eastAsia="宋体" w:hint="default"/>
                <w:w w:val="100"/>
                <w:sz w:val="21"/>
                <w:szCs w:val="21"/>
              </w:rPr>
              <w:t> </w:t>
            </w:r>
            <w:r>
              <w:rPr>
                <w:rFonts w:ascii="宋体" w:hAnsi="宋体" w:cs="宋体" w:eastAsia="宋体" w:hint="default"/>
                <w:spacing w:val="-4"/>
                <w:sz w:val="21"/>
                <w:szCs w:val="21"/>
              </w:rPr>
              <w:t>关的资产、负债与商誉</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1,219,495,624.5</w:t>
            </w:r>
          </w:p>
          <w:p>
            <w:pPr>
              <w:pStyle w:val="TableParagraph"/>
              <w:spacing w:line="240" w:lineRule="auto" w:before="37"/>
              <w:ind w:right="0"/>
              <w:jc w:val="right"/>
              <w:rPr>
                <w:rFonts w:ascii="宋体" w:hAnsi="宋体" w:cs="宋体" w:eastAsia="宋体" w:hint="default"/>
                <w:sz w:val="21"/>
                <w:szCs w:val="21"/>
              </w:rPr>
            </w:pPr>
            <w:r>
              <w:rPr>
                <w:rFonts w:ascii="宋体"/>
                <w:w w:val="100"/>
                <w:sz w:val="21"/>
              </w:rPr>
              <w:t>4</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2,819,876,224.54</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一致</w:t>
            </w:r>
          </w:p>
        </w:tc>
      </w:tr>
      <w:tr>
        <w:trPr>
          <w:trHeight w:val="658"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90"/>
              <w:jc w:val="left"/>
              <w:rPr>
                <w:rFonts w:ascii="宋体" w:hAnsi="宋体" w:cs="宋体" w:eastAsia="宋体" w:hint="default"/>
                <w:sz w:val="21"/>
                <w:szCs w:val="21"/>
              </w:rPr>
            </w:pPr>
            <w:r>
              <w:rPr>
                <w:rFonts w:ascii="宋体" w:hAnsi="宋体" w:cs="宋体" w:eastAsia="宋体" w:hint="default"/>
                <w:sz w:val="21"/>
                <w:szCs w:val="21"/>
              </w:rPr>
              <w:t>天津市泰达工程设计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0" w:firstLine="91"/>
              <w:jc w:val="left"/>
              <w:rPr>
                <w:rFonts w:ascii="宋体" w:hAnsi="宋体" w:cs="宋体" w:eastAsia="宋体" w:hint="default"/>
                <w:sz w:val="21"/>
                <w:szCs w:val="21"/>
              </w:rPr>
            </w:pPr>
            <w:r>
              <w:rPr>
                <w:rFonts w:ascii="宋体" w:hAnsi="宋体" w:cs="宋体" w:eastAsia="宋体" w:hint="default"/>
                <w:sz w:val="21"/>
                <w:szCs w:val="21"/>
              </w:rPr>
              <w:t>与购并日经营业务相</w:t>
            </w:r>
            <w:r>
              <w:rPr>
                <w:rFonts w:ascii="宋体" w:hAnsi="宋体" w:cs="宋体" w:eastAsia="宋体" w:hint="default"/>
                <w:w w:val="100"/>
                <w:sz w:val="21"/>
                <w:szCs w:val="21"/>
              </w:rPr>
              <w:t> </w:t>
            </w:r>
            <w:r>
              <w:rPr>
                <w:rFonts w:ascii="宋体" w:hAnsi="宋体" w:cs="宋体" w:eastAsia="宋体" w:hint="default"/>
                <w:spacing w:val="-4"/>
                <w:sz w:val="21"/>
                <w:szCs w:val="21"/>
              </w:rPr>
              <w:t>关的资产、负债与商誉</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119,998,037.39</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221,389,837.39</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一致</w:t>
            </w:r>
          </w:p>
        </w:tc>
      </w:tr>
      <w:tr>
        <w:trPr>
          <w:trHeight w:val="663"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90"/>
              <w:jc w:val="left"/>
              <w:rPr>
                <w:rFonts w:ascii="宋体" w:hAnsi="宋体" w:cs="宋体" w:eastAsia="宋体" w:hint="default"/>
                <w:sz w:val="21"/>
                <w:szCs w:val="21"/>
              </w:rPr>
            </w:pPr>
            <w:r>
              <w:rPr>
                <w:rFonts w:ascii="宋体" w:hAnsi="宋体" w:cs="宋体" w:eastAsia="宋体" w:hint="default"/>
                <w:sz w:val="21"/>
                <w:szCs w:val="21"/>
              </w:rPr>
              <w:t>苏州开关二厂有限公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0" w:firstLine="91"/>
              <w:jc w:val="left"/>
              <w:rPr>
                <w:rFonts w:ascii="宋体" w:hAnsi="宋体" w:cs="宋体" w:eastAsia="宋体" w:hint="default"/>
                <w:sz w:val="21"/>
                <w:szCs w:val="21"/>
              </w:rPr>
            </w:pPr>
            <w:r>
              <w:rPr>
                <w:rFonts w:ascii="宋体" w:hAnsi="宋体" w:cs="宋体" w:eastAsia="宋体" w:hint="default"/>
                <w:sz w:val="21"/>
                <w:szCs w:val="21"/>
              </w:rPr>
              <w:t>与购并日经营业务相</w:t>
            </w:r>
            <w:r>
              <w:rPr>
                <w:rFonts w:ascii="宋体" w:hAnsi="宋体" w:cs="宋体" w:eastAsia="宋体" w:hint="default"/>
                <w:w w:val="100"/>
                <w:sz w:val="21"/>
                <w:szCs w:val="21"/>
              </w:rPr>
              <w:t> </w:t>
            </w:r>
            <w:r>
              <w:rPr>
                <w:rFonts w:ascii="宋体" w:hAnsi="宋体" w:cs="宋体" w:eastAsia="宋体" w:hint="default"/>
                <w:spacing w:val="-4"/>
                <w:sz w:val="21"/>
                <w:szCs w:val="21"/>
              </w:rPr>
              <w:t>关的资产、负债与商誉</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4"/>
              <w:jc w:val="right"/>
              <w:rPr>
                <w:rFonts w:ascii="宋体" w:hAnsi="宋体" w:cs="宋体" w:eastAsia="宋体" w:hint="default"/>
                <w:sz w:val="21"/>
                <w:szCs w:val="21"/>
              </w:rPr>
            </w:pPr>
            <w:r>
              <w:rPr>
                <w:rFonts w:ascii="宋体"/>
                <w:spacing w:val="-1"/>
                <w:sz w:val="21"/>
              </w:rPr>
              <w:t>298,331,086.52</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21"/>
                <w:szCs w:val="21"/>
              </w:rPr>
            </w:pPr>
            <w:r>
              <w:rPr>
                <w:rFonts w:ascii="宋体"/>
                <w:spacing w:val="-1"/>
                <w:sz w:val="21"/>
              </w:rPr>
              <w:t>463,381,686.52</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不一致</w:t>
            </w:r>
            <w:r>
              <w:rPr>
                <w:rFonts w:ascii="宋体" w:hAnsi="宋体" w:cs="宋体" w:eastAsia="宋体" w:hint="default"/>
                <w:sz w:val="21"/>
                <w:szCs w:val="21"/>
              </w:rPr>
              <w:t>*</w:t>
            </w:r>
            <w:r>
              <w:rPr>
                <w:rFonts w:ascii="宋体" w:hAnsi="宋体" w:cs="宋体" w:eastAsia="宋体" w:hint="default"/>
                <w:sz w:val="21"/>
                <w:szCs w:val="21"/>
              </w:rPr>
              <w:t>注</w:t>
            </w:r>
          </w:p>
        </w:tc>
      </w:tr>
      <w:tr>
        <w:trPr>
          <w:trHeight w:val="658" w:hRule="exact"/>
        </w:trPr>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90"/>
              <w:jc w:val="left"/>
              <w:rPr>
                <w:rFonts w:ascii="宋体" w:hAnsi="宋体" w:cs="宋体" w:eastAsia="宋体" w:hint="default"/>
                <w:sz w:val="21"/>
                <w:szCs w:val="21"/>
              </w:rPr>
            </w:pPr>
            <w:r>
              <w:rPr>
                <w:rFonts w:ascii="宋体" w:hAnsi="宋体" w:cs="宋体" w:eastAsia="宋体" w:hint="default"/>
                <w:sz w:val="21"/>
                <w:szCs w:val="21"/>
              </w:rPr>
              <w:t>湖南易晟通信网络技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术有限公司</w:t>
            </w:r>
          </w:p>
        </w:tc>
        <w:tc>
          <w:tcPr>
            <w:tcW w:w="20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0" w:firstLine="91"/>
              <w:jc w:val="left"/>
              <w:rPr>
                <w:rFonts w:ascii="宋体" w:hAnsi="宋体" w:cs="宋体" w:eastAsia="宋体" w:hint="default"/>
                <w:sz w:val="21"/>
                <w:szCs w:val="21"/>
              </w:rPr>
            </w:pPr>
            <w:r>
              <w:rPr>
                <w:rFonts w:ascii="宋体" w:hAnsi="宋体" w:cs="宋体" w:eastAsia="宋体" w:hint="default"/>
                <w:sz w:val="21"/>
                <w:szCs w:val="21"/>
              </w:rPr>
              <w:t>与购并日经营业务相</w:t>
            </w:r>
            <w:r>
              <w:rPr>
                <w:rFonts w:ascii="宋体" w:hAnsi="宋体" w:cs="宋体" w:eastAsia="宋体" w:hint="default"/>
                <w:w w:val="100"/>
                <w:sz w:val="21"/>
                <w:szCs w:val="21"/>
              </w:rPr>
              <w:t> </w:t>
            </w:r>
            <w:r>
              <w:rPr>
                <w:rFonts w:ascii="宋体" w:hAnsi="宋体" w:cs="宋体" w:eastAsia="宋体" w:hint="default"/>
                <w:spacing w:val="-4"/>
                <w:sz w:val="21"/>
                <w:szCs w:val="21"/>
              </w:rPr>
              <w:t>关的资产、负债与商誉</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86,854,824.73</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144,432,524.73</w:t>
            </w:r>
          </w:p>
        </w:tc>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一致</w:t>
            </w:r>
          </w:p>
        </w:tc>
      </w:tr>
    </w:tbl>
    <w:p>
      <w:pPr>
        <w:pStyle w:val="BodyText"/>
        <w:spacing w:line="260" w:lineRule="exact" w:before="0"/>
        <w:ind w:left="353" w:right="0"/>
        <w:jc w:val="left"/>
      </w:pPr>
      <w:r>
        <w:rPr>
          <w:w w:val="100"/>
        </w:rPr>
        <w:t>注</w:t>
      </w:r>
      <w:r>
        <w:rPr>
          <w:spacing w:val="-5"/>
          <w:w w:val="100"/>
        </w:rPr>
        <w:t>：</w:t>
      </w:r>
      <w:r>
        <w:rPr>
          <w:w w:val="100"/>
        </w:rPr>
        <w:t>苏州</w:t>
      </w:r>
      <w:r>
        <w:rPr>
          <w:spacing w:val="-5"/>
          <w:w w:val="100"/>
        </w:rPr>
        <w:t>开</w:t>
      </w:r>
      <w:r>
        <w:rPr>
          <w:w w:val="100"/>
        </w:rPr>
        <w:t>关二厂</w:t>
      </w:r>
      <w:r>
        <w:rPr>
          <w:spacing w:val="-5"/>
          <w:w w:val="100"/>
        </w:rPr>
        <w:t>有</w:t>
      </w:r>
      <w:r>
        <w:rPr>
          <w:w w:val="100"/>
        </w:rPr>
        <w:t>限公</w:t>
      </w:r>
      <w:r>
        <w:rPr>
          <w:spacing w:val="-10"/>
          <w:w w:val="100"/>
        </w:rPr>
        <w:t>司</w:t>
      </w:r>
      <w:r>
        <w:rPr>
          <w:w w:val="100"/>
        </w:rPr>
        <w:t>（以下</w:t>
      </w:r>
      <w:r>
        <w:rPr>
          <w:spacing w:val="-5"/>
          <w:w w:val="100"/>
        </w:rPr>
        <w:t>简</w:t>
      </w:r>
      <w:r>
        <w:rPr>
          <w:spacing w:val="-4"/>
          <w:w w:val="100"/>
        </w:rPr>
        <w:t>称</w:t>
      </w:r>
      <w:r>
        <w:rPr>
          <w:w w:val="100"/>
        </w:rPr>
        <w:t>“</w:t>
      </w:r>
      <w:r>
        <w:rPr>
          <w:spacing w:val="-5"/>
          <w:w w:val="100"/>
        </w:rPr>
        <w:t>苏</w:t>
      </w:r>
      <w:r>
        <w:rPr>
          <w:w w:val="100"/>
        </w:rPr>
        <w:t>二开</w:t>
      </w:r>
      <w:r>
        <w:rPr>
          <w:spacing w:val="-106"/>
          <w:w w:val="100"/>
        </w:rPr>
        <w:t>”</w:t>
      </w:r>
      <w:r>
        <w:rPr>
          <w:spacing w:val="-5"/>
          <w:w w:val="100"/>
        </w:rPr>
        <w:t>）</w:t>
      </w:r>
      <w:r>
        <w:rPr>
          <w:rFonts w:ascii="宋体" w:hAnsi="宋体" w:cs="宋体" w:eastAsia="宋体" w:hint="default"/>
          <w:spacing w:val="-5"/>
          <w:w w:val="100"/>
        </w:rPr>
        <w:t>20</w:t>
      </w:r>
      <w:r>
        <w:rPr>
          <w:rFonts w:ascii="宋体" w:hAnsi="宋体" w:cs="宋体" w:eastAsia="宋体" w:hint="default"/>
          <w:w w:val="100"/>
        </w:rPr>
        <w:t>18</w:t>
      </w:r>
      <w:r>
        <w:rPr>
          <w:w w:val="100"/>
        </w:rPr>
        <w:t>年</w:t>
      </w:r>
      <w:r>
        <w:rPr>
          <w:rFonts w:ascii="宋体" w:hAnsi="宋体" w:cs="宋体" w:eastAsia="宋体" w:hint="default"/>
          <w:w w:val="100"/>
        </w:rPr>
        <w:t>2</w:t>
      </w:r>
      <w:r>
        <w:rPr>
          <w:w w:val="100"/>
        </w:rPr>
        <w:t>月收</w:t>
      </w:r>
      <w:r>
        <w:rPr>
          <w:spacing w:val="-5"/>
          <w:w w:val="100"/>
        </w:rPr>
        <w:t>购</w:t>
      </w:r>
      <w:r>
        <w:rPr>
          <w:w w:val="100"/>
        </w:rPr>
        <w:t>了具有</w:t>
      </w:r>
      <w:r>
        <w:rPr>
          <w:spacing w:val="-5"/>
          <w:w w:val="100"/>
        </w:rPr>
        <w:t>相</w:t>
      </w:r>
      <w:r>
        <w:rPr>
          <w:w w:val="100"/>
        </w:rPr>
        <w:t>关资质</w:t>
      </w:r>
      <w:r>
        <w:rPr>
          <w:spacing w:val="-5"/>
          <w:w w:val="100"/>
        </w:rPr>
        <w:t>的</w:t>
      </w:r>
      <w:r>
        <w:rPr>
          <w:w w:val="100"/>
        </w:rPr>
        <w:t>苏州天</w:t>
      </w:r>
      <w:r>
        <w:rPr>
          <w:spacing w:val="-5"/>
          <w:w w:val="100"/>
        </w:rPr>
        <w:t>平</w:t>
      </w:r>
      <w:r>
        <w:rPr>
          <w:w w:val="100"/>
        </w:rPr>
        <w:t>安装</w:t>
      </w:r>
      <w:r>
        <w:rPr>
          <w:spacing w:val="-5"/>
          <w:w w:val="100"/>
        </w:rPr>
        <w:t>工</w:t>
      </w:r>
      <w:r>
        <w:rPr>
          <w:w w:val="100"/>
        </w:rPr>
        <w:t>程有</w:t>
      </w:r>
    </w:p>
    <w:p>
      <w:pPr>
        <w:pStyle w:val="BodyText"/>
        <w:spacing w:line="273" w:lineRule="auto" w:before="37"/>
        <w:ind w:left="353" w:right="0"/>
        <w:jc w:val="left"/>
      </w:pPr>
      <w:r>
        <w:rPr>
          <w:spacing w:val="-4"/>
          <w:w w:val="100"/>
        </w:rPr>
        <w:t>限公司（以下简称“天平安装”）后，苏二开主要以天平安装名义投标，中标后主要设备仍然由苏二开生</w:t>
      </w:r>
      <w:r>
        <w:rPr>
          <w:spacing w:val="-83"/>
          <w:w w:val="100"/>
        </w:rPr>
        <w:t> </w:t>
      </w:r>
      <w:r>
        <w:rPr>
          <w:spacing w:val="-83"/>
          <w:w w:val="100"/>
        </w:rPr>
      </w:r>
      <w:r>
        <w:rPr/>
        <w:t>产，原苏二开相关的设备安装人员整体进入到天平安装，由天平安装承担安装服务。天平安装承担了原苏</w:t>
      </w:r>
      <w:r>
        <w:rPr>
          <w:w w:val="100"/>
        </w:rPr>
        <w:t> </w:t>
      </w:r>
      <w:r>
        <w:rPr/>
        <w:t>二开供电成套设备安装服务的业务，双方产生了协同效应，但在购买日公司无法将商誉分摊至从企业合并</w:t>
      </w:r>
      <w:r>
        <w:rPr>
          <w:w w:val="100"/>
        </w:rPr>
        <w:t> </w:t>
      </w:r>
      <w:r>
        <w:rPr/>
        <w:t>的协同效应中受益的相关资产组或资产组组合，因此公司将苏二开和天平安装作为与整理商誉相关的具有</w:t>
      </w:r>
      <w:r>
        <w:rPr>
          <w:w w:val="100"/>
        </w:rPr>
        <w:t> </w:t>
      </w:r>
      <w:r>
        <w:rPr/>
        <w:t>协同效应的资产组组合进行减值测试。</w:t>
      </w:r>
    </w:p>
    <w:p>
      <w:pPr>
        <w:pStyle w:val="BodyText"/>
        <w:spacing w:line="273" w:lineRule="auto" w:before="51"/>
        <w:ind w:left="353" w:right="0"/>
        <w:jc w:val="left"/>
      </w:pPr>
      <w:r>
        <w:rPr>
          <w:spacing w:val="-4"/>
        </w:rPr>
        <w:t>说明商誉减值测试过程、关键参数（如预计未来现金流量现值时的预测期增长率、稳定期增长率、利润率、</w:t>
      </w:r>
      <w:r>
        <w:rPr>
          <w:spacing w:val="-42"/>
        </w:rPr>
        <w:t> </w:t>
      </w:r>
      <w:r>
        <w:rPr>
          <w:spacing w:val="-42"/>
        </w:rPr>
      </w:r>
      <w:r>
        <w:rPr/>
        <w:t>折现率、预测期等）及商誉减值损失的确认方法：</w:t>
      </w:r>
    </w:p>
    <w:p>
      <w:pPr>
        <w:pStyle w:val="BodyText"/>
        <w:spacing w:line="240" w:lineRule="auto" w:before="46"/>
        <w:ind w:left="713" w:right="0"/>
        <w:jc w:val="left"/>
      </w:pPr>
      <w:r>
        <w:rPr/>
        <w:t>公司按照资产组的预计未来现金流量及折现率计算现值确定可收回金额进行商誉减值测算：</w:t>
      </w:r>
    </w:p>
    <w:p>
      <w:pPr>
        <w:spacing w:line="240" w:lineRule="auto" w:before="13"/>
        <w:rPr>
          <w:rFonts w:ascii="宋体" w:hAnsi="宋体" w:cs="宋体" w:eastAsia="宋体" w:hint="default"/>
          <w:sz w:val="3"/>
          <w:szCs w:val="3"/>
        </w:rPr>
      </w:pPr>
    </w:p>
    <w:tbl>
      <w:tblPr>
        <w:tblW w:w="0" w:type="auto"/>
        <w:jc w:val="left"/>
        <w:tblInd w:w="343" w:type="dxa"/>
        <w:tblLayout w:type="fixed"/>
        <w:tblCellMar>
          <w:top w:w="0" w:type="dxa"/>
          <w:left w:w="0" w:type="dxa"/>
          <w:bottom w:w="0" w:type="dxa"/>
          <w:right w:w="0" w:type="dxa"/>
        </w:tblCellMar>
        <w:tblLook w:val="01E0"/>
      </w:tblPr>
      <w:tblGrid>
        <w:gridCol w:w="2430"/>
        <w:gridCol w:w="1657"/>
        <w:gridCol w:w="1825"/>
        <w:gridCol w:w="1666"/>
        <w:gridCol w:w="1661"/>
      </w:tblGrid>
      <w:tr>
        <w:trPr>
          <w:trHeight w:val="346"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1" w:right="0"/>
              <w:jc w:val="left"/>
              <w:rPr>
                <w:rFonts w:ascii="宋体" w:hAnsi="宋体" w:cs="宋体" w:eastAsia="宋体" w:hint="default"/>
                <w:sz w:val="21"/>
                <w:szCs w:val="21"/>
              </w:rPr>
            </w:pPr>
            <w:r>
              <w:rPr>
                <w:rFonts w:ascii="宋体" w:hAnsi="宋体" w:cs="宋体" w:eastAsia="宋体" w:hint="default"/>
                <w:sz w:val="21"/>
                <w:szCs w:val="21"/>
              </w:rPr>
              <w:t>北京中电兴发科</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7" w:right="0"/>
              <w:jc w:val="left"/>
              <w:rPr>
                <w:rFonts w:ascii="宋体" w:hAnsi="宋体" w:cs="宋体" w:eastAsia="宋体" w:hint="default"/>
                <w:sz w:val="21"/>
                <w:szCs w:val="21"/>
              </w:rPr>
            </w:pPr>
            <w:r>
              <w:rPr>
                <w:rFonts w:ascii="宋体" w:hAnsi="宋体" w:cs="宋体" w:eastAsia="宋体" w:hint="default"/>
                <w:sz w:val="21"/>
                <w:szCs w:val="21"/>
              </w:rPr>
              <w:t>天津市泰达工程设</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1" w:right="0"/>
              <w:jc w:val="left"/>
              <w:rPr>
                <w:rFonts w:ascii="宋体" w:hAnsi="宋体" w:cs="宋体" w:eastAsia="宋体" w:hint="default"/>
                <w:sz w:val="21"/>
                <w:szCs w:val="21"/>
              </w:rPr>
            </w:pPr>
            <w:r>
              <w:rPr>
                <w:rFonts w:ascii="宋体" w:hAnsi="宋体" w:cs="宋体" w:eastAsia="宋体" w:hint="default"/>
                <w:sz w:val="21"/>
                <w:szCs w:val="21"/>
              </w:rPr>
              <w:t>苏州开关二厂有</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1" w:right="0"/>
              <w:jc w:val="left"/>
              <w:rPr>
                <w:rFonts w:ascii="宋体" w:hAnsi="宋体" w:cs="宋体" w:eastAsia="宋体" w:hint="default"/>
                <w:sz w:val="21"/>
                <w:szCs w:val="21"/>
              </w:rPr>
            </w:pPr>
            <w:r>
              <w:rPr>
                <w:rFonts w:ascii="宋体" w:hAnsi="宋体" w:cs="宋体" w:eastAsia="宋体" w:hint="default"/>
                <w:sz w:val="21"/>
                <w:szCs w:val="21"/>
              </w:rPr>
              <w:t>湖南易晟通信网</w:t>
            </w:r>
          </w:p>
        </w:tc>
      </w:tr>
    </w:tbl>
    <w:p>
      <w:pPr>
        <w:spacing w:after="0" w:line="270" w:lineRule="exact"/>
        <w:jc w:val="left"/>
        <w:rPr>
          <w:rFonts w:ascii="宋体" w:hAnsi="宋体" w:cs="宋体" w:eastAsia="宋体" w:hint="default"/>
          <w:sz w:val="21"/>
          <w:szCs w:val="21"/>
        </w:rPr>
        <w:sectPr>
          <w:pgSz w:w="11910" w:h="16840"/>
          <w:pgMar w:header="906" w:footer="1022" w:top="1100" w:bottom="1220" w:left="78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2430"/>
        <w:gridCol w:w="1657"/>
        <w:gridCol w:w="1825"/>
        <w:gridCol w:w="1666"/>
        <w:gridCol w:w="1661"/>
      </w:tblGrid>
      <w:tr>
        <w:trPr>
          <w:trHeight w:val="346" w:hRule="exact"/>
        </w:trPr>
        <w:tc>
          <w:tcPr>
            <w:tcW w:w="2430" w:type="dxa"/>
            <w:tcBorders>
              <w:top w:val="single" w:sz="6" w:space="0" w:color="000000"/>
              <w:left w:val="single" w:sz="6" w:space="0" w:color="000000"/>
              <w:bottom w:val="single" w:sz="6" w:space="0" w:color="000000"/>
              <w:right w:val="single" w:sz="6" w:space="0" w:color="000000"/>
            </w:tcBorders>
          </w:tcPr>
          <w:p>
            <w:pP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02" w:right="0"/>
              <w:jc w:val="left"/>
              <w:rPr>
                <w:rFonts w:ascii="宋体" w:hAnsi="宋体" w:cs="宋体" w:eastAsia="宋体" w:hint="default"/>
                <w:sz w:val="21"/>
                <w:szCs w:val="21"/>
              </w:rPr>
            </w:pPr>
            <w:r>
              <w:rPr>
                <w:rFonts w:ascii="宋体" w:hAnsi="宋体" w:cs="宋体" w:eastAsia="宋体" w:hint="default"/>
                <w:sz w:val="21"/>
                <w:szCs w:val="21"/>
              </w:rPr>
              <w:t>技有限公司</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83" w:right="0"/>
              <w:jc w:val="left"/>
              <w:rPr>
                <w:rFonts w:ascii="宋体" w:hAnsi="宋体" w:cs="宋体" w:eastAsia="宋体" w:hint="default"/>
                <w:sz w:val="21"/>
                <w:szCs w:val="21"/>
              </w:rPr>
            </w:pPr>
            <w:r>
              <w:rPr>
                <w:rFonts w:ascii="宋体" w:hAnsi="宋体" w:cs="宋体" w:eastAsia="宋体" w:hint="default"/>
                <w:sz w:val="21"/>
                <w:szCs w:val="21"/>
              </w:rPr>
              <w:t>计有限公司</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13"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1" w:right="0"/>
              <w:jc w:val="left"/>
              <w:rPr>
                <w:rFonts w:ascii="宋体" w:hAnsi="宋体" w:cs="宋体" w:eastAsia="宋体" w:hint="default"/>
                <w:sz w:val="21"/>
                <w:szCs w:val="21"/>
              </w:rPr>
            </w:pPr>
            <w:r>
              <w:rPr>
                <w:rFonts w:ascii="宋体" w:hAnsi="宋体" w:cs="宋体" w:eastAsia="宋体" w:hint="default"/>
                <w:sz w:val="21"/>
                <w:szCs w:val="21"/>
              </w:rPr>
              <w:t>络技术有限公司</w:t>
            </w:r>
          </w:p>
        </w:tc>
      </w:tr>
      <w:tr>
        <w:trPr>
          <w:trHeight w:val="662"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商誉①</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
              <w:jc w:val="right"/>
              <w:rPr>
                <w:rFonts w:ascii="宋体" w:hAnsi="宋体" w:cs="宋体" w:eastAsia="宋体" w:hint="default"/>
                <w:sz w:val="21"/>
                <w:szCs w:val="21"/>
              </w:rPr>
            </w:pPr>
            <w:r>
              <w:rPr>
                <w:rFonts w:ascii="宋体"/>
                <w:spacing w:val="-1"/>
                <w:sz w:val="21"/>
              </w:rPr>
              <w:t>1,219,495,624.5</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4</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78,884,309.82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226,567,562.34</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
              <w:jc w:val="right"/>
              <w:rPr>
                <w:rFonts w:ascii="宋体" w:hAnsi="宋体" w:cs="宋体" w:eastAsia="宋体" w:hint="default"/>
                <w:sz w:val="21"/>
                <w:szCs w:val="21"/>
              </w:rPr>
            </w:pPr>
            <w:r>
              <w:rPr>
                <w:rFonts w:ascii="宋体"/>
                <w:spacing w:val="-1"/>
                <w:sz w:val="21"/>
              </w:rPr>
              <w:t>60,798,377.31</w:t>
            </w:r>
          </w:p>
        </w:tc>
      </w:tr>
      <w:tr>
        <w:trPr>
          <w:trHeight w:val="658"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95"/>
              <w:jc w:val="left"/>
              <w:rPr>
                <w:rFonts w:ascii="宋体" w:hAnsi="宋体" w:cs="宋体" w:eastAsia="宋体" w:hint="default"/>
                <w:sz w:val="21"/>
                <w:szCs w:val="21"/>
              </w:rPr>
            </w:pPr>
            <w:r>
              <w:rPr>
                <w:rFonts w:ascii="宋体" w:hAnsi="宋体" w:cs="宋体" w:eastAsia="宋体" w:hint="default"/>
                <w:sz w:val="21"/>
                <w:szCs w:val="21"/>
              </w:rPr>
              <w:t>归属于少数股东权益的商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誉②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w w:val="100"/>
                <w:sz w:val="21"/>
              </w:rPr>
              <w:t>-</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41,113,727.57</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71,763,524.18</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
              <w:jc w:val="right"/>
              <w:rPr>
                <w:rFonts w:ascii="宋体" w:hAnsi="宋体" w:cs="宋体" w:eastAsia="宋体" w:hint="default"/>
                <w:sz w:val="21"/>
                <w:szCs w:val="21"/>
              </w:rPr>
            </w:pPr>
            <w:r>
              <w:rPr>
                <w:rFonts w:ascii="宋体"/>
                <w:spacing w:val="-1"/>
                <w:sz w:val="21"/>
              </w:rPr>
              <w:t>26,056,447.42</w:t>
            </w:r>
          </w:p>
        </w:tc>
      </w:tr>
      <w:tr>
        <w:trPr>
          <w:trHeight w:val="658"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整体商誉③＝①</w:t>
            </w:r>
            <w:r>
              <w:rPr>
                <w:rFonts w:ascii="宋体" w:hAnsi="宋体" w:cs="宋体" w:eastAsia="宋体" w:hint="default"/>
                <w:sz w:val="21"/>
                <w:szCs w:val="21"/>
              </w:rPr>
              <w:t>+</w:t>
            </w:r>
            <w:r>
              <w:rPr>
                <w:rFonts w:ascii="宋体" w:hAnsi="宋体" w:cs="宋体" w:eastAsia="宋体" w:hint="default"/>
                <w:sz w:val="21"/>
                <w:szCs w:val="21"/>
              </w:rPr>
              <w:t>②</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
              <w:jc w:val="right"/>
              <w:rPr>
                <w:rFonts w:ascii="宋体" w:hAnsi="宋体" w:cs="宋体" w:eastAsia="宋体" w:hint="default"/>
                <w:sz w:val="21"/>
                <w:szCs w:val="21"/>
              </w:rPr>
            </w:pPr>
            <w:r>
              <w:rPr>
                <w:rFonts w:ascii="宋体"/>
                <w:spacing w:val="-1"/>
                <w:sz w:val="21"/>
              </w:rPr>
              <w:t>1,219,495,624.5</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4</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119,998,037.39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298,331,086.52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
              <w:jc w:val="right"/>
              <w:rPr>
                <w:rFonts w:ascii="宋体" w:hAnsi="宋体" w:cs="宋体" w:eastAsia="宋体" w:hint="default"/>
                <w:sz w:val="21"/>
                <w:szCs w:val="21"/>
              </w:rPr>
            </w:pPr>
            <w:r>
              <w:rPr>
                <w:rFonts w:ascii="宋体"/>
                <w:spacing w:val="-1"/>
                <w:sz w:val="21"/>
              </w:rPr>
              <w:t>86,854,824.73</w:t>
            </w:r>
          </w:p>
        </w:tc>
      </w:tr>
      <w:tr>
        <w:trPr>
          <w:trHeight w:val="658"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资产组账面价值④</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
              <w:jc w:val="right"/>
              <w:rPr>
                <w:rFonts w:ascii="宋体" w:hAnsi="宋体" w:cs="宋体" w:eastAsia="宋体" w:hint="default"/>
                <w:sz w:val="21"/>
                <w:szCs w:val="21"/>
              </w:rPr>
            </w:pPr>
            <w:r>
              <w:rPr>
                <w:rFonts w:ascii="宋体"/>
                <w:spacing w:val="-1"/>
                <w:sz w:val="21"/>
              </w:rPr>
              <w:t>1,600,380,600.0</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0</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101,391,800.00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165,050,600.00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
              <w:jc w:val="right"/>
              <w:rPr>
                <w:rFonts w:ascii="宋体" w:hAnsi="宋体" w:cs="宋体" w:eastAsia="宋体" w:hint="default"/>
                <w:sz w:val="21"/>
                <w:szCs w:val="21"/>
              </w:rPr>
            </w:pPr>
            <w:r>
              <w:rPr>
                <w:rFonts w:ascii="宋体"/>
                <w:spacing w:val="-1"/>
                <w:sz w:val="21"/>
              </w:rPr>
              <w:t>57,577,700.00</w:t>
            </w:r>
          </w:p>
        </w:tc>
      </w:tr>
      <w:tr>
        <w:trPr>
          <w:trHeight w:val="662"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95"/>
              <w:jc w:val="left"/>
              <w:rPr>
                <w:rFonts w:ascii="宋体" w:hAnsi="宋体" w:cs="宋体" w:eastAsia="宋体" w:hint="default"/>
                <w:sz w:val="21"/>
                <w:szCs w:val="21"/>
              </w:rPr>
            </w:pPr>
            <w:r>
              <w:rPr>
                <w:rFonts w:ascii="宋体" w:hAnsi="宋体" w:cs="宋体" w:eastAsia="宋体" w:hint="default"/>
                <w:sz w:val="21"/>
                <w:szCs w:val="21"/>
              </w:rPr>
              <w:t>包含整体商誉的资产组账</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面价值⑤</w:t>
            </w:r>
            <w:r>
              <w:rPr>
                <w:rFonts w:ascii="宋体" w:hAnsi="宋体" w:cs="宋体" w:eastAsia="宋体" w:hint="default"/>
                <w:sz w:val="21"/>
                <w:szCs w:val="21"/>
              </w:rPr>
              <w:t>=</w:t>
            </w:r>
            <w:r>
              <w:rPr>
                <w:rFonts w:ascii="宋体" w:hAnsi="宋体" w:cs="宋体" w:eastAsia="宋体" w:hint="default"/>
                <w:sz w:val="21"/>
                <w:szCs w:val="21"/>
              </w:rPr>
              <w:t>④</w:t>
            </w:r>
            <w:r>
              <w:rPr>
                <w:rFonts w:ascii="宋体" w:hAnsi="宋体" w:cs="宋体" w:eastAsia="宋体" w:hint="default"/>
                <w:sz w:val="21"/>
                <w:szCs w:val="21"/>
              </w:rPr>
              <w:t>+</w:t>
            </w:r>
            <w:r>
              <w:rPr>
                <w:rFonts w:ascii="宋体" w:hAnsi="宋体" w:cs="宋体" w:eastAsia="宋体" w:hint="default"/>
                <w:sz w:val="21"/>
                <w:szCs w:val="21"/>
              </w:rPr>
              <w:t>③</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9"/>
              <w:jc w:val="right"/>
              <w:rPr>
                <w:rFonts w:ascii="宋体" w:hAnsi="宋体" w:cs="宋体" w:eastAsia="宋体" w:hint="default"/>
                <w:sz w:val="21"/>
                <w:szCs w:val="21"/>
              </w:rPr>
            </w:pPr>
            <w:r>
              <w:rPr>
                <w:rFonts w:ascii="宋体"/>
                <w:spacing w:val="-1"/>
                <w:sz w:val="21"/>
              </w:rPr>
              <w:t>2,819,876,224.5</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4</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4"/>
              <w:jc w:val="right"/>
              <w:rPr>
                <w:rFonts w:ascii="宋体" w:hAnsi="宋体" w:cs="宋体" w:eastAsia="宋体" w:hint="default"/>
                <w:sz w:val="21"/>
                <w:szCs w:val="21"/>
              </w:rPr>
            </w:pPr>
            <w:r>
              <w:rPr>
                <w:rFonts w:ascii="宋体"/>
                <w:spacing w:val="-1"/>
                <w:sz w:val="21"/>
              </w:rPr>
              <w:t>221,389,837.39</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463,381,686.52</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
              <w:jc w:val="right"/>
              <w:rPr>
                <w:rFonts w:ascii="宋体" w:hAnsi="宋体" w:cs="宋体" w:eastAsia="宋体" w:hint="default"/>
                <w:sz w:val="21"/>
                <w:szCs w:val="21"/>
              </w:rPr>
            </w:pPr>
            <w:r>
              <w:rPr>
                <w:rFonts w:ascii="宋体"/>
                <w:spacing w:val="-1"/>
                <w:sz w:val="21"/>
              </w:rPr>
              <w:t>144,432,524.73</w:t>
            </w:r>
          </w:p>
        </w:tc>
      </w:tr>
      <w:tr>
        <w:trPr>
          <w:trHeight w:val="658"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预计未来现金流量的现值</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w w:val="100"/>
                <w:sz w:val="21"/>
                <w:szCs w:val="21"/>
              </w:rPr>
              <w:t>⑥</w:t>
            </w:r>
          </w:p>
        </w:tc>
        <w:tc>
          <w:tcPr>
            <w:tcW w:w="165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
              <w:jc w:val="right"/>
              <w:rPr>
                <w:rFonts w:ascii="宋体" w:hAnsi="宋体" w:cs="宋体" w:eastAsia="宋体" w:hint="default"/>
                <w:sz w:val="21"/>
                <w:szCs w:val="21"/>
              </w:rPr>
            </w:pPr>
            <w:r>
              <w:rPr>
                <w:rFonts w:ascii="宋体"/>
                <w:spacing w:val="-1"/>
                <w:sz w:val="21"/>
              </w:rPr>
              <w:t>2,941,999,100.0</w:t>
            </w:r>
          </w:p>
          <w:p>
            <w:pPr>
              <w:pStyle w:val="TableParagraph"/>
              <w:spacing w:line="240" w:lineRule="auto" w:before="37"/>
              <w:ind w:right="-5"/>
              <w:jc w:val="right"/>
              <w:rPr>
                <w:rFonts w:ascii="宋体" w:hAnsi="宋体" w:cs="宋体" w:eastAsia="宋体" w:hint="default"/>
                <w:sz w:val="21"/>
                <w:szCs w:val="21"/>
              </w:rPr>
            </w:pPr>
            <w:r>
              <w:rPr>
                <w:rFonts w:ascii="宋体"/>
                <w:w w:val="100"/>
                <w:sz w:val="21"/>
              </w:rPr>
              <w:t>0</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
              <w:jc w:val="right"/>
              <w:rPr>
                <w:rFonts w:ascii="宋体" w:hAnsi="宋体" w:cs="宋体" w:eastAsia="宋体" w:hint="default"/>
                <w:sz w:val="21"/>
                <w:szCs w:val="21"/>
              </w:rPr>
            </w:pPr>
            <w:r>
              <w:rPr>
                <w:rFonts w:ascii="宋体"/>
                <w:spacing w:val="-1"/>
                <w:sz w:val="21"/>
              </w:rPr>
              <w:t>200,947,500.00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482,986,600.00</w:t>
            </w:r>
          </w:p>
        </w:tc>
        <w:tc>
          <w:tcPr>
            <w:tcW w:w="16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
              <w:jc w:val="right"/>
              <w:rPr>
                <w:rFonts w:ascii="宋体" w:hAnsi="宋体" w:cs="宋体" w:eastAsia="宋体" w:hint="default"/>
                <w:sz w:val="21"/>
                <w:szCs w:val="21"/>
              </w:rPr>
            </w:pPr>
            <w:r>
              <w:rPr>
                <w:rFonts w:ascii="宋体"/>
                <w:spacing w:val="-1"/>
                <w:sz w:val="21"/>
              </w:rPr>
              <w:t>181,510,500.00</w:t>
            </w:r>
          </w:p>
        </w:tc>
      </w:tr>
      <w:tr>
        <w:trPr>
          <w:trHeight w:val="658"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95"/>
              <w:jc w:val="left"/>
              <w:rPr>
                <w:rFonts w:ascii="宋体" w:hAnsi="宋体" w:cs="宋体" w:eastAsia="宋体" w:hint="default"/>
                <w:sz w:val="21"/>
                <w:szCs w:val="21"/>
              </w:rPr>
            </w:pPr>
            <w:r>
              <w:rPr>
                <w:rFonts w:ascii="宋体" w:hAnsi="宋体" w:cs="宋体" w:eastAsia="宋体" w:hint="default"/>
                <w:sz w:val="21"/>
                <w:szCs w:val="21"/>
              </w:rPr>
              <w:t>整体商誉减值损失（⑤大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于⑥时）⑦</w:t>
            </w:r>
            <w:r>
              <w:rPr>
                <w:rFonts w:ascii="宋体" w:hAnsi="宋体" w:cs="宋体" w:eastAsia="宋体" w:hint="default"/>
                <w:sz w:val="21"/>
                <w:szCs w:val="21"/>
              </w:rPr>
              <w:t>=</w:t>
            </w:r>
            <w:r>
              <w:rPr>
                <w:rFonts w:ascii="宋体" w:hAnsi="宋体" w:cs="宋体" w:eastAsia="宋体" w:hint="default"/>
                <w:sz w:val="21"/>
                <w:szCs w:val="21"/>
              </w:rPr>
              <w:t>⑤</w:t>
            </w:r>
            <w:r>
              <w:rPr>
                <w:rFonts w:ascii="Times New Roman" w:hAnsi="Times New Roman" w:cs="Times New Roman" w:eastAsia="Times New Roman" w:hint="default"/>
                <w:sz w:val="21"/>
                <w:szCs w:val="21"/>
              </w:rPr>
              <w:t>-</w:t>
            </w:r>
            <w:r>
              <w:rPr>
                <w:rFonts w:ascii="宋体" w:hAnsi="宋体" w:cs="宋体" w:eastAsia="宋体" w:hint="default"/>
                <w:sz w:val="21"/>
                <w:szCs w:val="21"/>
              </w:rPr>
              <w:t>⑥</w:t>
            </w:r>
          </w:p>
        </w:tc>
        <w:tc>
          <w:tcPr>
            <w:tcW w:w="165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20,442,337.39</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母公司持股比例⑧</w:t>
            </w:r>
          </w:p>
        </w:tc>
        <w:tc>
          <w:tcPr>
            <w:tcW w:w="165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z w:val="21"/>
              </w:rPr>
              <w:t>65.738%</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43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95"/>
              <w:jc w:val="left"/>
              <w:rPr>
                <w:rFonts w:ascii="宋体" w:hAnsi="宋体" w:cs="宋体" w:eastAsia="宋体" w:hint="default"/>
                <w:sz w:val="21"/>
                <w:szCs w:val="21"/>
              </w:rPr>
            </w:pPr>
            <w:r>
              <w:rPr>
                <w:rFonts w:ascii="宋体" w:hAnsi="宋体" w:cs="宋体" w:eastAsia="宋体" w:hint="default"/>
                <w:sz w:val="21"/>
                <w:szCs w:val="21"/>
              </w:rPr>
              <w:t>归属于母公司的商誉减值</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损失⑨</w:t>
            </w:r>
            <w:r>
              <w:rPr>
                <w:rFonts w:ascii="宋体" w:hAnsi="宋体" w:cs="宋体" w:eastAsia="宋体" w:hint="default"/>
                <w:sz w:val="21"/>
                <w:szCs w:val="21"/>
              </w:rPr>
              <w:t>=</w:t>
            </w:r>
            <w:r>
              <w:rPr>
                <w:rFonts w:ascii="宋体" w:hAnsi="宋体" w:cs="宋体" w:eastAsia="宋体" w:hint="default"/>
                <w:sz w:val="21"/>
                <w:szCs w:val="21"/>
              </w:rPr>
              <w:t>⑦</w:t>
            </w:r>
            <w:r>
              <w:rPr>
                <w:rFonts w:ascii="宋体" w:hAnsi="宋体" w:cs="宋体" w:eastAsia="宋体" w:hint="default"/>
                <w:sz w:val="21"/>
                <w:szCs w:val="21"/>
              </w:rPr>
              <w:t>*</w:t>
            </w:r>
            <w:r>
              <w:rPr>
                <w:rFonts w:ascii="宋体" w:hAnsi="宋体" w:cs="宋体" w:eastAsia="宋体" w:hint="default"/>
                <w:sz w:val="21"/>
                <w:szCs w:val="21"/>
              </w:rPr>
              <w:t>⑧</w:t>
            </w:r>
          </w:p>
        </w:tc>
        <w:tc>
          <w:tcPr>
            <w:tcW w:w="1657" w:type="dxa"/>
            <w:tcBorders>
              <w:top w:val="single" w:sz="6" w:space="0" w:color="000000"/>
              <w:left w:val="single" w:sz="6" w:space="0" w:color="000000"/>
              <w:bottom w:val="single" w:sz="6" w:space="0" w:color="000000"/>
              <w:right w:val="single" w:sz="6" w:space="0" w:color="000000"/>
            </w:tcBorders>
          </w:tcPr>
          <w:p>
            <w:pP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13,438,359.17</w:t>
            </w:r>
          </w:p>
        </w:tc>
        <w:tc>
          <w:tcPr>
            <w:tcW w:w="1666" w:type="dxa"/>
            <w:tcBorders>
              <w:top w:val="single" w:sz="6" w:space="0" w:color="000000"/>
              <w:left w:val="single" w:sz="6" w:space="0" w:color="000000"/>
              <w:bottom w:val="single" w:sz="6" w:space="0" w:color="000000"/>
              <w:right w:val="single" w:sz="6" w:space="0" w:color="000000"/>
            </w:tcBorders>
          </w:tcPr>
          <w:p>
            <w:pPr/>
          </w:p>
        </w:tc>
        <w:tc>
          <w:tcPr>
            <w:tcW w:w="166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4"/>
        <w:rPr>
          <w:rFonts w:ascii="宋体" w:hAnsi="宋体" w:cs="宋体" w:eastAsia="宋体" w:hint="default"/>
          <w:sz w:val="5"/>
          <w:szCs w:val="5"/>
        </w:rPr>
      </w:pPr>
    </w:p>
    <w:p>
      <w:pPr>
        <w:pStyle w:val="BodyText"/>
        <w:spacing w:line="240" w:lineRule="auto"/>
        <w:ind w:left="473" w:right="1002"/>
        <w:jc w:val="left"/>
      </w:pPr>
      <w:r>
        <w:rPr/>
        <w:t>北京中电兴发科技有限公司预计未来现金流量的主要参数：</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377"/>
        <w:gridCol w:w="1700"/>
        <w:gridCol w:w="4639"/>
      </w:tblGrid>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参数</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50"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预测期增长率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6%-30%</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参考历史增长率、行业增长率以及未来销售预测</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稳定期增长率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0%</w:t>
            </w:r>
          </w:p>
        </w:tc>
        <w:tc>
          <w:tcPr>
            <w:tcW w:w="4639"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z w:val="21"/>
                <w:szCs w:val="21"/>
              </w:rPr>
              <w:t>左右</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参考历史毛利率</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税前折现率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18.11%</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根据资产加权平均资本成本确定</w:t>
            </w:r>
          </w:p>
        </w:tc>
      </w:tr>
      <w:tr>
        <w:trPr>
          <w:trHeight w:val="350"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无风险利率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3.93%</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选取最新的</w:t>
            </w:r>
            <w:r>
              <w:rPr>
                <w:rFonts w:ascii="宋体" w:hAnsi="宋体" w:cs="宋体" w:eastAsia="宋体" w:hint="default"/>
                <w:sz w:val="21"/>
                <w:szCs w:val="21"/>
              </w:rPr>
              <w:t>10</w:t>
            </w:r>
            <w:r>
              <w:rPr>
                <w:rFonts w:ascii="宋体" w:hAnsi="宋体" w:cs="宋体" w:eastAsia="宋体" w:hint="default"/>
                <w:sz w:val="21"/>
                <w:szCs w:val="21"/>
              </w:rPr>
              <w:t>年期以上长期国债利率的平均值</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系统风险系数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0.9964</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根据历史经验及对市场的预测取值</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市场风险溢价</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7.12%</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根据历史经验及对市场的预测取值</w:t>
            </w:r>
          </w:p>
        </w:tc>
      </w:tr>
      <w:tr>
        <w:trPr>
          <w:trHeight w:val="351"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特定风险调整系数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3%</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根据历史经验及对市场的预测取值</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预测期</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5</w:t>
            </w:r>
            <w:r>
              <w:rPr>
                <w:rFonts w:ascii="宋体" w:hAnsi="宋体" w:cs="宋体" w:eastAsia="宋体" w:hint="default"/>
                <w:sz w:val="21"/>
                <w:szCs w:val="21"/>
              </w:rPr>
              <w:t>年</w:t>
            </w:r>
          </w:p>
        </w:tc>
        <w:tc>
          <w:tcPr>
            <w:tcW w:w="463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5"/>
          <w:szCs w:val="5"/>
        </w:rPr>
      </w:pPr>
    </w:p>
    <w:p>
      <w:pPr>
        <w:pStyle w:val="BodyText"/>
        <w:spacing w:line="240" w:lineRule="auto"/>
        <w:ind w:left="473" w:right="1002"/>
        <w:jc w:val="left"/>
      </w:pPr>
      <w:r>
        <w:rPr/>
        <w:t>天津市泰达工程设计有限公司预计未来现金流量的主要参数：</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377"/>
        <w:gridCol w:w="1700"/>
        <w:gridCol w:w="4730"/>
      </w:tblGrid>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参数</w:t>
            </w:r>
          </w:p>
        </w:tc>
        <w:tc>
          <w:tcPr>
            <w:tcW w:w="47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50"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预测期增长率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6%-13%</w:t>
            </w:r>
          </w:p>
        </w:tc>
        <w:tc>
          <w:tcPr>
            <w:tcW w:w="47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参考历史增长率、行业增长率以及未来销售预测</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稳定期增长率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0%</w:t>
            </w:r>
          </w:p>
        </w:tc>
        <w:tc>
          <w:tcPr>
            <w:tcW w:w="473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42%</w:t>
            </w:r>
            <w:r>
              <w:rPr>
                <w:rFonts w:ascii="宋体" w:hAnsi="宋体" w:cs="宋体" w:eastAsia="宋体" w:hint="default"/>
                <w:sz w:val="21"/>
                <w:szCs w:val="21"/>
              </w:rPr>
              <w:t>左右</w:t>
            </w:r>
          </w:p>
        </w:tc>
        <w:tc>
          <w:tcPr>
            <w:tcW w:w="47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参考历史毛利率并略有下调</w:t>
            </w:r>
          </w:p>
        </w:tc>
      </w:tr>
      <w:tr>
        <w:trPr>
          <w:trHeight w:val="350"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税前折现率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14.57%</w:t>
            </w:r>
          </w:p>
        </w:tc>
        <w:tc>
          <w:tcPr>
            <w:tcW w:w="47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根据资产加权平均资本成本确定</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无风险利率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3.93%</w:t>
            </w:r>
          </w:p>
        </w:tc>
        <w:tc>
          <w:tcPr>
            <w:tcW w:w="47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选取最新的</w:t>
            </w:r>
            <w:r>
              <w:rPr>
                <w:rFonts w:ascii="宋体" w:hAnsi="宋体" w:cs="宋体" w:eastAsia="宋体" w:hint="default"/>
                <w:sz w:val="21"/>
                <w:szCs w:val="21"/>
              </w:rPr>
              <w:t>10</w:t>
            </w:r>
            <w:r>
              <w:rPr>
                <w:rFonts w:ascii="宋体" w:hAnsi="宋体" w:cs="宋体" w:eastAsia="宋体" w:hint="default"/>
                <w:sz w:val="21"/>
                <w:szCs w:val="21"/>
              </w:rPr>
              <w:t>年期以上长期国债利率的平均值</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系统风险系数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9" w:right="0"/>
              <w:jc w:val="center"/>
              <w:rPr>
                <w:rFonts w:ascii="宋体" w:hAnsi="宋体" w:cs="宋体" w:eastAsia="宋体" w:hint="default"/>
                <w:sz w:val="21"/>
                <w:szCs w:val="21"/>
              </w:rPr>
            </w:pPr>
            <w:r>
              <w:rPr>
                <w:rFonts w:ascii="Times New Roman"/>
                <w:sz w:val="21"/>
              </w:rPr>
              <w:t>0.</w:t>
            </w:r>
            <w:r>
              <w:rPr>
                <w:rFonts w:ascii="宋体"/>
                <w:sz w:val="21"/>
              </w:rPr>
              <w:t>7022</w:t>
            </w:r>
          </w:p>
        </w:tc>
        <w:tc>
          <w:tcPr>
            <w:tcW w:w="47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根据历史经验及对市场的预测取值</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市场风险溢价</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7.12%</w:t>
            </w:r>
          </w:p>
        </w:tc>
        <w:tc>
          <w:tcPr>
            <w:tcW w:w="473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根据历史经验及对市场的预测取值</w:t>
            </w:r>
          </w:p>
        </w:tc>
      </w:tr>
      <w:tr>
        <w:trPr>
          <w:trHeight w:val="350"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特定风险调整系数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2%</w:t>
            </w:r>
          </w:p>
        </w:tc>
        <w:tc>
          <w:tcPr>
            <w:tcW w:w="473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根据历史经验及对市场的预测取值</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预测期</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5</w:t>
            </w:r>
            <w:r>
              <w:rPr>
                <w:rFonts w:ascii="宋体" w:hAnsi="宋体" w:cs="宋体" w:eastAsia="宋体" w:hint="default"/>
                <w:sz w:val="21"/>
                <w:szCs w:val="21"/>
              </w:rPr>
              <w:t>年</w:t>
            </w:r>
          </w:p>
        </w:tc>
        <w:tc>
          <w:tcPr>
            <w:tcW w:w="473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40" w:lineRule="auto"/>
        <w:ind w:left="473" w:right="1002"/>
        <w:jc w:val="left"/>
      </w:pPr>
      <w:r>
        <w:rPr/>
        <w:t>苏州开关二厂有限公司预计未来现金流量的主要参数：</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377"/>
        <w:gridCol w:w="1700"/>
        <w:gridCol w:w="4715"/>
      </w:tblGrid>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参数</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50"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预测期增长率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3%-60%</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参考历史增长率、行业增长率以及未来销售预测</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稳定期增长率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0%</w:t>
            </w:r>
          </w:p>
        </w:tc>
        <w:tc>
          <w:tcPr>
            <w:tcW w:w="471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12%-30%</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参考历史毛利率</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税前折现率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14.84%</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根据资产加权平均资本成本确定</w:t>
            </w:r>
          </w:p>
        </w:tc>
      </w:tr>
      <w:tr>
        <w:trPr>
          <w:trHeight w:val="350"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无风险利率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3.93%</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选取最新的</w:t>
            </w:r>
            <w:r>
              <w:rPr>
                <w:rFonts w:ascii="宋体" w:hAnsi="宋体" w:cs="宋体" w:eastAsia="宋体" w:hint="default"/>
                <w:sz w:val="21"/>
                <w:szCs w:val="21"/>
              </w:rPr>
              <w:t>10</w:t>
            </w:r>
            <w:r>
              <w:rPr>
                <w:rFonts w:ascii="宋体" w:hAnsi="宋体" w:cs="宋体" w:eastAsia="宋体" w:hint="default"/>
                <w:sz w:val="21"/>
                <w:szCs w:val="21"/>
              </w:rPr>
              <w:t>年期以上长期国债利率的平均值</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系统风险系数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9" w:right="0"/>
              <w:jc w:val="center"/>
              <w:rPr>
                <w:rFonts w:ascii="宋体" w:hAnsi="宋体" w:cs="宋体" w:eastAsia="宋体" w:hint="default"/>
                <w:sz w:val="21"/>
                <w:szCs w:val="21"/>
              </w:rPr>
            </w:pPr>
            <w:r>
              <w:rPr>
                <w:rFonts w:ascii="Times New Roman"/>
                <w:sz w:val="21"/>
              </w:rPr>
              <w:t>0.</w:t>
            </w:r>
            <w:r>
              <w:rPr>
                <w:rFonts w:ascii="宋体"/>
                <w:sz w:val="21"/>
              </w:rPr>
              <w:t>7301</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根据历史经验及对市场的预测取值</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市场风险溢价</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7.12%</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根据历史经验及对市场的预测取值</w:t>
            </w:r>
          </w:p>
        </w:tc>
      </w:tr>
      <w:tr>
        <w:trPr>
          <w:trHeight w:val="350"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特定风险调整系数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2%</w:t>
            </w:r>
          </w:p>
        </w:tc>
        <w:tc>
          <w:tcPr>
            <w:tcW w:w="471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根据历史经验及对市场的预测取值</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预测期</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5</w:t>
            </w:r>
            <w:r>
              <w:rPr>
                <w:rFonts w:ascii="宋体" w:hAnsi="宋体" w:cs="宋体" w:eastAsia="宋体" w:hint="default"/>
                <w:sz w:val="21"/>
                <w:szCs w:val="21"/>
              </w:rPr>
              <w:t>年</w:t>
            </w:r>
          </w:p>
        </w:tc>
        <w:tc>
          <w:tcPr>
            <w:tcW w:w="471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5"/>
          <w:szCs w:val="5"/>
        </w:rPr>
      </w:pPr>
    </w:p>
    <w:p>
      <w:pPr>
        <w:pStyle w:val="BodyText"/>
        <w:spacing w:line="240" w:lineRule="auto"/>
        <w:ind w:left="473" w:right="1002"/>
        <w:jc w:val="left"/>
      </w:pPr>
      <w:r>
        <w:rPr/>
        <w:t>湖南易晟通信网络技术有限公司预计未来现金流量的主要参数：</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377"/>
        <w:gridCol w:w="1700"/>
        <w:gridCol w:w="4255"/>
      </w:tblGrid>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参数</w:t>
            </w:r>
          </w:p>
        </w:tc>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4" w:right="0"/>
              <w:jc w:val="center"/>
              <w:rPr>
                <w:rFonts w:ascii="宋体" w:hAnsi="宋体" w:cs="宋体" w:eastAsia="宋体" w:hint="default"/>
                <w:sz w:val="21"/>
                <w:szCs w:val="21"/>
              </w:rPr>
            </w:pPr>
            <w:r>
              <w:rPr>
                <w:rFonts w:ascii="宋体" w:hAnsi="宋体" w:cs="宋体" w:eastAsia="宋体" w:hint="default"/>
                <w:sz w:val="21"/>
                <w:szCs w:val="21"/>
              </w:rPr>
              <w:t>依据</w:t>
            </w:r>
          </w:p>
        </w:tc>
      </w:tr>
      <w:tr>
        <w:trPr>
          <w:trHeight w:val="350"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预测期增长率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sz w:val="21"/>
              </w:rPr>
              <w:t>-70%-300%</w:t>
            </w:r>
          </w:p>
        </w:tc>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参考历史增长率以及未来销售预测</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毛利率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90%</w:t>
            </w:r>
            <w:r>
              <w:rPr>
                <w:rFonts w:ascii="宋体" w:hAnsi="宋体" w:cs="宋体" w:eastAsia="宋体" w:hint="default"/>
                <w:sz w:val="21"/>
                <w:szCs w:val="21"/>
              </w:rPr>
              <w:t>左右</w:t>
            </w:r>
          </w:p>
        </w:tc>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参考历史毛利率并略有调整</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税前折现率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17.89%</w:t>
            </w:r>
          </w:p>
        </w:tc>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根据资产加权平均资本成本确定</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无风险利率</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3.93%</w:t>
            </w:r>
          </w:p>
        </w:tc>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选取最新的</w:t>
            </w:r>
            <w:r>
              <w:rPr>
                <w:rFonts w:ascii="宋体" w:hAnsi="宋体" w:cs="宋体" w:eastAsia="宋体" w:hint="default"/>
                <w:sz w:val="21"/>
                <w:szCs w:val="21"/>
              </w:rPr>
              <w:t>10</w:t>
            </w:r>
            <w:r>
              <w:rPr>
                <w:rFonts w:ascii="宋体" w:hAnsi="宋体" w:cs="宋体" w:eastAsia="宋体" w:hint="default"/>
                <w:sz w:val="21"/>
                <w:szCs w:val="21"/>
              </w:rPr>
              <w:t>年期以上长期国债利率的平均值</w:t>
            </w:r>
          </w:p>
        </w:tc>
      </w:tr>
      <w:tr>
        <w:trPr>
          <w:trHeight w:val="351"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系统风险系数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9" w:right="0"/>
              <w:jc w:val="center"/>
              <w:rPr>
                <w:rFonts w:ascii="宋体" w:hAnsi="宋体" w:cs="宋体" w:eastAsia="宋体" w:hint="default"/>
                <w:sz w:val="21"/>
                <w:szCs w:val="21"/>
              </w:rPr>
            </w:pPr>
            <w:r>
              <w:rPr>
                <w:rFonts w:ascii="Times New Roman"/>
                <w:sz w:val="21"/>
              </w:rPr>
              <w:t>0.</w:t>
            </w:r>
            <w:r>
              <w:rPr>
                <w:rFonts w:ascii="宋体"/>
                <w:sz w:val="21"/>
              </w:rPr>
              <w:t>9120</w:t>
            </w:r>
          </w:p>
        </w:tc>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根据历史经验及对市场的预测取值</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市场风险溢价</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7.12%</w:t>
            </w:r>
          </w:p>
        </w:tc>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根据历史经验及对市场的预测取值</w:t>
            </w:r>
          </w:p>
        </w:tc>
      </w:tr>
      <w:tr>
        <w:trPr>
          <w:trHeight w:val="346"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特定风险调整系数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3%</w:t>
            </w:r>
          </w:p>
        </w:tc>
        <w:tc>
          <w:tcPr>
            <w:tcW w:w="425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根据历史经验及对市场的预测取值</w:t>
            </w:r>
          </w:p>
        </w:tc>
      </w:tr>
      <w:tr>
        <w:trPr>
          <w:trHeight w:val="350" w:hRule="exact"/>
        </w:trPr>
        <w:tc>
          <w:tcPr>
            <w:tcW w:w="237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预测期</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z w:val="21"/>
                <w:szCs w:val="21"/>
              </w:rPr>
              <w:t>年</w:t>
            </w:r>
          </w:p>
        </w:tc>
        <w:tc>
          <w:tcPr>
            <w:tcW w:w="425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60" w:lineRule="exact" w:before="0"/>
        <w:ind w:right="1002"/>
        <w:jc w:val="left"/>
      </w:pPr>
      <w:r>
        <w:rPr/>
        <w:t>公司期末对与商誉相关的资产组进行了减值测试，在进行减值测试时，将商誉的账面价值分摊至预期从企</w:t>
      </w:r>
    </w:p>
    <w:p>
      <w:pPr>
        <w:pStyle w:val="BodyText"/>
        <w:spacing w:line="273" w:lineRule="auto" w:before="37"/>
        <w:ind w:right="1002"/>
        <w:jc w:val="left"/>
      </w:pPr>
      <w:r>
        <w:rPr>
          <w:spacing w:val="-2"/>
        </w:rPr>
        <w:t>业合并的协同效应中受益的资产组或资产组组合。然后将资产组账面价值与其可收回金额进行比较，以确</w:t>
      </w:r>
      <w:r>
        <w:rPr>
          <w:spacing w:val="-33"/>
        </w:rPr>
        <w:t> </w:t>
      </w:r>
      <w:r>
        <w:rPr>
          <w:spacing w:val="-33"/>
        </w:rPr>
      </w:r>
      <w:r>
        <w:rPr>
          <w:spacing w:val="-2"/>
        </w:rPr>
        <w:t>定资产组（包括商誉）是否发生了减值。经测算本期公司对北京中电兴发科技有限公司、苏州开关二厂有</w:t>
      </w:r>
      <w:r>
        <w:rPr>
          <w:spacing w:val="-33"/>
        </w:rPr>
        <w:t> </w:t>
      </w:r>
      <w:r>
        <w:rPr>
          <w:spacing w:val="-33"/>
        </w:rPr>
      </w:r>
      <w:r>
        <w:rPr>
          <w:spacing w:val="-2"/>
        </w:rPr>
        <w:t>限公司及苏州天平安装工程有限公司、湖南易晟通信网络技术有限公司的商誉均未发生减值；天津市泰达</w:t>
      </w:r>
      <w:r>
        <w:rPr>
          <w:spacing w:val="-33"/>
        </w:rPr>
        <w:t> </w:t>
      </w:r>
      <w:r>
        <w:rPr>
          <w:spacing w:val="-33"/>
        </w:rPr>
      </w:r>
      <w:r>
        <w:rPr/>
        <w:t>工程设计有限公司本期预计未来现金流量的现值小于包含整体商誉的资产组账面价值，按母公司持股比</w:t>
      </w:r>
      <w:r>
        <w:rPr>
          <w:w w:val="100"/>
        </w:rPr>
        <w:t> </w:t>
      </w:r>
      <w:r>
        <w:rPr/>
        <w:t>例，本期计提商誉减值</w:t>
      </w:r>
      <w:r>
        <w:rPr>
          <w:rFonts w:ascii="宋体" w:hAnsi="宋体" w:cs="宋体" w:eastAsia="宋体" w:hint="default"/>
        </w:rPr>
        <w:t>13,438,359.17</w:t>
      </w:r>
      <w:r>
        <w:rPr/>
        <w:t>元。</w:t>
      </w:r>
    </w:p>
    <w:p>
      <w:pPr>
        <w:pStyle w:val="BodyText"/>
        <w:spacing w:line="307" w:lineRule="auto" w:before="51"/>
        <w:ind w:right="8861"/>
        <w:jc w:val="left"/>
      </w:pPr>
      <w:r>
        <w:rPr/>
        <w:t>商誉减值测试的影响</w:t>
      </w:r>
      <w:r>
        <w:rPr>
          <w:spacing w:val="-100"/>
        </w:rPr>
        <w:t> </w:t>
      </w:r>
      <w:r>
        <w:rPr>
          <w:spacing w:val="-100"/>
        </w:rPr>
      </w:r>
      <w:r>
        <w:rPr/>
        <w:t>其他说明</w:t>
      </w:r>
    </w:p>
    <w:p>
      <w:pPr>
        <w:spacing w:line="240" w:lineRule="auto" w:before="1"/>
        <w:rPr>
          <w:rFonts w:ascii="宋体" w:hAnsi="宋体" w:cs="宋体" w:eastAsia="宋体" w:hint="default"/>
          <w:sz w:val="21"/>
          <w:szCs w:val="21"/>
        </w:rPr>
      </w:pPr>
    </w:p>
    <w:p>
      <w:pPr>
        <w:pStyle w:val="Heading5"/>
        <w:spacing w:line="240" w:lineRule="auto"/>
        <w:ind w:right="1002"/>
        <w:jc w:val="left"/>
        <w:rPr>
          <w:b w:val="0"/>
          <w:bCs w:val="0"/>
        </w:rPr>
      </w:pPr>
      <w:bookmarkStart w:name="29、长期待摊费用" w:id="326"/>
      <w:bookmarkEnd w:id="326"/>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1,105,948.33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1,276,706.62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1,024,360.33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1,358,294.62</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场地使用费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1,079,487.86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226,415.10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153,803.99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1,152,098.97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车位费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1,404,000.00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108,000.00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1,296,000.00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装饰装修费</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1,262,258.07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300,521.07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429,352.92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1,133,426.22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家具</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292,988.03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97,662.72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195,325.31</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180,000.00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94,339.62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161,446.54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pacing w:val="-1"/>
                <w:sz w:val="21"/>
              </w:rPr>
              <w:t>112,893.08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5,324,682.29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1,897,982.41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1,974,626.50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5,248,038.20</w:t>
            </w:r>
          </w:p>
        </w:tc>
      </w:tr>
    </w:tbl>
    <w:p>
      <w:pPr>
        <w:pStyle w:val="BodyText"/>
        <w:spacing w:line="240" w:lineRule="auto" w:before="29"/>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30、递延所得税资产/递延所得税负债" w:id="327"/>
      <w:bookmarkEnd w:id="32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未经抵销的递延所得税资产" w:id="328"/>
      <w:bookmarkEnd w:id="328"/>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09"/>
              <w:jc w:val="right"/>
              <w:rPr>
                <w:rFonts w:ascii="宋体" w:hAnsi="宋体" w:cs="宋体" w:eastAsia="宋体" w:hint="default"/>
                <w:sz w:val="21"/>
                <w:szCs w:val="21"/>
              </w:rPr>
            </w:pPr>
            <w:r>
              <w:rPr>
                <w:rFonts w:ascii="宋体" w:hAnsi="宋体" w:cs="宋体" w:eastAsia="宋体" w:hint="default"/>
                <w:spacing w:val="-1"/>
                <w:sz w:val="21"/>
                <w:szCs w:val="21"/>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pacing w:val="-1"/>
                <w:sz w:val="21"/>
                <w:szCs w:val="21"/>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352,997,854.90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54,590,927.35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364,471,545.26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54,821,406.93</w:t>
            </w: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9"/>
              <w:ind w:left="105" w:right="108"/>
              <w:jc w:val="left"/>
              <w:rPr>
                <w:rFonts w:ascii="宋体" w:hAnsi="宋体" w:cs="宋体" w:eastAsia="宋体" w:hint="default"/>
                <w:sz w:val="21"/>
                <w:szCs w:val="21"/>
              </w:rPr>
            </w:pPr>
            <w:r>
              <w:rPr>
                <w:rFonts w:ascii="宋体" w:hAnsi="宋体" w:cs="宋体" w:eastAsia="宋体" w:hint="default"/>
                <w:sz w:val="21"/>
                <w:szCs w:val="21"/>
              </w:rPr>
              <w:t>内部交易未实现利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6,940,717.12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1,041,107.50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42,998,559.92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1,248,238.92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309,243,380.09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49,924,824.81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174,791,674.62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26,689,131.85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22,316,261.29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3,347,439.19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26,283,537.38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3,942,530.61</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691,498,213.40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108,904,298.85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608,545,317.18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86,701,308.31</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未经抵销的递延所得税负债" w:id="329"/>
      <w:bookmarkEnd w:id="329"/>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09"/>
              <w:jc w:val="right"/>
              <w:rPr>
                <w:rFonts w:ascii="宋体" w:hAnsi="宋体" w:cs="宋体" w:eastAsia="宋体" w:hint="default"/>
                <w:sz w:val="21"/>
                <w:szCs w:val="21"/>
              </w:rPr>
            </w:pPr>
            <w:r>
              <w:rPr>
                <w:rFonts w:ascii="宋体" w:hAnsi="宋体" w:cs="宋体" w:eastAsia="宋体" w:hint="default"/>
                <w:spacing w:val="-1"/>
                <w:sz w:val="21"/>
                <w:szCs w:val="21"/>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04"/>
              <w:jc w:val="right"/>
              <w:rPr>
                <w:rFonts w:ascii="宋体" w:hAnsi="宋体" w:cs="宋体" w:eastAsia="宋体" w:hint="default"/>
                <w:sz w:val="21"/>
                <w:szCs w:val="21"/>
              </w:rPr>
            </w:pPr>
            <w:r>
              <w:rPr>
                <w:rFonts w:ascii="宋体" w:hAnsi="宋体" w:cs="宋体" w:eastAsia="宋体" w:hint="default"/>
                <w:spacing w:val="-1"/>
                <w:sz w:val="21"/>
                <w:szCs w:val="21"/>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08"/>
              <w:jc w:val="left"/>
              <w:rPr>
                <w:rFonts w:ascii="宋体" w:hAnsi="宋体" w:cs="宋体" w:eastAsia="宋体" w:hint="default"/>
                <w:sz w:val="21"/>
                <w:szCs w:val="21"/>
              </w:rPr>
            </w:pPr>
            <w:r>
              <w:rPr>
                <w:rFonts w:ascii="宋体" w:hAnsi="宋体" w:cs="宋体" w:eastAsia="宋体" w:hint="default"/>
                <w:sz w:val="21"/>
                <w:szCs w:val="21"/>
              </w:rPr>
              <w:t>非同一控制企业合</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并资产评估增值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84,747,147.11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12,712,072.05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94,715,086.19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14,207,262.92</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05" w:right="108"/>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公允价值变动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2,243,335.39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336,500.31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1,703,743.81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255,561.57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86,990,482.50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13,048,572.36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96,418,830.00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14,462,824.49</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3）以抵销后净额列示的递延所得税资产或负债" w:id="330"/>
      <w:bookmarkEnd w:id="330"/>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10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115" w:right="109"/>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负债期末互抵金额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0" w:right="104"/>
              <w:jc w:val="center"/>
              <w:rPr>
                <w:rFonts w:ascii="宋体" w:hAnsi="宋体" w:cs="宋体" w:eastAsia="宋体" w:hint="default"/>
                <w:sz w:val="21"/>
                <w:szCs w:val="21"/>
              </w:rPr>
            </w:pPr>
            <w:r>
              <w:rPr>
                <w:rFonts w:ascii="宋体" w:hAnsi="宋体" w:cs="宋体" w:eastAsia="宋体" w:hint="default"/>
                <w:spacing w:val="-1"/>
                <w:sz w:val="21"/>
                <w:szCs w:val="21"/>
              </w:rPr>
              <w:t>抵销后递延所得税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资产或负债期末余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115" w:right="104"/>
              <w:jc w:val="left"/>
              <w:rPr>
                <w:rFonts w:ascii="宋体" w:hAnsi="宋体" w:cs="宋体" w:eastAsia="宋体" w:hint="default"/>
                <w:sz w:val="21"/>
                <w:szCs w:val="21"/>
              </w:rPr>
            </w:pPr>
            <w:r>
              <w:rPr>
                <w:rFonts w:ascii="宋体" w:hAnsi="宋体" w:cs="宋体" w:eastAsia="宋体" w:hint="default"/>
                <w:sz w:val="21"/>
                <w:szCs w:val="21"/>
              </w:rPr>
              <w:t>递延所得税资产和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负债期初互抵金额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15" w:right="104"/>
              <w:jc w:val="center"/>
              <w:rPr>
                <w:rFonts w:ascii="宋体" w:hAnsi="宋体" w:cs="宋体" w:eastAsia="宋体" w:hint="default"/>
                <w:sz w:val="21"/>
                <w:szCs w:val="21"/>
              </w:rPr>
            </w:pPr>
            <w:r>
              <w:rPr>
                <w:rFonts w:ascii="宋体" w:hAnsi="宋体" w:cs="宋体" w:eastAsia="宋体" w:hint="default"/>
                <w:spacing w:val="-1"/>
                <w:sz w:val="21"/>
                <w:szCs w:val="21"/>
              </w:rPr>
              <w:t>抵销后递延所得税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
                <w:sz w:val="21"/>
                <w:szCs w:val="21"/>
              </w:rPr>
              <w:t>资产或负债期初余</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108,904,298.85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86,701,308.31</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13,048,572.36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14,462,824.49</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1002"/>
        <w:jc w:val="left"/>
        <w:rPr>
          <w:b w:val="0"/>
          <w:bCs w:val="0"/>
        </w:rPr>
      </w:pPr>
      <w:bookmarkStart w:name="（4）未确认递延所得税资产明细" w:id="331"/>
      <w:bookmarkEnd w:id="331"/>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5）未确认递延所得税资产的可抵扣亏损将于以下年度到期" w:id="332"/>
      <w:bookmarkEnd w:id="332"/>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67"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6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31、其他非流动资产" w:id="333"/>
      <w:bookmarkEnd w:id="333"/>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2" w:top="1100" w:bottom="1220" w:left="1020" w:right="0"/>
        </w:sectPr>
      </w:pPr>
    </w:p>
    <w:p>
      <w:pPr>
        <w:pStyle w:val="BodyText"/>
        <w:spacing w:line="240" w:lineRule="auto"/>
        <w:ind w:right="-8"/>
        <w:jc w:val="left"/>
      </w:pPr>
      <w:r>
        <w:rPr>
          <w:spacing w:val="-1"/>
        </w:rPr>
        <w:t>是否已执行新收入准则</w:t>
      </w:r>
    </w:p>
    <w:p>
      <w:pPr>
        <w:pStyle w:val="BodyText"/>
        <w:spacing w:line="240" w:lineRule="auto" w:before="75"/>
        <w:ind w:right="-8"/>
        <w:jc w:val="left"/>
      </w:pPr>
      <w:r>
        <w:rPr/>
        <w:t>□ 是 √</w:t>
      </w:r>
      <w:r>
        <w:rPr>
          <w:spacing w:val="5"/>
        </w:rPr>
        <w:t> </w:t>
      </w:r>
      <w:r>
        <w:rPr/>
        <w:t>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40"/>
          <w:pgMar w:top="1100" w:bottom="1220" w:left="1020" w:right="0"/>
          <w:cols w:num="2" w:equalWidth="0">
            <w:col w:w="2216" w:space="6480"/>
            <w:col w:w="2194"/>
          </w:cols>
        </w:sectPr>
      </w:pP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智慧</w:t>
            </w:r>
            <w:r>
              <w:rPr>
                <w:rFonts w:ascii="宋体" w:hAnsi="宋体" w:cs="宋体" w:eastAsia="宋体" w:hint="default"/>
                <w:spacing w:val="-47"/>
                <w:sz w:val="21"/>
                <w:szCs w:val="21"/>
              </w:rPr>
              <w:t> </w:t>
            </w:r>
            <w:r>
              <w:rPr>
                <w:rFonts w:ascii="Times New Roman" w:hAnsi="Times New Roman" w:cs="Times New Roman" w:eastAsia="Times New Roman" w:hint="default"/>
                <w:spacing w:val="-3"/>
                <w:sz w:val="21"/>
                <w:szCs w:val="21"/>
              </w:rPr>
              <w:t>APP</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一期设计开发预付款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1,520,000.00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1,520,000.00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预付设备款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402,759.12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406,397.12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长期借出款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583,847.00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6,220,000.00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预付股权款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2,400,000.00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4,906,606.12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8,146,397.12</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32、短期借款" w:id="334"/>
      <w:bookmarkEnd w:id="334"/>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短期借款分类" w:id="335"/>
      <w:bookmarkEnd w:id="335"/>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90,000,000.00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215,000,000.00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75,000,000.00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464,321,250.00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418,500,000.00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769,321,250.00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493,500,000.00</w:t>
            </w:r>
          </w:p>
        </w:tc>
      </w:tr>
    </w:tbl>
    <w:p>
      <w:pPr>
        <w:pStyle w:val="BodyText"/>
        <w:spacing w:line="307" w:lineRule="auto" w:before="28"/>
        <w:ind w:left="473" w:right="1002" w:hanging="360"/>
        <w:jc w:val="left"/>
      </w:pPr>
      <w:r>
        <w:rPr/>
        <w:t>短期借款分类的说明：</w:t>
      </w:r>
      <w:r>
        <w:rPr>
          <w:w w:val="100"/>
        </w:rPr>
        <w:t> </w:t>
      </w:r>
      <w:r>
        <w:rPr/>
        <w:t>子公司安徽鑫龙自动化有限公司的芜湖扬子农村商业银行股份有限公司</w:t>
      </w:r>
      <w:r>
        <w:rPr>
          <w:rFonts w:ascii="宋体" w:hAnsi="宋体" w:cs="宋体" w:eastAsia="宋体" w:hint="default"/>
        </w:rPr>
        <w:t>2</w:t>
      </w:r>
      <w:r>
        <w:rPr>
          <w:rFonts w:ascii="Times New Roman" w:hAnsi="Times New Roman" w:cs="Times New Roman" w:eastAsia="Times New Roman" w:hint="default"/>
        </w:rPr>
        <w:t>,</w:t>
      </w:r>
      <w:r>
        <w:rPr>
          <w:rFonts w:ascii="宋体" w:hAnsi="宋体" w:cs="宋体" w:eastAsia="宋体" w:hint="default"/>
        </w:rPr>
        <w:t>500</w:t>
      </w:r>
      <w:r>
        <w:rPr>
          <w:rFonts w:ascii="Times New Roman" w:hAnsi="Times New Roman" w:cs="Times New Roman" w:eastAsia="Times New Roman" w:hint="default"/>
        </w:rPr>
        <w:t>.00</w:t>
      </w:r>
      <w:r>
        <w:rPr/>
        <w:t>万元保证借款由母公</w:t>
      </w:r>
    </w:p>
    <w:p>
      <w:pPr>
        <w:pStyle w:val="BodyText"/>
        <w:spacing w:line="232" w:lineRule="exact" w:before="0"/>
        <w:ind w:right="1002"/>
        <w:jc w:val="left"/>
      </w:pPr>
      <w:r>
        <w:rPr/>
        <w:t>司安徽中电兴发与鑫龙科技股份有限公司提供担保。</w:t>
      </w:r>
    </w:p>
    <w:p>
      <w:pPr>
        <w:pStyle w:val="BodyText"/>
        <w:spacing w:line="256" w:lineRule="auto" w:before="37"/>
        <w:ind w:right="1002" w:firstLine="360"/>
        <w:jc w:val="left"/>
      </w:pPr>
      <w:r>
        <w:rPr/>
        <w:t>子公司北京中电兴发科技有限公司的北京银行中关村支行</w:t>
      </w:r>
      <w:r>
        <w:rPr>
          <w:rFonts w:ascii="宋体" w:hAnsi="宋体" w:cs="宋体" w:eastAsia="宋体" w:hint="default"/>
        </w:rPr>
        <w:t>9</w:t>
      </w:r>
      <w:r>
        <w:rPr>
          <w:rFonts w:ascii="Times New Roman" w:hAnsi="Times New Roman" w:cs="Times New Roman" w:eastAsia="Times New Roman" w:hint="default"/>
        </w:rPr>
        <w:t>,000.00</w:t>
      </w:r>
      <w:r>
        <w:rPr/>
        <w:t>万保证借款由母公司安徽中电兴发</w:t>
      </w:r>
      <w:r>
        <w:rPr>
          <w:w w:val="100"/>
        </w:rPr>
        <w:t> </w:t>
      </w:r>
      <w:r>
        <w:rPr>
          <w:spacing w:val="-2"/>
        </w:rPr>
        <w:t>与鑫龙科技股份有限公司提供担保，北京中电兴发科技有限公司名下位于北京市海淀区地锦路</w:t>
      </w:r>
      <w:r>
        <w:rPr>
          <w:rFonts w:ascii="宋体" w:hAnsi="宋体" w:cs="宋体" w:eastAsia="宋体" w:hint="default"/>
          <w:spacing w:val="-2"/>
        </w:rPr>
        <w:t>7</w:t>
      </w:r>
      <w:r>
        <w:rPr>
          <w:spacing w:val="-2"/>
        </w:rPr>
        <w:t>号院</w:t>
      </w:r>
      <w:r>
        <w:rPr>
          <w:rFonts w:ascii="宋体" w:hAnsi="宋体" w:cs="宋体" w:eastAsia="宋体" w:hint="default"/>
          <w:spacing w:val="-2"/>
        </w:rPr>
        <w:t>5</w:t>
      </w:r>
      <w:r>
        <w:rPr>
          <w:spacing w:val="-2"/>
        </w:rPr>
        <w:t>号楼</w:t>
      </w:r>
    </w:p>
    <w:p>
      <w:pPr>
        <w:spacing w:after="0" w:line="256" w:lineRule="auto"/>
        <w:jc w:val="left"/>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ind w:left="473" w:right="1002" w:hanging="360"/>
        <w:jc w:val="left"/>
      </w:pPr>
      <w:r>
        <w:rPr/>
        <w:t>房地产作为抵押。</w:t>
      </w:r>
      <w:r>
        <w:rPr>
          <w:spacing w:val="-101"/>
        </w:rPr>
        <w:t> </w:t>
      </w:r>
      <w:r>
        <w:rPr>
          <w:spacing w:val="-101"/>
        </w:rPr>
      </w:r>
      <w:r>
        <w:rPr>
          <w:spacing w:val="-3"/>
        </w:rPr>
        <w:t>母公司安徽中电兴发与鑫龙科技股份有限公司的中国农业银行芜湖开发区支行</w:t>
      </w:r>
      <w:r>
        <w:rPr>
          <w:rFonts w:ascii="宋体" w:hAnsi="宋体" w:cs="宋体" w:eastAsia="宋体" w:hint="default"/>
          <w:spacing w:val="-3"/>
        </w:rPr>
        <w:t>5</w:t>
      </w:r>
      <w:r>
        <w:rPr>
          <w:rFonts w:ascii="Times New Roman" w:hAnsi="Times New Roman" w:cs="Times New Roman" w:eastAsia="Times New Roman" w:hint="default"/>
          <w:spacing w:val="-3"/>
        </w:rPr>
        <w:t>,000.00</w:t>
      </w:r>
      <w:r>
        <w:rPr>
          <w:spacing w:val="-3"/>
        </w:rPr>
        <w:t>万保证借款、中</w:t>
      </w:r>
    </w:p>
    <w:p>
      <w:pPr>
        <w:pStyle w:val="BodyText"/>
        <w:spacing w:line="256" w:lineRule="auto" w:before="0"/>
        <w:ind w:right="1127"/>
        <w:jc w:val="both"/>
      </w:pPr>
      <w:r>
        <w:rPr>
          <w:spacing w:val="-2"/>
        </w:rPr>
        <w:t>国建设银行芜湖开发区支行</w:t>
      </w:r>
      <w:r>
        <w:rPr>
          <w:rFonts w:ascii="宋体" w:hAnsi="宋体" w:cs="宋体" w:eastAsia="宋体" w:hint="default"/>
          <w:spacing w:val="-2"/>
        </w:rPr>
        <w:t>8</w:t>
      </w:r>
      <w:r>
        <w:rPr>
          <w:rFonts w:ascii="Times New Roman" w:hAnsi="Times New Roman" w:cs="Times New Roman" w:eastAsia="Times New Roman" w:hint="default"/>
          <w:spacing w:val="-2"/>
        </w:rPr>
        <w:t>,000.00</w:t>
      </w:r>
      <w:r>
        <w:rPr>
          <w:spacing w:val="-2"/>
        </w:rPr>
        <w:t>万保证借款、中国工商银行芜湖开发区支行</w:t>
      </w:r>
      <w:r>
        <w:rPr>
          <w:rFonts w:ascii="宋体" w:hAnsi="宋体" w:cs="宋体" w:eastAsia="宋体" w:hint="default"/>
          <w:spacing w:val="-2"/>
        </w:rPr>
        <w:t>2</w:t>
      </w:r>
      <w:r>
        <w:rPr>
          <w:rFonts w:ascii="Times New Roman" w:hAnsi="Times New Roman" w:cs="Times New Roman" w:eastAsia="Times New Roman" w:hint="default"/>
          <w:spacing w:val="-2"/>
        </w:rPr>
        <w:t>,000.00</w:t>
      </w:r>
      <w:r>
        <w:rPr>
          <w:spacing w:val="-2"/>
        </w:rPr>
        <w:t>万保证借款、中国</w:t>
      </w:r>
      <w:r>
        <w:rPr>
          <w:spacing w:val="-17"/>
        </w:rPr>
        <w:t> </w:t>
      </w:r>
      <w:r>
        <w:rPr>
          <w:spacing w:val="-17"/>
        </w:rPr>
      </w:r>
      <w:r>
        <w:rPr>
          <w:spacing w:val="-2"/>
        </w:rPr>
        <w:t>交通银行芜湖芜宁路支行</w:t>
      </w:r>
      <w:r>
        <w:rPr>
          <w:rFonts w:ascii="宋体" w:hAnsi="宋体" w:cs="宋体" w:eastAsia="宋体" w:hint="default"/>
          <w:spacing w:val="-2"/>
        </w:rPr>
        <w:t>3</w:t>
      </w:r>
      <w:r>
        <w:rPr>
          <w:rFonts w:ascii="Times New Roman" w:hAnsi="Times New Roman" w:cs="Times New Roman" w:eastAsia="Times New Roman" w:hint="default"/>
          <w:spacing w:val="-2"/>
        </w:rPr>
        <w:t>,000.00</w:t>
      </w:r>
      <w:r>
        <w:rPr>
          <w:spacing w:val="-2"/>
        </w:rPr>
        <w:t>万保证借款、中国银行芜湖营业部</w:t>
      </w:r>
      <w:r>
        <w:rPr>
          <w:rFonts w:ascii="宋体" w:hAnsi="宋体" w:cs="宋体" w:eastAsia="宋体" w:hint="default"/>
          <w:spacing w:val="-2"/>
        </w:rPr>
        <w:t>1</w:t>
      </w:r>
      <w:r>
        <w:rPr>
          <w:rFonts w:ascii="Times New Roman" w:hAnsi="Times New Roman" w:cs="Times New Roman" w:eastAsia="Times New Roman" w:hint="default"/>
          <w:spacing w:val="-2"/>
        </w:rPr>
        <w:t>,000.00</w:t>
      </w:r>
      <w:r>
        <w:rPr>
          <w:spacing w:val="-2"/>
        </w:rPr>
        <w:t>万保证借款由全资子公司安徽</w:t>
      </w:r>
      <w:r>
        <w:rPr>
          <w:spacing w:val="-18"/>
        </w:rPr>
        <w:t> </w:t>
      </w:r>
      <w:r>
        <w:rPr>
          <w:spacing w:val="-18"/>
        </w:rPr>
      </w:r>
      <w:r>
        <w:rPr/>
        <w:t>森源电器有限公司提供担保。</w:t>
      </w:r>
    </w:p>
    <w:p>
      <w:pPr>
        <w:spacing w:line="240" w:lineRule="auto" w:before="11"/>
        <w:rPr>
          <w:rFonts w:ascii="宋体" w:hAnsi="宋体" w:cs="宋体" w:eastAsia="宋体" w:hint="default"/>
          <w:sz w:val="24"/>
          <w:szCs w:val="24"/>
        </w:rPr>
      </w:pPr>
    </w:p>
    <w:p>
      <w:pPr>
        <w:pStyle w:val="Heading5"/>
        <w:spacing w:line="240" w:lineRule="auto"/>
        <w:ind w:right="0"/>
        <w:jc w:val="both"/>
        <w:rPr>
          <w:b w:val="0"/>
          <w:bCs w:val="0"/>
        </w:rPr>
      </w:pPr>
      <w:bookmarkStart w:name="（2）已逾期未偿还的短期借款情况" w:id="336"/>
      <w:bookmarkEnd w:id="336"/>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right="1002"/>
        <w:jc w:val="left"/>
      </w:pPr>
      <w:r>
        <w:rPr/>
        <w:t>本期末已逾期未偿还的短期借款总额为元，其中重要的已逾期未偿还的短期借款情况如下：</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借款利率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逾期利率</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33、交易性金融负债" w:id="337"/>
      <w:bookmarkEnd w:id="337"/>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316"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34、衍生金融负债" w:id="338"/>
      <w:bookmarkEnd w:id="338"/>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35、应付票据" w:id="339"/>
      <w:bookmarkEnd w:id="339"/>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100,149,799.26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95,297,752.20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100,149,799.26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95,297,752.20</w:t>
            </w:r>
          </w:p>
        </w:tc>
      </w:tr>
    </w:tbl>
    <w:p>
      <w:pPr>
        <w:pStyle w:val="BodyText"/>
        <w:spacing w:line="240" w:lineRule="auto" w:before="28"/>
        <w:ind w:right="1002"/>
        <w:jc w:val="left"/>
      </w:pPr>
      <w:r>
        <w:rPr/>
        <w:t>本期末已到期未支付的应付票据总额为元。</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36、应付账款" w:id="340"/>
      <w:bookmarkEnd w:id="340"/>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应付账款列示" w:id="341"/>
      <w:bookmarkEnd w:id="341"/>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434"/>
        <w:gridCol w:w="2948"/>
        <w:gridCol w:w="3193"/>
      </w:tblGrid>
      <w:tr>
        <w:trPr>
          <w:trHeight w:val="403" w:hRule="exact"/>
        </w:trPr>
        <w:tc>
          <w:tcPr>
            <w:tcW w:w="3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after="0" w:line="240" w:lineRule="auto"/>
        <w:jc w:val="center"/>
        <w:rPr>
          <w:rFonts w:ascii="宋体" w:hAnsi="宋体" w:cs="宋体" w:eastAsia="宋体" w:hint="default"/>
          <w:sz w:val="21"/>
          <w:szCs w:val="21"/>
        </w:rPr>
        <w:sectPr>
          <w:footerReference w:type="default" r:id="rId23"/>
          <w:pgSz w:w="11910" w:h="16840"/>
          <w:pgMar w:footer="1022" w:header="906"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434"/>
        <w:gridCol w:w="2948"/>
        <w:gridCol w:w="3193"/>
      </w:tblGrid>
      <w:tr>
        <w:trPr>
          <w:trHeight w:val="40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应付材料、劳务款</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915,018,517.19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510,418,826.44</w:t>
            </w:r>
          </w:p>
        </w:tc>
      </w:tr>
      <w:tr>
        <w:trPr>
          <w:trHeight w:val="398"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应付工程款</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15,369,778.08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6,974,544.14</w:t>
            </w:r>
          </w:p>
        </w:tc>
      </w:tr>
      <w:tr>
        <w:trPr>
          <w:trHeight w:val="404"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应付设备款</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z w:val="21"/>
              </w:rPr>
              <w:t>1,824,248.92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z w:val="21"/>
              </w:rPr>
              <w:t>1,049,381.34</w:t>
            </w:r>
          </w:p>
        </w:tc>
      </w:tr>
      <w:tr>
        <w:trPr>
          <w:trHeight w:val="40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租赁资产预提的电费和租用网络费</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56,270,461.23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41,202,638.50</w:t>
            </w:r>
          </w:p>
        </w:tc>
      </w:tr>
      <w:tr>
        <w:trPr>
          <w:trHeight w:val="403" w:hRule="exact"/>
        </w:trPr>
        <w:tc>
          <w:tcPr>
            <w:tcW w:w="3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8,654,549.83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2,807,497.94</w:t>
            </w:r>
          </w:p>
        </w:tc>
      </w:tr>
      <w:tr>
        <w:trPr>
          <w:trHeight w:val="403" w:hRule="exact"/>
        </w:trPr>
        <w:tc>
          <w:tcPr>
            <w:tcW w:w="3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997,137,555.25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562,452,888.36</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账龄超过1年的重要应付账款" w:id="342"/>
      <w:bookmarkEnd w:id="342"/>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736"/>
        <w:gridCol w:w="2862"/>
        <w:gridCol w:w="2977"/>
      </w:tblGrid>
      <w:tr>
        <w:trPr>
          <w:trHeight w:val="403" w:hRule="exact"/>
        </w:trPr>
        <w:tc>
          <w:tcPr>
            <w:tcW w:w="3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8"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716"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54"/>
              <w:jc w:val="left"/>
              <w:rPr>
                <w:rFonts w:ascii="宋体" w:hAnsi="宋体" w:cs="宋体" w:eastAsia="宋体" w:hint="default"/>
                <w:sz w:val="21"/>
                <w:szCs w:val="21"/>
              </w:rPr>
            </w:pPr>
            <w:r>
              <w:rPr>
                <w:rFonts w:ascii="宋体" w:hAnsi="宋体" w:cs="宋体" w:eastAsia="宋体" w:hint="default"/>
                <w:spacing w:val="-1"/>
                <w:sz w:val="21"/>
                <w:szCs w:val="21"/>
              </w:rPr>
              <w:t>贵州省广播电视信息网络股份有限公</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司六盘水市分公司</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55,256,493.33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未竣工结算</w:t>
            </w:r>
          </w:p>
        </w:tc>
      </w:tr>
      <w:tr>
        <w:trPr>
          <w:trHeight w:val="398"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贵州科星冠日电子有限公司</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22,927,301.05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未竣工结算</w:t>
            </w:r>
          </w:p>
        </w:tc>
      </w:tr>
      <w:tr>
        <w:trPr>
          <w:trHeight w:val="40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天津三源电力建设发展有限公司</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13,863,973.35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未竣工结算</w:t>
            </w:r>
          </w:p>
        </w:tc>
      </w:tr>
      <w:tr>
        <w:trPr>
          <w:trHeight w:val="403"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深圳桑达电子设备有限公司</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7,447,490.00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项目尚未验收</w:t>
            </w:r>
          </w:p>
        </w:tc>
      </w:tr>
      <w:tr>
        <w:trPr>
          <w:trHeight w:val="404" w:hRule="exact"/>
        </w:trPr>
        <w:tc>
          <w:tcPr>
            <w:tcW w:w="3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北京汉邦高科数字技术股份有限公司</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5,838,980.00</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项目尚未验收</w:t>
            </w:r>
          </w:p>
        </w:tc>
      </w:tr>
      <w:tr>
        <w:trPr>
          <w:trHeight w:val="403" w:hRule="exact"/>
        </w:trPr>
        <w:tc>
          <w:tcPr>
            <w:tcW w:w="3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105,334,237.73</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002"/>
        <w:jc w:val="left"/>
      </w:pPr>
      <w:r>
        <w:rPr/>
        <w:t>其他说明：</w:t>
      </w:r>
    </w:p>
    <w:p>
      <w:pPr>
        <w:spacing w:line="600" w:lineRule="atLeast" w:before="20"/>
        <w:ind w:left="113" w:right="8661" w:firstLine="0"/>
        <w:jc w:val="left"/>
        <w:rPr>
          <w:rFonts w:ascii="宋体" w:hAnsi="宋体" w:cs="宋体" w:eastAsia="宋体" w:hint="default"/>
          <w:sz w:val="21"/>
          <w:szCs w:val="21"/>
        </w:rPr>
      </w:pPr>
      <w:bookmarkStart w:name="37、预收款项" w:id="343"/>
      <w:bookmarkEnd w:id="343"/>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、预收款项</w:t>
      </w:r>
      <w:r>
        <w:rPr>
          <w:rFonts w:ascii="宋体" w:hAnsi="宋体" w:cs="宋体" w:eastAsia="宋体" w:hint="default"/>
          <w:b/>
          <w:bCs/>
          <w:spacing w:val="-103"/>
          <w:sz w:val="21"/>
          <w:szCs w:val="21"/>
        </w:rPr>
        <w:t> </w:t>
      </w:r>
      <w:r>
        <w:rPr>
          <w:rFonts w:ascii="宋体" w:hAnsi="宋体" w:cs="宋体" w:eastAsia="宋体" w:hint="default"/>
          <w:spacing w:val="-1"/>
          <w:sz w:val="21"/>
          <w:szCs w:val="21"/>
        </w:rPr>
        <w:t>是否已执行新收入准则</w:t>
      </w:r>
    </w:p>
    <w:p>
      <w:pPr>
        <w:pStyle w:val="BodyText"/>
        <w:spacing w:line="240" w:lineRule="auto" w:before="75"/>
        <w:ind w:right="1002"/>
        <w:jc w:val="left"/>
      </w:pPr>
      <w:r>
        <w:rPr/>
        <w:t>□ 是 √</w:t>
      </w:r>
      <w:r>
        <w:rPr>
          <w:spacing w:val="5"/>
        </w:rPr>
        <w:t> </w:t>
      </w:r>
      <w:r>
        <w:rPr/>
        <w:t>否</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1）预收款项列示" w:id="344"/>
      <w:bookmarkEnd w:id="344"/>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189,904,472.47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247,903,169.27</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189,904,472.47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247,903,169.27</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账龄超过1年的重要预收款项" w:id="345"/>
      <w:bookmarkEnd w:id="345"/>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405"/>
        <w:gridCol w:w="2852"/>
        <w:gridCol w:w="3318"/>
      </w:tblGrid>
      <w:tr>
        <w:trPr>
          <w:trHeight w:val="404"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5"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平邑县中医医院</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3,500,000.00</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尚未完工验收</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 </w:t>
            </w:r>
            <w:r>
              <w:rPr>
                <w:rFonts w:ascii="宋体" w:hAnsi="宋体" w:cs="宋体" w:eastAsia="宋体" w:hint="default"/>
                <w:sz w:val="21"/>
                <w:szCs w:val="21"/>
              </w:rPr>
              <w:t>公司（注</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2,130,000.00</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尚未完工验收（注</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：因该客户涉</w:t>
            </w:r>
          </w:p>
        </w:tc>
      </w:tr>
    </w:tbl>
    <w:p>
      <w:pPr>
        <w:spacing w:after="0" w:line="240" w:lineRule="auto"/>
        <w:jc w:val="left"/>
        <w:rPr>
          <w:rFonts w:ascii="宋体" w:hAnsi="宋体" w:cs="宋体" w:eastAsia="宋体" w:hint="default"/>
          <w:sz w:val="21"/>
          <w:szCs w:val="21"/>
        </w:rPr>
        <w:sectPr>
          <w:footerReference w:type="default" r:id="rId24"/>
          <w:pgSz w:w="11910" w:h="16840"/>
          <w:pgMar w:footer="1022" w:header="906" w:top="1100" w:bottom="1220" w:left="1020" w:right="0"/>
          <w:pgNumType w:start="201"/>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405"/>
        <w:gridCol w:w="2852"/>
        <w:gridCol w:w="3318"/>
      </w:tblGrid>
      <w:tr>
        <w:trPr>
          <w:trHeight w:val="360" w:hRule="exact"/>
        </w:trPr>
        <w:tc>
          <w:tcPr>
            <w:tcW w:w="3405" w:type="dxa"/>
            <w:tcBorders>
              <w:top w:val="single" w:sz="4" w:space="0" w:color="000000"/>
              <w:left w:val="single" w:sz="4" w:space="0" w:color="000000"/>
              <w:bottom w:val="single" w:sz="4" w:space="0" w:color="000000"/>
              <w:right w:val="single" w:sz="4" w:space="0" w:color="000000"/>
            </w:tcBorders>
          </w:tcPr>
          <w:p>
            <w:pPr/>
          </w:p>
        </w:tc>
        <w:tc>
          <w:tcPr>
            <w:tcW w:w="2852" w:type="dxa"/>
            <w:tcBorders>
              <w:top w:val="single" w:sz="4" w:space="0" w:color="000000"/>
              <w:left w:val="single" w:sz="4" w:space="0" w:color="000000"/>
              <w:bottom w:val="single" w:sz="4" w:space="0" w:color="000000"/>
              <w:right w:val="single" w:sz="4" w:space="0" w:color="000000"/>
            </w:tcBorders>
          </w:tcPr>
          <w:p>
            <w:pP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密，故用</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公司代替）</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中交二航局第四工程有限公司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1,987,025.19</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尚未完工验收</w:t>
            </w:r>
          </w:p>
        </w:tc>
      </w:tr>
      <w:tr>
        <w:trPr>
          <w:trHeight w:val="716"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8"/>
              <w:ind w:left="105" w:right="134"/>
              <w:jc w:val="left"/>
              <w:rPr>
                <w:rFonts w:ascii="宋体" w:hAnsi="宋体" w:cs="宋体" w:eastAsia="宋体" w:hint="default"/>
                <w:sz w:val="21"/>
                <w:szCs w:val="21"/>
              </w:rPr>
            </w:pPr>
            <w:r>
              <w:rPr>
                <w:rFonts w:ascii="宋体" w:hAnsi="宋体" w:cs="宋体" w:eastAsia="宋体" w:hint="default"/>
                <w:spacing w:val="-1"/>
                <w:sz w:val="21"/>
                <w:szCs w:val="21"/>
              </w:rPr>
              <w:t>福建省闽南建筑工程有限公司北京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分公司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1,366,023.37</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尚未完工验收</w:t>
            </w: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济宁圆中园房地产有限公司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1,248,245.79</w:t>
            </w:r>
          </w:p>
        </w:tc>
        <w:tc>
          <w:tcPr>
            <w:tcW w:w="3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尚未完工验收</w:t>
            </w:r>
          </w:p>
        </w:tc>
      </w:tr>
      <w:tr>
        <w:trPr>
          <w:trHeight w:val="398" w:hRule="exact"/>
        </w:trPr>
        <w:tc>
          <w:tcPr>
            <w:tcW w:w="3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呼伦贝尔市华建设备制造有限公司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1,065,960.00</w:t>
            </w:r>
          </w:p>
        </w:tc>
        <w:tc>
          <w:tcPr>
            <w:tcW w:w="33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11,297,254.35</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3）期末建造合同形成的已结算未完工项目情况" w:id="346"/>
      <w:bookmarkEnd w:id="346"/>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r>
    </w:tbl>
    <w:p>
      <w:pPr>
        <w:pStyle w:val="BodyText"/>
        <w:spacing w:line="240" w:lineRule="auto" w:before="29"/>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38、合同负债" w:id="347"/>
      <w:bookmarkEnd w:id="347"/>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240" w:lineRule="auto" w:before="28"/>
        <w:ind w:right="1002"/>
        <w:jc w:val="left"/>
      </w:pPr>
      <w:r>
        <w:rPr/>
        <w:t>报告期内账面价值发生重大变动的金额和原因</w:t>
      </w:r>
    </w:p>
    <w:p>
      <w:pPr>
        <w:pStyle w:val="BodyText"/>
        <w:spacing w:line="240" w:lineRule="auto" w:before="80"/>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204"/>
        <w:gridCol w:w="2420"/>
        <w:gridCol w:w="4945"/>
      </w:tblGrid>
      <w:tr>
        <w:trPr>
          <w:trHeight w:val="401"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87" w:right="0"/>
              <w:jc w:val="left"/>
              <w:rPr>
                <w:rFonts w:ascii="宋体" w:hAnsi="宋体" w:cs="宋体" w:eastAsia="宋体" w:hint="default"/>
                <w:sz w:val="21"/>
                <w:szCs w:val="21"/>
              </w:rPr>
            </w:pPr>
            <w:r>
              <w:rPr>
                <w:rFonts w:ascii="宋体" w:hAnsi="宋体" w:cs="宋体" w:eastAsia="宋体" w:hint="default"/>
                <w:sz w:val="21"/>
                <w:szCs w:val="21"/>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 w:right="0"/>
              <w:jc w:val="center"/>
              <w:rPr>
                <w:rFonts w:ascii="宋体" w:hAnsi="宋体" w:cs="宋体" w:eastAsia="宋体" w:hint="default"/>
                <w:sz w:val="21"/>
                <w:szCs w:val="21"/>
              </w:rPr>
            </w:pPr>
            <w:r>
              <w:rPr>
                <w:rFonts w:ascii="宋体" w:hAnsi="宋体" w:cs="宋体" w:eastAsia="宋体" w:hint="default"/>
                <w:sz w:val="21"/>
                <w:szCs w:val="21"/>
              </w:rPr>
              <w:t>变动原因</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39、应付职工薪酬" w:id="348"/>
      <w:bookmarkEnd w:id="348"/>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应付职工薪酬列示" w:id="349"/>
      <w:bookmarkEnd w:id="34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30,501,165.23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277,344,263.32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273,536,081.15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34,309,347.40</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249"/>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9"/>
                <w:sz w:val="21"/>
                <w:szCs w:val="21"/>
              </w:rPr>
              <w:t> </w:t>
            </w:r>
            <w:r>
              <w:rPr>
                <w:rFonts w:ascii="宋体" w:hAnsi="宋体" w:cs="宋体" w:eastAsia="宋体" w:hint="default"/>
                <w:sz w:val="21"/>
                <w:szCs w:val="21"/>
              </w:rPr>
              <w:t>设定提存计划</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729,887.53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25,443,190.40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26,043,120.15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129,957.78</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31,231,052.76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302,787,453.72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299,579,201.30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34,439,305.18</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短期薪酬列示" w:id="350"/>
      <w:bookmarkEnd w:id="35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94"/>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、工资、奖金、津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贴和补贴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21"/>
                <w:szCs w:val="21"/>
              </w:rPr>
            </w:pPr>
            <w:r>
              <w:rPr>
                <w:rFonts w:ascii="Times New Roman"/>
                <w:sz w:val="21"/>
              </w:rPr>
              <w:t>29,723,738.79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89" w:right="0"/>
              <w:jc w:val="left"/>
              <w:rPr>
                <w:rFonts w:ascii="Times New Roman" w:hAnsi="Times New Roman" w:cs="Times New Roman" w:eastAsia="Times New Roman" w:hint="default"/>
                <w:sz w:val="21"/>
                <w:szCs w:val="21"/>
              </w:rPr>
            </w:pPr>
            <w:r>
              <w:rPr>
                <w:rFonts w:ascii="Times New Roman"/>
                <w:sz w:val="21"/>
              </w:rPr>
              <w:t>239,178,677.97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21"/>
                <w:szCs w:val="21"/>
              </w:rPr>
            </w:pPr>
            <w:r>
              <w:rPr>
                <w:rFonts w:ascii="Times New Roman"/>
                <w:sz w:val="21"/>
              </w:rPr>
              <w:t>235,610,471.00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21"/>
                <w:szCs w:val="21"/>
              </w:rPr>
            </w:pPr>
            <w:r>
              <w:rPr>
                <w:rFonts w:ascii="Times New Roman"/>
                <w:sz w:val="21"/>
              </w:rPr>
              <w:t>33,291,945.76</w:t>
            </w:r>
          </w:p>
        </w:tc>
      </w:tr>
    </w:tbl>
    <w:p>
      <w:pPr>
        <w:spacing w:after="0" w:line="240" w:lineRule="auto"/>
        <w:jc w:val="lef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、职工福利费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9,179,842.76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9,179,842.76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、社会保险费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13,756,560.60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13,719,849.70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36,710.90</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05" w:right="108" w:firstLine="422"/>
              <w:jc w:val="left"/>
              <w:rPr>
                <w:rFonts w:ascii="宋体" w:hAnsi="宋体" w:cs="宋体" w:eastAsia="宋体" w:hint="default"/>
                <w:sz w:val="21"/>
                <w:szCs w:val="21"/>
              </w:rPr>
            </w:pPr>
            <w:r>
              <w:rPr>
                <w:rFonts w:ascii="宋体" w:hAnsi="宋体" w:cs="宋体" w:eastAsia="宋体" w:hint="default"/>
                <w:sz w:val="21"/>
                <w:szCs w:val="21"/>
              </w:rPr>
              <w:t>其中：医疗保</w:t>
            </w:r>
            <w:r>
              <w:rPr>
                <w:rFonts w:ascii="宋体" w:hAnsi="宋体" w:cs="宋体" w:eastAsia="宋体" w:hint="default"/>
                <w:w w:val="100"/>
                <w:sz w:val="21"/>
                <w:szCs w:val="21"/>
              </w:rPr>
              <w:t> </w:t>
            </w:r>
            <w:r>
              <w:rPr>
                <w:rFonts w:ascii="宋体" w:hAnsi="宋体" w:cs="宋体" w:eastAsia="宋体" w:hint="default"/>
                <w:sz w:val="21"/>
                <w:szCs w:val="21"/>
              </w:rPr>
              <w:t>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12,068,078.82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12,035,566.89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spacing w:val="-2"/>
                <w:sz w:val="21"/>
              </w:rPr>
              <w:t>32,511.93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08"/>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452,886.45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452,810.83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75.62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08"/>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1,031,698.76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1,027,575.41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4,123.35</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补充医疗保险</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191,900.57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191,900.57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其他保险</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3"/>
              <w:jc w:val="right"/>
              <w:rPr>
                <w:rFonts w:ascii="Times New Roman" w:hAnsi="Times New Roman" w:cs="Times New Roman" w:eastAsia="Times New Roman" w:hint="default"/>
                <w:sz w:val="21"/>
                <w:szCs w:val="21"/>
              </w:rPr>
            </w:pPr>
            <w:r>
              <w:rPr>
                <w:rFonts w:ascii="Times New Roman"/>
                <w:spacing w:val="-2"/>
                <w:sz w:val="21"/>
              </w:rPr>
              <w:t>11,996.00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2"/>
                <w:sz w:val="21"/>
              </w:rPr>
              <w:t>11,996.00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、其他</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777,426.44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15,229,181.99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15,025,917.69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980,690.74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30,501,165.23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277,344,263.32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273,536,081.15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34,309,347.40</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3）设定提存计划列示" w:id="351"/>
      <w:bookmarkEnd w:id="35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729,887.53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24,644,414.27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25,245,609.37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128,692.43</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798,776.13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797,510.78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1,265.35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729,887.53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25,443,190.40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26,043,120.15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129,957.78</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40、应交税费" w:id="352"/>
      <w:bookmarkEnd w:id="352"/>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20,639,108.84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21,829,013.73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37,173,997.35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17,911,552.54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151,061.11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439,459.78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1,220,946.96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1,480,576.86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2,456,441.51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1,940,003.74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726,386.10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813,794.62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110,534.84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121,261.82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145,877.94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200,147.79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89,010.77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91,575.40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263,772.24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494,827.29</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河道维护管理费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10,915.44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残疾人就业保障金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1,758.89</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72" w:right="0"/>
              <w:jc w:val="left"/>
              <w:rPr>
                <w:rFonts w:ascii="Times New Roman" w:hAnsi="Times New Roman" w:cs="Times New Roman" w:eastAsia="Times New Roman" w:hint="default"/>
                <w:sz w:val="21"/>
                <w:szCs w:val="21"/>
              </w:rPr>
            </w:pPr>
            <w:r>
              <w:rPr>
                <w:rFonts w:ascii="Times New Roman"/>
                <w:sz w:val="21"/>
              </w:rPr>
              <w:t>62,978,896.55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67" w:right="0"/>
              <w:jc w:val="left"/>
              <w:rPr>
                <w:rFonts w:ascii="Times New Roman" w:hAnsi="Times New Roman" w:cs="Times New Roman" w:eastAsia="Times New Roman" w:hint="default"/>
                <w:sz w:val="21"/>
                <w:szCs w:val="21"/>
              </w:rPr>
            </w:pPr>
            <w:r>
              <w:rPr>
                <w:rFonts w:ascii="Times New Roman"/>
                <w:sz w:val="21"/>
              </w:rPr>
              <w:t>45,333,129.01</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41、其他应付款" w:id="353"/>
      <w:bookmarkEnd w:id="353"/>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1,113,977.24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757,568.26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129,443,833.65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56,796,813.16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130,557,810.89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57,554,381.42</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1）应付利息" w:id="354"/>
      <w:bookmarkEnd w:id="35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127"/>
              <w:jc w:val="left"/>
              <w:rPr>
                <w:rFonts w:ascii="宋体" w:hAnsi="宋体" w:cs="宋体" w:eastAsia="宋体" w:hint="default"/>
                <w:sz w:val="21"/>
                <w:szCs w:val="21"/>
              </w:rPr>
            </w:pPr>
            <w:r>
              <w:rPr>
                <w:rFonts w:ascii="宋体" w:hAnsi="宋体" w:cs="宋体" w:eastAsia="宋体" w:hint="default"/>
                <w:spacing w:val="-1"/>
                <w:sz w:val="21"/>
                <w:szCs w:val="21"/>
              </w:rPr>
              <w:t>分期付息到期还本的长期借款利</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310,707.44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146,145.55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803,269.80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pacing w:val="-1"/>
                <w:sz w:val="21"/>
              </w:rPr>
              <w:t>611,422.71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1,113,977.24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757,568.26</w:t>
            </w:r>
          </w:p>
        </w:tc>
      </w:tr>
    </w:tbl>
    <w:p>
      <w:pPr>
        <w:pStyle w:val="BodyText"/>
        <w:spacing w:line="240" w:lineRule="auto" w:before="28"/>
        <w:ind w:right="1002"/>
        <w:jc w:val="left"/>
      </w:pPr>
      <w:r>
        <w:rPr/>
        <w:t>重要的已逾期未支付的利息情况：</w:t>
      </w:r>
    </w:p>
    <w:p>
      <w:pPr>
        <w:pStyle w:val="BodyText"/>
        <w:spacing w:line="240" w:lineRule="auto" w:before="75"/>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逾期金额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逾期原因</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2）应付股利" w:id="355"/>
      <w:bookmarkEnd w:id="35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240" w:lineRule="auto" w:before="28"/>
        <w:ind w:right="1002"/>
        <w:jc w:val="left"/>
      </w:pPr>
      <w:r>
        <w:rPr/>
        <w:t>其他说明，包括重要的超过</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年未支付的应付股利，应披露未支付原因：</w:t>
      </w:r>
    </w:p>
    <w:p>
      <w:pPr>
        <w:spacing w:line="240" w:lineRule="auto" w:before="5"/>
        <w:rPr>
          <w:rFonts w:ascii="宋体" w:hAnsi="宋体" w:cs="宋体" w:eastAsia="宋体" w:hint="default"/>
          <w:sz w:val="24"/>
          <w:szCs w:val="24"/>
        </w:rPr>
      </w:pPr>
    </w:p>
    <w:p>
      <w:pPr>
        <w:pStyle w:val="Heading5"/>
        <w:spacing w:line="240" w:lineRule="auto"/>
        <w:ind w:right="1002"/>
        <w:jc w:val="left"/>
        <w:rPr>
          <w:b w:val="0"/>
          <w:bCs w:val="0"/>
        </w:rPr>
      </w:pPr>
      <w:bookmarkStart w:name="（3）其他应付款" w:id="356"/>
      <w:bookmarkEnd w:id="356"/>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按款项性质列示其他应付款" w:id="357"/>
      <w:bookmarkEnd w:id="357"/>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20,936,122.05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17,495,569.89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应付费用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15,360,498.63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12,637,942.47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代垫款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24,783,932.15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12,449,800.51</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应付股权收购款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26,937,500.00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2,393,343.32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3,213,500.29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非金融机构借款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z w:val="21"/>
              </w:rPr>
              <w:t>39,032,437.50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129,443,833.65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56,796,813.16</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账龄超过1年的重要其他应付款" w:id="358"/>
      <w:bookmarkEnd w:id="358"/>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bl>
    <w:p>
      <w:pPr>
        <w:pStyle w:val="BodyText"/>
        <w:spacing w:line="240" w:lineRule="auto" w:before="30"/>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42、持有待售负债" w:id="359"/>
      <w:bookmarkEnd w:id="359"/>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43、一年内到期的非流动负债" w:id="360"/>
      <w:bookmarkEnd w:id="360"/>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4,000,000.00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27,000,000.00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14,000,000.00</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44、其他流动负债" w:id="361"/>
      <w:bookmarkEnd w:id="361"/>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5"/>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2" w:top="1100" w:bottom="1220" w:left="1020" w:right="0"/>
        </w:sectPr>
      </w:pPr>
    </w:p>
    <w:p>
      <w:pPr>
        <w:pStyle w:val="BodyText"/>
        <w:spacing w:line="240" w:lineRule="auto"/>
        <w:ind w:right="-8"/>
        <w:jc w:val="left"/>
      </w:pPr>
      <w:r>
        <w:rPr>
          <w:spacing w:val="-1"/>
        </w:rPr>
        <w:t>是否已执行新收入准则</w:t>
      </w:r>
    </w:p>
    <w:p>
      <w:pPr>
        <w:pStyle w:val="BodyText"/>
        <w:spacing w:line="240" w:lineRule="auto" w:before="75"/>
        <w:ind w:right="-8"/>
        <w:jc w:val="left"/>
      </w:pPr>
      <w:r>
        <w:rPr/>
        <w:t>□ 是 √</w:t>
      </w:r>
      <w:r>
        <w:rPr>
          <w:spacing w:val="5"/>
        </w:rPr>
        <w:t> </w:t>
      </w:r>
      <w:r>
        <w:rPr/>
        <w:t>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40"/>
          <w:pgMar w:top="1100" w:bottom="1220" w:left="1020" w:right="0"/>
          <w:cols w:num="2" w:equalWidth="0">
            <w:col w:w="2216" w:space="6480"/>
            <w:col w:w="2194"/>
          </w:cols>
        </w:sectPr>
      </w:pP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240" w:lineRule="auto" w:before="28"/>
        <w:ind w:right="1002"/>
        <w:jc w:val="left"/>
      </w:pPr>
      <w:r>
        <w:rPr/>
        <w:t>短期应付债券的增减变动：</w:t>
      </w:r>
    </w:p>
    <w:p>
      <w:pPr>
        <w:pStyle w:val="BodyText"/>
        <w:spacing w:line="240" w:lineRule="auto" w:before="75"/>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7" w:right="176"/>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2" w:right="18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2" w:right="180"/>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7" w:right="175"/>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7" w:right="18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2" w:right="18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82" w:right="180"/>
              <w:jc w:val="both"/>
              <w:rPr>
                <w:rFonts w:ascii="宋体" w:hAnsi="宋体" w:cs="宋体" w:eastAsia="宋体" w:hint="default"/>
                <w:sz w:val="21"/>
                <w:szCs w:val="21"/>
              </w:rPr>
            </w:pPr>
            <w:r>
              <w:rPr>
                <w:rFonts w:ascii="宋体" w:hAnsi="宋体" w:cs="宋体" w:eastAsia="宋体" w:hint="default"/>
                <w:sz w:val="21"/>
                <w:szCs w:val="21"/>
              </w:rPr>
              <w:t>按面</w:t>
            </w:r>
            <w:r>
              <w:rPr>
                <w:rFonts w:ascii="宋体" w:hAnsi="宋体" w:cs="宋体" w:eastAsia="宋体" w:hint="default"/>
                <w:spacing w:val="-103"/>
                <w:sz w:val="21"/>
                <w:szCs w:val="21"/>
              </w:rPr>
              <w:t> </w:t>
            </w:r>
            <w:r>
              <w:rPr>
                <w:rFonts w:ascii="宋体" w:hAnsi="宋体" w:cs="宋体" w:eastAsia="宋体" w:hint="default"/>
                <w:sz w:val="21"/>
                <w:szCs w:val="21"/>
              </w:rPr>
              <w:t>值计</w:t>
            </w:r>
            <w:r>
              <w:rPr>
                <w:rFonts w:ascii="宋体" w:hAnsi="宋体" w:cs="宋体" w:eastAsia="宋体" w:hint="default"/>
                <w:spacing w:val="-103"/>
                <w:sz w:val="21"/>
                <w:szCs w:val="21"/>
              </w:rPr>
              <w:t> </w:t>
            </w:r>
            <w:r>
              <w:rPr>
                <w:rFonts w:ascii="宋体" w:hAnsi="宋体" w:cs="宋体" w:eastAsia="宋体" w:hint="default"/>
                <w:sz w:val="21"/>
                <w:szCs w:val="21"/>
              </w:rPr>
              <w:t>提利</w:t>
            </w:r>
            <w:r>
              <w:rPr>
                <w:rFonts w:ascii="宋体" w:hAnsi="宋体" w:cs="宋体" w:eastAsia="宋体" w:hint="default"/>
                <w:spacing w:val="-103"/>
                <w:sz w:val="21"/>
                <w:szCs w:val="21"/>
              </w:rPr>
              <w:t> </w:t>
            </w:r>
            <w:r>
              <w:rPr>
                <w:rFonts w:ascii="宋体" w:hAnsi="宋体" w:cs="宋体" w:eastAsia="宋体" w:hint="default"/>
                <w:sz w:val="21"/>
                <w:szCs w:val="21"/>
              </w:rPr>
              <w:t>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187" w:right="176"/>
              <w:jc w:val="both"/>
              <w:rPr>
                <w:rFonts w:ascii="宋体" w:hAnsi="宋体" w:cs="宋体" w:eastAsia="宋体" w:hint="default"/>
                <w:sz w:val="21"/>
                <w:szCs w:val="21"/>
              </w:rPr>
            </w:pPr>
            <w:r>
              <w:rPr>
                <w:rFonts w:ascii="宋体" w:hAnsi="宋体" w:cs="宋体" w:eastAsia="宋体" w:hint="default"/>
                <w:sz w:val="21"/>
                <w:szCs w:val="21"/>
              </w:rPr>
              <w:t>溢折</w:t>
            </w:r>
            <w:r>
              <w:rPr>
                <w:rFonts w:ascii="宋体" w:hAnsi="宋体" w:cs="宋体" w:eastAsia="宋体" w:hint="default"/>
                <w:spacing w:val="-103"/>
                <w:sz w:val="21"/>
                <w:szCs w:val="21"/>
              </w:rPr>
              <w:t> </w:t>
            </w:r>
            <w:r>
              <w:rPr>
                <w:rFonts w:ascii="宋体" w:hAnsi="宋体" w:cs="宋体" w:eastAsia="宋体" w:hint="default"/>
                <w:sz w:val="21"/>
                <w:szCs w:val="21"/>
              </w:rPr>
              <w:t>价摊</w:t>
            </w:r>
            <w:r>
              <w:rPr>
                <w:rFonts w:ascii="宋体" w:hAnsi="宋体" w:cs="宋体" w:eastAsia="宋体" w:hint="default"/>
                <w:spacing w:val="-103"/>
                <w:sz w:val="21"/>
                <w:szCs w:val="21"/>
              </w:rPr>
              <w:t> </w:t>
            </w:r>
            <w:r>
              <w:rPr>
                <w:rFonts w:ascii="宋体" w:hAnsi="宋体" w:cs="宋体" w:eastAsia="宋体" w:hint="default"/>
                <w:sz w:val="21"/>
                <w:szCs w:val="21"/>
              </w:rPr>
              <w:t>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7" w:right="18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2" w:right="18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bl>
    <w:p>
      <w:pPr>
        <w:pStyle w:val="BodyText"/>
        <w:spacing w:line="240" w:lineRule="auto" w:before="30"/>
        <w:ind w:right="1002"/>
        <w:jc w:val="left"/>
      </w:pPr>
      <w:r>
        <w:rPr/>
        <w:t>其他说明：</w:t>
      </w:r>
    </w:p>
    <w:p>
      <w:pPr>
        <w:spacing w:after="0" w:line="240" w:lineRule="auto"/>
        <w:jc w:val="left"/>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45、长期借款" w:id="362"/>
      <w:bookmarkEnd w:id="362"/>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长期借款分类" w:id="363"/>
      <w:bookmarkEnd w:id="363"/>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37,000,000.00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112,000,000.00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90,000,000.00</w:t>
            </w:r>
          </w:p>
        </w:tc>
      </w:tr>
    </w:tbl>
    <w:p>
      <w:pPr>
        <w:pStyle w:val="BodyText"/>
        <w:spacing w:line="307" w:lineRule="auto" w:before="28"/>
        <w:ind w:left="478" w:right="1002" w:hanging="365"/>
        <w:jc w:val="left"/>
      </w:pPr>
      <w:r>
        <w:rPr/>
        <w:t>长期借款分类的说明：</w:t>
      </w:r>
      <w:r>
        <w:rPr>
          <w:w w:val="100"/>
        </w:rPr>
        <w:t> </w:t>
      </w:r>
      <w:r>
        <w:rPr>
          <w:spacing w:val="-1"/>
        </w:rPr>
        <w:t>子公司北京中电兴发科技有限公司的扬子商业银行长江路支行的</w:t>
      </w:r>
      <w:r>
        <w:rPr>
          <w:rFonts w:ascii="Times New Roman" w:hAnsi="Times New Roman" w:cs="Times New Roman" w:eastAsia="Times New Roman" w:hint="default"/>
          <w:spacing w:val="-1"/>
        </w:rPr>
        <w:t>4,900.00</w:t>
      </w:r>
      <w:r>
        <w:rPr>
          <w:spacing w:val="-1"/>
        </w:rPr>
        <w:t>万保证借款由母公司安徽中</w:t>
      </w:r>
    </w:p>
    <w:p>
      <w:pPr>
        <w:pStyle w:val="BodyText"/>
        <w:spacing w:line="231" w:lineRule="exact" w:before="0"/>
        <w:ind w:right="1002"/>
        <w:jc w:val="left"/>
      </w:pPr>
      <w:r>
        <w:rPr/>
        <w:t>电兴发与鑫龙科技股份有限公司提供担保。</w:t>
      </w:r>
    </w:p>
    <w:p>
      <w:pPr>
        <w:pStyle w:val="BodyText"/>
        <w:spacing w:line="240" w:lineRule="auto" w:before="81"/>
        <w:ind w:right="1002"/>
        <w:jc w:val="left"/>
      </w:pPr>
      <w:r>
        <w:rPr/>
        <w:t>其他说明，包括利率区间：</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46、应付债券" w:id="364"/>
      <w:bookmarkEnd w:id="364"/>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应付债券" w:id="365"/>
      <w:bookmarkEnd w:id="365"/>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应付债券的增减变动（不包括划分为金融负债的优先股、永续债等其他金融工具）" w:id="366"/>
      <w:bookmarkEnd w:id="366"/>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800"/>
        <w:gridCol w:w="799"/>
        <w:gridCol w:w="797"/>
        <w:gridCol w:w="797"/>
        <w:gridCol w:w="800"/>
        <w:gridCol w:w="800"/>
        <w:gridCol w:w="797"/>
        <w:gridCol w:w="797"/>
        <w:gridCol w:w="800"/>
        <w:gridCol w:w="799"/>
        <w:gridCol w:w="797"/>
        <w:gridCol w:w="797"/>
      </w:tblGrid>
      <w:tr>
        <w:trPr>
          <w:trHeight w:val="133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7" w:right="178"/>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2" w:right="18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2" w:right="180"/>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spacing w:val="-103"/>
                <w:sz w:val="21"/>
                <w:szCs w:val="21"/>
              </w:rPr>
              <w:t> </w:t>
            </w:r>
            <w:r>
              <w:rPr>
                <w:rFonts w:ascii="宋体" w:hAnsi="宋体" w:cs="宋体" w:eastAsia="宋体" w:hint="default"/>
                <w:sz w:val="21"/>
                <w:szCs w:val="21"/>
              </w:rPr>
              <w:t>期限</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7" w:right="179"/>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4" w:right="18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2" w:right="18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82" w:right="180"/>
              <w:jc w:val="both"/>
              <w:rPr>
                <w:rFonts w:ascii="宋体" w:hAnsi="宋体" w:cs="宋体" w:eastAsia="宋体" w:hint="default"/>
                <w:sz w:val="21"/>
                <w:szCs w:val="21"/>
              </w:rPr>
            </w:pPr>
            <w:r>
              <w:rPr>
                <w:rFonts w:ascii="宋体" w:hAnsi="宋体" w:cs="宋体" w:eastAsia="宋体" w:hint="default"/>
                <w:sz w:val="21"/>
                <w:szCs w:val="21"/>
              </w:rPr>
              <w:t>按面</w:t>
            </w:r>
            <w:r>
              <w:rPr>
                <w:rFonts w:ascii="宋体" w:hAnsi="宋体" w:cs="宋体" w:eastAsia="宋体" w:hint="default"/>
                <w:spacing w:val="-103"/>
                <w:sz w:val="21"/>
                <w:szCs w:val="21"/>
              </w:rPr>
              <w:t> </w:t>
            </w:r>
            <w:r>
              <w:rPr>
                <w:rFonts w:ascii="宋体" w:hAnsi="宋体" w:cs="宋体" w:eastAsia="宋体" w:hint="default"/>
                <w:sz w:val="21"/>
                <w:szCs w:val="21"/>
              </w:rPr>
              <w:t>值计</w:t>
            </w:r>
            <w:r>
              <w:rPr>
                <w:rFonts w:ascii="宋体" w:hAnsi="宋体" w:cs="宋体" w:eastAsia="宋体" w:hint="default"/>
                <w:spacing w:val="-103"/>
                <w:sz w:val="21"/>
                <w:szCs w:val="21"/>
              </w:rPr>
              <w:t> </w:t>
            </w:r>
            <w:r>
              <w:rPr>
                <w:rFonts w:ascii="宋体" w:hAnsi="宋体" w:cs="宋体" w:eastAsia="宋体" w:hint="default"/>
                <w:sz w:val="21"/>
                <w:szCs w:val="21"/>
              </w:rPr>
              <w:t>提利</w:t>
            </w:r>
            <w:r>
              <w:rPr>
                <w:rFonts w:ascii="宋体" w:hAnsi="宋体" w:cs="宋体" w:eastAsia="宋体" w:hint="default"/>
                <w:spacing w:val="-103"/>
                <w:sz w:val="21"/>
                <w:szCs w:val="21"/>
              </w:rPr>
              <w:t> </w:t>
            </w:r>
            <w:r>
              <w:rPr>
                <w:rFonts w:ascii="宋体" w:hAnsi="宋体" w:cs="宋体" w:eastAsia="宋体" w:hint="default"/>
                <w:sz w:val="21"/>
                <w:szCs w:val="21"/>
              </w:rPr>
              <w:t>息</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87" w:right="178"/>
              <w:jc w:val="both"/>
              <w:rPr>
                <w:rFonts w:ascii="宋体" w:hAnsi="宋体" w:cs="宋体" w:eastAsia="宋体" w:hint="default"/>
                <w:sz w:val="21"/>
                <w:szCs w:val="21"/>
              </w:rPr>
            </w:pPr>
            <w:r>
              <w:rPr>
                <w:rFonts w:ascii="宋体" w:hAnsi="宋体" w:cs="宋体" w:eastAsia="宋体" w:hint="default"/>
                <w:sz w:val="21"/>
                <w:szCs w:val="21"/>
              </w:rPr>
              <w:t>溢折</w:t>
            </w:r>
            <w:r>
              <w:rPr>
                <w:rFonts w:ascii="宋体" w:hAnsi="宋体" w:cs="宋体" w:eastAsia="宋体" w:hint="default"/>
                <w:spacing w:val="-103"/>
                <w:sz w:val="21"/>
                <w:szCs w:val="21"/>
              </w:rPr>
              <w:t> </w:t>
            </w:r>
            <w:r>
              <w:rPr>
                <w:rFonts w:ascii="宋体" w:hAnsi="宋体" w:cs="宋体" w:eastAsia="宋体" w:hint="default"/>
                <w:sz w:val="21"/>
                <w:szCs w:val="21"/>
              </w:rPr>
              <w:t>价摊</w:t>
            </w:r>
            <w:r>
              <w:rPr>
                <w:rFonts w:ascii="宋体" w:hAnsi="宋体" w:cs="宋体" w:eastAsia="宋体" w:hint="default"/>
                <w:spacing w:val="-103"/>
                <w:sz w:val="21"/>
                <w:szCs w:val="21"/>
              </w:rPr>
              <w:t> </w:t>
            </w:r>
            <w:r>
              <w:rPr>
                <w:rFonts w:ascii="宋体" w:hAnsi="宋体" w:cs="宋体" w:eastAsia="宋体" w:hint="default"/>
                <w:sz w:val="21"/>
                <w:szCs w:val="21"/>
              </w:rPr>
              <w:t>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4" w:right="18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偿还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3" w:lineRule="auto"/>
              <w:ind w:left="182" w:right="180"/>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399"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8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Times New Roman" w:hAnsi="Times New Roman" w:cs="Times New Roman" w:eastAsia="Times New Roman" w:hint="default"/>
                <w:sz w:val="21"/>
                <w:szCs w:val="21"/>
              </w:rPr>
            </w:pPr>
            <w:r>
              <w:rPr>
                <w:rFonts w:ascii="Times New Roman"/>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c>
          <w:tcPr>
            <w:tcW w:w="800"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3）可转换公司债券的转股条件、转股时间说明" w:id="367"/>
      <w:bookmarkEnd w:id="367"/>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1002"/>
        <w:jc w:val="left"/>
        <w:rPr>
          <w:b w:val="0"/>
          <w:bCs w:val="0"/>
        </w:rPr>
      </w:pPr>
      <w:bookmarkStart w:name="（4）划分为金融负债的其他金融工具说明" w:id="368"/>
      <w:bookmarkEnd w:id="368"/>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2" w:top="1100" w:bottom="1220" w:left="1020" w:right="0"/>
        </w:sectPr>
      </w:pPr>
    </w:p>
    <w:p>
      <w:pPr>
        <w:pStyle w:val="BodyText"/>
        <w:spacing w:line="307" w:lineRule="auto"/>
        <w:ind w:right="0"/>
        <w:jc w:val="left"/>
      </w:pPr>
      <w:r>
        <w:rPr>
          <w:spacing w:val="-2"/>
        </w:rPr>
        <w:t>期末发行在外的优先股、永续债等其他金融工具基本情况</w:t>
      </w:r>
      <w:r>
        <w:rPr>
          <w:spacing w:val="-55"/>
        </w:rPr>
        <w:t> </w:t>
      </w:r>
      <w:r>
        <w:rPr>
          <w:spacing w:val="-55"/>
        </w:rPr>
      </w:r>
      <w:r>
        <w:rPr/>
        <w:t>期末发行在外的优先股、永续债等金融工具变动情况表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40"/>
          <w:pgMar w:top="1100" w:bottom="1220" w:left="1020" w:right="0"/>
          <w:cols w:num="2" w:equalWidth="0">
            <w:col w:w="5365" w:space="3331"/>
            <w:col w:w="2194"/>
          </w:cols>
        </w:sectPr>
      </w:pP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4"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9"/>
              <w:ind w:left="110" w:right="99"/>
              <w:jc w:val="center"/>
              <w:rPr>
                <w:rFonts w:ascii="宋体" w:hAnsi="宋体" w:cs="宋体" w:eastAsia="宋体" w:hint="default"/>
                <w:sz w:val="21"/>
                <w:szCs w:val="21"/>
              </w:rPr>
            </w:pPr>
            <w:r>
              <w:rPr>
                <w:rFonts w:ascii="宋体" w:hAnsi="宋体" w:cs="宋体" w:eastAsia="宋体" w:hint="default"/>
                <w:sz w:val="21"/>
                <w:szCs w:val="21"/>
              </w:rPr>
              <w:t>发行在外</w:t>
            </w:r>
            <w:r>
              <w:rPr>
                <w:rFonts w:ascii="宋体" w:hAnsi="宋体" w:cs="宋体" w:eastAsia="宋体" w:hint="default"/>
                <w:w w:val="100"/>
                <w:sz w:val="21"/>
                <w:szCs w:val="21"/>
              </w:rPr>
              <w:t> </w:t>
            </w:r>
            <w:r>
              <w:rPr>
                <w:rFonts w:ascii="宋体" w:hAnsi="宋体" w:cs="宋体" w:eastAsia="宋体" w:hint="default"/>
                <w:sz w:val="21"/>
                <w:szCs w:val="21"/>
              </w:rPr>
              <w:t>的金融工</w:t>
            </w:r>
            <w:r>
              <w:rPr>
                <w:rFonts w:ascii="宋体" w:hAnsi="宋体" w:cs="宋体" w:eastAsia="宋体" w:hint="default"/>
                <w:w w:val="100"/>
                <w:sz w:val="21"/>
                <w:szCs w:val="21"/>
              </w:rPr>
              <w:t> </w:t>
            </w:r>
            <w:r>
              <w:rPr>
                <w:rFonts w:ascii="宋体" w:hAnsi="宋体" w:cs="宋体" w:eastAsia="宋体" w:hint="default"/>
                <w:sz w:val="21"/>
                <w:szCs w:val="21"/>
              </w:rPr>
              <w:t>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32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31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31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31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after="0" w:line="240" w:lineRule="auto"/>
        <w:jc w:val="left"/>
        <w:rPr>
          <w:rFonts w:ascii="宋体" w:hAnsi="宋体" w:cs="宋体" w:eastAsia="宋体" w:hint="default"/>
          <w:sz w:val="21"/>
          <w:szCs w:val="21"/>
        </w:rPr>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BodyText"/>
        <w:spacing w:line="307" w:lineRule="auto"/>
        <w:ind w:right="6807"/>
        <w:jc w:val="left"/>
      </w:pPr>
      <w:r>
        <w:rPr>
          <w:spacing w:val="-2"/>
        </w:rPr>
        <w:t>其他金融工具划分为金融负债的依据说明</w:t>
      </w:r>
      <w:r>
        <w:rPr>
          <w:spacing w:val="-68"/>
        </w:rPr>
        <w:t> </w:t>
      </w:r>
      <w:r>
        <w:rPr>
          <w:spacing w:val="-68"/>
        </w:rPr>
      </w:r>
      <w:r>
        <w:rPr/>
        <w:t>其他说明</w:t>
      </w:r>
    </w:p>
    <w:p>
      <w:pPr>
        <w:spacing w:line="240" w:lineRule="auto" w:before="2"/>
        <w:rPr>
          <w:rFonts w:ascii="宋体" w:hAnsi="宋体" w:cs="宋体" w:eastAsia="宋体" w:hint="default"/>
          <w:sz w:val="21"/>
          <w:szCs w:val="21"/>
        </w:rPr>
      </w:pPr>
    </w:p>
    <w:p>
      <w:pPr>
        <w:pStyle w:val="Heading5"/>
        <w:spacing w:line="240" w:lineRule="auto"/>
        <w:ind w:right="1002"/>
        <w:jc w:val="left"/>
        <w:rPr>
          <w:b w:val="0"/>
          <w:bCs w:val="0"/>
        </w:rPr>
      </w:pPr>
      <w:bookmarkStart w:name="47、租赁负债" w:id="369"/>
      <w:bookmarkEnd w:id="369"/>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48、长期应付款" w:id="370"/>
      <w:bookmarkEnd w:id="370"/>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z w:val="21"/>
              </w:rPr>
              <w:t>17,000,000.00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z w:val="21"/>
              </w:rPr>
              <w:t>27,000,000.00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27,000,000.00</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1）按款项性质列示长期应付款" w:id="371"/>
      <w:bookmarkEnd w:id="37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长期非金融机构借款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37,000,000.00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减：一年内到期的长期应付款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27,000,000.00</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2）专项应付款" w:id="372"/>
      <w:bookmarkEnd w:id="372"/>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形成原因</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49、长期应付职工薪酬" w:id="373"/>
      <w:bookmarkEnd w:id="373"/>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长期应付职工薪酬表" w:id="374"/>
      <w:bookmarkEnd w:id="37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设定受益计划变动情况" w:id="375"/>
      <w:bookmarkEnd w:id="37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1002"/>
        <w:jc w:val="left"/>
      </w:pPr>
      <w:r>
        <w:rPr/>
        <w:t>设定受益计划义务现值：</w:t>
      </w:r>
    </w:p>
    <w:p>
      <w:pPr>
        <w:spacing w:after="0" w:line="240" w:lineRule="auto"/>
        <w:jc w:val="left"/>
        <w:sectPr>
          <w:headerReference w:type="default" r:id="rId25"/>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48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240" w:lineRule="auto" w:before="28"/>
        <w:ind w:left="493" w:right="611"/>
        <w:jc w:val="left"/>
      </w:pPr>
      <w:r>
        <w:rPr/>
        <w:t>计划资产：</w:t>
      </w:r>
    </w:p>
    <w:p>
      <w:pPr>
        <w:pStyle w:val="BodyText"/>
        <w:spacing w:line="240" w:lineRule="auto" w:before="81"/>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48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240" w:lineRule="auto" w:before="28"/>
        <w:ind w:left="493" w:right="611"/>
        <w:jc w:val="left"/>
      </w:pPr>
      <w:r>
        <w:rPr/>
        <w:t>设定受益计划净负债（净资产）</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48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307" w:lineRule="auto" w:before="28"/>
        <w:ind w:left="493" w:right="611"/>
        <w:jc w:val="left"/>
      </w:pPr>
      <w:r>
        <w:rPr>
          <w:spacing w:val="-2"/>
        </w:rPr>
        <w:t>设定受益计划的内容及与之相关风险、对公司未来现金流量、时间和不确定性的影响说明：</w:t>
      </w:r>
      <w:r>
        <w:rPr>
          <w:spacing w:val="-23"/>
        </w:rPr>
        <w:t> </w:t>
      </w:r>
      <w:r>
        <w:rPr>
          <w:spacing w:val="-23"/>
        </w:rPr>
      </w:r>
      <w:r>
        <w:rPr/>
        <w:t>设定受益计划重大精算假设及敏感性分析结果说明：</w:t>
      </w:r>
    </w:p>
    <w:p>
      <w:pPr>
        <w:pStyle w:val="BodyText"/>
        <w:spacing w:line="240" w:lineRule="auto" w:before="21"/>
        <w:ind w:left="493" w:right="611"/>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left="493" w:right="611"/>
        <w:jc w:val="left"/>
        <w:rPr>
          <w:b w:val="0"/>
          <w:bCs w:val="0"/>
        </w:rPr>
      </w:pPr>
      <w:bookmarkStart w:name="50、预计负债" w:id="376"/>
      <w:bookmarkEnd w:id="376"/>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2" w:top="1100" w:bottom="1220" w:left="640" w:right="0"/>
        </w:sectPr>
      </w:pPr>
    </w:p>
    <w:p>
      <w:pPr>
        <w:pStyle w:val="BodyText"/>
        <w:spacing w:line="240" w:lineRule="auto"/>
        <w:ind w:left="493" w:right="-8"/>
        <w:jc w:val="left"/>
      </w:pPr>
      <w:r>
        <w:rPr>
          <w:spacing w:val="-1"/>
        </w:rPr>
        <w:t>是否已执行新收入准则</w:t>
      </w:r>
    </w:p>
    <w:p>
      <w:pPr>
        <w:pStyle w:val="BodyText"/>
        <w:spacing w:line="240" w:lineRule="auto" w:before="75"/>
        <w:ind w:left="493" w:right="-8"/>
        <w:jc w:val="left"/>
      </w:pPr>
      <w:r>
        <w:rPr/>
        <w:t>□ 是 √</w:t>
      </w:r>
      <w:r>
        <w:rPr>
          <w:spacing w:val="5"/>
        </w:rPr>
        <w:t> </w:t>
      </w:r>
      <w:r>
        <w:rPr/>
        <w:t>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0"/>
        <w:ind w:left="493" w:right="0"/>
        <w:jc w:val="left"/>
      </w:pPr>
      <w:r>
        <w:rPr/>
        <w:t>单位：</w:t>
      </w:r>
      <w:r>
        <w:rPr>
          <w:spacing w:val="4"/>
        </w:rPr>
        <w:t> </w:t>
      </w:r>
      <w:r>
        <w:rPr/>
        <w:t>元</w:t>
      </w:r>
    </w:p>
    <w:p>
      <w:pPr>
        <w:spacing w:after="0" w:line="240" w:lineRule="auto"/>
        <w:jc w:val="left"/>
        <w:sectPr>
          <w:type w:val="continuous"/>
          <w:pgSz w:w="11910" w:h="16840"/>
          <w:pgMar w:top="1100" w:bottom="1220" w:left="640" w:right="0"/>
          <w:cols w:num="2" w:equalWidth="0">
            <w:col w:w="2596" w:space="6100"/>
            <w:col w:w="2574"/>
          </w:cols>
        </w:sectPr>
      </w:pPr>
    </w:p>
    <w:p>
      <w:pPr>
        <w:spacing w:line="240" w:lineRule="auto" w:before="7"/>
        <w:rPr>
          <w:rFonts w:ascii="宋体" w:hAnsi="宋体" w:cs="宋体" w:eastAsia="宋体" w:hint="default"/>
          <w:sz w:val="6"/>
          <w:szCs w:val="6"/>
        </w:rPr>
      </w:pPr>
    </w:p>
    <w:tbl>
      <w:tblPr>
        <w:tblW w:w="0" w:type="auto"/>
        <w:jc w:val="left"/>
        <w:tblInd w:w="48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6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67"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72" w:right="0"/>
              <w:jc w:val="left"/>
              <w:rPr>
                <w:rFonts w:ascii="宋体" w:hAnsi="宋体" w:cs="宋体" w:eastAsia="宋体" w:hint="default"/>
                <w:sz w:val="21"/>
                <w:szCs w:val="21"/>
              </w:rPr>
            </w:pPr>
            <w:r>
              <w:rPr>
                <w:rFonts w:ascii="宋体" w:hAnsi="宋体" w:cs="宋体" w:eastAsia="宋体" w:hint="default"/>
                <w:sz w:val="21"/>
                <w:szCs w:val="21"/>
              </w:rPr>
              <w:t>形成原因</w:t>
            </w:r>
          </w:p>
        </w:tc>
      </w:tr>
    </w:tbl>
    <w:p>
      <w:pPr>
        <w:pStyle w:val="BodyText"/>
        <w:spacing w:line="240" w:lineRule="auto" w:before="28"/>
        <w:ind w:left="493" w:right="611"/>
        <w:jc w:val="left"/>
      </w:pPr>
      <w:r>
        <w:rPr/>
        <w:t>其他说明，包括重要预计负债的相关重要假设、估计说明：</w:t>
      </w:r>
    </w:p>
    <w:p>
      <w:pPr>
        <w:spacing w:line="240" w:lineRule="auto" w:before="8"/>
        <w:rPr>
          <w:rFonts w:ascii="宋体" w:hAnsi="宋体" w:cs="宋体" w:eastAsia="宋体" w:hint="default"/>
          <w:sz w:val="25"/>
          <w:szCs w:val="25"/>
        </w:rPr>
      </w:pPr>
    </w:p>
    <w:p>
      <w:pPr>
        <w:pStyle w:val="Heading5"/>
        <w:spacing w:line="240" w:lineRule="auto"/>
        <w:ind w:left="493" w:right="611"/>
        <w:jc w:val="left"/>
        <w:rPr>
          <w:b w:val="0"/>
          <w:bCs w:val="0"/>
        </w:rPr>
      </w:pPr>
      <w:bookmarkStart w:name="51、递延收益" w:id="377"/>
      <w:bookmarkEnd w:id="377"/>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48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0"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26,283,537.38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74" w:right="0"/>
              <w:jc w:val="left"/>
              <w:rPr>
                <w:rFonts w:ascii="Times New Roman" w:hAnsi="Times New Roman" w:cs="Times New Roman" w:eastAsia="Times New Roman" w:hint="default"/>
                <w:sz w:val="21"/>
                <w:szCs w:val="21"/>
              </w:rPr>
            </w:pPr>
            <w:r>
              <w:rPr>
                <w:rFonts w:ascii="Times New Roman"/>
                <w:sz w:val="21"/>
              </w:rPr>
              <w:t>3,967,276.09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22,316,261.29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14"/>
              <w:jc w:val="left"/>
              <w:rPr>
                <w:rFonts w:ascii="宋体" w:hAnsi="宋体" w:cs="宋体" w:eastAsia="宋体" w:hint="default"/>
                <w:sz w:val="21"/>
                <w:szCs w:val="21"/>
              </w:rPr>
            </w:pPr>
            <w:r>
              <w:rPr>
                <w:rFonts w:ascii="宋体" w:hAnsi="宋体" w:cs="宋体" w:eastAsia="宋体" w:hint="default"/>
                <w:sz w:val="21"/>
                <w:szCs w:val="21"/>
              </w:rPr>
              <w:t>详见下表及说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明</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26,283,537.38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74" w:right="0"/>
              <w:jc w:val="left"/>
              <w:rPr>
                <w:rFonts w:ascii="Times New Roman" w:hAnsi="Times New Roman" w:cs="Times New Roman" w:eastAsia="Times New Roman" w:hint="default"/>
                <w:sz w:val="21"/>
                <w:szCs w:val="21"/>
              </w:rPr>
            </w:pPr>
            <w:r>
              <w:rPr>
                <w:rFonts w:ascii="Times New Roman"/>
                <w:sz w:val="21"/>
              </w:rPr>
              <w:t>3,967,276.09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22,316,261.29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9"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left="493" w:right="611"/>
        <w:jc w:val="left"/>
      </w:pPr>
      <w:r>
        <w:rPr/>
        <w:t>涉及政府补助的项目：</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1652"/>
        <w:gridCol w:w="989"/>
        <w:gridCol w:w="1008"/>
        <w:gridCol w:w="1013"/>
        <w:gridCol w:w="1008"/>
        <w:gridCol w:w="1013"/>
        <w:gridCol w:w="1009"/>
        <w:gridCol w:w="1248"/>
        <w:gridCol w:w="1013"/>
      </w:tblGrid>
      <w:tr>
        <w:trPr>
          <w:trHeight w:val="1340"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3"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6" w:lineRule="auto"/>
              <w:ind w:left="383" w:right="166" w:hanging="207"/>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87" w:right="175"/>
              <w:jc w:val="both"/>
              <w:rPr>
                <w:rFonts w:ascii="宋体" w:hAnsi="宋体" w:cs="宋体" w:eastAsia="宋体" w:hint="default"/>
                <w:sz w:val="21"/>
                <w:szCs w:val="21"/>
              </w:rPr>
            </w:pPr>
            <w:r>
              <w:rPr>
                <w:rFonts w:ascii="宋体" w:hAnsi="宋体" w:cs="宋体" w:eastAsia="宋体" w:hint="default"/>
                <w:sz w:val="21"/>
                <w:szCs w:val="21"/>
              </w:rPr>
              <w:t>本期新</w:t>
            </w:r>
            <w:r>
              <w:rPr>
                <w:rFonts w:ascii="宋体" w:hAnsi="宋体" w:cs="宋体" w:eastAsia="宋体" w:hint="default"/>
                <w:spacing w:val="-102"/>
                <w:sz w:val="21"/>
                <w:szCs w:val="21"/>
              </w:rPr>
              <w:t> </w:t>
            </w:r>
            <w:r>
              <w:rPr>
                <w:rFonts w:ascii="宋体" w:hAnsi="宋体" w:cs="宋体" w:eastAsia="宋体" w:hint="default"/>
                <w:sz w:val="21"/>
                <w:szCs w:val="21"/>
              </w:rPr>
              <w:t>增补助</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87" w:right="180"/>
              <w:jc w:val="both"/>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spacing w:val="-102"/>
                <w:sz w:val="21"/>
                <w:szCs w:val="21"/>
              </w:rPr>
              <w:t> </w:t>
            </w:r>
            <w:r>
              <w:rPr>
                <w:rFonts w:ascii="宋体" w:hAnsi="宋体" w:cs="宋体" w:eastAsia="宋体" w:hint="default"/>
                <w:sz w:val="21"/>
                <w:szCs w:val="21"/>
              </w:rPr>
              <w:t>入营业</w:t>
            </w:r>
            <w:r>
              <w:rPr>
                <w:rFonts w:ascii="宋体" w:hAnsi="宋体" w:cs="宋体" w:eastAsia="宋体" w:hint="default"/>
                <w:spacing w:val="-102"/>
                <w:sz w:val="21"/>
                <w:szCs w:val="21"/>
              </w:rPr>
              <w:t> </w:t>
            </w:r>
            <w:r>
              <w:rPr>
                <w:rFonts w:ascii="宋体" w:hAnsi="宋体" w:cs="宋体" w:eastAsia="宋体" w:hint="default"/>
                <w:sz w:val="21"/>
                <w:szCs w:val="21"/>
              </w:rPr>
              <w:t>外收入</w:t>
            </w:r>
            <w:r>
              <w:rPr>
                <w:rFonts w:ascii="宋体" w:hAnsi="宋体" w:cs="宋体" w:eastAsia="宋体" w:hint="default"/>
                <w:spacing w:val="-102"/>
                <w:sz w:val="21"/>
                <w:szCs w:val="21"/>
              </w:rPr>
              <w:t> </w:t>
            </w:r>
            <w:r>
              <w:rPr>
                <w:rFonts w:ascii="宋体" w:hAnsi="宋体" w:cs="宋体" w:eastAsia="宋体" w:hint="default"/>
                <w:sz w:val="21"/>
                <w:szCs w:val="21"/>
              </w:rPr>
              <w:t>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87" w:right="177"/>
              <w:jc w:val="center"/>
              <w:rPr>
                <w:rFonts w:ascii="宋体" w:hAnsi="宋体" w:cs="宋体" w:eastAsia="宋体" w:hint="default"/>
                <w:sz w:val="21"/>
                <w:szCs w:val="21"/>
              </w:rPr>
            </w:pPr>
            <w:r>
              <w:rPr>
                <w:rFonts w:ascii="宋体" w:hAnsi="宋体" w:cs="宋体" w:eastAsia="宋体" w:hint="default"/>
                <w:sz w:val="21"/>
                <w:szCs w:val="21"/>
              </w:rPr>
              <w:t>本期计</w:t>
            </w:r>
            <w:r>
              <w:rPr>
                <w:rFonts w:ascii="宋体" w:hAnsi="宋体" w:cs="宋体" w:eastAsia="宋体" w:hint="default"/>
                <w:w w:val="100"/>
                <w:sz w:val="21"/>
                <w:szCs w:val="21"/>
              </w:rPr>
              <w:t> </w:t>
            </w:r>
            <w:r>
              <w:rPr>
                <w:rFonts w:ascii="宋体" w:hAnsi="宋体" w:cs="宋体" w:eastAsia="宋体" w:hint="default"/>
                <w:sz w:val="21"/>
                <w:szCs w:val="21"/>
              </w:rPr>
              <w:t>入其他</w:t>
            </w:r>
            <w:r>
              <w:rPr>
                <w:rFonts w:ascii="宋体" w:hAnsi="宋体" w:cs="宋体" w:eastAsia="宋体" w:hint="default"/>
                <w:w w:val="100"/>
                <w:sz w:val="21"/>
                <w:szCs w:val="21"/>
              </w:rPr>
              <w:t> </w:t>
            </w:r>
            <w:r>
              <w:rPr>
                <w:rFonts w:ascii="宋体" w:hAnsi="宋体" w:cs="宋体" w:eastAsia="宋体" w:hint="default"/>
                <w:sz w:val="21"/>
                <w:szCs w:val="21"/>
              </w:rPr>
              <w:t>收益金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87" w:right="180"/>
              <w:jc w:val="center"/>
              <w:rPr>
                <w:rFonts w:ascii="宋体" w:hAnsi="宋体" w:cs="宋体" w:eastAsia="宋体" w:hint="default"/>
                <w:sz w:val="21"/>
                <w:szCs w:val="21"/>
              </w:rPr>
            </w:pPr>
            <w:r>
              <w:rPr>
                <w:rFonts w:ascii="宋体" w:hAnsi="宋体" w:cs="宋体" w:eastAsia="宋体" w:hint="default"/>
                <w:sz w:val="21"/>
                <w:szCs w:val="21"/>
              </w:rPr>
              <w:t>本期冲</w:t>
            </w:r>
            <w:r>
              <w:rPr>
                <w:rFonts w:ascii="宋体" w:hAnsi="宋体" w:cs="宋体" w:eastAsia="宋体" w:hint="default"/>
                <w:w w:val="100"/>
                <w:sz w:val="21"/>
                <w:szCs w:val="21"/>
              </w:rPr>
              <w:t> </w:t>
            </w:r>
            <w:r>
              <w:rPr>
                <w:rFonts w:ascii="宋体" w:hAnsi="宋体" w:cs="宋体" w:eastAsia="宋体" w:hint="default"/>
                <w:sz w:val="21"/>
                <w:szCs w:val="21"/>
              </w:rPr>
              <w:t>减成本</w:t>
            </w:r>
            <w:r>
              <w:rPr>
                <w:rFonts w:ascii="宋体" w:hAnsi="宋体" w:cs="宋体" w:eastAsia="宋体" w:hint="default"/>
                <w:w w:val="100"/>
                <w:sz w:val="21"/>
                <w:szCs w:val="21"/>
              </w:rPr>
              <w:t> </w:t>
            </w:r>
            <w:r>
              <w:rPr>
                <w:rFonts w:ascii="宋体" w:hAnsi="宋体" w:cs="宋体" w:eastAsia="宋体" w:hint="default"/>
                <w:sz w:val="21"/>
                <w:szCs w:val="21"/>
              </w:rPr>
              <w:t>费用金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6" w:lineRule="auto"/>
              <w:ind w:left="388" w:right="182" w:hanging="207"/>
              <w:jc w:val="left"/>
              <w:rPr>
                <w:rFonts w:ascii="宋体" w:hAnsi="宋体" w:cs="宋体" w:eastAsia="宋体" w:hint="default"/>
                <w:sz w:val="21"/>
                <w:szCs w:val="21"/>
              </w:rPr>
            </w:pPr>
            <w:r>
              <w:rPr>
                <w:rFonts w:ascii="宋体" w:hAnsi="宋体" w:cs="宋体" w:eastAsia="宋体" w:hint="default"/>
                <w:sz w:val="21"/>
                <w:szCs w:val="21"/>
              </w:rPr>
              <w:t>其他变</w:t>
            </w:r>
            <w:r>
              <w:rPr>
                <w:rFonts w:ascii="宋体" w:hAnsi="宋体" w:cs="宋体" w:eastAsia="宋体" w:hint="default"/>
                <w:spacing w:val="-102"/>
                <w:sz w:val="21"/>
                <w:szCs w:val="21"/>
              </w:rPr>
              <w:t> </w:t>
            </w:r>
            <w:r>
              <w:rPr>
                <w:rFonts w:ascii="宋体" w:hAnsi="宋体" w:cs="宋体" w:eastAsia="宋体" w:hint="default"/>
                <w:sz w:val="21"/>
                <w:szCs w:val="21"/>
              </w:rPr>
              <w:t>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auto" w:before="28"/>
              <w:ind w:left="158" w:right="151"/>
              <w:jc w:val="center"/>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w w:val="100"/>
                <w:sz w:val="21"/>
                <w:szCs w:val="21"/>
              </w:rPr>
              <w:t> </w:t>
            </w:r>
            <w:r>
              <w:rPr>
                <w:rFonts w:ascii="宋体" w:hAnsi="宋体" w:cs="宋体" w:eastAsia="宋体" w:hint="default"/>
                <w:sz w:val="21"/>
                <w:szCs w:val="21"/>
              </w:rPr>
              <w:t>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1652"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94"/>
              <w:jc w:val="left"/>
              <w:rPr>
                <w:rFonts w:ascii="Times New Roman" w:hAnsi="Times New Roman" w:cs="Times New Roman" w:eastAsia="Times New Roman" w:hint="default"/>
                <w:sz w:val="21"/>
                <w:szCs w:val="21"/>
              </w:rPr>
            </w:pPr>
            <w:r>
              <w:rPr>
                <w:rFonts w:ascii="宋体" w:hAnsi="宋体" w:cs="宋体" w:eastAsia="宋体" w:hint="default"/>
                <w:sz w:val="21"/>
                <w:szCs w:val="21"/>
              </w:rPr>
              <w:t>轨道交通（高</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铁）信号可靠性</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供电保障系统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关键技术的开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发及产业化</w:t>
            </w:r>
            <w:r>
              <w:rPr>
                <w:rFonts w:ascii="Times New Roman" w:hAnsi="Times New Roman" w:cs="Times New Roman" w:eastAsia="Times New Roman" w:hint="default"/>
                <w:sz w:val="21"/>
                <w:szCs w:val="21"/>
              </w:rPr>
              <w:t>*1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5,000,00</w:t>
            </w:r>
          </w:p>
          <w:p>
            <w:pPr>
              <w:pStyle w:val="TableParagraph"/>
              <w:spacing w:line="240" w:lineRule="auto" w:before="70"/>
              <w:ind w:left="508" w:right="0"/>
              <w:jc w:val="left"/>
              <w:rPr>
                <w:rFonts w:ascii="Times New Roman" w:hAnsi="Times New Roman" w:cs="Times New Roman" w:eastAsia="Times New Roman" w:hint="default"/>
                <w:sz w:val="21"/>
                <w:szCs w:val="21"/>
              </w:rPr>
            </w:pPr>
            <w:r>
              <w:rPr>
                <w:rFonts w:ascii="Times New Roman"/>
                <w:sz w:val="21"/>
              </w:rPr>
              <w:t>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802,388.</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99</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4,197,611.0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40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高效节能数字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21"/>
                <w:szCs w:val="21"/>
              </w:rPr>
            </w:pPr>
            <w:r>
              <w:rPr>
                <w:rFonts w:ascii="Times New Roman"/>
                <w:sz w:val="21"/>
              </w:rPr>
              <w:t>5,999,99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3" w:right="0"/>
              <w:jc w:val="left"/>
              <w:rPr>
                <w:rFonts w:ascii="Times New Roman" w:hAnsi="Times New Roman" w:cs="Times New Roman" w:eastAsia="Times New Roman" w:hint="default"/>
                <w:sz w:val="21"/>
                <w:szCs w:val="21"/>
              </w:rPr>
            </w:pPr>
            <w:r>
              <w:rPr>
                <w:rFonts w:ascii="Times New Roman"/>
                <w:sz w:val="21"/>
              </w:rPr>
              <w:t>1,000,00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21"/>
                <w:szCs w:val="21"/>
              </w:rPr>
            </w:pPr>
            <w:r>
              <w:rPr>
                <w:rFonts w:ascii="Times New Roman"/>
                <w:sz w:val="21"/>
              </w:rPr>
              <w:t>4,999,999.8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与资产</w:t>
            </w:r>
          </w:p>
        </w:tc>
      </w:tr>
    </w:tbl>
    <w:p>
      <w:pPr>
        <w:spacing w:after="0" w:line="240" w:lineRule="auto"/>
        <w:jc w:val="left"/>
        <w:rPr>
          <w:rFonts w:ascii="宋体" w:hAnsi="宋体" w:cs="宋体" w:eastAsia="宋体" w:hint="default"/>
          <w:sz w:val="21"/>
          <w:szCs w:val="21"/>
        </w:rPr>
        <w:sectPr>
          <w:type w:val="continuous"/>
          <w:pgSz w:w="11910" w:h="16840"/>
          <w:pgMar w:top="1100" w:bottom="1220" w:left="64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652"/>
        <w:gridCol w:w="989"/>
        <w:gridCol w:w="1008"/>
        <w:gridCol w:w="1013"/>
        <w:gridCol w:w="1008"/>
        <w:gridCol w:w="1013"/>
        <w:gridCol w:w="1009"/>
        <w:gridCol w:w="1248"/>
        <w:gridCol w:w="1013"/>
      </w:tblGrid>
      <w:tr>
        <w:trPr>
          <w:trHeight w:val="672"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式软启动装置</w:t>
            </w:r>
          </w:p>
          <w:p>
            <w:pPr>
              <w:pStyle w:val="TableParagraph"/>
              <w:spacing w:line="240" w:lineRule="auto" w:before="42"/>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产业化项目</w:t>
            </w:r>
            <w:r>
              <w:rPr>
                <w:rFonts w:ascii="Times New Roman" w:hAnsi="Times New Roman" w:cs="Times New Roman" w:eastAsia="Times New Roman" w:hint="default"/>
                <w:sz w:val="21"/>
                <w:szCs w:val="21"/>
              </w:rPr>
              <w:t>*2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08" w:right="0"/>
              <w:jc w:val="left"/>
              <w:rPr>
                <w:rFonts w:ascii="Times New Roman" w:hAnsi="Times New Roman" w:cs="Times New Roman" w:eastAsia="Times New Roman" w:hint="default"/>
                <w:sz w:val="21"/>
                <w:szCs w:val="21"/>
              </w:rPr>
            </w:pPr>
            <w:r>
              <w:rPr>
                <w:rFonts w:ascii="Times New Roman"/>
                <w:sz w:val="21"/>
              </w:rPr>
              <w:t>9.95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528" w:right="0"/>
              <w:jc w:val="left"/>
              <w:rPr>
                <w:rFonts w:ascii="Times New Roman" w:hAnsi="Times New Roman" w:cs="Times New Roman" w:eastAsia="Times New Roman" w:hint="default"/>
                <w:sz w:val="21"/>
                <w:szCs w:val="21"/>
              </w:rPr>
            </w:pPr>
            <w:r>
              <w:rPr>
                <w:rFonts w:ascii="Times New Roman"/>
                <w:sz w:val="21"/>
              </w:rPr>
              <w:t>0.08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8"/>
              <w:jc w:val="right"/>
              <w:rPr>
                <w:rFonts w:ascii="Times New Roman" w:hAnsi="Times New Roman" w:cs="Times New Roman" w:eastAsia="Times New Roman" w:hint="default"/>
                <w:sz w:val="21"/>
                <w:szCs w:val="21"/>
              </w:rPr>
            </w:pPr>
            <w:r>
              <w:rPr>
                <w:rFonts w:ascii="Times New Roman"/>
                <w:w w:val="100"/>
                <w:sz w:val="21"/>
              </w:rPr>
              <w:t>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相关</w:t>
            </w:r>
          </w:p>
        </w:tc>
      </w:tr>
      <w:tr>
        <w:trPr>
          <w:trHeight w:val="716"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8"/>
              <w:ind w:left="105" w:right="272"/>
              <w:jc w:val="left"/>
              <w:rPr>
                <w:rFonts w:ascii="Times New Roman" w:hAnsi="Times New Roman" w:cs="Times New Roman" w:eastAsia="Times New Roman" w:hint="default"/>
                <w:sz w:val="21"/>
                <w:szCs w:val="21"/>
              </w:rPr>
            </w:pPr>
            <w:r>
              <w:rPr>
                <w:rFonts w:ascii="宋体" w:hAnsi="宋体" w:cs="宋体" w:eastAsia="宋体" w:hint="default"/>
                <w:sz w:val="21"/>
                <w:szCs w:val="21"/>
              </w:rPr>
              <w:t>重点实验室建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设专项资金</w:t>
            </w:r>
            <w:r>
              <w:rPr>
                <w:rFonts w:ascii="Times New Roman" w:hAnsi="Times New Roman" w:cs="Times New Roman" w:eastAsia="Times New Roman" w:hint="default"/>
                <w:sz w:val="21"/>
                <w:szCs w:val="21"/>
              </w:rPr>
              <w:t>*3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949,421.</w:t>
            </w:r>
          </w:p>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z w:val="21"/>
              </w:rPr>
              <w:t>03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54,879.7</w:t>
            </w:r>
          </w:p>
          <w:p>
            <w:pPr>
              <w:pStyle w:val="TableParagraph"/>
              <w:spacing w:line="240" w:lineRule="auto" w:before="76"/>
              <w:ind w:right="98"/>
              <w:jc w:val="right"/>
              <w:rPr>
                <w:rFonts w:ascii="Times New Roman" w:hAnsi="Times New Roman" w:cs="Times New Roman" w:eastAsia="Times New Roman" w:hint="default"/>
                <w:sz w:val="21"/>
                <w:szCs w:val="21"/>
              </w:rPr>
            </w:pPr>
            <w:r>
              <w:rPr>
                <w:rFonts w:ascii="Times New Roman"/>
                <w:w w:val="100"/>
                <w:sz w:val="21"/>
              </w:rPr>
              <w:t>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894,541.30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8"/>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71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272"/>
              <w:jc w:val="left"/>
              <w:rPr>
                <w:rFonts w:ascii="Times New Roman" w:hAnsi="Times New Roman" w:cs="Times New Roman" w:eastAsia="Times New Roman" w:hint="default"/>
                <w:sz w:val="21"/>
                <w:szCs w:val="21"/>
              </w:rPr>
            </w:pPr>
            <w:r>
              <w:rPr>
                <w:rFonts w:ascii="宋体" w:hAnsi="宋体" w:cs="宋体" w:eastAsia="宋体" w:hint="default"/>
                <w:sz w:val="21"/>
                <w:szCs w:val="21"/>
              </w:rPr>
              <w:t>多层厂房奖励</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资金</w:t>
            </w:r>
            <w:r>
              <w:rPr>
                <w:rFonts w:ascii="Times New Roman" w:hAnsi="Times New Roman" w:cs="Times New Roman" w:eastAsia="Times New Roman" w:hint="default"/>
                <w:spacing w:val="-3"/>
                <w:sz w:val="21"/>
                <w:szCs w:val="21"/>
              </w:rPr>
              <w:t>*4</w:t>
            </w:r>
            <w:r>
              <w:rPr>
                <w:rFonts w:ascii="Times New Roman" w:hAnsi="Times New Roman" w:cs="Times New Roman" w:eastAsia="Times New Roman" w:hint="default"/>
                <w:sz w:val="21"/>
                <w:szCs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4" w:right="0"/>
              <w:jc w:val="left"/>
              <w:rPr>
                <w:rFonts w:ascii="Times New Roman" w:hAnsi="Times New Roman" w:cs="Times New Roman" w:eastAsia="Times New Roman" w:hint="default"/>
                <w:sz w:val="21"/>
                <w:szCs w:val="21"/>
              </w:rPr>
            </w:pPr>
            <w:r>
              <w:rPr>
                <w:rFonts w:ascii="Times New Roman"/>
                <w:sz w:val="21"/>
              </w:rPr>
              <w:t>4,604,55</w:t>
            </w:r>
          </w:p>
          <w:p>
            <w:pPr>
              <w:pStyle w:val="TableParagraph"/>
              <w:spacing w:line="240" w:lineRule="auto" w:before="75"/>
              <w:ind w:left="508" w:right="0"/>
              <w:jc w:val="left"/>
              <w:rPr>
                <w:rFonts w:ascii="Times New Roman" w:hAnsi="Times New Roman" w:cs="Times New Roman" w:eastAsia="Times New Roman" w:hint="default"/>
                <w:sz w:val="21"/>
                <w:szCs w:val="21"/>
              </w:rPr>
            </w:pPr>
            <w:r>
              <w:rPr>
                <w:rFonts w:ascii="Times New Roman"/>
                <w:sz w:val="21"/>
              </w:rPr>
              <w:t>0.78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370,836.</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24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4,233,714.5</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02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8"/>
              <w:ind w:left="105" w:right="94"/>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AXQ4</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系列双电</w:t>
            </w:r>
            <w:r>
              <w:rPr>
                <w:rFonts w:ascii="宋体" w:hAnsi="宋体" w:cs="宋体" w:eastAsia="宋体" w:hint="default"/>
                <w:w w:val="100"/>
                <w:sz w:val="21"/>
                <w:szCs w:val="21"/>
              </w:rPr>
              <w:t> </w:t>
            </w:r>
            <w:r>
              <w:rPr>
                <w:rFonts w:ascii="宋体" w:hAnsi="宋体" w:cs="宋体" w:eastAsia="宋体" w:hint="default"/>
                <w:sz w:val="21"/>
                <w:szCs w:val="21"/>
              </w:rPr>
              <w:t>源自动转换开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关项目</w:t>
            </w:r>
            <w:r>
              <w:rPr>
                <w:rFonts w:ascii="Times New Roman" w:hAnsi="Times New Roman" w:cs="Times New Roman" w:eastAsia="Times New Roman" w:hint="default"/>
                <w:sz w:val="21"/>
                <w:szCs w:val="21"/>
              </w:rPr>
              <w:t>*5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203,392.</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34</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122,457.</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72</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4"/>
              <w:jc w:val="right"/>
              <w:rPr>
                <w:rFonts w:ascii="Times New Roman" w:hAnsi="Times New Roman" w:cs="Times New Roman" w:eastAsia="Times New Roman" w:hint="default"/>
                <w:sz w:val="21"/>
                <w:szCs w:val="21"/>
              </w:rPr>
            </w:pPr>
            <w:r>
              <w:rPr>
                <w:rFonts w:ascii="Times New Roman"/>
                <w:sz w:val="21"/>
              </w:rPr>
              <w:t>80,934.62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6" w:lineRule="auto"/>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71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DPX100P</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综合</w:t>
            </w:r>
          </w:p>
          <w:p>
            <w:pPr>
              <w:pStyle w:val="TableParagraph"/>
              <w:spacing w:line="240" w:lineRule="auto" w:before="21"/>
              <w:ind w:left="10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保护单元</w:t>
            </w:r>
            <w:r>
              <w:rPr>
                <w:rFonts w:ascii="Times New Roman" w:hAnsi="Times New Roman" w:cs="Times New Roman" w:eastAsia="Times New Roman" w:hint="default"/>
                <w:sz w:val="21"/>
                <w:szCs w:val="21"/>
              </w:rPr>
              <w:t>*6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109,243.</w:t>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82</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20,168.0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89,075.78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652"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72"/>
              <w:jc w:val="left"/>
              <w:rPr>
                <w:rFonts w:ascii="宋体" w:hAnsi="宋体" w:cs="宋体" w:eastAsia="宋体" w:hint="default"/>
                <w:sz w:val="21"/>
                <w:szCs w:val="21"/>
              </w:rPr>
            </w:pPr>
            <w:r>
              <w:rPr>
                <w:rFonts w:ascii="宋体" w:hAnsi="宋体" w:cs="宋体" w:eastAsia="宋体" w:hint="default"/>
                <w:sz w:val="21"/>
                <w:szCs w:val="21"/>
              </w:rPr>
              <w:t>安徽省电器设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备电磁兼容</w:t>
            </w:r>
          </w:p>
          <w:p>
            <w:pPr>
              <w:pStyle w:val="TableParagraph"/>
              <w:spacing w:line="266" w:lineRule="auto" w:before="8"/>
              <w:ind w:left="105" w:right="94"/>
              <w:jc w:val="left"/>
              <w:rPr>
                <w:rFonts w:ascii="Times New Roman" w:hAnsi="Times New Roman" w:cs="Times New Roman" w:eastAsia="Times New Roman" w:hint="default"/>
                <w:sz w:val="21"/>
                <w:szCs w:val="21"/>
              </w:rPr>
            </w:pPr>
            <w:r>
              <w:rPr>
                <w:rFonts w:ascii="宋体" w:hAnsi="宋体" w:cs="宋体" w:eastAsia="宋体" w:hint="default"/>
                <w:spacing w:val="-10"/>
                <w:sz w:val="21"/>
                <w:szCs w:val="21"/>
              </w:rPr>
              <w:t>（</w:t>
            </w:r>
            <w:r>
              <w:rPr>
                <w:rFonts w:ascii="Times New Roman" w:hAnsi="Times New Roman" w:cs="Times New Roman" w:eastAsia="Times New Roman" w:hint="default"/>
                <w:spacing w:val="-10"/>
                <w:sz w:val="21"/>
                <w:szCs w:val="21"/>
              </w:rPr>
              <w:t>EMC</w:t>
            </w:r>
            <w:r>
              <w:rPr>
                <w:rFonts w:ascii="宋体" w:hAnsi="宋体" w:cs="宋体" w:eastAsia="宋体" w:hint="default"/>
                <w:spacing w:val="-10"/>
                <w:sz w:val="21"/>
                <w:szCs w:val="21"/>
              </w:rPr>
              <w:t>）省级实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验室绩效考核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补助</w:t>
            </w:r>
            <w:r>
              <w:rPr>
                <w:rFonts w:ascii="Times New Roman" w:hAnsi="Times New Roman" w:cs="Times New Roman" w:eastAsia="Times New Roman" w:hint="default"/>
                <w:spacing w:val="-3"/>
                <w:sz w:val="21"/>
                <w:szCs w:val="21"/>
              </w:rPr>
              <w:t>*7</w:t>
            </w:r>
            <w:r>
              <w:rPr>
                <w:rFonts w:ascii="Times New Roman" w:hAnsi="Times New Roman" w:cs="Times New Roman" w:eastAsia="Times New Roman" w:hint="default"/>
                <w:sz w:val="21"/>
                <w:szCs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735,416.</w:t>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27,382.0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7</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708,033.93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73" w:lineRule="auto"/>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34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72"/>
              <w:jc w:val="both"/>
              <w:rPr>
                <w:rFonts w:ascii="Times New Roman" w:hAnsi="Times New Roman" w:cs="Times New Roman" w:eastAsia="Times New Roman" w:hint="default"/>
                <w:sz w:val="21"/>
                <w:szCs w:val="21"/>
              </w:rPr>
            </w:pPr>
            <w:r>
              <w:rPr>
                <w:rFonts w:ascii="宋体" w:hAnsi="宋体" w:cs="宋体" w:eastAsia="宋体" w:hint="default"/>
                <w:sz w:val="21"/>
                <w:szCs w:val="21"/>
              </w:rPr>
              <w:t>中低压电能质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量综合治理装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置产业化关键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技术研究</w:t>
            </w:r>
            <w:r>
              <w:rPr>
                <w:rFonts w:ascii="Times New Roman" w:hAnsi="Times New Roman" w:cs="Times New Roman" w:eastAsia="Times New Roman" w:hint="default"/>
                <w:sz w:val="21"/>
                <w:szCs w:val="21"/>
              </w:rPr>
              <w:t>*8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4"/>
              <w:jc w:val="right"/>
              <w:rPr>
                <w:rFonts w:ascii="Times New Roman" w:hAnsi="Times New Roman" w:cs="Times New Roman" w:eastAsia="Times New Roman" w:hint="default"/>
                <w:sz w:val="21"/>
                <w:szCs w:val="21"/>
              </w:rPr>
            </w:pPr>
            <w:r>
              <w:rPr>
                <w:rFonts w:ascii="Times New Roman"/>
                <w:sz w:val="21"/>
              </w:rPr>
              <w:t>580,919.</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66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4"/>
              <w:jc w:val="right"/>
              <w:rPr>
                <w:rFonts w:ascii="Times New Roman" w:hAnsi="Times New Roman" w:cs="Times New Roman" w:eastAsia="Times New Roman" w:hint="default"/>
                <w:sz w:val="21"/>
                <w:szCs w:val="21"/>
              </w:rPr>
            </w:pPr>
            <w:r>
              <w:rPr>
                <w:rFonts w:ascii="Times New Roman"/>
                <w:sz w:val="21"/>
              </w:rPr>
              <w:t>69,999.9</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510,919.70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6" w:lineRule="auto"/>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02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105" w:right="272"/>
              <w:jc w:val="left"/>
              <w:rPr>
                <w:rFonts w:ascii="宋体" w:hAnsi="宋体" w:cs="宋体" w:eastAsia="宋体" w:hint="default"/>
                <w:sz w:val="21"/>
                <w:szCs w:val="21"/>
              </w:rPr>
            </w:pPr>
            <w:r>
              <w:rPr>
                <w:rFonts w:ascii="宋体" w:hAnsi="宋体" w:cs="宋体" w:eastAsia="宋体" w:hint="default"/>
                <w:sz w:val="21"/>
                <w:szCs w:val="21"/>
              </w:rPr>
              <w:t>自主创新能力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建设补助项目</w:t>
            </w:r>
          </w:p>
          <w:p>
            <w:pPr>
              <w:pStyle w:val="TableParagraph"/>
              <w:spacing w:line="240" w:lineRule="auto" w:before="66"/>
              <w:ind w:left="105" w:right="0"/>
              <w:jc w:val="left"/>
              <w:rPr>
                <w:rFonts w:ascii="Times New Roman" w:hAnsi="Times New Roman" w:cs="Times New Roman" w:eastAsia="Times New Roman" w:hint="default"/>
                <w:sz w:val="21"/>
                <w:szCs w:val="21"/>
              </w:rPr>
            </w:pPr>
            <w:r>
              <w:rPr>
                <w:rFonts w:ascii="Times New Roman"/>
                <w:spacing w:val="-5"/>
                <w:sz w:val="21"/>
              </w:rPr>
              <w:t>*9</w:t>
            </w:r>
            <w:r>
              <w:rPr>
                <w:rFonts w:ascii="Times New Roman"/>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285,000.</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4"/>
              <w:jc w:val="right"/>
              <w:rPr>
                <w:rFonts w:ascii="Times New Roman" w:hAnsi="Times New Roman" w:cs="Times New Roman" w:eastAsia="Times New Roman" w:hint="default"/>
                <w:sz w:val="21"/>
                <w:szCs w:val="21"/>
              </w:rPr>
            </w:pPr>
            <w:r>
              <w:rPr>
                <w:rFonts w:ascii="Times New Roman"/>
                <w:sz w:val="21"/>
              </w:rPr>
              <w:t>285,000.00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6" w:lineRule="auto"/>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022"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72"/>
              <w:jc w:val="both"/>
              <w:rPr>
                <w:rFonts w:ascii="Times New Roman" w:hAnsi="Times New Roman" w:cs="Times New Roman" w:eastAsia="Times New Roman" w:hint="default"/>
                <w:sz w:val="21"/>
                <w:szCs w:val="21"/>
              </w:rPr>
            </w:pPr>
            <w:r>
              <w:rPr>
                <w:rFonts w:ascii="宋体" w:hAnsi="宋体" w:cs="宋体" w:eastAsia="宋体" w:hint="default"/>
                <w:sz w:val="21"/>
                <w:szCs w:val="21"/>
              </w:rPr>
              <w:t>国家重点新产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品研发后补助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项目</w:t>
            </w:r>
            <w:r>
              <w:rPr>
                <w:rFonts w:ascii="Times New Roman" w:hAnsi="Times New Roman" w:cs="Times New Roman" w:eastAsia="Times New Roman" w:hint="default"/>
                <w:sz w:val="21"/>
                <w:szCs w:val="21"/>
              </w:rPr>
              <w:t>*10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1,000,00</w:t>
            </w:r>
          </w:p>
          <w:p>
            <w:pPr>
              <w:pStyle w:val="TableParagraph"/>
              <w:spacing w:line="240" w:lineRule="auto" w:before="75"/>
              <w:ind w:left="508" w:right="0"/>
              <w:jc w:val="left"/>
              <w:rPr>
                <w:rFonts w:ascii="Times New Roman" w:hAnsi="Times New Roman" w:cs="Times New Roman" w:eastAsia="Times New Roman" w:hint="default"/>
                <w:sz w:val="21"/>
                <w:szCs w:val="21"/>
              </w:rPr>
            </w:pPr>
            <w:r>
              <w:rPr>
                <w:rFonts w:ascii="Times New Roman"/>
                <w:sz w:val="21"/>
              </w:rPr>
              <w:t>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1,000,000.0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6" w:lineRule="auto"/>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34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28"/>
              <w:ind w:left="105" w:right="219"/>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年省高技</w:t>
            </w:r>
            <w:r>
              <w:rPr>
                <w:rFonts w:ascii="宋体" w:hAnsi="宋体" w:cs="宋体" w:eastAsia="宋体" w:hint="default"/>
                <w:w w:val="100"/>
                <w:sz w:val="21"/>
                <w:szCs w:val="21"/>
              </w:rPr>
              <w:t> </w:t>
            </w:r>
            <w:r>
              <w:rPr>
                <w:rFonts w:ascii="宋体" w:hAnsi="宋体" w:cs="宋体" w:eastAsia="宋体" w:hint="default"/>
                <w:sz w:val="21"/>
                <w:szCs w:val="21"/>
              </w:rPr>
              <w:t>术产业化专项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省统筹投资计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划</w:t>
            </w:r>
            <w:r>
              <w:rPr>
                <w:rFonts w:ascii="Times New Roman" w:hAnsi="Times New Roman" w:cs="Times New Roman" w:eastAsia="Times New Roman" w:hint="default"/>
                <w:spacing w:val="-4"/>
                <w:sz w:val="21"/>
                <w:szCs w:val="21"/>
              </w:rPr>
              <w:t>*11</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4"/>
              <w:jc w:val="right"/>
              <w:rPr>
                <w:rFonts w:ascii="Times New Roman" w:hAnsi="Times New Roman" w:cs="Times New Roman" w:eastAsia="Times New Roman" w:hint="default"/>
                <w:sz w:val="21"/>
                <w:szCs w:val="21"/>
              </w:rPr>
            </w:pPr>
            <w:r>
              <w:rPr>
                <w:rFonts w:ascii="Times New Roman"/>
                <w:sz w:val="21"/>
              </w:rPr>
              <w:t>540,000.</w:t>
            </w:r>
          </w:p>
          <w:p>
            <w:pPr>
              <w:pStyle w:val="TableParagraph"/>
              <w:spacing w:line="240" w:lineRule="auto" w:before="76"/>
              <w:ind w:right="99"/>
              <w:jc w:val="right"/>
              <w:rPr>
                <w:rFonts w:ascii="Times New Roman" w:hAnsi="Times New Roman" w:cs="Times New Roman" w:eastAsia="Times New Roman" w:hint="default"/>
                <w:sz w:val="21"/>
                <w:szCs w:val="21"/>
              </w:rPr>
            </w:pPr>
            <w:r>
              <w:rPr>
                <w:rFonts w:ascii="Times New Roman"/>
                <w:sz w:val="21"/>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4"/>
              <w:jc w:val="right"/>
              <w:rPr>
                <w:rFonts w:ascii="Times New Roman" w:hAnsi="Times New Roman" w:cs="Times New Roman" w:eastAsia="Times New Roman" w:hint="default"/>
                <w:sz w:val="21"/>
                <w:szCs w:val="21"/>
              </w:rPr>
            </w:pPr>
            <w:r>
              <w:rPr>
                <w:rFonts w:ascii="Times New Roman"/>
                <w:sz w:val="21"/>
              </w:rPr>
              <w:t>90,000.0</w:t>
            </w:r>
          </w:p>
          <w:p>
            <w:pPr>
              <w:pStyle w:val="TableParagraph"/>
              <w:spacing w:line="240" w:lineRule="auto" w:before="76"/>
              <w:ind w:right="98"/>
              <w:jc w:val="right"/>
              <w:rPr>
                <w:rFonts w:ascii="Times New Roman" w:hAnsi="Times New Roman" w:cs="Times New Roman" w:eastAsia="Times New Roman" w:hint="default"/>
                <w:sz w:val="21"/>
                <w:szCs w:val="21"/>
              </w:rPr>
            </w:pPr>
            <w:r>
              <w:rPr>
                <w:rFonts w:ascii="Times New Roman"/>
                <w:w w:val="100"/>
                <w:sz w:val="21"/>
              </w:rPr>
              <w:t>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450,000.00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8" w:lineRule="auto"/>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34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72"/>
              <w:jc w:val="both"/>
              <w:rPr>
                <w:rFonts w:ascii="宋体" w:hAnsi="宋体" w:cs="宋体" w:eastAsia="宋体" w:hint="default"/>
                <w:sz w:val="21"/>
                <w:szCs w:val="21"/>
              </w:rPr>
            </w:pPr>
            <w:r>
              <w:rPr>
                <w:rFonts w:ascii="宋体" w:hAnsi="宋体" w:cs="宋体" w:eastAsia="宋体" w:hint="default"/>
                <w:sz w:val="21"/>
                <w:szCs w:val="21"/>
              </w:rPr>
              <w:t>智能型高分断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低压断路器生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产线建设项目</w:t>
            </w:r>
          </w:p>
          <w:p>
            <w:pPr>
              <w:pStyle w:val="TableParagraph"/>
              <w:spacing w:line="240" w:lineRule="auto" w:before="62"/>
              <w:ind w:left="105" w:right="0"/>
              <w:jc w:val="both"/>
              <w:rPr>
                <w:rFonts w:ascii="Times New Roman" w:hAnsi="Times New Roman" w:cs="Times New Roman" w:eastAsia="Times New Roman" w:hint="default"/>
                <w:sz w:val="21"/>
                <w:szCs w:val="21"/>
              </w:rPr>
            </w:pPr>
            <w:r>
              <w:rPr>
                <w:rFonts w:ascii="Times New Roman"/>
                <w:sz w:val="21"/>
              </w:rPr>
              <w:t>*12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4"/>
              <w:jc w:val="right"/>
              <w:rPr>
                <w:rFonts w:ascii="Times New Roman" w:hAnsi="Times New Roman" w:cs="Times New Roman" w:eastAsia="Times New Roman" w:hint="default"/>
                <w:sz w:val="21"/>
                <w:szCs w:val="21"/>
              </w:rPr>
            </w:pPr>
            <w:r>
              <w:rPr>
                <w:rFonts w:ascii="Times New Roman"/>
                <w:sz w:val="21"/>
              </w:rPr>
              <w:t>449,166.</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80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4"/>
              <w:jc w:val="right"/>
              <w:rPr>
                <w:rFonts w:ascii="Times New Roman" w:hAnsi="Times New Roman" w:cs="Times New Roman" w:eastAsia="Times New Roman" w:hint="default"/>
                <w:sz w:val="21"/>
                <w:szCs w:val="21"/>
              </w:rPr>
            </w:pPr>
            <w:r>
              <w:rPr>
                <w:rFonts w:ascii="Times New Roman"/>
                <w:sz w:val="21"/>
              </w:rPr>
              <w:t>69,999.9</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6</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379,166.84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6" w:lineRule="auto"/>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027"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72"/>
              <w:jc w:val="both"/>
              <w:rPr>
                <w:rFonts w:ascii="Times New Roman" w:hAnsi="Times New Roman" w:cs="Times New Roman" w:eastAsia="Times New Roman" w:hint="default"/>
                <w:sz w:val="21"/>
                <w:szCs w:val="21"/>
              </w:rPr>
            </w:pPr>
            <w:r>
              <w:rPr>
                <w:rFonts w:ascii="宋体" w:hAnsi="宋体" w:cs="宋体" w:eastAsia="宋体" w:hint="default"/>
                <w:sz w:val="21"/>
                <w:szCs w:val="21"/>
              </w:rPr>
              <w:t>户用光伏发电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智能控制模块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集成技术</w:t>
            </w:r>
            <w:r>
              <w:rPr>
                <w:rFonts w:ascii="Times New Roman" w:hAnsi="Times New Roman" w:cs="Times New Roman" w:eastAsia="Times New Roman" w:hint="default"/>
                <w:sz w:val="21"/>
                <w:szCs w:val="21"/>
              </w:rPr>
              <w:t>*13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820,000.</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820,000.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9"/>
              <w:jc w:val="right"/>
              <w:rPr>
                <w:rFonts w:ascii="Times New Roman" w:hAnsi="Times New Roman" w:cs="Times New Roman" w:eastAsia="Times New Roman" w:hint="default"/>
                <w:sz w:val="21"/>
                <w:szCs w:val="21"/>
              </w:rPr>
            </w:pPr>
            <w:r>
              <w:rPr>
                <w:rFonts w:ascii="Times New Roman"/>
                <w:sz w:val="21"/>
              </w:rPr>
              <w:t>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6" w:lineRule="auto"/>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33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105" w:right="272"/>
              <w:jc w:val="both"/>
              <w:rPr>
                <w:rFonts w:ascii="Times New Roman" w:hAnsi="Times New Roman" w:cs="Times New Roman" w:eastAsia="Times New Roman" w:hint="default"/>
                <w:sz w:val="21"/>
                <w:szCs w:val="21"/>
              </w:rPr>
            </w:pPr>
            <w:r>
              <w:rPr>
                <w:rFonts w:ascii="宋体" w:hAnsi="宋体" w:cs="宋体" w:eastAsia="宋体" w:hint="default"/>
                <w:sz w:val="21"/>
                <w:szCs w:val="21"/>
              </w:rPr>
              <w:t>智能化电力供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配电微机综合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保护装置生产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线</w:t>
            </w:r>
            <w:r>
              <w:rPr>
                <w:rFonts w:ascii="Times New Roman" w:hAnsi="Times New Roman" w:cs="Times New Roman" w:eastAsia="Times New Roman" w:hint="default"/>
                <w:sz w:val="21"/>
                <w:szCs w:val="21"/>
              </w:rPr>
              <w:t>*14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94"/>
              <w:jc w:val="right"/>
              <w:rPr>
                <w:rFonts w:ascii="Times New Roman" w:hAnsi="Times New Roman" w:cs="Times New Roman" w:eastAsia="Times New Roman" w:hint="default"/>
                <w:sz w:val="21"/>
                <w:szCs w:val="21"/>
              </w:rPr>
            </w:pPr>
            <w:r>
              <w:rPr>
                <w:rFonts w:ascii="Times New Roman"/>
                <w:sz w:val="21"/>
              </w:rPr>
              <w:t>450,000.</w:t>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94"/>
              <w:jc w:val="right"/>
              <w:rPr>
                <w:rFonts w:ascii="Times New Roman" w:hAnsi="Times New Roman" w:cs="Times New Roman" w:eastAsia="Times New Roman" w:hint="default"/>
                <w:sz w:val="21"/>
                <w:szCs w:val="21"/>
              </w:rPr>
            </w:pPr>
            <w:r>
              <w:rPr>
                <w:rFonts w:ascii="Times New Roman"/>
                <w:sz w:val="21"/>
              </w:rPr>
              <w:t>202,500.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247,500.00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bl>
    <w:p>
      <w:pPr>
        <w:spacing w:after="0" w:line="273" w:lineRule="auto"/>
        <w:jc w:val="left"/>
        <w:rPr>
          <w:rFonts w:ascii="宋体" w:hAnsi="宋体" w:cs="宋体" w:eastAsia="宋体" w:hint="default"/>
          <w:sz w:val="21"/>
          <w:szCs w:val="21"/>
        </w:rPr>
        <w:sectPr>
          <w:pgSz w:w="11910" w:h="16840"/>
          <w:pgMar w:header="906" w:footer="1022" w:top="1100" w:bottom="1220" w:left="64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652"/>
        <w:gridCol w:w="989"/>
        <w:gridCol w:w="1008"/>
        <w:gridCol w:w="1013"/>
        <w:gridCol w:w="1008"/>
        <w:gridCol w:w="1013"/>
        <w:gridCol w:w="1009"/>
        <w:gridCol w:w="1248"/>
        <w:gridCol w:w="1013"/>
      </w:tblGrid>
      <w:tr>
        <w:trPr>
          <w:trHeight w:val="71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72"/>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企业发展专项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资金</w:t>
            </w:r>
            <w:r>
              <w:rPr>
                <w:rFonts w:ascii="Times New Roman" w:hAnsi="Times New Roman" w:cs="Times New Roman" w:eastAsia="Times New Roman" w:hint="default"/>
                <w:sz w:val="21"/>
                <w:szCs w:val="21"/>
              </w:rPr>
              <w:t>*15</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4" w:right="0"/>
              <w:jc w:val="left"/>
              <w:rPr>
                <w:rFonts w:ascii="Times New Roman" w:hAnsi="Times New Roman" w:cs="Times New Roman" w:eastAsia="Times New Roman" w:hint="default"/>
                <w:sz w:val="21"/>
                <w:szCs w:val="21"/>
              </w:rPr>
            </w:pPr>
            <w:r>
              <w:rPr>
                <w:rFonts w:ascii="Times New Roman"/>
                <w:sz w:val="21"/>
              </w:rPr>
              <w:t>1,100,00</w:t>
            </w:r>
          </w:p>
          <w:p>
            <w:pPr>
              <w:pStyle w:val="TableParagraph"/>
              <w:spacing w:line="240" w:lineRule="auto" w:before="70"/>
              <w:ind w:left="508" w:right="0"/>
              <w:jc w:val="left"/>
              <w:rPr>
                <w:rFonts w:ascii="Times New Roman" w:hAnsi="Times New Roman" w:cs="Times New Roman" w:eastAsia="Times New Roman" w:hint="default"/>
                <w:sz w:val="21"/>
                <w:szCs w:val="21"/>
              </w:rPr>
            </w:pPr>
            <w:r>
              <w:rPr>
                <w:rFonts w:ascii="Times New Roman"/>
                <w:sz w:val="21"/>
              </w:rPr>
              <w:t>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239,154.</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30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860,845.70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711"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72"/>
              <w:jc w:val="left"/>
              <w:rPr>
                <w:rFonts w:ascii="Times New Roman" w:hAnsi="Times New Roman" w:cs="Times New Roman" w:eastAsia="Times New Roman" w:hint="default"/>
                <w:sz w:val="21"/>
                <w:szCs w:val="21"/>
              </w:rPr>
            </w:pPr>
            <w:r>
              <w:rPr>
                <w:rFonts w:ascii="宋体" w:hAnsi="宋体" w:cs="宋体" w:eastAsia="宋体" w:hint="default"/>
                <w:sz w:val="21"/>
                <w:szCs w:val="21"/>
              </w:rPr>
              <w:t>省创新型省份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建设资金</w:t>
            </w:r>
            <w:r>
              <w:rPr>
                <w:rFonts w:ascii="Times New Roman" w:hAnsi="Times New Roman" w:cs="Times New Roman" w:eastAsia="Times New Roman" w:hint="default"/>
                <w:sz w:val="21"/>
                <w:szCs w:val="21"/>
              </w:rPr>
              <w:t>*16</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4" w:right="0"/>
              <w:jc w:val="left"/>
              <w:rPr>
                <w:rFonts w:ascii="Times New Roman" w:hAnsi="Times New Roman" w:cs="Times New Roman" w:eastAsia="Times New Roman" w:hint="default"/>
                <w:sz w:val="21"/>
                <w:szCs w:val="21"/>
              </w:rPr>
            </w:pPr>
            <w:r>
              <w:rPr>
                <w:rFonts w:ascii="Times New Roman"/>
                <w:sz w:val="21"/>
              </w:rPr>
              <w:t>2,773,00</w:t>
            </w:r>
          </w:p>
          <w:p>
            <w:pPr>
              <w:pStyle w:val="TableParagraph"/>
              <w:spacing w:line="240" w:lineRule="auto" w:before="71"/>
              <w:ind w:left="508" w:right="0"/>
              <w:jc w:val="left"/>
              <w:rPr>
                <w:rFonts w:ascii="Times New Roman" w:hAnsi="Times New Roman" w:cs="Times New Roman" w:eastAsia="Times New Roman" w:hint="default"/>
                <w:sz w:val="21"/>
                <w:szCs w:val="21"/>
              </w:rPr>
            </w:pPr>
            <w:r>
              <w:rPr>
                <w:rFonts w:ascii="Times New Roman"/>
                <w:sz w:val="21"/>
              </w:rPr>
              <w:t>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2,773,000.0</w:t>
            </w:r>
          </w:p>
          <w:p>
            <w:pPr>
              <w:pStyle w:val="TableParagraph"/>
              <w:spacing w:line="240" w:lineRule="auto" w:before="71"/>
              <w:ind w:right="98"/>
              <w:jc w:val="right"/>
              <w:rPr>
                <w:rFonts w:ascii="Times New Roman" w:hAnsi="Times New Roman" w:cs="Times New Roman" w:eastAsia="Times New Roman" w:hint="default"/>
                <w:sz w:val="21"/>
                <w:szCs w:val="21"/>
              </w:rPr>
            </w:pPr>
            <w:r>
              <w:rPr>
                <w:rFonts w:ascii="Times New Roman"/>
                <w:w w:val="100"/>
                <w:sz w:val="21"/>
              </w:rPr>
              <w:t>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027"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3"/>
              <w:ind w:left="105" w:right="94"/>
              <w:jc w:val="left"/>
              <w:rPr>
                <w:rFonts w:ascii="Times New Roman" w:hAnsi="Times New Roman" w:cs="Times New Roman" w:eastAsia="Times New Roman" w:hint="default"/>
                <w:sz w:val="21"/>
                <w:szCs w:val="21"/>
              </w:rPr>
            </w:pPr>
            <w:r>
              <w:rPr>
                <w:rFonts w:ascii="宋体" w:hAnsi="宋体" w:cs="宋体" w:eastAsia="宋体" w:hint="default"/>
                <w:sz w:val="21"/>
                <w:szCs w:val="21"/>
              </w:rPr>
              <w:t>安徽省科技攻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关计划项目（省</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创新项目）</w:t>
            </w:r>
            <w:r>
              <w:rPr>
                <w:rFonts w:ascii="Times New Roman" w:hAnsi="Times New Roman" w:cs="Times New Roman" w:eastAsia="Times New Roman" w:hint="default"/>
                <w:sz w:val="21"/>
                <w:szCs w:val="21"/>
              </w:rPr>
              <w:t>*17</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53,427.0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18,009.0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4"/>
              <w:ind w:right="94"/>
              <w:jc w:val="right"/>
              <w:rPr>
                <w:rFonts w:ascii="Times New Roman" w:hAnsi="Times New Roman" w:cs="Times New Roman" w:eastAsia="Times New Roman" w:hint="default"/>
                <w:sz w:val="21"/>
                <w:szCs w:val="21"/>
              </w:rPr>
            </w:pPr>
            <w:r>
              <w:rPr>
                <w:rFonts w:ascii="Times New Roman"/>
                <w:sz w:val="21"/>
              </w:rPr>
              <w:t>35,418.00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028"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72"/>
              <w:jc w:val="both"/>
              <w:rPr>
                <w:rFonts w:ascii="Times New Roman" w:hAnsi="Times New Roman" w:cs="Times New Roman" w:eastAsia="Times New Roman" w:hint="default"/>
                <w:sz w:val="21"/>
                <w:szCs w:val="21"/>
              </w:rPr>
            </w:pPr>
            <w:r>
              <w:rPr>
                <w:rFonts w:ascii="宋体" w:hAnsi="宋体" w:cs="宋体" w:eastAsia="宋体" w:hint="default"/>
                <w:sz w:val="21"/>
                <w:szCs w:val="21"/>
              </w:rPr>
              <w:t>智能型双向一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体化直流充电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机的研发</w:t>
            </w:r>
            <w:r>
              <w:rPr>
                <w:rFonts w:ascii="Times New Roman" w:hAnsi="Times New Roman" w:cs="Times New Roman" w:eastAsia="Times New Roman" w:hint="default"/>
                <w:sz w:val="21"/>
                <w:szCs w:val="21"/>
              </w:rPr>
              <w:t>*18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420,000.</w:t>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59,500.0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94"/>
              <w:jc w:val="right"/>
              <w:rPr>
                <w:rFonts w:ascii="Times New Roman" w:hAnsi="Times New Roman" w:cs="Times New Roman" w:eastAsia="Times New Roman" w:hint="default"/>
                <w:sz w:val="21"/>
                <w:szCs w:val="21"/>
              </w:rPr>
            </w:pPr>
            <w:r>
              <w:rPr>
                <w:rFonts w:ascii="Times New Roman"/>
                <w:sz w:val="21"/>
              </w:rPr>
              <w:t>360,500.00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1340"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72"/>
              <w:jc w:val="both"/>
              <w:rPr>
                <w:rFonts w:ascii="Times New Roman" w:hAnsi="Times New Roman" w:cs="Times New Roman" w:eastAsia="Times New Roman" w:hint="default"/>
                <w:sz w:val="21"/>
                <w:szCs w:val="21"/>
              </w:rPr>
            </w:pPr>
            <w:r>
              <w:rPr>
                <w:rFonts w:ascii="宋体" w:hAnsi="宋体" w:cs="宋体" w:eastAsia="宋体" w:hint="default"/>
                <w:sz w:val="21"/>
                <w:szCs w:val="21"/>
              </w:rPr>
              <w:t>基于能源物联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网微网监控智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能远程运维系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统平台</w:t>
            </w:r>
            <w:r>
              <w:rPr>
                <w:rFonts w:ascii="Times New Roman" w:hAnsi="Times New Roman" w:cs="Times New Roman" w:eastAsia="Times New Roman" w:hint="default"/>
                <w:sz w:val="21"/>
                <w:szCs w:val="21"/>
              </w:rPr>
              <w:t>*19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9"/>
              <w:ind w:right="94"/>
              <w:jc w:val="right"/>
              <w:rPr>
                <w:rFonts w:ascii="Times New Roman" w:hAnsi="Times New Roman" w:cs="Times New Roman" w:eastAsia="Times New Roman" w:hint="default"/>
                <w:sz w:val="21"/>
                <w:szCs w:val="21"/>
              </w:rPr>
            </w:pPr>
            <w:r>
              <w:rPr>
                <w:rFonts w:ascii="Times New Roman"/>
                <w:sz w:val="21"/>
              </w:rPr>
              <w:t>210,000.</w:t>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7"/>
                <w:szCs w:val="2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210,000.00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73" w:lineRule="auto"/>
              <w:ind w:left="105" w:right="263"/>
              <w:jc w:val="left"/>
              <w:rPr>
                <w:rFonts w:ascii="宋体" w:hAnsi="宋体" w:cs="宋体" w:eastAsia="宋体" w:hint="default"/>
                <w:sz w:val="21"/>
                <w:szCs w:val="21"/>
              </w:rPr>
            </w:pPr>
            <w:r>
              <w:rPr>
                <w:rFonts w:ascii="宋体" w:hAnsi="宋体" w:cs="宋体" w:eastAsia="宋体" w:hint="default"/>
                <w:sz w:val="21"/>
                <w:szCs w:val="21"/>
              </w:rPr>
              <w:t>与资产</w:t>
            </w:r>
            <w:r>
              <w:rPr>
                <w:rFonts w:ascii="宋体" w:hAnsi="宋体" w:cs="宋体" w:eastAsia="宋体" w:hint="default"/>
                <w:spacing w:val="-102"/>
                <w:sz w:val="21"/>
                <w:szCs w:val="21"/>
              </w:rPr>
              <w:t> </w:t>
            </w:r>
            <w:r>
              <w:rPr>
                <w:rFonts w:ascii="宋体" w:hAnsi="宋体" w:cs="宋体" w:eastAsia="宋体" w:hint="default"/>
                <w:sz w:val="21"/>
                <w:szCs w:val="21"/>
              </w:rPr>
              <w:t>相关</w:t>
            </w:r>
          </w:p>
        </w:tc>
      </w:tr>
      <w:tr>
        <w:trPr>
          <w:trHeight w:val="71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4" w:right="0"/>
              <w:jc w:val="left"/>
              <w:rPr>
                <w:rFonts w:ascii="Times New Roman" w:hAnsi="Times New Roman" w:cs="Times New Roman" w:eastAsia="Times New Roman" w:hint="default"/>
                <w:sz w:val="21"/>
                <w:szCs w:val="21"/>
              </w:rPr>
            </w:pPr>
            <w:r>
              <w:rPr>
                <w:rFonts w:ascii="Times New Roman"/>
                <w:sz w:val="21"/>
              </w:rPr>
              <w:t>26,283,5</w:t>
            </w:r>
          </w:p>
          <w:p>
            <w:pPr>
              <w:pStyle w:val="TableParagraph"/>
              <w:spacing w:line="240" w:lineRule="auto" w:before="70"/>
              <w:ind w:left="408" w:right="0"/>
              <w:jc w:val="left"/>
              <w:rPr>
                <w:rFonts w:ascii="Times New Roman" w:hAnsi="Times New Roman" w:cs="Times New Roman" w:eastAsia="Times New Roman" w:hint="default"/>
                <w:sz w:val="21"/>
                <w:szCs w:val="21"/>
              </w:rPr>
            </w:pPr>
            <w:r>
              <w:rPr>
                <w:rFonts w:ascii="Times New Roman"/>
                <w:sz w:val="21"/>
              </w:rPr>
              <w:t>37.38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3" w:right="0"/>
              <w:jc w:val="left"/>
              <w:rPr>
                <w:rFonts w:ascii="Times New Roman" w:hAnsi="Times New Roman" w:cs="Times New Roman" w:eastAsia="Times New Roman" w:hint="default"/>
                <w:sz w:val="21"/>
                <w:szCs w:val="21"/>
              </w:rPr>
            </w:pPr>
            <w:r>
              <w:rPr>
                <w:rFonts w:ascii="Times New Roman"/>
                <w:sz w:val="21"/>
              </w:rPr>
              <w:t>3,967,27</w:t>
            </w:r>
          </w:p>
          <w:p>
            <w:pPr>
              <w:pStyle w:val="TableParagraph"/>
              <w:spacing w:line="240" w:lineRule="auto" w:before="70"/>
              <w:ind w:left="528" w:right="0"/>
              <w:jc w:val="left"/>
              <w:rPr>
                <w:rFonts w:ascii="Times New Roman" w:hAnsi="Times New Roman" w:cs="Times New Roman" w:eastAsia="Times New Roman" w:hint="default"/>
                <w:sz w:val="21"/>
                <w:szCs w:val="21"/>
              </w:rPr>
            </w:pPr>
            <w:r>
              <w:rPr>
                <w:rFonts w:ascii="Times New Roman"/>
                <w:sz w:val="21"/>
              </w:rPr>
              <w:t>6.09</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22,316,261.</w:t>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29</w:t>
            </w:r>
          </w:p>
        </w:tc>
        <w:tc>
          <w:tcPr>
            <w:tcW w:w="10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left="493" w:right="611"/>
        <w:jc w:val="left"/>
      </w:pPr>
      <w:r>
        <w:rPr/>
        <w:t>其他说明：</w:t>
      </w:r>
    </w:p>
    <w:p>
      <w:pPr>
        <w:pStyle w:val="BodyText"/>
        <w:spacing w:line="273" w:lineRule="auto" w:before="71"/>
        <w:ind w:left="493" w:right="611" w:firstLine="360"/>
        <w:jc w:val="left"/>
      </w:pPr>
      <w:r>
        <w:rPr>
          <w:spacing w:val="-1"/>
        </w:rPr>
        <w:t>本期计入当期损益金额中，计入其他收益</w:t>
      </w:r>
      <w:r>
        <w:rPr>
          <w:rFonts w:ascii="宋体" w:hAnsi="宋体" w:cs="宋体" w:eastAsia="宋体" w:hint="default"/>
          <w:spacing w:val="-1"/>
        </w:rPr>
        <w:t>3,967,276.09</w:t>
      </w:r>
      <w:r>
        <w:rPr>
          <w:spacing w:val="-1"/>
        </w:rPr>
        <w:t>元，不存在计入营业外收入或冲减营业成本的</w:t>
      </w:r>
      <w:r>
        <w:rPr>
          <w:w w:val="100"/>
        </w:rPr>
        <w:t> </w:t>
      </w:r>
      <w:r>
        <w:rPr/>
        <w:t>金额。</w:t>
      </w:r>
    </w:p>
    <w:p>
      <w:pPr>
        <w:spacing w:line="240" w:lineRule="auto" w:before="9"/>
        <w:rPr>
          <w:rFonts w:ascii="宋体" w:hAnsi="宋体" w:cs="宋体" w:eastAsia="宋体" w:hint="default"/>
          <w:sz w:val="23"/>
          <w:szCs w:val="23"/>
        </w:rPr>
      </w:pPr>
    </w:p>
    <w:p>
      <w:pPr>
        <w:pStyle w:val="Heading5"/>
        <w:spacing w:line="240" w:lineRule="auto"/>
        <w:ind w:left="493" w:right="611"/>
        <w:jc w:val="left"/>
        <w:rPr>
          <w:b w:val="0"/>
          <w:bCs w:val="0"/>
        </w:rPr>
      </w:pPr>
      <w:bookmarkStart w:name="52、其他非流动负债" w:id="378"/>
      <w:bookmarkEnd w:id="378"/>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2" w:top="1100" w:bottom="1220" w:left="640" w:right="0"/>
        </w:sectPr>
      </w:pPr>
    </w:p>
    <w:p>
      <w:pPr>
        <w:pStyle w:val="BodyText"/>
        <w:spacing w:line="240" w:lineRule="auto"/>
        <w:ind w:left="493" w:right="-8"/>
        <w:jc w:val="left"/>
      </w:pPr>
      <w:r>
        <w:rPr>
          <w:spacing w:val="-1"/>
        </w:rPr>
        <w:t>是否已执行新收入准则</w:t>
      </w:r>
    </w:p>
    <w:p>
      <w:pPr>
        <w:pStyle w:val="BodyText"/>
        <w:spacing w:line="240" w:lineRule="auto" w:before="76"/>
        <w:ind w:left="493" w:right="-8"/>
        <w:jc w:val="left"/>
      </w:pPr>
      <w:r>
        <w:rPr/>
        <w:t>□ 是 √</w:t>
      </w:r>
      <w:r>
        <w:rPr>
          <w:spacing w:val="5"/>
        </w:rPr>
        <w:t> </w:t>
      </w:r>
      <w:r>
        <w:rPr/>
        <w:t>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BodyText"/>
        <w:spacing w:line="240" w:lineRule="auto" w:before="0"/>
        <w:ind w:left="493" w:right="0"/>
        <w:jc w:val="left"/>
      </w:pPr>
      <w:r>
        <w:rPr/>
        <w:t>单位：</w:t>
      </w:r>
      <w:r>
        <w:rPr>
          <w:spacing w:val="4"/>
        </w:rPr>
        <w:t> </w:t>
      </w:r>
      <w:r>
        <w:rPr/>
        <w:t>元</w:t>
      </w:r>
    </w:p>
    <w:p>
      <w:pPr>
        <w:spacing w:after="0" w:line="240" w:lineRule="auto"/>
        <w:jc w:val="left"/>
        <w:sectPr>
          <w:type w:val="continuous"/>
          <w:pgSz w:w="11910" w:h="16840"/>
          <w:pgMar w:top="1100" w:bottom="1220" w:left="640" w:right="0"/>
          <w:cols w:num="2" w:equalWidth="0">
            <w:col w:w="2596" w:space="6100"/>
            <w:col w:w="2574"/>
          </w:cols>
        </w:sectPr>
      </w:pPr>
    </w:p>
    <w:p>
      <w:pPr>
        <w:spacing w:line="240" w:lineRule="auto" w:before="12"/>
        <w:rPr>
          <w:rFonts w:ascii="宋体" w:hAnsi="宋体" w:cs="宋体" w:eastAsia="宋体" w:hint="default"/>
          <w:sz w:val="6"/>
          <w:szCs w:val="6"/>
        </w:rPr>
      </w:pPr>
    </w:p>
    <w:tbl>
      <w:tblPr>
        <w:tblW w:w="0" w:type="auto"/>
        <w:jc w:val="left"/>
        <w:tblInd w:w="48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六盘水市天网工程长期预收款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60,562,575.64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117,932,619.43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60,562,575.64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117,932,619.43</w:t>
            </w:r>
          </w:p>
        </w:tc>
      </w:tr>
    </w:tbl>
    <w:p>
      <w:pPr>
        <w:pStyle w:val="BodyText"/>
        <w:spacing w:line="240" w:lineRule="auto" w:before="28"/>
        <w:ind w:left="493" w:right="611"/>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left="493" w:right="611"/>
        <w:jc w:val="left"/>
        <w:rPr>
          <w:b w:val="0"/>
          <w:bCs w:val="0"/>
        </w:rPr>
      </w:pPr>
      <w:bookmarkStart w:name="53、股本" w:id="379"/>
      <w:bookmarkEnd w:id="379"/>
      <w:r>
        <w:rPr>
          <w:b w:val="0"/>
          <w:bCs w:val="0"/>
        </w:rPr>
      </w:r>
      <w:r>
        <w:rPr>
          <w:rFonts w:ascii="Times New Roman" w:hAnsi="Times New Roman" w:cs="Times New Roman" w:eastAsia="Times New Roman" w:hint="default"/>
        </w:rPr>
        <w:t>53</w:t>
      </w:r>
      <w:r>
        <w:rPr/>
        <w:t>、股本</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单位：元</w:t>
      </w:r>
    </w:p>
    <w:p>
      <w:pPr>
        <w:spacing w:line="240" w:lineRule="auto" w:before="12"/>
        <w:rPr>
          <w:rFonts w:ascii="宋体" w:hAnsi="宋体" w:cs="宋体" w:eastAsia="宋体" w:hint="default"/>
          <w:sz w:val="6"/>
          <w:szCs w:val="6"/>
        </w:rPr>
      </w:pPr>
    </w:p>
    <w:tbl>
      <w:tblPr>
        <w:tblW w:w="0" w:type="auto"/>
        <w:jc w:val="left"/>
        <w:tblInd w:w="48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403"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94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710"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2"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9"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4" w:right="171" w:hanging="317"/>
              <w:jc w:val="left"/>
              <w:rPr>
                <w:rFonts w:ascii="宋体" w:hAnsi="宋体" w:cs="宋体" w:eastAsia="宋体" w:hint="default"/>
                <w:sz w:val="21"/>
                <w:szCs w:val="21"/>
              </w:rPr>
            </w:pPr>
            <w:r>
              <w:rPr>
                <w:rFonts w:ascii="宋体" w:hAnsi="宋体" w:cs="宋体" w:eastAsia="宋体" w:hint="default"/>
                <w:sz w:val="21"/>
                <w:szCs w:val="21"/>
              </w:rPr>
              <w:t>公积金转</w:t>
            </w:r>
            <w:r>
              <w:rPr>
                <w:rFonts w:ascii="宋体" w:hAnsi="宋体" w:cs="宋体" w:eastAsia="宋体" w:hint="default"/>
                <w:spacing w:val="-101"/>
                <w:sz w:val="21"/>
                <w:szCs w:val="21"/>
              </w:rPr>
              <w:t> </w:t>
            </w:r>
            <w:r>
              <w:rPr>
                <w:rFonts w:ascii="宋体" w:hAnsi="宋体" w:cs="宋体" w:eastAsia="宋体" w:hint="default"/>
                <w:sz w:val="21"/>
                <w:szCs w:val="21"/>
              </w:rPr>
              <w:t>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9" w:right="0"/>
              <w:jc w:val="left"/>
              <w:rPr>
                <w:rFonts w:ascii="Times New Roman" w:hAnsi="Times New Roman" w:cs="Times New Roman" w:eastAsia="Times New Roman" w:hint="default"/>
                <w:sz w:val="21"/>
                <w:szCs w:val="21"/>
              </w:rPr>
            </w:pPr>
            <w:r>
              <w:rPr>
                <w:rFonts w:ascii="Times New Roman"/>
                <w:sz w:val="21"/>
              </w:rPr>
              <w:t>691,505,91</w:t>
            </w:r>
          </w:p>
          <w:p>
            <w:pPr>
              <w:pStyle w:val="TableParagraph"/>
              <w:spacing w:line="240" w:lineRule="auto" w:before="76"/>
              <w:ind w:left="715" w:right="0"/>
              <w:jc w:val="left"/>
              <w:rPr>
                <w:rFonts w:ascii="Times New Roman" w:hAnsi="Times New Roman" w:cs="Times New Roman" w:eastAsia="Times New Roman" w:hint="default"/>
                <w:sz w:val="21"/>
                <w:szCs w:val="21"/>
              </w:rPr>
            </w:pPr>
            <w:r>
              <w:rPr>
                <w:rFonts w:ascii="Times New Roman"/>
                <w:sz w:val="21"/>
              </w:rPr>
              <w:t>5.00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39" w:right="0"/>
              <w:jc w:val="left"/>
              <w:rPr>
                <w:rFonts w:ascii="Times New Roman" w:hAnsi="Times New Roman" w:cs="Times New Roman" w:eastAsia="Times New Roman" w:hint="default"/>
                <w:sz w:val="21"/>
                <w:szCs w:val="21"/>
              </w:rPr>
            </w:pPr>
            <w:r>
              <w:rPr>
                <w:rFonts w:ascii="Times New Roman"/>
                <w:sz w:val="21"/>
              </w:rPr>
              <w:t>691,505,91</w:t>
            </w:r>
          </w:p>
          <w:p>
            <w:pPr>
              <w:pStyle w:val="TableParagraph"/>
              <w:spacing w:line="240" w:lineRule="auto" w:before="76"/>
              <w:ind w:left="715" w:right="0"/>
              <w:jc w:val="left"/>
              <w:rPr>
                <w:rFonts w:ascii="Times New Roman" w:hAnsi="Times New Roman" w:cs="Times New Roman" w:eastAsia="Times New Roman" w:hint="default"/>
                <w:sz w:val="21"/>
                <w:szCs w:val="21"/>
              </w:rPr>
            </w:pPr>
            <w:r>
              <w:rPr>
                <w:rFonts w:ascii="Times New Roman"/>
                <w:sz w:val="21"/>
              </w:rPr>
              <w:t>5.00</w:t>
            </w:r>
          </w:p>
        </w:tc>
      </w:tr>
    </w:tbl>
    <w:p>
      <w:pPr>
        <w:pStyle w:val="BodyText"/>
        <w:spacing w:line="240" w:lineRule="auto" w:before="28"/>
        <w:ind w:left="493" w:right="611"/>
        <w:jc w:val="left"/>
      </w:pPr>
      <w:r>
        <w:rPr/>
        <w:t>其他说明：</w:t>
      </w:r>
    </w:p>
    <w:p>
      <w:pPr>
        <w:spacing w:after="0" w:line="240" w:lineRule="auto"/>
        <w:jc w:val="left"/>
        <w:sectPr>
          <w:type w:val="continuous"/>
          <w:pgSz w:w="11910" w:h="16840"/>
          <w:pgMar w:top="1100" w:bottom="1220" w:left="64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54、其他权益工具" w:id="380"/>
      <w:bookmarkEnd w:id="380"/>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期末发行在外的优先股、永续债等其他金融工具基本情况" w:id="381"/>
      <w:bookmarkEnd w:id="38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2）期末发行在外的优先股、永续债等金融工具变动情况表" w:id="382"/>
      <w:bookmarkEnd w:id="38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398"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10" w:right="99"/>
              <w:jc w:val="center"/>
              <w:rPr>
                <w:rFonts w:ascii="宋体" w:hAnsi="宋体" w:cs="宋体" w:eastAsia="宋体" w:hint="default"/>
                <w:sz w:val="21"/>
                <w:szCs w:val="21"/>
              </w:rPr>
            </w:pPr>
            <w:r>
              <w:rPr>
                <w:rFonts w:ascii="宋体" w:hAnsi="宋体" w:cs="宋体" w:eastAsia="宋体" w:hint="default"/>
                <w:sz w:val="21"/>
                <w:szCs w:val="21"/>
              </w:rPr>
              <w:t>发行在外</w:t>
            </w:r>
            <w:r>
              <w:rPr>
                <w:rFonts w:ascii="宋体" w:hAnsi="宋体" w:cs="宋体" w:eastAsia="宋体" w:hint="default"/>
                <w:w w:val="100"/>
                <w:sz w:val="21"/>
                <w:szCs w:val="21"/>
              </w:rPr>
              <w:t> </w:t>
            </w:r>
            <w:r>
              <w:rPr>
                <w:rFonts w:ascii="宋体" w:hAnsi="宋体" w:cs="宋体" w:eastAsia="宋体" w:hint="default"/>
                <w:sz w:val="21"/>
                <w:szCs w:val="21"/>
              </w:rPr>
              <w:t>的金融工</w:t>
            </w:r>
            <w:r>
              <w:rPr>
                <w:rFonts w:ascii="宋体" w:hAnsi="宋体" w:cs="宋体" w:eastAsia="宋体" w:hint="default"/>
                <w:w w:val="100"/>
                <w:sz w:val="21"/>
                <w:szCs w:val="21"/>
              </w:rPr>
              <w:t> </w:t>
            </w:r>
            <w:r>
              <w:rPr>
                <w:rFonts w:ascii="宋体" w:hAnsi="宋体" w:cs="宋体" w:eastAsia="宋体" w:hint="default"/>
                <w:sz w:val="21"/>
                <w:szCs w:val="21"/>
              </w:rPr>
              <w:t>具</w:t>
            </w:r>
          </w:p>
        </w:tc>
        <w:tc>
          <w:tcPr>
            <w:tcW w:w="21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624"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32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312"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311"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316"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05"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pStyle w:val="BodyText"/>
        <w:spacing w:line="309" w:lineRule="auto" w:before="28"/>
        <w:ind w:right="3345"/>
        <w:jc w:val="left"/>
      </w:pPr>
      <w:r>
        <w:rPr>
          <w:spacing w:val="-2"/>
        </w:rPr>
        <w:t>其他权益工具本期增减变动情况、变动原因说明，以及相关会计处理的依据：</w:t>
      </w:r>
      <w:r>
        <w:rPr>
          <w:spacing w:val="-37"/>
        </w:rPr>
        <w:t> </w:t>
      </w:r>
      <w:r>
        <w:rPr>
          <w:spacing w:val="-37"/>
        </w:rPr>
      </w:r>
      <w:r>
        <w:rPr/>
        <w:t>其他说明：</w:t>
      </w:r>
    </w:p>
    <w:p>
      <w:pPr>
        <w:spacing w:line="240" w:lineRule="auto" w:before="8"/>
        <w:rPr>
          <w:rFonts w:ascii="宋体" w:hAnsi="宋体" w:cs="宋体" w:eastAsia="宋体" w:hint="default"/>
          <w:sz w:val="20"/>
          <w:szCs w:val="20"/>
        </w:rPr>
      </w:pPr>
    </w:p>
    <w:p>
      <w:pPr>
        <w:pStyle w:val="Heading5"/>
        <w:spacing w:line="240" w:lineRule="auto"/>
        <w:ind w:right="1002"/>
        <w:jc w:val="left"/>
        <w:rPr>
          <w:b w:val="0"/>
          <w:bCs w:val="0"/>
        </w:rPr>
      </w:pPr>
      <w:bookmarkStart w:name="55、资本公积" w:id="383"/>
      <w:bookmarkEnd w:id="383"/>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247"/>
        <w:gridCol w:w="1935"/>
        <w:gridCol w:w="1560"/>
        <w:gridCol w:w="1916"/>
        <w:gridCol w:w="1916"/>
      </w:tblGrid>
      <w:tr>
        <w:trPr>
          <w:trHeight w:val="398"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2,805,913,476.00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1,311,063.69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2,804,602,412.31</w:t>
            </w:r>
          </w:p>
        </w:tc>
      </w:tr>
      <w:tr>
        <w:trPr>
          <w:trHeight w:val="404"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19,224,098.80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19,224,098.80</w:t>
            </w:r>
          </w:p>
        </w:tc>
      </w:tr>
      <w:tr>
        <w:trPr>
          <w:trHeight w:val="403" w:hRule="exact"/>
        </w:trPr>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2,825,137,574.80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1,311,063.69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2"/>
                <w:sz w:val="21"/>
              </w:rPr>
              <w:t>2,823,826,511.11</w:t>
            </w:r>
          </w:p>
        </w:tc>
      </w:tr>
    </w:tbl>
    <w:p>
      <w:pPr>
        <w:pStyle w:val="BodyText"/>
        <w:spacing w:line="240" w:lineRule="auto" w:before="28"/>
        <w:ind w:right="1002"/>
        <w:jc w:val="left"/>
      </w:pPr>
      <w:r>
        <w:rPr/>
        <w:t>其他说明，包括本期增减变动情况、变动原因说明：</w:t>
      </w:r>
    </w:p>
    <w:p>
      <w:pPr>
        <w:spacing w:line="240" w:lineRule="auto" w:before="11"/>
        <w:rPr>
          <w:rFonts w:ascii="宋体" w:hAnsi="宋体" w:cs="宋体" w:eastAsia="宋体" w:hint="default"/>
          <w:sz w:val="20"/>
          <w:szCs w:val="20"/>
        </w:rPr>
      </w:pPr>
    </w:p>
    <w:p>
      <w:pPr>
        <w:pStyle w:val="BodyText"/>
        <w:spacing w:line="273" w:lineRule="auto" w:before="0"/>
        <w:ind w:right="1130" w:firstLine="360"/>
        <w:jc w:val="left"/>
      </w:pPr>
      <w:r>
        <w:rPr>
          <w:spacing w:val="-1"/>
        </w:rPr>
        <w:t>本期减少系收购少数股东股权的购买成本与按新取得股权比例计算的应享有子公司可辨认净资产份额</w:t>
      </w:r>
      <w:r>
        <w:rPr>
          <w:w w:val="100"/>
        </w:rPr>
        <w:t> </w:t>
      </w:r>
      <w:r>
        <w:rPr/>
        <w:t>差额冲减资本公积</w:t>
      </w:r>
      <w:r>
        <w:rPr>
          <w:rFonts w:ascii="Times New Roman" w:hAnsi="Times New Roman" w:cs="Times New Roman" w:eastAsia="Times New Roman" w:hint="default"/>
        </w:rPr>
        <w:t>-</w:t>
      </w:r>
      <w:r>
        <w:rPr/>
        <w:t>股本溢价所致。</w:t>
      </w:r>
    </w:p>
    <w:p>
      <w:pPr>
        <w:spacing w:line="240" w:lineRule="auto" w:before="3"/>
        <w:rPr>
          <w:rFonts w:ascii="宋体" w:hAnsi="宋体" w:cs="宋体" w:eastAsia="宋体" w:hint="default"/>
          <w:sz w:val="22"/>
          <w:szCs w:val="22"/>
        </w:rPr>
      </w:pPr>
    </w:p>
    <w:p>
      <w:pPr>
        <w:pStyle w:val="Heading5"/>
        <w:spacing w:line="240" w:lineRule="auto"/>
        <w:ind w:right="1002"/>
        <w:jc w:val="left"/>
        <w:rPr>
          <w:b w:val="0"/>
          <w:bCs w:val="0"/>
        </w:rPr>
      </w:pPr>
      <w:bookmarkStart w:name="56、库存股" w:id="384"/>
      <w:bookmarkEnd w:id="384"/>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减少注册资本回购</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4" w:right="0"/>
              <w:jc w:val="left"/>
              <w:rPr>
                <w:rFonts w:ascii="Times New Roman" w:hAnsi="Times New Roman" w:cs="Times New Roman" w:eastAsia="Times New Roman" w:hint="default"/>
                <w:sz w:val="21"/>
                <w:szCs w:val="21"/>
              </w:rPr>
            </w:pPr>
            <w:r>
              <w:rPr>
                <w:rFonts w:ascii="Times New Roman"/>
                <w:sz w:val="21"/>
              </w:rPr>
              <w:t>150,033,637.57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4" w:right="0"/>
              <w:jc w:val="left"/>
              <w:rPr>
                <w:rFonts w:ascii="Times New Roman" w:hAnsi="Times New Roman" w:cs="Times New Roman" w:eastAsia="Times New Roman" w:hint="default"/>
                <w:sz w:val="21"/>
                <w:szCs w:val="21"/>
              </w:rPr>
            </w:pPr>
            <w:r>
              <w:rPr>
                <w:rFonts w:ascii="Times New Roman"/>
                <w:sz w:val="21"/>
              </w:rPr>
              <w:t>150,033,637.57</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4" w:right="0"/>
              <w:jc w:val="left"/>
              <w:rPr>
                <w:rFonts w:ascii="Times New Roman" w:hAnsi="Times New Roman" w:cs="Times New Roman" w:eastAsia="Times New Roman" w:hint="default"/>
                <w:sz w:val="21"/>
                <w:szCs w:val="21"/>
              </w:rPr>
            </w:pPr>
            <w:r>
              <w:rPr>
                <w:rFonts w:ascii="Times New Roman"/>
                <w:sz w:val="21"/>
              </w:rPr>
              <w:t>150,033,637.57</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4" w:right="0"/>
              <w:jc w:val="left"/>
              <w:rPr>
                <w:rFonts w:ascii="Times New Roman" w:hAnsi="Times New Roman" w:cs="Times New Roman" w:eastAsia="Times New Roman" w:hint="default"/>
                <w:sz w:val="21"/>
                <w:szCs w:val="21"/>
              </w:rPr>
            </w:pPr>
            <w:r>
              <w:rPr>
                <w:rFonts w:ascii="Times New Roman"/>
                <w:sz w:val="21"/>
              </w:rPr>
              <w:t>150,033,637.57</w:t>
            </w:r>
          </w:p>
        </w:tc>
      </w:tr>
    </w:tbl>
    <w:p>
      <w:pPr>
        <w:pStyle w:val="BodyText"/>
        <w:spacing w:line="240" w:lineRule="auto" w:before="28"/>
        <w:ind w:right="1002"/>
        <w:jc w:val="left"/>
      </w:pPr>
      <w:r>
        <w:rPr/>
        <w:t>其他说明，包括本期增减变动情况、变动原因说明：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57、其他综合收益" w:id="385"/>
      <w:bookmarkEnd w:id="385"/>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927"/>
        <w:gridCol w:w="1022"/>
        <w:gridCol w:w="1427"/>
        <w:gridCol w:w="1647"/>
        <w:gridCol w:w="1263"/>
        <w:gridCol w:w="855"/>
        <w:gridCol w:w="854"/>
        <w:gridCol w:w="850"/>
        <w:gridCol w:w="725"/>
      </w:tblGrid>
      <w:tr>
        <w:trPr>
          <w:trHeight w:val="403" w:hRule="exact"/>
        </w:trPr>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249"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73" w:lineRule="auto"/>
              <w:ind w:left="398" w:right="185" w:hanging="207"/>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p>
        </w:tc>
        <w:tc>
          <w:tcPr>
            <w:tcW w:w="689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73" w:lineRule="auto"/>
              <w:ind w:left="148" w:right="14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297" w:hRule="exact"/>
        </w:trPr>
        <w:tc>
          <w:tcPr>
            <w:tcW w:w="927" w:type="dxa"/>
            <w:vMerge/>
            <w:tcBorders>
              <w:left w:val="single" w:sz="4" w:space="0" w:color="000000"/>
              <w:bottom w:val="single" w:sz="4" w:space="0" w:color="000000"/>
              <w:right w:val="single" w:sz="4" w:space="0" w:color="000000"/>
            </w:tcBorders>
            <w:shd w:val="clear" w:color="auto" w:fill="D2D2D2"/>
          </w:tcPr>
          <w:p>
            <w:pPr/>
          </w:p>
        </w:tc>
        <w:tc>
          <w:tcPr>
            <w:tcW w:w="1022" w:type="dxa"/>
            <w:vMerge/>
            <w:tcBorders>
              <w:left w:val="single" w:sz="4" w:space="0" w:color="000000"/>
              <w:bottom w:val="single" w:sz="4" w:space="0" w:color="000000"/>
              <w:right w:val="single" w:sz="4" w:space="0" w:color="000000"/>
            </w:tcBorders>
            <w:shd w:val="clear" w:color="auto" w:fill="D2D2D2"/>
          </w:tcPr>
          <w:p>
            <w:pP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273" w:lineRule="auto"/>
              <w:ind w:left="283" w:right="182" w:hanging="106"/>
              <w:jc w:val="left"/>
              <w:rPr>
                <w:rFonts w:ascii="宋体" w:hAnsi="宋体" w:cs="宋体" w:eastAsia="宋体" w:hint="default"/>
                <w:sz w:val="21"/>
                <w:szCs w:val="21"/>
              </w:rPr>
            </w:pPr>
            <w:r>
              <w:rPr>
                <w:rFonts w:ascii="宋体" w:hAnsi="宋体" w:cs="宋体" w:eastAsia="宋体" w:hint="default"/>
                <w:sz w:val="21"/>
                <w:szCs w:val="21"/>
              </w:rPr>
              <w:t>本期所得税</w:t>
            </w:r>
            <w:r>
              <w:rPr>
                <w:rFonts w:ascii="宋体" w:hAnsi="宋体" w:cs="宋体" w:eastAsia="宋体" w:hint="default"/>
                <w:spacing w:val="-99"/>
                <w:sz w:val="21"/>
                <w:szCs w:val="21"/>
              </w:rPr>
              <w:t> </w:t>
            </w:r>
            <w:r>
              <w:rPr>
                <w:rFonts w:ascii="宋体" w:hAnsi="宋体" w:cs="宋体" w:eastAsia="宋体" w:hint="default"/>
                <w:sz w:val="21"/>
                <w:szCs w:val="21"/>
              </w:rPr>
              <w:t>前发生额</w:t>
            </w: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63"/>
              <w:ind w:left="100" w:right="94"/>
              <w:jc w:val="center"/>
              <w:rPr>
                <w:rFonts w:ascii="宋体" w:hAnsi="宋体" w:cs="宋体" w:eastAsia="宋体" w:hint="default"/>
                <w:sz w:val="21"/>
                <w:szCs w:val="21"/>
              </w:rPr>
            </w:pPr>
            <w:r>
              <w:rPr>
                <w:rFonts w:ascii="宋体" w:hAnsi="宋体" w:cs="宋体" w:eastAsia="宋体" w:hint="default"/>
                <w:spacing w:val="-6"/>
                <w:sz w:val="21"/>
                <w:szCs w:val="21"/>
              </w:rPr>
              <w:t>减：前期计入其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他综合收益当</w:t>
            </w:r>
            <w:r>
              <w:rPr>
                <w:rFonts w:ascii="宋体" w:hAnsi="宋体" w:cs="宋体" w:eastAsia="宋体" w:hint="default"/>
                <w:w w:val="100"/>
                <w:sz w:val="21"/>
                <w:szCs w:val="21"/>
              </w:rPr>
              <w:t> </w:t>
            </w:r>
            <w:r>
              <w:rPr>
                <w:rFonts w:ascii="宋体" w:hAnsi="宋体" w:cs="宋体" w:eastAsia="宋体" w:hint="default"/>
                <w:sz w:val="21"/>
                <w:szCs w:val="21"/>
              </w:rPr>
              <w:t>期转入损益</w:t>
            </w: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28"/>
              <w:ind w:left="206" w:right="94" w:hanging="101"/>
              <w:jc w:val="left"/>
              <w:rPr>
                <w:rFonts w:ascii="宋体" w:hAnsi="宋体" w:cs="宋体" w:eastAsia="宋体" w:hint="default"/>
                <w:sz w:val="21"/>
                <w:szCs w:val="21"/>
              </w:rPr>
            </w:pPr>
            <w:r>
              <w:rPr>
                <w:rFonts w:ascii="宋体" w:hAnsi="宋体" w:cs="宋体" w:eastAsia="宋体" w:hint="default"/>
                <w:sz w:val="21"/>
                <w:szCs w:val="21"/>
              </w:rPr>
              <w:t>减：前期计</w:t>
            </w:r>
            <w:r>
              <w:rPr>
                <w:rFonts w:ascii="宋体" w:hAnsi="宋体" w:cs="宋体" w:eastAsia="宋体" w:hint="default"/>
                <w:w w:val="100"/>
                <w:sz w:val="21"/>
                <w:szCs w:val="21"/>
              </w:rPr>
              <w:t> </w:t>
            </w:r>
            <w:r>
              <w:rPr>
                <w:rFonts w:ascii="宋体" w:hAnsi="宋体" w:cs="宋体" w:eastAsia="宋体" w:hint="default"/>
                <w:sz w:val="21"/>
                <w:szCs w:val="21"/>
              </w:rPr>
              <w:t>入其他综</w:t>
            </w:r>
            <w:r>
              <w:rPr>
                <w:rFonts w:ascii="宋体" w:hAnsi="宋体" w:cs="宋体" w:eastAsia="宋体" w:hint="default"/>
                <w:w w:val="100"/>
                <w:sz w:val="21"/>
                <w:szCs w:val="21"/>
              </w:rPr>
              <w:t> </w:t>
            </w:r>
            <w:r>
              <w:rPr>
                <w:rFonts w:ascii="宋体" w:hAnsi="宋体" w:cs="宋体" w:eastAsia="宋体" w:hint="default"/>
                <w:sz w:val="21"/>
                <w:szCs w:val="21"/>
              </w:rPr>
              <w:t>合收益当</w:t>
            </w:r>
            <w:r>
              <w:rPr>
                <w:rFonts w:ascii="宋体" w:hAnsi="宋体" w:cs="宋体" w:eastAsia="宋体" w:hint="default"/>
                <w:w w:val="100"/>
                <w:sz w:val="21"/>
                <w:szCs w:val="21"/>
              </w:rPr>
              <w:t> </w:t>
            </w:r>
            <w:r>
              <w:rPr>
                <w:rFonts w:ascii="宋体" w:hAnsi="宋体" w:cs="宋体" w:eastAsia="宋体" w:hint="default"/>
                <w:sz w:val="21"/>
                <w:szCs w:val="21"/>
              </w:rPr>
              <w:t>期转入留</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63"/>
              <w:ind w:left="110" w:right="99"/>
              <w:jc w:val="center"/>
              <w:rPr>
                <w:rFonts w:ascii="宋体" w:hAnsi="宋体" w:cs="宋体" w:eastAsia="宋体" w:hint="default"/>
                <w:sz w:val="21"/>
                <w:szCs w:val="21"/>
              </w:rPr>
            </w:pPr>
            <w:r>
              <w:rPr>
                <w:rFonts w:ascii="宋体" w:hAnsi="宋体" w:cs="宋体" w:eastAsia="宋体" w:hint="default"/>
                <w:sz w:val="21"/>
                <w:szCs w:val="21"/>
              </w:rPr>
              <w:t>减：所</w:t>
            </w:r>
            <w:r>
              <w:rPr>
                <w:rFonts w:ascii="宋体" w:hAnsi="宋体" w:cs="宋体" w:eastAsia="宋体" w:hint="default"/>
                <w:w w:val="100"/>
                <w:sz w:val="21"/>
                <w:szCs w:val="21"/>
              </w:rPr>
              <w:t> </w:t>
            </w:r>
            <w:r>
              <w:rPr>
                <w:rFonts w:ascii="宋体" w:hAnsi="宋体" w:cs="宋体" w:eastAsia="宋体" w:hint="default"/>
                <w:sz w:val="21"/>
                <w:szCs w:val="21"/>
              </w:rPr>
              <w:t>得税费</w:t>
            </w:r>
            <w:r>
              <w:rPr>
                <w:rFonts w:ascii="宋体" w:hAnsi="宋体" w:cs="宋体" w:eastAsia="宋体" w:hint="default"/>
                <w:w w:val="100"/>
                <w:sz w:val="21"/>
                <w:szCs w:val="21"/>
              </w:rPr>
              <w:t> </w:t>
            </w:r>
            <w:r>
              <w:rPr>
                <w:rFonts w:ascii="宋体" w:hAnsi="宋体" w:cs="宋体" w:eastAsia="宋体" w:hint="default"/>
                <w:sz w:val="21"/>
                <w:szCs w:val="21"/>
              </w:rPr>
              <w:t>用</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63"/>
              <w:ind w:left="110" w:right="98"/>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属于母</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63"/>
              <w:ind w:left="105" w:right="99"/>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p>
        </w:tc>
        <w:tc>
          <w:tcPr>
            <w:tcW w:w="72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927"/>
        <w:gridCol w:w="1022"/>
        <w:gridCol w:w="1427"/>
        <w:gridCol w:w="1647"/>
        <w:gridCol w:w="1263"/>
        <w:gridCol w:w="855"/>
        <w:gridCol w:w="854"/>
        <w:gridCol w:w="850"/>
        <w:gridCol w:w="725"/>
      </w:tblGrid>
      <w:tr>
        <w:trPr>
          <w:trHeight w:val="360" w:hRule="exact"/>
        </w:trPr>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11" w:right="0"/>
              <w:jc w:val="left"/>
              <w:rPr>
                <w:rFonts w:ascii="宋体" w:hAnsi="宋体" w:cs="宋体" w:eastAsia="宋体" w:hint="default"/>
                <w:sz w:val="21"/>
                <w:szCs w:val="21"/>
              </w:rPr>
            </w:pPr>
            <w:r>
              <w:rPr>
                <w:rFonts w:ascii="宋体" w:hAnsi="宋体" w:cs="宋体" w:eastAsia="宋体" w:hint="default"/>
                <w:sz w:val="21"/>
                <w:szCs w:val="21"/>
              </w:rPr>
              <w:t>存收益</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28"/>
        <w:ind w:right="1002"/>
        <w:jc w:val="left"/>
      </w:pPr>
      <w:r>
        <w:rPr/>
        <w:t>其他说明，包括对现金流量套期损益的有效部分转为被套期项目初始确认金额调整：</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58、专项储备" w:id="386"/>
      <w:bookmarkEnd w:id="386"/>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1"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pStyle w:val="BodyText"/>
        <w:spacing w:line="240" w:lineRule="auto" w:before="28"/>
        <w:ind w:right="1002"/>
        <w:jc w:val="left"/>
      </w:pPr>
      <w:r>
        <w:rPr/>
        <w:t>其他说明，包括本期增减变动情况、变动原因说明：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59、盈余公积" w:id="387"/>
      <w:bookmarkEnd w:id="387"/>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51,578,862.12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874,521.91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595" w:right="0"/>
              <w:jc w:val="left"/>
              <w:rPr>
                <w:rFonts w:ascii="Times New Roman" w:hAnsi="Times New Roman" w:cs="Times New Roman" w:eastAsia="Times New Roman" w:hint="default"/>
                <w:sz w:val="21"/>
                <w:szCs w:val="21"/>
              </w:rPr>
            </w:pPr>
            <w:r>
              <w:rPr>
                <w:rFonts w:ascii="Times New Roman"/>
                <w:sz w:val="21"/>
              </w:rPr>
              <w:t>52,453,384.03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51,578,862.12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874,521.91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95" w:right="0"/>
              <w:jc w:val="left"/>
              <w:rPr>
                <w:rFonts w:ascii="Times New Roman" w:hAnsi="Times New Roman" w:cs="Times New Roman" w:eastAsia="Times New Roman" w:hint="default"/>
                <w:sz w:val="21"/>
                <w:szCs w:val="21"/>
              </w:rPr>
            </w:pPr>
            <w:r>
              <w:rPr>
                <w:rFonts w:ascii="Times New Roman"/>
                <w:sz w:val="21"/>
              </w:rPr>
              <w:t>52,453,384.03</w:t>
            </w:r>
          </w:p>
        </w:tc>
      </w:tr>
    </w:tbl>
    <w:p>
      <w:pPr>
        <w:pStyle w:val="BodyText"/>
        <w:spacing w:line="240" w:lineRule="auto" w:before="28"/>
        <w:ind w:right="1002"/>
        <w:jc w:val="left"/>
      </w:pPr>
      <w:r>
        <w:rPr/>
        <w:t>盈余公积说明，包括本期增减变动情况、变动原因说明：</w:t>
      </w:r>
    </w:p>
    <w:p>
      <w:pPr>
        <w:pStyle w:val="BodyText"/>
        <w:spacing w:line="240" w:lineRule="auto" w:before="70"/>
        <w:ind w:left="478" w:right="1002"/>
        <w:jc w:val="left"/>
      </w:pPr>
      <w:r>
        <w:rPr>
          <w:rFonts w:ascii="Times New Roman" w:hAnsi="Times New Roman" w:cs="Times New Roman" w:eastAsia="Times New Roman" w:hint="default"/>
        </w:rPr>
        <w:t>1</w:t>
      </w:r>
      <w:r>
        <w:rPr/>
        <w:t>、本期按母公司净利润的</w:t>
      </w:r>
      <w:r>
        <w:rPr>
          <w:rFonts w:ascii="Times New Roman" w:hAnsi="Times New Roman" w:cs="Times New Roman" w:eastAsia="Times New Roman" w:hint="default"/>
        </w:rPr>
        <w:t>10%</w:t>
      </w:r>
      <w:r>
        <w:rPr/>
        <w:t>计提法定盈余公积</w:t>
      </w:r>
      <w:r>
        <w:rPr>
          <w:rFonts w:ascii="Times New Roman" w:hAnsi="Times New Roman" w:cs="Times New Roman" w:eastAsia="Times New Roman" w:hint="default"/>
        </w:rPr>
        <w:t>1,267,265.91</w:t>
      </w:r>
      <w:r>
        <w:rPr/>
        <w:t>元；</w:t>
      </w:r>
    </w:p>
    <w:p>
      <w:pPr>
        <w:pStyle w:val="BodyText"/>
        <w:spacing w:line="240" w:lineRule="auto" w:before="21"/>
        <w:ind w:left="478" w:right="1002"/>
        <w:jc w:val="left"/>
      </w:pPr>
      <w:r>
        <w:rPr>
          <w:rFonts w:ascii="Times New Roman" w:hAnsi="Times New Roman" w:cs="Times New Roman" w:eastAsia="Times New Roman" w:hint="default"/>
        </w:rPr>
        <w:t>2</w:t>
      </w:r>
      <w:r>
        <w:rPr/>
        <w:t>、本期处置其他权益工具投资调减盈余公积</w:t>
      </w:r>
      <w:r>
        <w:rPr>
          <w:rFonts w:ascii="Times New Roman" w:hAnsi="Times New Roman" w:cs="Times New Roman" w:eastAsia="Times New Roman" w:hint="default"/>
        </w:rPr>
        <w:t>392,744.00</w:t>
      </w:r>
      <w:r>
        <w:rPr/>
        <w:t>元。</w:t>
      </w:r>
    </w:p>
    <w:p>
      <w:pPr>
        <w:spacing w:line="240" w:lineRule="auto" w:before="10"/>
        <w:rPr>
          <w:rFonts w:ascii="宋体" w:hAnsi="宋体" w:cs="宋体" w:eastAsia="宋体" w:hint="default"/>
          <w:sz w:val="24"/>
          <w:szCs w:val="24"/>
        </w:rPr>
      </w:pPr>
    </w:p>
    <w:p>
      <w:pPr>
        <w:pStyle w:val="Heading5"/>
        <w:spacing w:line="240" w:lineRule="auto"/>
        <w:ind w:right="1002"/>
        <w:jc w:val="left"/>
        <w:rPr>
          <w:b w:val="0"/>
          <w:bCs w:val="0"/>
        </w:rPr>
      </w:pPr>
      <w:bookmarkStart w:name="60、未分配利润" w:id="388"/>
      <w:bookmarkEnd w:id="388"/>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514"/>
        <w:gridCol w:w="2598"/>
        <w:gridCol w:w="2458"/>
      </w:tblGrid>
      <w:tr>
        <w:trPr>
          <w:trHeight w:val="399"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spacing w:val="-1"/>
                <w:sz w:val="21"/>
              </w:rPr>
              <w:t>782,617,386.60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1"/>
                <w:sz w:val="21"/>
              </w:rPr>
              <w:t>647,085,150.91</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Times New Roman" w:hAnsi="Times New Roman" w:cs="Times New Roman" w:eastAsia="Times New Roman" w:hint="default"/>
                <w:sz w:val="21"/>
                <w:szCs w:val="21"/>
              </w:rPr>
              <w:t>+</w:t>
            </w:r>
            <w:r>
              <w:rPr>
                <w:rFonts w:ascii="宋体" w:hAnsi="宋体" w:cs="宋体" w:eastAsia="宋体" w:hint="default"/>
                <w:sz w:val="21"/>
                <w:szCs w:val="21"/>
              </w:rPr>
              <w:t>，调减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-72,090,931.17</w:t>
            </w:r>
          </w:p>
        </w:tc>
        <w:tc>
          <w:tcPr>
            <w:tcW w:w="24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710,526,455.43</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647,085,150.91</w:t>
            </w:r>
          </w:p>
        </w:tc>
      </w:tr>
      <w:tr>
        <w:trPr>
          <w:trHeight w:val="404"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284,714,313.30</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174,762,669.00</w:t>
            </w:r>
          </w:p>
        </w:tc>
      </w:tr>
      <w:tr>
        <w:trPr>
          <w:trHeight w:val="398"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1,267,265.91</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4,035,411.75</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6"/>
              <w:jc w:val="right"/>
              <w:rPr>
                <w:rFonts w:ascii="Times New Roman" w:hAnsi="Times New Roman" w:cs="Times New Roman" w:eastAsia="Times New Roman" w:hint="default"/>
                <w:sz w:val="21"/>
                <w:szCs w:val="21"/>
              </w:rPr>
            </w:pPr>
            <w:r>
              <w:rPr>
                <w:rFonts w:ascii="Times New Roman"/>
                <w:sz w:val="21"/>
              </w:rPr>
              <w:t>35,442,351.86</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35,195,021.56</w:t>
            </w: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处置其他权益工具投资</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3,534,696.00</w:t>
            </w:r>
          </w:p>
        </w:tc>
        <w:tc>
          <w:tcPr>
            <w:tcW w:w="24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pacing w:val="-1"/>
                <w:sz w:val="21"/>
              </w:rPr>
              <w:t>954,996,454.96</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782,617,386.60</w:t>
            </w:r>
          </w:p>
        </w:tc>
      </w:tr>
    </w:tbl>
    <w:p>
      <w:pPr>
        <w:pStyle w:val="BodyText"/>
        <w:spacing w:line="240" w:lineRule="auto" w:before="28"/>
        <w:ind w:right="1002"/>
        <w:jc w:val="left"/>
      </w:pPr>
      <w:r>
        <w:rPr/>
        <w:t>调整期初未分配利润明细：</w:t>
      </w:r>
    </w:p>
    <w:p>
      <w:pPr>
        <w:pStyle w:val="BodyText"/>
        <w:spacing w:line="240" w:lineRule="auto" w:before="75"/>
        <w:ind w:right="1002"/>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64"/>
        <w:ind w:right="1002"/>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59"/>
        <w:ind w:right="1002"/>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59"/>
        <w:ind w:right="1002"/>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65"/>
        <w:ind w:right="1002"/>
        <w:jc w:val="left"/>
      </w:pPr>
      <w:r>
        <w:rPr>
          <w:rFonts w:ascii="Times New Roman" w:hAnsi="Times New Roman" w:cs="Times New Roman" w:eastAsia="Times New Roman" w:hint="default"/>
        </w:rPr>
        <w:t>5)</w:t>
      </w:r>
      <w:r>
        <w:rPr/>
        <w:t>、其他调整合计影响期初未分配利润元。</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61、营业收入和营业成本" w:id="389"/>
      <w:bookmarkEnd w:id="389"/>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2,735,413,730.73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1,802,377,785.26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2,436,953,989.59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1,701,465,302.55</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20,262,681.37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12,895,245.28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19,004,531.72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12,366,327.79</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2,755,676,412.10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1,815,273,030.54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2,455,958,521.31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1,713,831,630.34</w:t>
            </w:r>
          </w:p>
        </w:tc>
      </w:tr>
    </w:tbl>
    <w:p>
      <w:pPr>
        <w:pStyle w:val="BodyText"/>
        <w:spacing w:line="240" w:lineRule="auto" w:before="28"/>
        <w:ind w:right="1002"/>
        <w:jc w:val="left"/>
      </w:pPr>
      <w:r>
        <w:rPr/>
        <w:t>是否已执行新收入准则</w:t>
      </w:r>
    </w:p>
    <w:p>
      <w:pPr>
        <w:pStyle w:val="BodyText"/>
        <w:spacing w:line="307" w:lineRule="auto" w:before="80"/>
        <w:ind w:right="8861"/>
        <w:jc w:val="left"/>
      </w:pPr>
      <w:r>
        <w:rPr/>
        <w:t>□ 是 √ 否</w:t>
      </w:r>
      <w:r>
        <w:rPr>
          <w:spacing w:val="-100"/>
        </w:rPr>
        <w:t> </w:t>
      </w:r>
      <w:r>
        <w:rPr>
          <w:spacing w:val="-100"/>
        </w:rPr>
      </w:r>
      <w:r>
        <w:rPr/>
        <w:t>其他说明</w:t>
      </w:r>
    </w:p>
    <w:p>
      <w:pPr>
        <w:spacing w:line="240" w:lineRule="auto" w:before="10"/>
        <w:rPr>
          <w:rFonts w:ascii="宋体" w:hAnsi="宋体" w:cs="宋体" w:eastAsia="宋体" w:hint="default"/>
          <w:sz w:val="20"/>
          <w:szCs w:val="20"/>
        </w:rPr>
      </w:pPr>
    </w:p>
    <w:p>
      <w:pPr>
        <w:pStyle w:val="Heading5"/>
        <w:spacing w:line="240" w:lineRule="auto"/>
        <w:ind w:right="1002"/>
        <w:jc w:val="left"/>
        <w:rPr>
          <w:b w:val="0"/>
          <w:bCs w:val="0"/>
        </w:rPr>
      </w:pPr>
      <w:bookmarkStart w:name="62、税金及附加" w:id="390"/>
      <w:bookmarkEnd w:id="390"/>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4,057,247.56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4,843,778.91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1,743,620.71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2,084,310.96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5,258,962.24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5,240,656.18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5,904,742.60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7,516,845.52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2"/>
                <w:sz w:val="21"/>
              </w:rPr>
              <w:t>11,899.69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13,825.00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576,847.98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1,025,566.38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1,160,011.65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1,388,715.40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360,669.29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335,066.74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19,074,001.72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22,448,765.09</w:t>
            </w:r>
          </w:p>
        </w:tc>
      </w:tr>
    </w:tbl>
    <w:p>
      <w:pPr>
        <w:pStyle w:val="BodyText"/>
        <w:spacing w:line="240" w:lineRule="auto" w:before="29"/>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63、销售费用" w:id="391"/>
      <w:bookmarkEnd w:id="391"/>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101,697,959.26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87,571,179.72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5,600,741.14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5,731,803.66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9,665,164.24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8,726,408.74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运输及劳务费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89,455,990.33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74,044,251.28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招标业务费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30,227,851.81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19,876,433.43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5,745,678.28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4,319,838.15</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10,103,358.29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8,651,167.02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252,496,743.35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208,921,082.00</w:t>
            </w:r>
          </w:p>
        </w:tc>
      </w:tr>
    </w:tbl>
    <w:p>
      <w:pPr>
        <w:pStyle w:val="BodyText"/>
        <w:spacing w:line="240" w:lineRule="auto" w:before="29"/>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64、管理费用" w:id="392"/>
      <w:bookmarkEnd w:id="392"/>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82,813,345.48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77,532,077.82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办公、汽车费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14,475,533.95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12,877,702.15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折旧费、无形资产摊销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30,684,097.00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24,697,533.03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政府性基金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1,356,387.89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1,415,143.70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中介服务费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14,814,229.64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7,916,720.15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项目承包费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9,451,886.79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13,426,395.98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9,014,352.42</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167,021,876.73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133,453,529.27</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65、研发费用" w:id="393"/>
      <w:bookmarkEnd w:id="393"/>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702"/>
        <w:gridCol w:w="2943"/>
        <w:gridCol w:w="2929"/>
      </w:tblGrid>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4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3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49,270,713.90</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32,288,247.09</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1,004,491.25</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1,552,425.63</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48,717,902.60</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73,950,145.19</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论证、评审、验收费用</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1,637,634.17</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2,977,269.69</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设计费、新工艺规程制定费、翻译费</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30,484,082.50</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11,698,007.32</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3,835,821.21</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1,113,724.40</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134,950,645.63</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123,579,819.32</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66、财务费用" w:id="394"/>
      <w:bookmarkEnd w:id="394"/>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35,741,001.97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31,515,939.26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10,138,796.59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18,811,962.49</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80,918.61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356,492.49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-2,730,799.43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-25,260.04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z w:val="21"/>
              </w:rPr>
              <w:t>22,952,324.56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z w:val="21"/>
              </w:rPr>
              <w:t>13,035,209.22</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67、其他收益" w:id="395"/>
      <w:bookmarkEnd w:id="395"/>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634"/>
        <w:gridCol w:w="2535"/>
        <w:gridCol w:w="2405"/>
      </w:tblGrid>
      <w:tr>
        <w:trPr>
          <w:trHeight w:val="403" w:hRule="exact"/>
        </w:trPr>
        <w:tc>
          <w:tcPr>
            <w:tcW w:w="4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68" w:right="0"/>
              <w:jc w:val="left"/>
              <w:rPr>
                <w:rFonts w:ascii="宋体" w:hAnsi="宋体" w:cs="宋体" w:eastAsia="宋体" w:hint="default"/>
                <w:sz w:val="21"/>
                <w:szCs w:val="21"/>
              </w:rPr>
            </w:pPr>
            <w:r>
              <w:rPr>
                <w:rFonts w:ascii="宋体" w:hAnsi="宋体" w:cs="宋体" w:eastAsia="宋体" w:hint="default"/>
                <w:sz w:val="21"/>
                <w:szCs w:val="21"/>
              </w:rPr>
              <w:t>产生其他收益的来源</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7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5"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00"/>
              <w:jc w:val="left"/>
              <w:rPr>
                <w:rFonts w:ascii="宋体" w:hAnsi="宋体" w:cs="宋体" w:eastAsia="宋体" w:hint="default"/>
                <w:sz w:val="21"/>
                <w:szCs w:val="21"/>
              </w:rPr>
            </w:pPr>
            <w:r>
              <w:rPr>
                <w:rFonts w:ascii="宋体" w:hAnsi="宋体" w:cs="宋体" w:eastAsia="宋体" w:hint="default"/>
                <w:spacing w:val="-1"/>
                <w:sz w:val="21"/>
                <w:szCs w:val="21"/>
              </w:rPr>
              <w:t>轨道交通（高铁）信号可靠性供电保障系统关键</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技术的开发及产业化</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802,388.99</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高效节能数字式软启动装置产业化项目</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1,000,000.08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1,000,000.08</w:t>
            </w:r>
          </w:p>
        </w:tc>
      </w:tr>
      <w:tr>
        <w:trPr>
          <w:trHeight w:val="399"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重点实验室建设专项资金</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67,909.80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67,909.80</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多层厂房奖励资金</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370,836.24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370,836.24</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重点实验室专项资金</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94,765.56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94,765.56</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DPX100P</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综合保护单元</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20,168.04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20,168.04</w:t>
            </w:r>
          </w:p>
        </w:tc>
      </w:tr>
      <w:tr>
        <w:trPr>
          <w:trHeight w:val="399"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省级实验室绩效考核补助</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14,352.00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14,352.00</w:t>
            </w:r>
          </w:p>
        </w:tc>
      </w:tr>
      <w:tr>
        <w:trPr>
          <w:trHeight w:val="715"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00"/>
              <w:jc w:val="left"/>
              <w:rPr>
                <w:rFonts w:ascii="宋体" w:hAnsi="宋体" w:cs="宋体" w:eastAsia="宋体" w:hint="default"/>
                <w:sz w:val="21"/>
                <w:szCs w:val="21"/>
              </w:rPr>
            </w:pPr>
            <w:r>
              <w:rPr>
                <w:rFonts w:ascii="宋体" w:hAnsi="宋体" w:cs="宋体" w:eastAsia="宋体" w:hint="default"/>
                <w:spacing w:val="-1"/>
                <w:sz w:val="21"/>
                <w:szCs w:val="21"/>
              </w:rPr>
              <w:t>中低压电能质量综合治理装置产业化关键技术研</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究</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69,999.96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69,999.96</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年省高技术产业化专项省统筹投资计划</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90,000.00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90,000.00</w:t>
            </w:r>
          </w:p>
        </w:tc>
      </w:tr>
      <w:tr>
        <w:trPr>
          <w:trHeight w:val="404"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智能型高分断低压断路器生产线建设项目</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69,999.96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69,999.96</w:t>
            </w:r>
          </w:p>
        </w:tc>
      </w:tr>
      <w:tr>
        <w:trPr>
          <w:trHeight w:val="398"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户用光伏发电智能控制模块集成技术</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820,000.00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智能化电力供配电微机综合保护装置生产线</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202,500.00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企业发展专项资金</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239,154.30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安徽省科技攻关计划项目（省创新项目）</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18,009.00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智能型双向一体化直流充电机的研发</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59,500.00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AXQ4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系列双电源自动转换开关</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27,692.16</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国家技术创新示范企业奖补</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1,000,000.00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年三重一创专项资金</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1,000,000.00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年重点研究与开发计划资金</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500,000.00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企业科研发仪器设备</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年补助</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76,000.00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年度高层次人才补助金</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291,000.00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数字经济补贴奖补</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500,000.00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学会工作站补助</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30,000.00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专精特奖补</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100,000.00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优秀民营企业奖励费</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20,000.00</w:t>
            </w:r>
          </w:p>
        </w:tc>
        <w:tc>
          <w:tcPr>
            <w:tcW w:w="24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634"/>
        <w:gridCol w:w="2535"/>
        <w:gridCol w:w="2405"/>
      </w:tblGrid>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国家知识产权高质量创造项目经费</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3,000.00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增值税加计抵减</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255,632.85</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国家物联网与智慧城市重点专项课题经费补贴</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z w:val="21"/>
              </w:rPr>
              <w:t>270,000.00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新三板持续督导补助</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300,000.00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年新能源汽车市级补贴</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7,040.00</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土地使用税奖励</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6,536,100.00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8,313,100.00</w:t>
            </w:r>
          </w:p>
        </w:tc>
      </w:tr>
      <w:tr>
        <w:trPr>
          <w:trHeight w:val="404"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专利奖励</w:t>
            </w:r>
          </w:p>
        </w:tc>
        <w:tc>
          <w:tcPr>
            <w:tcW w:w="25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105,000.00</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名牌产品奖励</w:t>
            </w:r>
          </w:p>
        </w:tc>
        <w:tc>
          <w:tcPr>
            <w:tcW w:w="25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200,000.00</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产业创新团队奖励</w:t>
            </w:r>
          </w:p>
        </w:tc>
        <w:tc>
          <w:tcPr>
            <w:tcW w:w="25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100,000.00</w:t>
            </w:r>
          </w:p>
        </w:tc>
      </w:tr>
      <w:tr>
        <w:trPr>
          <w:trHeight w:val="398"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新能源汽车补贴</w:t>
            </w:r>
          </w:p>
        </w:tc>
        <w:tc>
          <w:tcPr>
            <w:tcW w:w="25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53,080.00</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软件增值税退税</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369,719.06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1,357,683.15</w:t>
            </w:r>
          </w:p>
        </w:tc>
      </w:tr>
      <w:tr>
        <w:trPr>
          <w:trHeight w:val="404"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残疾人就业增值税退税</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3,951,120.00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3,994,880.00</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高新技术产品奖励</w:t>
            </w:r>
          </w:p>
        </w:tc>
        <w:tc>
          <w:tcPr>
            <w:tcW w:w="25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40,000.00</w:t>
            </w:r>
          </w:p>
        </w:tc>
      </w:tr>
      <w:tr>
        <w:trPr>
          <w:trHeight w:val="398"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稳岗补助</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283,775.91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198,914.15</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小巨人</w:t>
            </w:r>
            <w:r>
              <w:rPr>
                <w:rFonts w:ascii="Times New Roman" w:hAnsi="Times New Roman" w:cs="Times New Roman" w:eastAsia="Times New Roman" w:hint="default"/>
                <w:sz w:val="21"/>
                <w:szCs w:val="21"/>
              </w:rPr>
              <w:t>"</w:t>
            </w:r>
            <w:r>
              <w:rPr>
                <w:rFonts w:ascii="宋体" w:hAnsi="宋体" w:cs="宋体" w:eastAsia="宋体" w:hint="default"/>
                <w:sz w:val="21"/>
                <w:szCs w:val="21"/>
              </w:rPr>
              <w:t>委托贷款转补助</w:t>
            </w:r>
          </w:p>
        </w:tc>
        <w:tc>
          <w:tcPr>
            <w:tcW w:w="25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1,153,409.71</w:t>
            </w:r>
          </w:p>
        </w:tc>
      </w:tr>
      <w:tr>
        <w:trPr>
          <w:trHeight w:val="404"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新录用人员技能培训补贴</w:t>
            </w:r>
          </w:p>
        </w:tc>
        <w:tc>
          <w:tcPr>
            <w:tcW w:w="25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26,400.00</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鸠江区财政局国家标准奖励</w:t>
            </w:r>
          </w:p>
        </w:tc>
        <w:tc>
          <w:tcPr>
            <w:tcW w:w="25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600,000.00</w:t>
            </w:r>
          </w:p>
        </w:tc>
      </w:tr>
      <w:tr>
        <w:trPr>
          <w:trHeight w:val="398"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枫桥街道全区专利资助金</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7,000.00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7,100.00</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枫桥街道优秀内资企业奖励</w:t>
            </w:r>
          </w:p>
        </w:tc>
        <w:tc>
          <w:tcPr>
            <w:tcW w:w="25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20,000.00</w:t>
            </w:r>
          </w:p>
        </w:tc>
      </w:tr>
      <w:tr>
        <w:trPr>
          <w:trHeight w:val="404"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枫桥街道优秀社会公益贡献单位奖励</w:t>
            </w:r>
          </w:p>
        </w:tc>
        <w:tc>
          <w:tcPr>
            <w:tcW w:w="25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z w:val="21"/>
              </w:rPr>
              <w:t>20,000.00</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市科技计划奖励</w:t>
            </w:r>
          </w:p>
        </w:tc>
        <w:tc>
          <w:tcPr>
            <w:tcW w:w="25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180,000.00</w:t>
            </w:r>
          </w:p>
        </w:tc>
      </w:tr>
      <w:tr>
        <w:trPr>
          <w:trHeight w:val="398"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省科技创新若干政策资金补助</w:t>
            </w:r>
          </w:p>
        </w:tc>
        <w:tc>
          <w:tcPr>
            <w:tcW w:w="25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14,000.00</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高新技术企业奖励金</w:t>
            </w:r>
          </w:p>
        </w:tc>
        <w:tc>
          <w:tcPr>
            <w:tcW w:w="253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1,000,500.00</w:t>
            </w:r>
          </w:p>
        </w:tc>
      </w:tr>
      <w:tr>
        <w:trPr>
          <w:trHeight w:val="404"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市科技创新政策奖补资金</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140,700.00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8"/>
              <w:jc w:val="right"/>
              <w:rPr>
                <w:rFonts w:ascii="Times New Roman" w:hAnsi="Times New Roman" w:cs="Times New Roman" w:eastAsia="Times New Roman" w:hint="default"/>
                <w:sz w:val="21"/>
                <w:szCs w:val="21"/>
              </w:rPr>
            </w:pPr>
            <w:r>
              <w:rPr>
                <w:rFonts w:ascii="Times New Roman"/>
                <w:spacing w:val="-1"/>
                <w:sz w:val="21"/>
              </w:rPr>
              <w:t>411,900.00</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租房补助</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48,000.00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24,000.00</w:t>
            </w:r>
          </w:p>
        </w:tc>
      </w:tr>
      <w:tr>
        <w:trPr>
          <w:trHeight w:val="398"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1,577,371.91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84,823.96</w:t>
            </w:r>
          </w:p>
        </w:tc>
      </w:tr>
      <w:tr>
        <w:trPr>
          <w:trHeight w:val="403" w:hRule="exact"/>
        </w:trPr>
        <w:tc>
          <w:tcPr>
            <w:tcW w:w="4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21,233,735.82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19,702,822.61</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68、投资收益" w:id="396"/>
      <w:bookmarkEnd w:id="396"/>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062"/>
        <w:gridCol w:w="2943"/>
        <w:gridCol w:w="2564"/>
      </w:tblGrid>
      <w:tr>
        <w:trPr>
          <w:trHeight w:val="403" w:hRule="exact"/>
        </w:trPr>
        <w:tc>
          <w:tcPr>
            <w:tcW w:w="4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4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1" w:hRule="exact"/>
        </w:trPr>
        <w:tc>
          <w:tcPr>
            <w:tcW w:w="4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465,187.42</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41" w:right="0"/>
              <w:jc w:val="left"/>
              <w:rPr>
                <w:rFonts w:ascii="Times New Roman" w:hAnsi="Times New Roman" w:cs="Times New Roman" w:eastAsia="Times New Roman" w:hint="default"/>
                <w:sz w:val="21"/>
                <w:szCs w:val="21"/>
              </w:rPr>
            </w:pPr>
            <w:r>
              <w:rPr>
                <w:rFonts w:ascii="Times New Roman"/>
                <w:sz w:val="21"/>
              </w:rPr>
              <w:t>-920,417.04</w:t>
            </w:r>
          </w:p>
        </w:tc>
      </w:tr>
      <w:tr>
        <w:trPr>
          <w:trHeight w:val="401" w:hRule="exact"/>
        </w:trPr>
        <w:tc>
          <w:tcPr>
            <w:tcW w:w="4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9"/>
              <w:jc w:val="right"/>
              <w:rPr>
                <w:rFonts w:ascii="Times New Roman" w:hAnsi="Times New Roman" w:cs="Times New Roman" w:eastAsia="Times New Roman" w:hint="default"/>
                <w:sz w:val="21"/>
                <w:szCs w:val="21"/>
              </w:rPr>
            </w:pPr>
            <w:r>
              <w:rPr>
                <w:rFonts w:ascii="Times New Roman"/>
                <w:sz w:val="21"/>
              </w:rPr>
              <w:t>1,917,656.41</w:t>
            </w:r>
          </w:p>
        </w:tc>
        <w:tc>
          <w:tcPr>
            <w:tcW w:w="25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交易性金融资产在持有期间的投资收益</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1"/>
                <w:sz w:val="21"/>
              </w:rPr>
              <w:t>116,800.00</w:t>
            </w:r>
          </w:p>
        </w:tc>
        <w:tc>
          <w:tcPr>
            <w:tcW w:w="25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062"/>
        <w:gridCol w:w="2943"/>
        <w:gridCol w:w="2564"/>
      </w:tblGrid>
      <w:tr>
        <w:trPr>
          <w:trHeight w:val="403" w:hRule="exact"/>
        </w:trPr>
        <w:tc>
          <w:tcPr>
            <w:tcW w:w="4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943" w:type="dxa"/>
            <w:tcBorders>
              <w:top w:val="single" w:sz="4" w:space="0" w:color="000000"/>
              <w:left w:val="single" w:sz="4" w:space="0" w:color="000000"/>
              <w:bottom w:val="single" w:sz="4" w:space="0" w:color="000000"/>
              <w:right w:val="single" w:sz="4" w:space="0" w:color="000000"/>
            </w:tcBorders>
          </w:tcPr>
          <w:p>
            <w:pP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146,000.00</w:t>
            </w:r>
          </w:p>
        </w:tc>
      </w:tr>
      <w:tr>
        <w:trPr>
          <w:trHeight w:val="398" w:hRule="exact"/>
        </w:trPr>
        <w:tc>
          <w:tcPr>
            <w:tcW w:w="4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理财产品投资收益</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1,606,227.97</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3,968,385.60</w:t>
            </w:r>
          </w:p>
        </w:tc>
      </w:tr>
      <w:tr>
        <w:trPr>
          <w:trHeight w:val="404" w:hRule="exact"/>
        </w:trPr>
        <w:tc>
          <w:tcPr>
            <w:tcW w:w="4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z w:val="21"/>
              </w:rPr>
              <w:t>4,105,871.80</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5"/>
              <w:jc w:val="right"/>
              <w:rPr>
                <w:rFonts w:ascii="Times New Roman" w:hAnsi="Times New Roman" w:cs="Times New Roman" w:eastAsia="Times New Roman" w:hint="default"/>
                <w:sz w:val="21"/>
                <w:szCs w:val="21"/>
              </w:rPr>
            </w:pPr>
            <w:r>
              <w:rPr>
                <w:rFonts w:ascii="Times New Roman"/>
                <w:sz w:val="21"/>
              </w:rPr>
              <w:t>3,193,968.56</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69、净敞口套期收益" w:id="397"/>
      <w:bookmarkEnd w:id="397"/>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70、公允价值变动收益" w:id="398"/>
      <w:bookmarkEnd w:id="398"/>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5"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5,906.85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539,591.58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545,498.43</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71、信用减值损失" w:id="399"/>
      <w:bookmarkEnd w:id="399"/>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-4,633,399.85</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-4,633,399.85</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9"/>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72、资产减值损失" w:id="400"/>
      <w:bookmarkEnd w:id="400"/>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4"/>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2" w:top="1100" w:bottom="1220" w:left="1020" w:right="0"/>
        </w:sectPr>
      </w:pPr>
    </w:p>
    <w:p>
      <w:pPr>
        <w:pStyle w:val="BodyText"/>
        <w:spacing w:line="240" w:lineRule="auto"/>
        <w:ind w:right="-8"/>
        <w:jc w:val="left"/>
      </w:pPr>
      <w:r>
        <w:rPr>
          <w:spacing w:val="-1"/>
        </w:rPr>
        <w:t>是否已执行新收入准则</w:t>
      </w:r>
    </w:p>
    <w:p>
      <w:pPr>
        <w:pStyle w:val="BodyText"/>
        <w:spacing w:line="240" w:lineRule="auto" w:before="75"/>
        <w:ind w:right="-8"/>
        <w:jc w:val="left"/>
      </w:pPr>
      <w:r>
        <w:rPr/>
        <w:t>□ 是 √</w:t>
      </w:r>
      <w:r>
        <w:rPr>
          <w:spacing w:val="5"/>
        </w:rPr>
        <w:t> </w:t>
      </w:r>
      <w:r>
        <w:rPr/>
        <w:t>否</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40"/>
          <w:pgMar w:top="1100" w:bottom="1220" w:left="1020" w:right="0"/>
          <w:cols w:num="2" w:equalWidth="0">
            <w:col w:w="2216" w:space="6480"/>
            <w:col w:w="2194"/>
          </w:cols>
        </w:sectPr>
      </w:pP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-36,444,541.72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-15,764,917.63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-7,218,025.99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-13,438,359.17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-29,203,276.80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-43,662,567.71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BodyText"/>
        <w:spacing w:line="240" w:lineRule="auto"/>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73、资产处置收益" w:id="401"/>
      <w:bookmarkEnd w:id="401"/>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43" w:right="0"/>
              <w:jc w:val="left"/>
              <w:rPr>
                <w:rFonts w:ascii="宋体" w:hAnsi="宋体" w:cs="宋体" w:eastAsia="宋体" w:hint="default"/>
                <w:sz w:val="21"/>
                <w:szCs w:val="21"/>
              </w:rPr>
            </w:pPr>
            <w:r>
              <w:rPr>
                <w:rFonts w:ascii="宋体" w:hAnsi="宋体" w:cs="宋体" w:eastAsia="宋体" w:hint="default"/>
                <w:sz w:val="21"/>
                <w:szCs w:val="21"/>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固定资产处置利得或损失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-349,105.85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-337,634.58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无形资产处置利得或损失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3,191,686.66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-349,105.85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2,854,052.08</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74、营业外收入" w:id="402"/>
      <w:bookmarkEnd w:id="402"/>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727"/>
        <w:gridCol w:w="2598"/>
        <w:gridCol w:w="1854"/>
        <w:gridCol w:w="2391"/>
      </w:tblGrid>
      <w:tr>
        <w:trPr>
          <w:trHeight w:val="715" w:hRule="exact"/>
        </w:trPr>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9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878" w:right="132" w:hanging="735"/>
              <w:jc w:val="left"/>
              <w:rPr>
                <w:rFonts w:ascii="宋体" w:hAnsi="宋体" w:cs="宋体" w:eastAsia="宋体" w:hint="default"/>
                <w:sz w:val="21"/>
                <w:szCs w:val="21"/>
              </w:rPr>
            </w:pPr>
            <w:r>
              <w:rPr>
                <w:rFonts w:ascii="宋体" w:hAnsi="宋体" w:cs="宋体" w:eastAsia="宋体" w:hint="default"/>
                <w:spacing w:val="-1"/>
                <w:sz w:val="21"/>
                <w:szCs w:val="21"/>
              </w:rPr>
              <w:t>计入当期非经常性损益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的金额</w:t>
            </w:r>
          </w:p>
        </w:tc>
      </w:tr>
      <w:tr>
        <w:trPr>
          <w:trHeight w:val="40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73,200.97</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4,210.59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73,200.97</w:t>
            </w:r>
          </w:p>
        </w:tc>
      </w:tr>
      <w:tr>
        <w:trPr>
          <w:trHeight w:val="40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73,200.97</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4,210.59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73,200.97</w:t>
            </w:r>
          </w:p>
        </w:tc>
      </w:tr>
      <w:tr>
        <w:trPr>
          <w:trHeight w:val="399"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违约赔偿收入</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416,717.94</w:t>
            </w:r>
          </w:p>
        </w:tc>
        <w:tc>
          <w:tcPr>
            <w:tcW w:w="185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416,717.94</w:t>
            </w:r>
          </w:p>
        </w:tc>
      </w:tr>
      <w:tr>
        <w:trPr>
          <w:trHeight w:val="40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769,346.75</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630,870.25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769,346.75</w:t>
            </w:r>
          </w:p>
        </w:tc>
      </w:tr>
      <w:tr>
        <w:trPr>
          <w:trHeight w:val="403" w:hRule="exact"/>
        </w:trPr>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1,259,265.66</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635,080.84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1,259,265.66</w:t>
            </w:r>
          </w:p>
        </w:tc>
      </w:tr>
    </w:tbl>
    <w:p>
      <w:pPr>
        <w:pStyle w:val="BodyText"/>
        <w:spacing w:line="240" w:lineRule="auto" w:before="28"/>
        <w:ind w:right="1002"/>
        <w:jc w:val="left"/>
      </w:pPr>
      <w:r>
        <w:rPr/>
        <w:t>计入当期损益的政府补助：</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1027"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补助项目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发放主体</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发放原因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性质类型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03" w:hanging="1"/>
              <w:jc w:val="center"/>
              <w:rPr>
                <w:rFonts w:ascii="宋体" w:hAnsi="宋体" w:cs="宋体" w:eastAsia="宋体" w:hint="default"/>
                <w:sz w:val="21"/>
                <w:szCs w:val="21"/>
              </w:rPr>
            </w:pPr>
            <w:r>
              <w:rPr>
                <w:rFonts w:ascii="宋体" w:hAnsi="宋体" w:cs="宋体" w:eastAsia="宋体" w:hint="default"/>
                <w:sz w:val="21"/>
                <w:szCs w:val="21"/>
              </w:rPr>
              <w:t>补贴是否</w:t>
            </w:r>
            <w:r>
              <w:rPr>
                <w:rFonts w:ascii="宋体" w:hAnsi="宋体" w:cs="宋体" w:eastAsia="宋体" w:hint="default"/>
                <w:w w:val="100"/>
                <w:sz w:val="21"/>
                <w:szCs w:val="21"/>
              </w:rPr>
              <w:t> </w:t>
            </w:r>
            <w:r>
              <w:rPr>
                <w:rFonts w:ascii="宋体" w:hAnsi="宋体" w:cs="宋体" w:eastAsia="宋体" w:hint="default"/>
                <w:sz w:val="21"/>
                <w:szCs w:val="21"/>
              </w:rPr>
              <w:t>影响当年</w:t>
            </w:r>
            <w:r>
              <w:rPr>
                <w:rFonts w:ascii="宋体" w:hAnsi="宋体" w:cs="宋体" w:eastAsia="宋体" w:hint="default"/>
                <w:w w:val="100"/>
                <w:sz w:val="21"/>
                <w:szCs w:val="21"/>
              </w:rPr>
              <w:t> </w:t>
            </w:r>
            <w:r>
              <w:rPr>
                <w:rFonts w:ascii="宋体" w:hAnsi="宋体" w:cs="宋体" w:eastAsia="宋体" w:hint="default"/>
                <w:sz w:val="21"/>
                <w:szCs w:val="21"/>
              </w:rPr>
              <w:t>盈亏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311" w:right="105" w:hanging="212"/>
              <w:jc w:val="left"/>
              <w:rPr>
                <w:rFonts w:ascii="宋体" w:hAnsi="宋体" w:cs="宋体" w:eastAsia="宋体" w:hint="default"/>
                <w:sz w:val="21"/>
                <w:szCs w:val="21"/>
              </w:rPr>
            </w:pPr>
            <w:r>
              <w:rPr>
                <w:rFonts w:ascii="宋体" w:hAnsi="宋体" w:cs="宋体" w:eastAsia="宋体" w:hint="default"/>
                <w:sz w:val="21"/>
                <w:szCs w:val="21"/>
              </w:rPr>
              <w:t>是否特殊</w:t>
            </w:r>
            <w:r>
              <w:rPr>
                <w:rFonts w:ascii="宋体" w:hAnsi="宋体" w:cs="宋体" w:eastAsia="宋体" w:hint="default"/>
                <w:spacing w:val="-101"/>
                <w:sz w:val="21"/>
                <w:szCs w:val="21"/>
              </w:rPr>
              <w:t> </w:t>
            </w:r>
            <w:r>
              <w:rPr>
                <w:rFonts w:ascii="宋体" w:hAnsi="宋体" w:cs="宋体" w:eastAsia="宋体" w:hint="default"/>
                <w:sz w:val="21"/>
                <w:szCs w:val="21"/>
              </w:rPr>
              <w:t>补贴</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316" w:right="104" w:hanging="212"/>
              <w:jc w:val="left"/>
              <w:rPr>
                <w:rFonts w:ascii="宋体" w:hAnsi="宋体" w:cs="宋体" w:eastAsia="宋体" w:hint="default"/>
                <w:sz w:val="21"/>
                <w:szCs w:val="21"/>
              </w:rPr>
            </w:pPr>
            <w:r>
              <w:rPr>
                <w:rFonts w:ascii="宋体" w:hAnsi="宋体" w:cs="宋体" w:eastAsia="宋体" w:hint="default"/>
                <w:sz w:val="21"/>
                <w:szCs w:val="21"/>
              </w:rPr>
              <w:t>本期发生</w:t>
            </w:r>
            <w:r>
              <w:rPr>
                <w:rFonts w:ascii="宋体" w:hAnsi="宋体" w:cs="宋体" w:eastAsia="宋体" w:hint="default"/>
                <w:spacing w:val="-101"/>
                <w:sz w:val="21"/>
                <w:szCs w:val="21"/>
              </w:rPr>
              <w:t> </w:t>
            </w:r>
            <w:r>
              <w:rPr>
                <w:rFonts w:ascii="宋体" w:hAnsi="宋体" w:cs="宋体" w:eastAsia="宋体" w:hint="default"/>
                <w:sz w:val="21"/>
                <w:szCs w:val="21"/>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312" w:right="105" w:hanging="212"/>
              <w:jc w:val="left"/>
              <w:rPr>
                <w:rFonts w:ascii="宋体" w:hAnsi="宋体" w:cs="宋体" w:eastAsia="宋体" w:hint="default"/>
                <w:sz w:val="21"/>
                <w:szCs w:val="21"/>
              </w:rPr>
            </w:pPr>
            <w:r>
              <w:rPr>
                <w:rFonts w:ascii="宋体" w:hAnsi="宋体" w:cs="宋体" w:eastAsia="宋体" w:hint="default"/>
                <w:sz w:val="21"/>
                <w:szCs w:val="21"/>
              </w:rPr>
              <w:t>上期发生</w:t>
            </w:r>
            <w:r>
              <w:rPr>
                <w:rFonts w:ascii="宋体" w:hAnsi="宋体" w:cs="宋体" w:eastAsia="宋体" w:hint="default"/>
                <w:spacing w:val="-101"/>
                <w:sz w:val="21"/>
                <w:szCs w:val="21"/>
              </w:rPr>
              <w:t> </w:t>
            </w:r>
            <w:r>
              <w:rPr>
                <w:rFonts w:ascii="宋体" w:hAnsi="宋体" w:cs="宋体" w:eastAsia="宋体" w:hint="default"/>
                <w:sz w:val="21"/>
                <w:szCs w:val="21"/>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105" w:right="103"/>
              <w:jc w:val="center"/>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w:t>
            </w:r>
            <w:r>
              <w:rPr>
                <w:rFonts w:ascii="宋体" w:hAnsi="宋体" w:cs="宋体" w:eastAsia="宋体" w:hint="default"/>
                <w:w w:val="100"/>
                <w:sz w:val="21"/>
                <w:szCs w:val="21"/>
              </w:rPr>
              <w:t> </w:t>
            </w:r>
            <w:r>
              <w:rPr>
                <w:rFonts w:ascii="宋体" w:hAnsi="宋体" w:cs="宋体" w:eastAsia="宋体" w:hint="default"/>
                <w:sz w:val="21"/>
                <w:szCs w:val="21"/>
              </w:rPr>
              <w:t>益相关</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75、营业外支出" w:id="403"/>
      <w:bookmarkEnd w:id="403"/>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862"/>
        <w:gridCol w:w="2315"/>
        <w:gridCol w:w="2003"/>
        <w:gridCol w:w="2391"/>
      </w:tblGrid>
      <w:tr>
        <w:trPr>
          <w:trHeight w:val="711" w:hRule="exact"/>
        </w:trPr>
        <w:tc>
          <w:tcPr>
            <w:tcW w:w="2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2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878" w:right="132" w:hanging="735"/>
              <w:jc w:val="left"/>
              <w:rPr>
                <w:rFonts w:ascii="宋体" w:hAnsi="宋体" w:cs="宋体" w:eastAsia="宋体" w:hint="default"/>
                <w:sz w:val="21"/>
                <w:szCs w:val="21"/>
              </w:rPr>
            </w:pPr>
            <w:r>
              <w:rPr>
                <w:rFonts w:ascii="宋体" w:hAnsi="宋体" w:cs="宋体" w:eastAsia="宋体" w:hint="default"/>
                <w:spacing w:val="-1"/>
                <w:sz w:val="21"/>
                <w:szCs w:val="21"/>
              </w:rPr>
              <w:t>计入当期非经常性损益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的金额</w:t>
            </w:r>
          </w:p>
        </w:tc>
      </w:tr>
      <w:tr>
        <w:trPr>
          <w:trHeight w:val="403" w:hRule="exact"/>
        </w:trPr>
        <w:tc>
          <w:tcPr>
            <w:tcW w:w="2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1,344,000.00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2,076,000.00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1,344,000.00</w:t>
            </w:r>
          </w:p>
        </w:tc>
      </w:tr>
      <w:tr>
        <w:trPr>
          <w:trHeight w:val="40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29,430.40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293,918.54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29,430.40</w:t>
            </w:r>
          </w:p>
        </w:tc>
      </w:tr>
      <w:tr>
        <w:trPr>
          <w:trHeight w:val="40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29,430.40</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293,918.54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29,430.40</w:t>
            </w:r>
          </w:p>
        </w:tc>
      </w:tr>
      <w:tr>
        <w:trPr>
          <w:trHeight w:val="399"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滞纳金、罚款</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12,802.32</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7,770.19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12,802.32</w:t>
            </w:r>
          </w:p>
        </w:tc>
      </w:tr>
      <w:tr>
        <w:trPr>
          <w:trHeight w:val="40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赔偿金、违约金</w:t>
            </w:r>
          </w:p>
        </w:tc>
        <w:tc>
          <w:tcPr>
            <w:tcW w:w="2315" w:type="dxa"/>
            <w:tcBorders>
              <w:top w:val="single" w:sz="4" w:space="0" w:color="000000"/>
              <w:left w:val="single" w:sz="4" w:space="0" w:color="000000"/>
              <w:bottom w:val="single" w:sz="4" w:space="0" w:color="000000"/>
              <w:right w:val="single" w:sz="4" w:space="0" w:color="000000"/>
            </w:tcBorders>
          </w:tcPr>
          <w:p>
            <w:pP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49,732.38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815,860.49</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1,772,295.90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815,860.49</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862"/>
        <w:gridCol w:w="2315"/>
        <w:gridCol w:w="2003"/>
        <w:gridCol w:w="2391"/>
      </w:tblGrid>
      <w:tr>
        <w:trPr>
          <w:trHeight w:val="403" w:hRule="exact"/>
        </w:trPr>
        <w:tc>
          <w:tcPr>
            <w:tcW w:w="2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95" w:right="0"/>
              <w:jc w:val="left"/>
              <w:rPr>
                <w:rFonts w:ascii="Times New Roman" w:hAnsi="Times New Roman" w:cs="Times New Roman" w:eastAsia="Times New Roman" w:hint="default"/>
                <w:sz w:val="21"/>
                <w:szCs w:val="21"/>
              </w:rPr>
            </w:pPr>
            <w:r>
              <w:rPr>
                <w:rFonts w:ascii="Times New Roman"/>
                <w:sz w:val="21"/>
              </w:rPr>
              <w:t>2,202,093.21</w:t>
            </w:r>
          </w:p>
        </w:tc>
        <w:tc>
          <w:tcPr>
            <w:tcW w:w="2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82" w:right="0"/>
              <w:jc w:val="left"/>
              <w:rPr>
                <w:rFonts w:ascii="Times New Roman" w:hAnsi="Times New Roman" w:cs="Times New Roman" w:eastAsia="Times New Roman" w:hint="default"/>
                <w:sz w:val="21"/>
                <w:szCs w:val="21"/>
              </w:rPr>
            </w:pPr>
            <w:r>
              <w:rPr>
                <w:rFonts w:ascii="Times New Roman"/>
                <w:sz w:val="21"/>
              </w:rPr>
              <w:t>4,199,717.01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76" w:right="0"/>
              <w:jc w:val="left"/>
              <w:rPr>
                <w:rFonts w:ascii="Times New Roman" w:hAnsi="Times New Roman" w:cs="Times New Roman" w:eastAsia="Times New Roman" w:hint="default"/>
                <w:sz w:val="21"/>
                <w:szCs w:val="21"/>
              </w:rPr>
            </w:pPr>
            <w:r>
              <w:rPr>
                <w:rFonts w:ascii="Times New Roman"/>
                <w:sz w:val="21"/>
              </w:rPr>
              <w:t>2,202,093.21</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76、所得税费用" w:id="404"/>
      <w:bookmarkEnd w:id="404"/>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所得税费用表" w:id="405"/>
      <w:bookmarkEnd w:id="40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69,097,740.72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50,755,909.67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-22,757,148.38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-19,909,320.85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46,340,592.34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30,846,588.82</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会计利润与所得税费用调整过程" w:id="406"/>
      <w:bookmarkEnd w:id="40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5460"/>
        <w:gridCol w:w="4110"/>
      </w:tblGrid>
      <w:tr>
        <w:trPr>
          <w:trHeight w:val="398" w:hRule="exact"/>
        </w:trPr>
        <w:tc>
          <w:tcPr>
            <w:tcW w:w="5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408" w:hRule="exact"/>
        </w:trPr>
        <w:tc>
          <w:tcPr>
            <w:tcW w:w="5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334,664,285.57</w:t>
            </w:r>
          </w:p>
        </w:tc>
      </w:tr>
      <w:tr>
        <w:trPr>
          <w:trHeight w:val="401" w:hRule="exact"/>
        </w:trPr>
        <w:tc>
          <w:tcPr>
            <w:tcW w:w="5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50,199,642.84</w:t>
            </w:r>
          </w:p>
        </w:tc>
      </w:tr>
      <w:tr>
        <w:trPr>
          <w:trHeight w:val="401" w:hRule="exact"/>
        </w:trPr>
        <w:tc>
          <w:tcPr>
            <w:tcW w:w="5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-2,945,769.39</w:t>
            </w:r>
          </w:p>
        </w:tc>
      </w:tr>
      <w:tr>
        <w:trPr>
          <w:trHeight w:val="403" w:hRule="exact"/>
        </w:trPr>
        <w:tc>
          <w:tcPr>
            <w:tcW w:w="5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797,869.82</w:t>
            </w:r>
          </w:p>
        </w:tc>
      </w:tr>
      <w:tr>
        <w:trPr>
          <w:trHeight w:val="404" w:hRule="exact"/>
        </w:trPr>
        <w:tc>
          <w:tcPr>
            <w:tcW w:w="5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160,197.92</w:t>
            </w:r>
          </w:p>
        </w:tc>
      </w:tr>
      <w:tr>
        <w:trPr>
          <w:trHeight w:val="401" w:hRule="exact"/>
        </w:trPr>
        <w:tc>
          <w:tcPr>
            <w:tcW w:w="5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3,999,357.30</w:t>
            </w:r>
          </w:p>
        </w:tc>
      </w:tr>
      <w:tr>
        <w:trPr>
          <w:trHeight w:val="401" w:hRule="exact"/>
        </w:trPr>
        <w:tc>
          <w:tcPr>
            <w:tcW w:w="5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-1,974,875.40</w:t>
            </w:r>
          </w:p>
        </w:tc>
      </w:tr>
      <w:tr>
        <w:trPr>
          <w:trHeight w:val="715" w:hRule="exact"/>
        </w:trPr>
        <w:tc>
          <w:tcPr>
            <w:tcW w:w="5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301"/>
              <w:jc w:val="left"/>
              <w:rPr>
                <w:rFonts w:ascii="宋体" w:hAnsi="宋体" w:cs="宋体" w:eastAsia="宋体" w:hint="default"/>
                <w:sz w:val="21"/>
                <w:szCs w:val="21"/>
              </w:rPr>
            </w:pPr>
            <w:r>
              <w:rPr>
                <w:rFonts w:ascii="宋体" w:hAnsi="宋体" w:cs="宋体" w:eastAsia="宋体" w:hint="default"/>
                <w:spacing w:val="-2"/>
                <w:sz w:val="21"/>
                <w:szCs w:val="21"/>
              </w:rPr>
              <w:t>本期未确认递延所得税资产的可抵扣暂时性差异或可抵</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扣亏损的影响</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5,458,223.27</w:t>
            </w:r>
          </w:p>
        </w:tc>
      </w:tr>
      <w:tr>
        <w:trPr>
          <w:trHeight w:val="404" w:hRule="exact"/>
        </w:trPr>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加计扣除的影响</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-9,373,452.39</w:t>
            </w:r>
          </w:p>
        </w:tc>
      </w:tr>
      <w:tr>
        <w:trPr>
          <w:trHeight w:val="398" w:hRule="exact"/>
        </w:trPr>
        <w:tc>
          <w:tcPr>
            <w:tcW w:w="5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税率调整的影响</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19,398.37</w:t>
            </w:r>
          </w:p>
        </w:tc>
      </w:tr>
      <w:tr>
        <w:trPr>
          <w:trHeight w:val="403" w:hRule="exact"/>
        </w:trPr>
        <w:tc>
          <w:tcPr>
            <w:tcW w:w="5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46,340,592.34</w:t>
            </w:r>
          </w:p>
        </w:tc>
      </w:tr>
    </w:tbl>
    <w:p>
      <w:pPr>
        <w:spacing w:line="520" w:lineRule="auto" w:before="28"/>
        <w:ind w:left="113" w:right="9065"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pacing w:val="-101"/>
          <w:sz w:val="21"/>
          <w:szCs w:val="21"/>
        </w:rPr>
        <w:t> </w:t>
      </w:r>
      <w:bookmarkStart w:name="77、其他综合收益" w:id="407"/>
      <w:bookmarkEnd w:id="407"/>
      <w:r>
        <w:rPr>
          <w:rFonts w:ascii="宋体" w:hAnsi="宋体" w:cs="宋体" w:eastAsia="宋体" w:hint="default"/>
          <w:spacing w:val="-101"/>
          <w:sz w:val="21"/>
          <w:szCs w:val="21"/>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spacing w:val="-102"/>
          <w:sz w:val="21"/>
          <w:szCs w:val="21"/>
        </w:rPr>
        <w:t> </w:t>
      </w:r>
      <w:r>
        <w:rPr>
          <w:rFonts w:ascii="宋体" w:hAnsi="宋体" w:cs="宋体" w:eastAsia="宋体" w:hint="default"/>
          <w:sz w:val="21"/>
          <w:szCs w:val="21"/>
        </w:rPr>
        <w:t>详见附注。</w:t>
      </w:r>
    </w:p>
    <w:p>
      <w:pPr>
        <w:spacing w:after="0" w:line="52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78、现金流量表项目" w:id="408"/>
      <w:bookmarkEnd w:id="408"/>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收到的其他与经营活动有关的现金" w:id="409"/>
      <w:bookmarkEnd w:id="40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收回保函保证金等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13,311,469.83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9,233,660.30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11,368,248.76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12,677,403.86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10,138,796.59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18,811,962.49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其他营业外收入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2,343,465.05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715,694.21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29,940,560.57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67,102,540.80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41,438,720.86</w:t>
            </w:r>
          </w:p>
        </w:tc>
      </w:tr>
    </w:tbl>
    <w:p>
      <w:pPr>
        <w:pStyle w:val="BodyText"/>
        <w:spacing w:line="240" w:lineRule="auto" w:before="29"/>
        <w:ind w:right="1002"/>
        <w:jc w:val="left"/>
      </w:pPr>
      <w:r>
        <w:rPr/>
        <w:t>收到的其他与经营活动有关的现金说明：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2）支付的其他与经营活动有关的现金" w:id="410"/>
      <w:bookmarkEnd w:id="41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管理费用现金支出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51,745,712.09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29,706,602.13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销售费用现金支出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146,050,692.07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116,949,635.47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研发费用现金支出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35,957,537.88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15,789,001.41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19,087,242.74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31,868,618.34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11,872,623.58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9,532,153.18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法院冻结款项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213,873,132.60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478,586,940.96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203,846,010.53</w:t>
            </w:r>
          </w:p>
        </w:tc>
      </w:tr>
    </w:tbl>
    <w:p>
      <w:pPr>
        <w:pStyle w:val="BodyText"/>
        <w:spacing w:line="240" w:lineRule="auto" w:before="29"/>
        <w:ind w:right="1002"/>
        <w:jc w:val="left"/>
      </w:pPr>
      <w:r>
        <w:rPr/>
        <w:t>支付的其他与经营活动有关的现金说明：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3）收到的其他与投资活动有关的现金" w:id="411"/>
      <w:bookmarkEnd w:id="41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收回拆出资金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8,720,000.00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8,720,000.00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002"/>
        <w:jc w:val="left"/>
      </w:pPr>
      <w:r>
        <w:rPr/>
        <w:t>收到的其他与投资活动有关的现金说明：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4）支付的其他与投资活动有关的现金" w:id="412"/>
      <w:bookmarkEnd w:id="41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after="0" w:line="240" w:lineRule="auto"/>
        <w:jc w:val="right"/>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8,720,000.00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z w:val="21"/>
              </w:rPr>
              <w:t>8,720,000.00</w:t>
            </w:r>
          </w:p>
        </w:tc>
      </w:tr>
    </w:tbl>
    <w:p>
      <w:pPr>
        <w:pStyle w:val="BodyText"/>
        <w:spacing w:line="240" w:lineRule="auto" w:before="28"/>
        <w:ind w:right="1002"/>
        <w:jc w:val="left"/>
      </w:pPr>
      <w:r>
        <w:rPr/>
        <w:t>支付的其他与投资活动有关的现金说明：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5）收到的其他与筹资活动有关的现金" w:id="413"/>
      <w:bookmarkEnd w:id="41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bl>
    <w:p>
      <w:pPr>
        <w:pStyle w:val="BodyText"/>
        <w:spacing w:line="240" w:lineRule="auto" w:before="28"/>
        <w:ind w:right="1002"/>
        <w:jc w:val="left"/>
      </w:pPr>
      <w:r>
        <w:rPr/>
        <w:t>收到的其他与筹资活动有关的现金说明：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6）支付的其他与筹资活动有关的现金" w:id="414"/>
      <w:bookmarkEnd w:id="41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股份回购</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240,060,973.58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收购子公司少数股东股权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1,949,200.00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1,949,200.00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240,060,973.58</w:t>
            </w:r>
          </w:p>
        </w:tc>
      </w:tr>
    </w:tbl>
    <w:p>
      <w:pPr>
        <w:pStyle w:val="BodyText"/>
        <w:spacing w:line="240" w:lineRule="auto" w:before="28"/>
        <w:ind w:right="1002"/>
        <w:jc w:val="left"/>
      </w:pPr>
      <w:r>
        <w:rPr/>
        <w:t>支付的其他与筹资活动有关的现金说明：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79、现金流量表补充资料" w:id="415"/>
      <w:bookmarkEnd w:id="415"/>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现金流量表补充资料" w:id="416"/>
      <w:bookmarkEnd w:id="41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899"/>
        <w:gridCol w:w="2852"/>
        <w:gridCol w:w="2819"/>
      </w:tblGrid>
      <w:tr>
        <w:trPr>
          <w:trHeight w:val="403"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94"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9" w:right="0"/>
              <w:jc w:val="center"/>
              <w:rPr>
                <w:rFonts w:ascii="Times New Roman" w:hAnsi="Times New Roman" w:cs="Times New Roman" w:eastAsia="Times New Roman" w:hint="default"/>
                <w:sz w:val="21"/>
                <w:szCs w:val="21"/>
              </w:rPr>
            </w:pPr>
            <w:r>
              <w:rPr>
                <w:rFonts w:ascii="Times New Roman"/>
                <w:sz w:val="21"/>
              </w:rPr>
              <w:t>--</w:t>
            </w:r>
          </w:p>
        </w:tc>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w:t>
            </w:r>
          </w:p>
        </w:tc>
      </w:tr>
      <w:tr>
        <w:trPr>
          <w:trHeight w:val="408"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288,323,693.23</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188,365,536.62</w:t>
            </w:r>
          </w:p>
        </w:tc>
      </w:tr>
      <w:tr>
        <w:trPr>
          <w:trHeight w:val="403"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29,203,276.80</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43,662,567.71</w:t>
            </w:r>
          </w:p>
        </w:tc>
      </w:tr>
      <w:tr>
        <w:trPr>
          <w:trHeight w:val="403"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信用减值损失</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4,633,399.85</w:t>
            </w:r>
          </w:p>
        </w:tc>
        <w:tc>
          <w:tcPr>
            <w:tcW w:w="281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4" w:firstLine="845"/>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w:t>
            </w:r>
            <w:r>
              <w:rPr>
                <w:rFonts w:ascii="宋体" w:hAnsi="宋体" w:cs="宋体" w:eastAsia="宋体" w:hint="default"/>
                <w:w w:val="100"/>
                <w:sz w:val="21"/>
                <w:szCs w:val="21"/>
              </w:rPr>
              <w:t> </w:t>
            </w:r>
            <w:r>
              <w:rPr>
                <w:rFonts w:ascii="宋体" w:hAnsi="宋体" w:cs="宋体" w:eastAsia="宋体" w:hint="default"/>
                <w:sz w:val="21"/>
                <w:szCs w:val="21"/>
              </w:rPr>
              <w:t>生产性生物资产折旧</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66,563,062.33</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66,422,076.62</w:t>
            </w:r>
          </w:p>
        </w:tc>
      </w:tr>
      <w:tr>
        <w:trPr>
          <w:trHeight w:val="403"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60,512,029.87</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48,840,119.31</w:t>
            </w:r>
          </w:p>
        </w:tc>
      </w:tr>
      <w:tr>
        <w:trPr>
          <w:trHeight w:val="403"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1,974,626.50</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1,579,679.46</w:t>
            </w:r>
          </w:p>
        </w:tc>
      </w:tr>
      <w:tr>
        <w:trPr>
          <w:trHeight w:val="716"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5" w:firstLine="845"/>
              <w:jc w:val="left"/>
              <w:rPr>
                <w:rFonts w:ascii="宋体" w:hAnsi="宋体" w:cs="宋体" w:eastAsia="宋体" w:hint="default"/>
                <w:sz w:val="21"/>
                <w:szCs w:val="21"/>
              </w:rPr>
            </w:pPr>
            <w:r>
              <w:rPr>
                <w:rFonts w:ascii="宋体" w:hAnsi="宋体" w:cs="宋体" w:eastAsia="宋体" w:hint="default"/>
                <w:spacing w:val="-9"/>
                <w:w w:val="100"/>
                <w:sz w:val="21"/>
                <w:szCs w:val="21"/>
              </w:rPr>
              <w:t>处置固定资产、无形资产和其他</w:t>
            </w:r>
            <w:r>
              <w:rPr>
                <w:rFonts w:ascii="宋体" w:hAnsi="宋体" w:cs="宋体" w:eastAsia="宋体" w:hint="default"/>
                <w:w w:val="100"/>
                <w:sz w:val="21"/>
                <w:szCs w:val="21"/>
              </w:rPr>
              <w:t> </w:t>
            </w:r>
            <w:r>
              <w:rPr>
                <w:rFonts w:ascii="宋体" w:hAnsi="宋体" w:cs="宋体" w:eastAsia="宋体" w:hint="default"/>
                <w:spacing w:val="-1"/>
                <w:sz w:val="21"/>
                <w:szCs w:val="21"/>
              </w:rPr>
              <w:t>长期资产的损失（收益以“－”号填列）</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349,105.85</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-2,854,052.08</w:t>
            </w:r>
          </w:p>
        </w:tc>
      </w:tr>
      <w:tr>
        <w:trPr>
          <w:trHeight w:val="710"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10"/>
              <w:jc w:val="left"/>
              <w:rPr>
                <w:rFonts w:ascii="宋体" w:hAnsi="宋体" w:cs="宋体" w:eastAsia="宋体" w:hint="default"/>
                <w:sz w:val="21"/>
                <w:szCs w:val="21"/>
              </w:rPr>
            </w:pPr>
            <w:r>
              <w:rPr>
                <w:rFonts w:ascii="宋体" w:hAnsi="宋体" w:cs="宋体" w:eastAsia="宋体" w:hint="default"/>
                <w:spacing w:val="-5"/>
                <w:w w:val="100"/>
                <w:sz w:val="21"/>
                <w:szCs w:val="21"/>
              </w:rPr>
              <w:t>固</w:t>
            </w:r>
            <w:r>
              <w:rPr>
                <w:rFonts w:ascii="宋体" w:hAnsi="宋体" w:cs="宋体" w:eastAsia="宋体" w:hint="default"/>
                <w:w w:val="100"/>
                <w:sz w:val="21"/>
                <w:szCs w:val="21"/>
              </w:rPr>
              <w:t>定资产</w:t>
            </w:r>
            <w:r>
              <w:rPr>
                <w:rFonts w:ascii="宋体" w:hAnsi="宋体" w:cs="宋体" w:eastAsia="宋体" w:hint="default"/>
                <w:spacing w:val="-5"/>
                <w:w w:val="100"/>
                <w:sz w:val="21"/>
                <w:szCs w:val="21"/>
              </w:rPr>
              <w:t>报</w:t>
            </w:r>
            <w:r>
              <w:rPr>
                <w:rFonts w:ascii="宋体" w:hAnsi="宋体" w:cs="宋体" w:eastAsia="宋体" w:hint="default"/>
                <w:w w:val="100"/>
                <w:sz w:val="21"/>
                <w:szCs w:val="21"/>
              </w:rPr>
              <w:t>废损</w:t>
            </w:r>
            <w:r>
              <w:rPr>
                <w:rFonts w:ascii="宋体" w:hAnsi="宋体" w:cs="宋体" w:eastAsia="宋体" w:hint="default"/>
                <w:spacing w:val="-106"/>
                <w:w w:val="100"/>
                <w:sz w:val="21"/>
                <w:szCs w:val="21"/>
              </w:rPr>
              <w:t>失</w:t>
            </w:r>
            <w:r>
              <w:rPr>
                <w:rFonts w:ascii="宋体" w:hAnsi="宋体" w:cs="宋体" w:eastAsia="宋体" w:hint="default"/>
                <w:w w:val="100"/>
                <w:sz w:val="21"/>
                <w:szCs w:val="21"/>
              </w:rPr>
              <w:t>（收益</w:t>
            </w:r>
            <w:r>
              <w:rPr>
                <w:rFonts w:ascii="宋体" w:hAnsi="宋体" w:cs="宋体" w:eastAsia="宋体" w:hint="default"/>
                <w:spacing w:val="-106"/>
                <w:w w:val="100"/>
                <w:sz w:val="21"/>
                <w:szCs w:val="21"/>
              </w:rPr>
              <w:t>以</w:t>
            </w:r>
            <w:r>
              <w:rPr>
                <w:rFonts w:ascii="宋体" w:hAnsi="宋体" w:cs="宋体" w:eastAsia="宋体" w:hint="default"/>
                <w:w w:val="100"/>
                <w:sz w:val="21"/>
                <w:szCs w:val="21"/>
              </w:rPr>
              <w:t>“－”</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-43,770.57</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289,707.95</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899"/>
        <w:gridCol w:w="2852"/>
        <w:gridCol w:w="2819"/>
      </w:tblGrid>
      <w:tr>
        <w:trPr>
          <w:trHeight w:val="715"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10"/>
              <w:jc w:val="left"/>
              <w:rPr>
                <w:rFonts w:ascii="宋体" w:hAnsi="宋体" w:cs="宋体" w:eastAsia="宋体" w:hint="default"/>
                <w:sz w:val="21"/>
                <w:szCs w:val="21"/>
              </w:rPr>
            </w:pPr>
            <w:r>
              <w:rPr>
                <w:rFonts w:ascii="宋体" w:hAnsi="宋体" w:cs="宋体" w:eastAsia="宋体" w:hint="default"/>
                <w:spacing w:val="-5"/>
                <w:w w:val="100"/>
                <w:sz w:val="21"/>
                <w:szCs w:val="21"/>
              </w:rPr>
              <w:t>公</w:t>
            </w:r>
            <w:r>
              <w:rPr>
                <w:rFonts w:ascii="宋体" w:hAnsi="宋体" w:cs="宋体" w:eastAsia="宋体" w:hint="default"/>
                <w:w w:val="100"/>
                <w:sz w:val="21"/>
                <w:szCs w:val="21"/>
              </w:rPr>
              <w:t>允价值</w:t>
            </w:r>
            <w:r>
              <w:rPr>
                <w:rFonts w:ascii="宋体" w:hAnsi="宋体" w:cs="宋体" w:eastAsia="宋体" w:hint="default"/>
                <w:spacing w:val="-5"/>
                <w:w w:val="100"/>
                <w:sz w:val="21"/>
                <w:szCs w:val="21"/>
              </w:rPr>
              <w:t>变</w:t>
            </w:r>
            <w:r>
              <w:rPr>
                <w:rFonts w:ascii="宋体" w:hAnsi="宋体" w:cs="宋体" w:eastAsia="宋体" w:hint="default"/>
                <w:w w:val="100"/>
                <w:sz w:val="21"/>
                <w:szCs w:val="21"/>
              </w:rPr>
              <w:t>动损</w:t>
            </w:r>
            <w:r>
              <w:rPr>
                <w:rFonts w:ascii="宋体" w:hAnsi="宋体" w:cs="宋体" w:eastAsia="宋体" w:hint="default"/>
                <w:spacing w:val="-106"/>
                <w:w w:val="100"/>
                <w:sz w:val="21"/>
                <w:szCs w:val="21"/>
              </w:rPr>
              <w:t>失</w:t>
            </w:r>
            <w:r>
              <w:rPr>
                <w:rFonts w:ascii="宋体" w:hAnsi="宋体" w:cs="宋体" w:eastAsia="宋体" w:hint="default"/>
                <w:w w:val="100"/>
                <w:sz w:val="21"/>
                <w:szCs w:val="21"/>
              </w:rPr>
              <w:t>（收益</w:t>
            </w:r>
            <w:r>
              <w:rPr>
                <w:rFonts w:ascii="宋体" w:hAnsi="宋体" w:cs="宋体" w:eastAsia="宋体" w:hint="default"/>
                <w:spacing w:val="-106"/>
                <w:w w:val="100"/>
                <w:sz w:val="21"/>
                <w:szCs w:val="21"/>
              </w:rPr>
              <w:t>以</w:t>
            </w:r>
            <w:r>
              <w:rPr>
                <w:rFonts w:ascii="宋体" w:hAnsi="宋体" w:cs="宋体" w:eastAsia="宋体" w:hint="default"/>
                <w:w w:val="100"/>
                <w:sz w:val="21"/>
                <w:szCs w:val="21"/>
              </w:rPr>
              <w:t>“－”</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-545,498.43</w:t>
            </w:r>
          </w:p>
        </w:tc>
        <w:tc>
          <w:tcPr>
            <w:tcW w:w="28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0"/>
              <w:jc w:val="right"/>
              <w:rPr>
                <w:rFonts w:ascii="宋体" w:hAnsi="宋体" w:cs="宋体" w:eastAsia="宋体" w:hint="default"/>
                <w:sz w:val="21"/>
                <w:szCs w:val="21"/>
              </w:rPr>
            </w:pPr>
            <w:r>
              <w:rPr>
                <w:rFonts w:ascii="宋体" w:hAnsi="宋体" w:cs="宋体" w:eastAsia="宋体" w:hint="default"/>
                <w:spacing w:val="-15"/>
                <w:sz w:val="21"/>
                <w:szCs w:val="21"/>
              </w:rPr>
              <w:t>财务费用（收益以“－”号填列）</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35,821,920.58</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31,872,431.75</w:t>
            </w:r>
          </w:p>
        </w:tc>
      </w:tr>
      <w:tr>
        <w:trPr>
          <w:trHeight w:val="401"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0"/>
              <w:jc w:val="right"/>
              <w:rPr>
                <w:rFonts w:ascii="宋体" w:hAnsi="宋体" w:cs="宋体" w:eastAsia="宋体" w:hint="default"/>
                <w:sz w:val="21"/>
                <w:szCs w:val="21"/>
              </w:rPr>
            </w:pPr>
            <w:r>
              <w:rPr>
                <w:rFonts w:ascii="宋体" w:hAnsi="宋体" w:cs="宋体" w:eastAsia="宋体" w:hint="default"/>
                <w:spacing w:val="-15"/>
                <w:sz w:val="21"/>
                <w:szCs w:val="21"/>
              </w:rPr>
              <w:t>投资损失（收益以“－”号填列）</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-4,105,871.80</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-3,193,968.56</w:t>
            </w:r>
          </w:p>
        </w:tc>
      </w:tr>
      <w:tr>
        <w:trPr>
          <w:trHeight w:val="715"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205" w:firstLine="845"/>
              <w:jc w:val="left"/>
              <w:rPr>
                <w:rFonts w:ascii="宋体" w:hAnsi="宋体" w:cs="宋体" w:eastAsia="宋体" w:hint="default"/>
                <w:sz w:val="21"/>
                <w:szCs w:val="21"/>
              </w:rPr>
            </w:pPr>
            <w:r>
              <w:rPr>
                <w:rFonts w:ascii="宋体" w:hAnsi="宋体" w:cs="宋体" w:eastAsia="宋体" w:hint="default"/>
                <w:spacing w:val="-2"/>
                <w:sz w:val="21"/>
                <w:szCs w:val="21"/>
              </w:rPr>
              <w:t>递延所得税资产减少（增加以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-21,342,896.25</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-18,402,996.83</w:t>
            </w:r>
          </w:p>
        </w:tc>
      </w:tr>
      <w:tr>
        <w:trPr>
          <w:trHeight w:val="716"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205" w:firstLine="845"/>
              <w:jc w:val="left"/>
              <w:rPr>
                <w:rFonts w:ascii="宋体" w:hAnsi="宋体" w:cs="宋体" w:eastAsia="宋体" w:hint="default"/>
                <w:sz w:val="21"/>
                <w:szCs w:val="21"/>
              </w:rPr>
            </w:pPr>
            <w:r>
              <w:rPr>
                <w:rFonts w:ascii="宋体" w:hAnsi="宋体" w:cs="宋体" w:eastAsia="宋体" w:hint="default"/>
                <w:spacing w:val="-2"/>
                <w:sz w:val="21"/>
                <w:szCs w:val="21"/>
              </w:rPr>
              <w:t>递延所得税负债增加（减少以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-1,414,252.13</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-1,506,324.02</w:t>
            </w:r>
          </w:p>
        </w:tc>
      </w:tr>
      <w:tr>
        <w:trPr>
          <w:trHeight w:val="713"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pacing w:val="-9"/>
                <w:sz w:val="21"/>
                <w:szCs w:val="21"/>
              </w:rPr>
              <w:t>存货的减少（增加以“－”号填</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-501,704,085.00</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62,679,654.58</w:t>
            </w:r>
          </w:p>
        </w:tc>
      </w:tr>
      <w:tr>
        <w:trPr>
          <w:trHeight w:val="713"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105" w:right="95" w:firstLine="845"/>
              <w:jc w:val="left"/>
              <w:rPr>
                <w:rFonts w:ascii="宋体" w:hAnsi="宋体" w:cs="宋体" w:eastAsia="宋体" w:hint="default"/>
                <w:sz w:val="21"/>
                <w:szCs w:val="21"/>
              </w:rPr>
            </w:pPr>
            <w:r>
              <w:rPr>
                <w:rFonts w:ascii="宋体" w:hAnsi="宋体" w:cs="宋体" w:eastAsia="宋体" w:hint="default"/>
                <w:spacing w:val="-9"/>
                <w:w w:val="100"/>
                <w:sz w:val="21"/>
                <w:szCs w:val="21"/>
              </w:rPr>
              <w:t>经营性应收项目的减少（增加以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-583,459,880.61</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-813,369,164.79</w:t>
            </w:r>
          </w:p>
        </w:tc>
      </w:tr>
      <w:tr>
        <w:trPr>
          <w:trHeight w:val="716"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9"/>
              <w:ind w:left="105" w:right="95" w:firstLine="845"/>
              <w:jc w:val="left"/>
              <w:rPr>
                <w:rFonts w:ascii="宋体" w:hAnsi="宋体" w:cs="宋体" w:eastAsia="宋体" w:hint="default"/>
                <w:sz w:val="21"/>
                <w:szCs w:val="21"/>
              </w:rPr>
            </w:pPr>
            <w:r>
              <w:rPr>
                <w:rFonts w:ascii="宋体" w:hAnsi="宋体" w:cs="宋体" w:eastAsia="宋体" w:hint="default"/>
                <w:spacing w:val="-9"/>
                <w:w w:val="100"/>
                <w:sz w:val="21"/>
                <w:szCs w:val="21"/>
              </w:rPr>
              <w:t>经营性应付项目的增加（减少以</w:t>
            </w:r>
            <w:r>
              <w:rPr>
                <w:rFonts w:ascii="宋体" w:hAnsi="宋体" w:cs="宋体" w:eastAsia="宋体" w:hint="default"/>
                <w:w w:val="100"/>
                <w:sz w:val="21"/>
                <w:szCs w:val="21"/>
              </w:rPr>
              <w:t> </w:t>
            </w:r>
            <w:r>
              <w:rPr>
                <w:rFonts w:ascii="宋体" w:hAnsi="宋体" w:cs="宋体" w:eastAsia="宋体" w:hint="default"/>
                <w:sz w:val="21"/>
                <w:szCs w:val="21"/>
              </w:rPr>
              <w:t>“－”号填列）</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280,196,748.76</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192,911,883.32</w:t>
            </w:r>
          </w:p>
        </w:tc>
      </w:tr>
      <w:tr>
        <w:trPr>
          <w:trHeight w:val="408"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5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-345,038,391.02</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-202,702,848.96</w:t>
            </w:r>
          </w:p>
        </w:tc>
      </w:tr>
      <w:tr>
        <w:trPr>
          <w:trHeight w:val="708"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3"/>
              <w:ind w:left="105" w:right="10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．不涉及现金收支的重大投资和筹资活</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动：</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353" w:right="0"/>
              <w:jc w:val="left"/>
              <w:rPr>
                <w:rFonts w:ascii="Times New Roman" w:hAnsi="Times New Roman" w:cs="Times New Roman" w:eastAsia="Times New Roman" w:hint="default"/>
                <w:sz w:val="21"/>
                <w:szCs w:val="21"/>
              </w:rPr>
            </w:pPr>
            <w:r>
              <w:rPr>
                <w:rFonts w:ascii="Times New Roman"/>
                <w:sz w:val="21"/>
              </w:rPr>
              <w:t>--</w:t>
            </w:r>
          </w:p>
        </w:tc>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w:t>
            </w:r>
          </w:p>
        </w:tc>
      </w:tr>
      <w:tr>
        <w:trPr>
          <w:trHeight w:val="396"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353" w:right="0"/>
              <w:jc w:val="left"/>
              <w:rPr>
                <w:rFonts w:ascii="Times New Roman" w:hAnsi="Times New Roman" w:cs="Times New Roman" w:eastAsia="Times New Roman" w:hint="default"/>
                <w:sz w:val="21"/>
                <w:szCs w:val="21"/>
              </w:rPr>
            </w:pPr>
            <w:r>
              <w:rPr>
                <w:rFonts w:ascii="Times New Roman"/>
                <w:sz w:val="21"/>
              </w:rPr>
              <w:t>--</w:t>
            </w:r>
          </w:p>
        </w:tc>
        <w:tc>
          <w:tcPr>
            <w:tcW w:w="2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Times New Roman" w:hAnsi="Times New Roman" w:cs="Times New Roman" w:eastAsia="Times New Roman" w:hint="default"/>
                <w:sz w:val="21"/>
                <w:szCs w:val="21"/>
              </w:rPr>
            </w:pPr>
            <w:r>
              <w:rPr>
                <w:rFonts w:ascii="Times New Roman"/>
                <w:sz w:val="21"/>
              </w:rPr>
              <w:t>--</w:t>
            </w:r>
          </w:p>
        </w:tc>
      </w:tr>
      <w:tr>
        <w:trPr>
          <w:trHeight w:val="408"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28"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467,618,436.39</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756,761,321.50</w:t>
            </w:r>
          </w:p>
        </w:tc>
      </w:tr>
      <w:tr>
        <w:trPr>
          <w:trHeight w:val="403"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756,761,321.50</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1,226,342,763.85</w:t>
            </w:r>
          </w:p>
        </w:tc>
      </w:tr>
      <w:tr>
        <w:trPr>
          <w:trHeight w:val="403" w:hRule="exact"/>
        </w:trPr>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-289,142,885.11</w:t>
            </w:r>
          </w:p>
        </w:tc>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-469,581,442.35</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本期支付的取得子公司的现金净额" w:id="417"/>
      <w:bookmarkEnd w:id="41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0"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3）本期收到的处置子公司的现金净额" w:id="418"/>
      <w:bookmarkEnd w:id="41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989"/>
        <w:gridCol w:w="4581"/>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404"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0"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4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BodyText"/>
        <w:spacing w:line="240" w:lineRule="auto"/>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4）现金和现金等价物的构成" w:id="419"/>
      <w:bookmarkEnd w:id="41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779"/>
        <w:gridCol w:w="3078"/>
        <w:gridCol w:w="2713"/>
      </w:tblGrid>
      <w:tr>
        <w:trPr>
          <w:trHeight w:val="398" w:hRule="exact"/>
        </w:trPr>
        <w:tc>
          <w:tcPr>
            <w:tcW w:w="3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467,618,436.39</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756,761,321.50</w:t>
            </w:r>
          </w:p>
        </w:tc>
      </w:tr>
      <w:tr>
        <w:trPr>
          <w:trHeight w:val="404" w:hRule="exact"/>
        </w:trPr>
        <w:tc>
          <w:tcPr>
            <w:tcW w:w="3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pacing w:val="-1"/>
                <w:sz w:val="21"/>
              </w:rPr>
              <w:t>318,620.11</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192,781.56</w:t>
            </w:r>
          </w:p>
        </w:tc>
      </w:tr>
      <w:tr>
        <w:trPr>
          <w:trHeight w:val="403" w:hRule="exact"/>
        </w:trPr>
        <w:tc>
          <w:tcPr>
            <w:tcW w:w="3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467,299,816.28</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756,568,539.94</w:t>
            </w:r>
          </w:p>
        </w:tc>
      </w:tr>
      <w:tr>
        <w:trPr>
          <w:trHeight w:val="398" w:hRule="exact"/>
        </w:trPr>
        <w:tc>
          <w:tcPr>
            <w:tcW w:w="3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467,618,436.39</w:t>
            </w:r>
          </w:p>
        </w:tc>
        <w:tc>
          <w:tcPr>
            <w:tcW w:w="2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756,761,321.50</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spacing w:line="520" w:lineRule="auto" w:before="0"/>
        <w:ind w:left="113" w:right="1824" w:firstLine="0"/>
        <w:jc w:val="left"/>
        <w:rPr>
          <w:rFonts w:ascii="宋体" w:hAnsi="宋体" w:cs="宋体" w:eastAsia="宋体" w:hint="default"/>
          <w:sz w:val="21"/>
          <w:szCs w:val="21"/>
        </w:rPr>
      </w:pPr>
      <w:bookmarkStart w:name="80、所有者权益变动表项目注释" w:id="420"/>
      <w:bookmarkEnd w:id="420"/>
      <w:r>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spacing w:val="-100"/>
          <w:sz w:val="21"/>
          <w:szCs w:val="21"/>
        </w:rPr>
        <w:t> </w:t>
      </w:r>
      <w:r>
        <w:rPr>
          <w:rFonts w:ascii="宋体" w:hAnsi="宋体" w:cs="宋体" w:eastAsia="宋体" w:hint="default"/>
          <w:spacing w:val="-2"/>
          <w:sz w:val="21"/>
          <w:szCs w:val="21"/>
        </w:rPr>
        <w:t>说明对上年期末余额进行调整的“其他”项目名称及调整金额等事项：</w:t>
      </w:r>
      <w:r>
        <w:rPr>
          <w:rFonts w:ascii="宋体" w:hAnsi="宋体" w:cs="宋体" w:eastAsia="宋体" w:hint="default"/>
          <w:spacing w:val="-40"/>
          <w:sz w:val="21"/>
          <w:szCs w:val="21"/>
        </w:rPr>
        <w:t> </w:t>
      </w:r>
      <w:r>
        <w:rPr>
          <w:rFonts w:ascii="宋体" w:hAnsi="宋体" w:cs="宋体" w:eastAsia="宋体" w:hint="default"/>
          <w:spacing w:val="-40"/>
          <w:sz w:val="21"/>
          <w:szCs w:val="21"/>
        </w:rPr>
      </w:r>
      <w:bookmarkStart w:name="81、所有权或使用权受到限制的资产" w:id="421"/>
      <w:bookmarkEnd w:id="421"/>
      <w:r>
        <w:rPr>
          <w:rFonts w:ascii="宋体" w:hAnsi="宋体" w:cs="宋体" w:eastAsia="宋体" w:hint="default"/>
          <w:spacing w:val="-40"/>
          <w:sz w:val="21"/>
          <w:szCs w:val="21"/>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7"/>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97"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266,532,759.83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3"/>
              <w:jc w:val="left"/>
              <w:rPr>
                <w:rFonts w:ascii="宋体" w:hAnsi="宋体" w:cs="宋体" w:eastAsia="宋体" w:hint="default"/>
                <w:sz w:val="21"/>
                <w:szCs w:val="21"/>
              </w:rPr>
            </w:pPr>
            <w:r>
              <w:rPr>
                <w:rFonts w:ascii="宋体" w:hAnsi="宋体" w:cs="宋体" w:eastAsia="宋体" w:hint="default"/>
                <w:spacing w:val="-2"/>
                <w:sz w:val="21"/>
                <w:szCs w:val="21"/>
              </w:rPr>
              <w:t>票据保证金、保函保证金、法院</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冻结款等</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23,875,336.81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借款抵押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290,408,096.64</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82、外币货币性项目" w:id="422"/>
      <w:bookmarkEnd w:id="422"/>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外币货币性项目" w:id="423"/>
      <w:bookmarkEnd w:id="42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497"/>
        <w:gridCol w:w="2295"/>
        <w:gridCol w:w="2387"/>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13"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768"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4" w:right="0"/>
              <w:jc w:val="left"/>
              <w:rPr>
                <w:rFonts w:ascii="宋体" w:hAnsi="宋体" w:cs="宋体" w:eastAsia="宋体" w:hint="default"/>
                <w:sz w:val="21"/>
                <w:szCs w:val="21"/>
              </w:rPr>
            </w:pPr>
            <w:r>
              <w:rPr>
                <w:rFonts w:ascii="宋体" w:hAnsi="宋体" w:cs="宋体" w:eastAsia="宋体" w:hint="default"/>
                <w:sz w:val="21"/>
                <w:szCs w:val="21"/>
              </w:rPr>
              <w:t>期末折算人民币余额</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9" w:right="0"/>
              <w:jc w:val="center"/>
              <w:rPr>
                <w:rFonts w:ascii="Times New Roman" w:hAnsi="Times New Roman" w:cs="Times New Roman" w:eastAsia="Times New Roman" w:hint="default"/>
                <w:sz w:val="21"/>
                <w:szCs w:val="21"/>
              </w:rPr>
            </w:pPr>
            <w:r>
              <w:rPr>
                <w:rFonts w:ascii="Times New Roman"/>
                <w:sz w:val="21"/>
              </w:rPr>
              <w:t>--</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4"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60,950.13</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sz w:val="21"/>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425,200.30</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39"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739"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9" w:right="0"/>
              <w:jc w:val="center"/>
              <w:rPr>
                <w:rFonts w:ascii="Times New Roman" w:hAnsi="Times New Roman" w:cs="Times New Roman" w:eastAsia="Times New Roman" w:hint="default"/>
                <w:sz w:val="21"/>
                <w:szCs w:val="21"/>
              </w:rPr>
            </w:pPr>
            <w:r>
              <w:rPr>
                <w:rFonts w:ascii="Times New Roman"/>
                <w:sz w:val="21"/>
              </w:rPr>
              <w:t>--</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799,000.00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left"/>
              <w:rPr>
                <w:rFonts w:ascii="Times New Roman" w:hAnsi="Times New Roman" w:cs="Times New Roman" w:eastAsia="Times New Roman" w:hint="default"/>
                <w:sz w:val="21"/>
                <w:szCs w:val="21"/>
              </w:rPr>
            </w:pPr>
            <w:r>
              <w:rPr>
                <w:rFonts w:ascii="Times New Roman"/>
                <w:sz w:val="21"/>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5,573,983.80</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497"/>
        <w:gridCol w:w="2295"/>
        <w:gridCol w:w="2387"/>
        <w:gridCol w:w="2391"/>
      </w:tblGrid>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323"/>
              <w:jc w:val="right"/>
              <w:rPr>
                <w:rFonts w:ascii="宋体" w:hAnsi="宋体" w:cs="宋体" w:eastAsia="宋体" w:hint="default"/>
                <w:sz w:val="21"/>
                <w:szCs w:val="21"/>
              </w:rPr>
            </w:pPr>
            <w:r>
              <w:rPr>
                <w:rFonts w:ascii="宋体" w:hAnsi="宋体" w:cs="宋体" w:eastAsia="宋体" w:hint="default"/>
                <w:sz w:val="21"/>
                <w:szCs w:val="21"/>
              </w:rPr>
              <w:t>欧元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323"/>
              <w:jc w:val="right"/>
              <w:rPr>
                <w:rFonts w:ascii="宋体" w:hAnsi="宋体" w:cs="宋体" w:eastAsia="宋体" w:hint="default"/>
                <w:sz w:val="21"/>
                <w:szCs w:val="21"/>
              </w:rPr>
            </w:pPr>
            <w:r>
              <w:rPr>
                <w:rFonts w:ascii="宋体" w:hAnsi="宋体" w:cs="宋体" w:eastAsia="宋体" w:hint="default"/>
                <w:sz w:val="21"/>
                <w:szCs w:val="21"/>
              </w:rPr>
              <w:t>港币</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9" w:right="0"/>
              <w:jc w:val="center"/>
              <w:rPr>
                <w:rFonts w:ascii="Times New Roman" w:hAnsi="Times New Roman" w:cs="Times New Roman" w:eastAsia="Times New Roman" w:hint="default"/>
                <w:sz w:val="21"/>
                <w:szCs w:val="21"/>
              </w:rPr>
            </w:pPr>
            <w:r>
              <w:rPr>
                <w:rFonts w:ascii="Times New Roman"/>
                <w:sz w:val="21"/>
              </w:rPr>
              <w:t>--</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323"/>
              <w:jc w:val="right"/>
              <w:rPr>
                <w:rFonts w:ascii="宋体" w:hAnsi="宋体" w:cs="宋体" w:eastAsia="宋体" w:hint="default"/>
                <w:sz w:val="21"/>
                <w:szCs w:val="21"/>
              </w:rPr>
            </w:pPr>
            <w:r>
              <w:rPr>
                <w:rFonts w:ascii="宋体" w:hAnsi="宋体" w:cs="宋体" w:eastAsia="宋体" w:hint="default"/>
                <w:sz w:val="21"/>
                <w:szCs w:val="21"/>
              </w:rPr>
              <w:t>欧元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323"/>
              <w:jc w:val="right"/>
              <w:rPr>
                <w:rFonts w:ascii="宋体" w:hAnsi="宋体" w:cs="宋体" w:eastAsia="宋体" w:hint="default"/>
                <w:sz w:val="21"/>
                <w:szCs w:val="21"/>
              </w:rPr>
            </w:pPr>
            <w:r>
              <w:rPr>
                <w:rFonts w:ascii="宋体" w:hAnsi="宋体" w:cs="宋体" w:eastAsia="宋体" w:hint="default"/>
                <w:sz w:val="21"/>
                <w:szCs w:val="21"/>
              </w:rPr>
              <w:t>港币</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002"/>
        <w:jc w:val="left"/>
      </w:pPr>
      <w:r>
        <w:rPr/>
        <w:t>其他说明：</w:t>
      </w:r>
    </w:p>
    <w:p>
      <w:pPr>
        <w:spacing w:line="240" w:lineRule="auto" w:before="12"/>
        <w:rPr>
          <w:rFonts w:ascii="宋体" w:hAnsi="宋体" w:cs="宋体" w:eastAsia="宋体" w:hint="default"/>
          <w:sz w:val="25"/>
          <w:szCs w:val="25"/>
        </w:rPr>
      </w:pPr>
    </w:p>
    <w:p>
      <w:pPr>
        <w:pStyle w:val="Heading5"/>
        <w:spacing w:line="254" w:lineRule="auto"/>
        <w:ind w:right="1002"/>
        <w:jc w:val="left"/>
        <w:rPr>
          <w:b w:val="0"/>
          <w:bCs w:val="0"/>
        </w:rPr>
      </w:pPr>
      <w:bookmarkStart w:name="（2）境外经营实体说明，包括对于重要的境外经营实体，应披露其境外主要经营地、记账" w:id="424"/>
      <w:bookmarkEnd w:id="42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5"/>
        <w:rPr>
          <w:rFonts w:ascii="宋体" w:hAnsi="宋体" w:cs="宋体" w:eastAsia="宋体" w:hint="default"/>
          <w:b/>
          <w:bCs/>
          <w:sz w:val="25"/>
          <w:szCs w:val="25"/>
        </w:rPr>
      </w:pPr>
    </w:p>
    <w:p>
      <w:pPr>
        <w:pStyle w:val="BodyText"/>
        <w:spacing w:line="240" w:lineRule="auto" w:before="0"/>
        <w:ind w:right="1002"/>
        <w:jc w:val="left"/>
      </w:pPr>
      <w:r>
        <w:rPr/>
        <w:t>□ 适用 √</w:t>
      </w:r>
      <w:r>
        <w:rPr>
          <w:spacing w:val="4"/>
        </w:rPr>
        <w:t> </w:t>
      </w:r>
      <w:r>
        <w:rPr/>
        <w:t>不适用</w:t>
      </w:r>
    </w:p>
    <w:p>
      <w:pPr>
        <w:spacing w:line="240" w:lineRule="auto" w:before="3"/>
        <w:rPr>
          <w:rFonts w:ascii="宋体" w:hAnsi="宋体" w:cs="宋体" w:eastAsia="宋体" w:hint="default"/>
          <w:sz w:val="25"/>
          <w:szCs w:val="25"/>
        </w:rPr>
      </w:pPr>
    </w:p>
    <w:p>
      <w:pPr>
        <w:spacing w:line="520" w:lineRule="auto" w:before="0"/>
        <w:ind w:left="113" w:right="3345" w:firstLine="0"/>
        <w:jc w:val="left"/>
        <w:rPr>
          <w:rFonts w:ascii="宋体" w:hAnsi="宋体" w:cs="宋体" w:eastAsia="宋体" w:hint="default"/>
          <w:sz w:val="21"/>
          <w:szCs w:val="21"/>
        </w:rPr>
      </w:pPr>
      <w:bookmarkStart w:name="83、套期" w:id="425"/>
      <w:bookmarkEnd w:id="425"/>
      <w:r>
        <w:rPr/>
      </w:r>
      <w:r>
        <w:rPr>
          <w:rFonts w:ascii="Times New Roman" w:hAnsi="Times New Roman" w:cs="Times New Roman" w:eastAsia="Times New Roman" w:hint="default"/>
          <w:b/>
          <w:bCs/>
          <w:sz w:val="21"/>
          <w:szCs w:val="21"/>
        </w:rPr>
        <w:t>83</w:t>
      </w:r>
      <w:r>
        <w:rPr>
          <w:rFonts w:ascii="宋体" w:hAnsi="宋体" w:cs="宋体" w:eastAsia="宋体" w:hint="default"/>
          <w:b/>
          <w:bCs/>
          <w:sz w:val="21"/>
          <w:szCs w:val="21"/>
        </w:rPr>
        <w:t>、套期</w:t>
      </w:r>
      <w:r>
        <w:rPr>
          <w:rFonts w:ascii="宋体" w:hAnsi="宋体" w:cs="宋体" w:eastAsia="宋体" w:hint="default"/>
          <w:b/>
          <w:bCs/>
          <w:spacing w:val="-104"/>
          <w:sz w:val="21"/>
          <w:szCs w:val="21"/>
        </w:rPr>
        <w:t> </w:t>
      </w:r>
      <w:r>
        <w:rPr>
          <w:rFonts w:ascii="宋体" w:hAnsi="宋体" w:cs="宋体" w:eastAsia="宋体" w:hint="default"/>
          <w:spacing w:val="-2"/>
          <w:sz w:val="21"/>
          <w:szCs w:val="21"/>
        </w:rPr>
        <w:t>按照套期类别披露套期项目及相关套期工具、被套期风险的定性和定量信息：</w:t>
      </w:r>
      <w:r>
        <w:rPr>
          <w:rFonts w:ascii="宋体" w:hAnsi="宋体" w:cs="宋体" w:eastAsia="宋体" w:hint="default"/>
          <w:spacing w:val="-37"/>
          <w:sz w:val="21"/>
          <w:szCs w:val="21"/>
        </w:rPr>
        <w:t> </w:t>
      </w:r>
      <w:r>
        <w:rPr>
          <w:rFonts w:ascii="宋体" w:hAnsi="宋体" w:cs="宋体" w:eastAsia="宋体" w:hint="default"/>
          <w:spacing w:val="-37"/>
          <w:sz w:val="21"/>
          <w:szCs w:val="21"/>
        </w:rPr>
      </w:r>
      <w:bookmarkStart w:name="84、政府补助" w:id="426"/>
      <w:bookmarkEnd w:id="426"/>
      <w:r>
        <w:rPr>
          <w:rFonts w:ascii="宋体" w:hAnsi="宋体" w:cs="宋体" w:eastAsia="宋体" w:hint="default"/>
          <w:spacing w:val="-37"/>
          <w:sz w:val="21"/>
          <w:szCs w:val="21"/>
        </w:rPr>
      </w:r>
      <w:r>
        <w:rPr>
          <w:rFonts w:ascii="Times New Roman" w:hAnsi="Times New Roman" w:cs="Times New Roman" w:eastAsia="Times New Roman" w:hint="default"/>
          <w:b/>
          <w:bCs/>
          <w:sz w:val="21"/>
          <w:szCs w:val="21"/>
        </w:rPr>
        <w:t>84</w:t>
      </w:r>
      <w:r>
        <w:rPr>
          <w:rFonts w:ascii="宋体" w:hAnsi="宋体" w:cs="宋体" w:eastAsia="宋体" w:hint="default"/>
          <w:b/>
          <w:bCs/>
          <w:sz w:val="21"/>
          <w:szCs w:val="21"/>
        </w:rPr>
        <w:t>、政府补助</w:t>
      </w:r>
      <w:r>
        <w:rPr>
          <w:rFonts w:ascii="宋体" w:hAnsi="宋体" w:cs="宋体" w:eastAsia="宋体" w:hint="default"/>
          <w:sz w:val="21"/>
          <w:szCs w:val="21"/>
        </w:rPr>
      </w:r>
    </w:p>
    <w:p>
      <w:pPr>
        <w:pStyle w:val="Heading5"/>
        <w:spacing w:line="240" w:lineRule="auto" w:before="47"/>
        <w:ind w:right="1002"/>
        <w:jc w:val="left"/>
        <w:rPr>
          <w:b w:val="0"/>
          <w:bCs w:val="0"/>
        </w:rPr>
      </w:pPr>
      <w:bookmarkStart w:name="（1）政府补助基本情况" w:id="427"/>
      <w:bookmarkEnd w:id="427"/>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847"/>
        <w:gridCol w:w="2358"/>
        <w:gridCol w:w="1974"/>
        <w:gridCol w:w="2391"/>
      </w:tblGrid>
      <w:tr>
        <w:trPr>
          <w:trHeight w:val="398" w:hRule="exact"/>
        </w:trPr>
        <w:tc>
          <w:tcPr>
            <w:tcW w:w="2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2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56" w:right="0"/>
              <w:jc w:val="left"/>
              <w:rPr>
                <w:rFonts w:ascii="宋体" w:hAnsi="宋体" w:cs="宋体" w:eastAsia="宋体" w:hint="default"/>
                <w:sz w:val="21"/>
                <w:szCs w:val="21"/>
              </w:rPr>
            </w:pPr>
            <w:r>
              <w:rPr>
                <w:rFonts w:ascii="宋体" w:hAnsi="宋体" w:cs="宋体" w:eastAsia="宋体" w:hint="default"/>
                <w:sz w:val="21"/>
                <w:szCs w:val="21"/>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4"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p>
        </w:tc>
      </w:tr>
      <w:tr>
        <w:trPr>
          <w:trHeight w:val="403"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计入递延收益的政府补助</w:t>
            </w:r>
          </w:p>
        </w:tc>
        <w:tc>
          <w:tcPr>
            <w:tcW w:w="2358" w:type="dxa"/>
            <w:tcBorders>
              <w:top w:val="single" w:sz="4" w:space="0" w:color="000000"/>
              <w:left w:val="single" w:sz="4" w:space="0" w:color="000000"/>
              <w:bottom w:val="single" w:sz="4" w:space="0" w:color="000000"/>
              <w:right w:val="single" w:sz="4" w:space="0" w:color="000000"/>
            </w:tcBorders>
          </w:tcPr>
          <w:p>
            <w:pPr/>
          </w:p>
        </w:tc>
        <w:tc>
          <w:tcPr>
            <w:tcW w:w="197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3,967,276.09</w:t>
            </w:r>
          </w:p>
        </w:tc>
      </w:tr>
      <w:tr>
        <w:trPr>
          <w:trHeight w:val="403"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计入其他收益的政府补助</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15,689,087.82</w:t>
            </w:r>
          </w:p>
        </w:tc>
        <w:tc>
          <w:tcPr>
            <w:tcW w:w="197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15,689,087.82</w:t>
            </w:r>
          </w:p>
        </w:tc>
      </w:tr>
      <w:tr>
        <w:trPr>
          <w:trHeight w:val="404"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15,689,087.82</w:t>
            </w:r>
          </w:p>
        </w:tc>
        <w:tc>
          <w:tcPr>
            <w:tcW w:w="197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19,656,363.91</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政府补助退回情况" w:id="428"/>
      <w:bookmarkEnd w:id="428"/>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before="0"/>
        <w:ind w:right="8962"/>
        <w:jc w:val="left"/>
      </w:pPr>
      <w:r>
        <w:rPr/>
        <w:t>□ 适用 √</w:t>
      </w:r>
      <w:r>
        <w:rPr>
          <w:spacing w:val="4"/>
        </w:rPr>
        <w:t> </w:t>
      </w:r>
      <w:r>
        <w:rPr/>
        <w:t>不适用</w:t>
      </w:r>
      <w:r>
        <w:rPr>
          <w:w w:val="100"/>
        </w:rPr>
        <w:t> </w:t>
      </w:r>
      <w:r>
        <w:rPr/>
        <w:t>其他说明：</w:t>
      </w:r>
    </w:p>
    <w:p>
      <w:pPr>
        <w:spacing w:after="0" w:line="307"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523" w:lineRule="auto" w:before="36"/>
        <w:ind w:left="233" w:right="8326"/>
        <w:jc w:val="left"/>
        <w:rPr>
          <w:b w:val="0"/>
          <w:bCs w:val="0"/>
        </w:rPr>
      </w:pPr>
      <w:bookmarkStart w:name="85、其他" w:id="429"/>
      <w:bookmarkEnd w:id="429"/>
      <w:r>
        <w:rPr>
          <w:b w:val="0"/>
          <w:bCs w:val="0"/>
        </w:rPr>
      </w:r>
      <w:r>
        <w:rPr>
          <w:rFonts w:ascii="Times New Roman" w:hAnsi="Times New Roman" w:cs="Times New Roman" w:eastAsia="Times New Roman" w:hint="default"/>
        </w:rPr>
        <w:t>85</w:t>
      </w:r>
      <w:r>
        <w:rPr/>
        <w:t>、其他</w:t>
      </w:r>
      <w:r>
        <w:rPr>
          <w:spacing w:val="-104"/>
        </w:rPr>
        <w:t> </w:t>
      </w:r>
      <w:bookmarkStart w:name="八、合并范围的变更" w:id="430"/>
      <w:bookmarkEnd w:id="430"/>
      <w:r>
        <w:rPr/>
        <w:t>八、合并范围的变更</w:t>
      </w:r>
      <w:r>
        <w:rPr>
          <w:spacing w:val="-103"/>
        </w:rPr>
        <w:t> </w:t>
      </w:r>
      <w:r>
        <w:rPr>
          <w:spacing w:val="-103"/>
        </w:rPr>
      </w:r>
      <w:bookmarkStart w:name="1、非同一控制下企业合并" w:id="431"/>
      <w:bookmarkEnd w:id="431"/>
      <w:r>
        <w:rPr>
          <w:spacing w:val="-103"/>
        </w:rPr>
      </w:r>
      <w:r>
        <w:rPr>
          <w:rFonts w:ascii="Times New Roman" w:hAnsi="Times New Roman" w:cs="Times New Roman" w:eastAsia="Times New Roman" w:hint="default"/>
        </w:rPr>
        <w:t>1</w:t>
      </w:r>
      <w:r>
        <w:rPr/>
        <w:t>、非同一控制下企业合并</w:t>
      </w:r>
      <w:r>
        <w:rPr>
          <w:b w:val="0"/>
          <w:bCs w:val="0"/>
        </w:rPr>
      </w:r>
    </w:p>
    <w:p>
      <w:pPr>
        <w:pStyle w:val="Heading5"/>
        <w:spacing w:line="240" w:lineRule="auto" w:before="44"/>
        <w:ind w:left="233" w:right="0"/>
        <w:jc w:val="left"/>
        <w:rPr>
          <w:b w:val="0"/>
          <w:bCs w:val="0"/>
        </w:rPr>
      </w:pPr>
      <w:bookmarkStart w:name="（1）本期发生的非同一控制下企业合并" w:id="432"/>
      <w:bookmarkEnd w:id="432"/>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1186"/>
        <w:gridCol w:w="1066"/>
        <w:gridCol w:w="1066"/>
        <w:gridCol w:w="1061"/>
        <w:gridCol w:w="1066"/>
        <w:gridCol w:w="1066"/>
        <w:gridCol w:w="1061"/>
        <w:gridCol w:w="1253"/>
        <w:gridCol w:w="1201"/>
      </w:tblGrid>
      <w:tr>
        <w:trPr>
          <w:trHeight w:val="1339"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6" w:lineRule="auto"/>
              <w:ind w:left="379" w:right="161" w:hanging="212"/>
              <w:jc w:val="left"/>
              <w:rPr>
                <w:rFonts w:ascii="宋体" w:hAnsi="宋体" w:cs="宋体" w:eastAsia="宋体" w:hint="default"/>
                <w:sz w:val="21"/>
                <w:szCs w:val="21"/>
              </w:rPr>
            </w:pPr>
            <w:r>
              <w:rPr>
                <w:rFonts w:ascii="宋体" w:hAnsi="宋体" w:cs="宋体" w:eastAsia="宋体" w:hint="default"/>
                <w:sz w:val="21"/>
                <w:szCs w:val="21"/>
              </w:rPr>
              <w:t>被购买方</w:t>
            </w:r>
            <w:r>
              <w:rPr>
                <w:rFonts w:ascii="宋体" w:hAnsi="宋体" w:cs="宋体" w:eastAsia="宋体" w:hint="default"/>
                <w:spacing w:val="-101"/>
                <w:sz w:val="21"/>
                <w:szCs w:val="21"/>
              </w:rPr>
              <w:t> </w:t>
            </w:r>
            <w:r>
              <w:rPr>
                <w:rFonts w:ascii="宋体" w:hAnsi="宋体" w:cs="宋体" w:eastAsia="宋体" w:hint="default"/>
                <w:sz w:val="21"/>
                <w:szCs w:val="21"/>
              </w:rPr>
              <w:t>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6" w:lineRule="auto"/>
              <w:ind w:left="321" w:right="99" w:hanging="212"/>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spacing w:val="-101"/>
                <w:sz w:val="21"/>
                <w:szCs w:val="21"/>
              </w:rPr>
              <w:t> </w:t>
            </w:r>
            <w:r>
              <w:rPr>
                <w:rFonts w:ascii="宋体" w:hAnsi="宋体" w:cs="宋体" w:eastAsia="宋体" w:hint="default"/>
                <w:sz w:val="21"/>
                <w:szCs w:val="21"/>
              </w:rPr>
              <w:t>时点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6" w:lineRule="auto"/>
              <w:ind w:left="321" w:right="98" w:hanging="212"/>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spacing w:val="-101"/>
                <w:sz w:val="21"/>
                <w:szCs w:val="21"/>
              </w:rPr>
              <w:t> </w:t>
            </w:r>
            <w:r>
              <w:rPr>
                <w:rFonts w:ascii="宋体" w:hAnsi="宋体" w:cs="宋体" w:eastAsia="宋体" w:hint="default"/>
                <w:sz w:val="21"/>
                <w:szCs w:val="21"/>
              </w:rPr>
              <w:t>成本</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6" w:lineRule="auto"/>
              <w:ind w:left="322" w:right="95" w:hanging="212"/>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spacing w:val="-101"/>
                <w:sz w:val="21"/>
                <w:szCs w:val="21"/>
              </w:rPr>
              <w:t> </w:t>
            </w:r>
            <w:r>
              <w:rPr>
                <w:rFonts w:ascii="宋体" w:hAnsi="宋体" w:cs="宋体" w:eastAsia="宋体" w:hint="default"/>
                <w:sz w:val="21"/>
                <w:szCs w:val="21"/>
              </w:rPr>
              <w:t>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6" w:lineRule="auto"/>
              <w:ind w:left="322" w:right="99" w:hanging="212"/>
              <w:jc w:val="left"/>
              <w:rPr>
                <w:rFonts w:ascii="宋体" w:hAnsi="宋体" w:cs="宋体" w:eastAsia="宋体" w:hint="default"/>
                <w:sz w:val="21"/>
                <w:szCs w:val="21"/>
              </w:rPr>
            </w:pPr>
            <w:r>
              <w:rPr>
                <w:rFonts w:ascii="宋体" w:hAnsi="宋体" w:cs="宋体" w:eastAsia="宋体" w:hint="default"/>
                <w:sz w:val="21"/>
                <w:szCs w:val="21"/>
              </w:rPr>
              <w:t>股权取得</w:t>
            </w:r>
            <w:r>
              <w:rPr>
                <w:rFonts w:ascii="宋体" w:hAnsi="宋体" w:cs="宋体" w:eastAsia="宋体" w:hint="default"/>
                <w:spacing w:val="-101"/>
                <w:sz w:val="21"/>
                <w:szCs w:val="21"/>
              </w:rPr>
              <w:t> </w:t>
            </w:r>
            <w:r>
              <w:rPr>
                <w:rFonts w:ascii="宋体" w:hAnsi="宋体" w:cs="宋体" w:eastAsia="宋体" w:hint="default"/>
                <w:sz w:val="21"/>
                <w:szCs w:val="21"/>
              </w:rPr>
              <w:t>方式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76" w:lineRule="auto"/>
              <w:ind w:left="105" w:right="99"/>
              <w:jc w:val="left"/>
              <w:rPr>
                <w:rFonts w:ascii="宋体" w:hAnsi="宋体" w:cs="宋体" w:eastAsia="宋体" w:hint="default"/>
                <w:sz w:val="21"/>
                <w:szCs w:val="21"/>
              </w:rPr>
            </w:pPr>
            <w:r>
              <w:rPr>
                <w:rFonts w:ascii="宋体" w:hAnsi="宋体" w:cs="宋体" w:eastAsia="宋体" w:hint="default"/>
                <w:sz w:val="21"/>
                <w:szCs w:val="21"/>
              </w:rPr>
              <w:t>购买日的</w:t>
            </w:r>
            <w:r>
              <w:rPr>
                <w:rFonts w:ascii="宋体" w:hAnsi="宋体" w:cs="宋体" w:eastAsia="宋体" w:hint="default"/>
                <w:spacing w:val="-101"/>
                <w:sz w:val="21"/>
                <w:szCs w:val="21"/>
              </w:rPr>
              <w:t> </w:t>
            </w:r>
            <w:r>
              <w:rPr>
                <w:rFonts w:ascii="宋体" w:hAnsi="宋体" w:cs="宋体" w:eastAsia="宋体" w:hint="default"/>
                <w:sz w:val="21"/>
                <w:szCs w:val="21"/>
              </w:rPr>
              <w:t>确定依据</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01" w:right="195"/>
              <w:jc w:val="center"/>
              <w:rPr>
                <w:rFonts w:ascii="宋体" w:hAnsi="宋体" w:cs="宋体" w:eastAsia="宋体" w:hint="default"/>
                <w:sz w:val="21"/>
                <w:szCs w:val="21"/>
              </w:rPr>
            </w:pPr>
            <w:r>
              <w:rPr>
                <w:rFonts w:ascii="宋体" w:hAnsi="宋体" w:cs="宋体" w:eastAsia="宋体" w:hint="default"/>
                <w:sz w:val="21"/>
                <w:szCs w:val="21"/>
              </w:rPr>
              <w:t>购买日至</w:t>
            </w:r>
            <w:r>
              <w:rPr>
                <w:rFonts w:ascii="宋体" w:hAnsi="宋体" w:cs="宋体" w:eastAsia="宋体" w:hint="default"/>
                <w:w w:val="100"/>
                <w:sz w:val="21"/>
                <w:szCs w:val="21"/>
              </w:rPr>
              <w:t> </w:t>
            </w:r>
            <w:r>
              <w:rPr>
                <w:rFonts w:ascii="宋体" w:hAnsi="宋体" w:cs="宋体" w:eastAsia="宋体" w:hint="default"/>
                <w:sz w:val="21"/>
                <w:szCs w:val="21"/>
              </w:rPr>
              <w:t>期末被购</w:t>
            </w:r>
            <w:r>
              <w:rPr>
                <w:rFonts w:ascii="宋体" w:hAnsi="宋体" w:cs="宋体" w:eastAsia="宋体" w:hint="default"/>
                <w:w w:val="100"/>
                <w:sz w:val="21"/>
                <w:szCs w:val="21"/>
              </w:rPr>
              <w:t> </w:t>
            </w:r>
            <w:r>
              <w:rPr>
                <w:rFonts w:ascii="宋体" w:hAnsi="宋体" w:cs="宋体" w:eastAsia="宋体" w:hint="default"/>
                <w:sz w:val="21"/>
                <w:szCs w:val="21"/>
              </w:rPr>
              <w:t>买方的收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77" w:right="166"/>
              <w:jc w:val="center"/>
              <w:rPr>
                <w:rFonts w:ascii="宋体" w:hAnsi="宋体" w:cs="宋体" w:eastAsia="宋体" w:hint="default"/>
                <w:sz w:val="21"/>
                <w:szCs w:val="21"/>
              </w:rPr>
            </w:pPr>
            <w:r>
              <w:rPr>
                <w:rFonts w:ascii="宋体" w:hAnsi="宋体" w:cs="宋体" w:eastAsia="宋体" w:hint="default"/>
                <w:sz w:val="21"/>
                <w:szCs w:val="21"/>
              </w:rPr>
              <w:t>购买日至</w:t>
            </w:r>
            <w:r>
              <w:rPr>
                <w:rFonts w:ascii="宋体" w:hAnsi="宋体" w:cs="宋体" w:eastAsia="宋体" w:hint="default"/>
                <w:w w:val="100"/>
                <w:sz w:val="21"/>
                <w:szCs w:val="21"/>
              </w:rPr>
              <w:t> </w:t>
            </w:r>
            <w:r>
              <w:rPr>
                <w:rFonts w:ascii="宋体" w:hAnsi="宋体" w:cs="宋体" w:eastAsia="宋体" w:hint="default"/>
                <w:sz w:val="21"/>
                <w:szCs w:val="21"/>
              </w:rPr>
              <w:t>期末被购</w:t>
            </w:r>
            <w:r>
              <w:rPr>
                <w:rFonts w:ascii="宋体" w:hAnsi="宋体" w:cs="宋体" w:eastAsia="宋体" w:hint="default"/>
                <w:w w:val="100"/>
                <w:sz w:val="21"/>
                <w:szCs w:val="21"/>
              </w:rPr>
              <w:t> </w:t>
            </w:r>
            <w:r>
              <w:rPr>
                <w:rFonts w:ascii="宋体" w:hAnsi="宋体" w:cs="宋体" w:eastAsia="宋体" w:hint="default"/>
                <w:sz w:val="21"/>
                <w:szCs w:val="21"/>
              </w:rPr>
              <w:t>买方的净</w:t>
            </w:r>
            <w:r>
              <w:rPr>
                <w:rFonts w:ascii="宋体" w:hAnsi="宋体" w:cs="宋体" w:eastAsia="宋体" w:hint="default"/>
                <w:w w:val="100"/>
                <w:sz w:val="21"/>
                <w:szCs w:val="21"/>
              </w:rPr>
              <w:t> </w:t>
            </w:r>
            <w:r>
              <w:rPr>
                <w:rFonts w:ascii="宋体" w:hAnsi="宋体" w:cs="宋体" w:eastAsia="宋体" w:hint="default"/>
                <w:sz w:val="21"/>
                <w:szCs w:val="21"/>
              </w:rPr>
              <w:t>利润</w:t>
            </w:r>
          </w:p>
        </w:tc>
      </w:tr>
      <w:tr>
        <w:trPr>
          <w:trHeight w:val="134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24"/>
              <w:jc w:val="both"/>
              <w:rPr>
                <w:rFonts w:ascii="宋体" w:hAnsi="宋体" w:cs="宋体" w:eastAsia="宋体" w:hint="default"/>
                <w:sz w:val="21"/>
                <w:szCs w:val="21"/>
              </w:rPr>
            </w:pPr>
            <w:r>
              <w:rPr>
                <w:rFonts w:ascii="宋体" w:hAnsi="宋体" w:cs="宋体" w:eastAsia="宋体" w:hint="default"/>
                <w:sz w:val="21"/>
                <w:szCs w:val="21"/>
              </w:rPr>
              <w:t>湖南易晟</w:t>
            </w:r>
            <w:r>
              <w:rPr>
                <w:rFonts w:ascii="宋体" w:hAnsi="宋体" w:cs="宋体" w:eastAsia="宋体" w:hint="default"/>
                <w:spacing w:val="-101"/>
                <w:sz w:val="21"/>
                <w:szCs w:val="21"/>
              </w:rPr>
              <w:t> </w:t>
            </w:r>
            <w:r>
              <w:rPr>
                <w:rFonts w:ascii="宋体" w:hAnsi="宋体" w:cs="宋体" w:eastAsia="宋体" w:hint="default"/>
                <w:sz w:val="21"/>
                <w:szCs w:val="21"/>
              </w:rPr>
              <w:t>通信网络</w:t>
            </w:r>
            <w:r>
              <w:rPr>
                <w:rFonts w:ascii="宋体" w:hAnsi="宋体" w:cs="宋体" w:eastAsia="宋体" w:hint="default"/>
                <w:spacing w:val="-101"/>
                <w:sz w:val="21"/>
                <w:szCs w:val="21"/>
              </w:rPr>
              <w:t> </w:t>
            </w:r>
            <w:r>
              <w:rPr>
                <w:rFonts w:ascii="宋体" w:hAnsi="宋体" w:cs="宋体" w:eastAsia="宋体" w:hint="default"/>
                <w:sz w:val="21"/>
                <w:szCs w:val="21"/>
              </w:rPr>
              <w:t>技术有限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01</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73,750,00</w:t>
            </w:r>
          </w:p>
          <w:p>
            <w:pPr>
              <w:pStyle w:val="TableParagraph"/>
              <w:spacing w:line="240" w:lineRule="auto" w:before="75"/>
              <w:ind w:left="585" w:right="0"/>
              <w:jc w:val="left"/>
              <w:rPr>
                <w:rFonts w:ascii="Times New Roman" w:hAnsi="Times New Roman" w:cs="Times New Roman" w:eastAsia="Times New Roman" w:hint="default"/>
                <w:sz w:val="21"/>
                <w:szCs w:val="21"/>
              </w:rPr>
            </w:pPr>
            <w:r>
              <w:rPr>
                <w:rFonts w:ascii="Times New Roman"/>
                <w:sz w:val="21"/>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70.00%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16"/>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09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01</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18,436,238.</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83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6,182,071.</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80</w:t>
            </w:r>
          </w:p>
        </w:tc>
      </w:tr>
      <w:tr>
        <w:trPr>
          <w:trHeight w:val="1340" w:hRule="exact"/>
        </w:trPr>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24"/>
              <w:jc w:val="both"/>
              <w:rPr>
                <w:rFonts w:ascii="宋体" w:hAnsi="宋体" w:cs="宋体" w:eastAsia="宋体" w:hint="default"/>
                <w:sz w:val="21"/>
                <w:szCs w:val="21"/>
              </w:rPr>
            </w:pPr>
            <w:r>
              <w:rPr>
                <w:rFonts w:ascii="宋体" w:hAnsi="宋体" w:cs="宋体" w:eastAsia="宋体" w:hint="default"/>
                <w:sz w:val="21"/>
                <w:szCs w:val="21"/>
              </w:rPr>
              <w:t>赫章县融</w:t>
            </w:r>
            <w:r>
              <w:rPr>
                <w:rFonts w:ascii="宋体" w:hAnsi="宋体" w:cs="宋体" w:eastAsia="宋体" w:hint="default"/>
                <w:spacing w:val="-101"/>
                <w:sz w:val="21"/>
                <w:szCs w:val="21"/>
              </w:rPr>
              <w:t> </w:t>
            </w:r>
            <w:r>
              <w:rPr>
                <w:rFonts w:ascii="宋体" w:hAnsi="宋体" w:cs="宋体" w:eastAsia="宋体" w:hint="default"/>
                <w:sz w:val="21"/>
                <w:szCs w:val="21"/>
              </w:rPr>
              <w:t>源信息技</w:t>
            </w:r>
            <w:r>
              <w:rPr>
                <w:rFonts w:ascii="宋体" w:hAnsi="宋体" w:cs="宋体" w:eastAsia="宋体" w:hint="default"/>
                <w:spacing w:val="-101"/>
                <w:sz w:val="21"/>
                <w:szCs w:val="21"/>
              </w:rPr>
              <w:t> </w:t>
            </w:r>
            <w:r>
              <w:rPr>
                <w:rFonts w:ascii="宋体" w:hAnsi="宋体" w:cs="宋体" w:eastAsia="宋体" w:hint="default"/>
                <w:sz w:val="21"/>
                <w:szCs w:val="21"/>
              </w:rPr>
              <w:t>术有限公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08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01</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20,140,40</w:t>
            </w:r>
          </w:p>
          <w:p>
            <w:pPr>
              <w:pStyle w:val="TableParagraph"/>
              <w:spacing w:line="240" w:lineRule="auto" w:before="71"/>
              <w:ind w:left="585" w:right="0"/>
              <w:jc w:val="left"/>
              <w:rPr>
                <w:rFonts w:ascii="Times New Roman" w:hAnsi="Times New Roman" w:cs="Times New Roman" w:eastAsia="Times New Roman" w:hint="default"/>
                <w:sz w:val="21"/>
                <w:szCs w:val="21"/>
              </w:rPr>
            </w:pPr>
            <w:r>
              <w:rPr>
                <w:rFonts w:ascii="Times New Roman"/>
                <w:sz w:val="21"/>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0"/>
              <w:jc w:val="right"/>
              <w:rPr>
                <w:rFonts w:ascii="Times New Roman" w:hAnsi="Times New Roman" w:cs="Times New Roman" w:eastAsia="Times New Roman" w:hint="default"/>
                <w:sz w:val="21"/>
                <w:szCs w:val="21"/>
              </w:rPr>
            </w:pPr>
            <w:r>
              <w:rPr>
                <w:rFonts w:ascii="Times New Roman"/>
                <w:sz w:val="21"/>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p>
          <w:p>
            <w:pPr>
              <w:pStyle w:val="TableParagraph"/>
              <w:spacing w:line="240" w:lineRule="auto" w:before="21"/>
              <w:ind w:left="10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08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01</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-40,537.33</w:t>
            </w:r>
          </w:p>
        </w:tc>
      </w:tr>
    </w:tbl>
    <w:p>
      <w:pPr>
        <w:pStyle w:val="BodyText"/>
        <w:spacing w:line="240" w:lineRule="auto" w:before="28"/>
        <w:ind w:left="233" w:right="0"/>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left="233" w:right="0"/>
        <w:jc w:val="left"/>
        <w:rPr>
          <w:b w:val="0"/>
          <w:bCs w:val="0"/>
        </w:rPr>
      </w:pPr>
      <w:bookmarkStart w:name="（2）合并成本及商誉" w:id="433"/>
      <w:bookmarkEnd w:id="433"/>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228" w:type="dxa"/>
        <w:tblLayout w:type="fixed"/>
        <w:tblCellMar>
          <w:top w:w="0" w:type="dxa"/>
          <w:left w:w="0" w:type="dxa"/>
          <w:bottom w:w="0" w:type="dxa"/>
          <w:right w:w="0" w:type="dxa"/>
        </w:tblCellMar>
        <w:tblLook w:val="01E0"/>
      </w:tblPr>
      <w:tblGrid>
        <w:gridCol w:w="3193"/>
        <w:gridCol w:w="3189"/>
        <w:gridCol w:w="3193"/>
      </w:tblGrid>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合并成本</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4"/>
              <w:jc w:val="right"/>
              <w:rPr>
                <w:rFonts w:ascii="宋体" w:hAnsi="宋体" w:cs="宋体" w:eastAsia="宋体" w:hint="default"/>
                <w:sz w:val="21"/>
                <w:szCs w:val="21"/>
              </w:rPr>
            </w:pPr>
            <w:r>
              <w:rPr>
                <w:rFonts w:ascii="宋体" w:hAnsi="宋体" w:cs="宋体" w:eastAsia="宋体" w:hint="default"/>
                <w:spacing w:val="-2"/>
                <w:sz w:val="21"/>
                <w:szCs w:val="21"/>
              </w:rPr>
              <w:t>湖南易晟通信网络技术有限公司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5" w:right="0"/>
              <w:jc w:val="left"/>
              <w:rPr>
                <w:rFonts w:ascii="宋体" w:hAnsi="宋体" w:cs="宋体" w:eastAsia="宋体" w:hint="default"/>
                <w:sz w:val="21"/>
                <w:szCs w:val="21"/>
              </w:rPr>
            </w:pPr>
            <w:r>
              <w:rPr>
                <w:rFonts w:ascii="宋体" w:hAnsi="宋体" w:cs="宋体" w:eastAsia="宋体" w:hint="default"/>
                <w:sz w:val="21"/>
                <w:szCs w:val="21"/>
              </w:rPr>
              <w:t>赫章县融源信息技术有限公司</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现金</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73,750,000.00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20,140,400.00</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合并成本合计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73,750,000.00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20,140,400.00</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33"/>
              <w:jc w:val="left"/>
              <w:rPr>
                <w:rFonts w:ascii="宋体" w:hAnsi="宋体" w:cs="宋体" w:eastAsia="宋体" w:hint="default"/>
                <w:sz w:val="21"/>
                <w:szCs w:val="21"/>
              </w:rPr>
            </w:pPr>
            <w:r>
              <w:rPr>
                <w:rFonts w:ascii="宋体" w:hAnsi="宋体" w:cs="宋体" w:eastAsia="宋体" w:hint="default"/>
                <w:spacing w:val="-2"/>
                <w:sz w:val="21"/>
                <w:szCs w:val="21"/>
              </w:rPr>
              <w:t>减：取得的可辨认净资产公允价</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值份额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12,951,622.69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19,424,405.67</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282"/>
              <w:jc w:val="left"/>
              <w:rPr>
                <w:rFonts w:ascii="宋体" w:hAnsi="宋体" w:cs="宋体" w:eastAsia="宋体" w:hint="default"/>
                <w:sz w:val="21"/>
                <w:szCs w:val="21"/>
              </w:rPr>
            </w:pPr>
            <w:r>
              <w:rPr>
                <w:rFonts w:ascii="宋体" w:hAnsi="宋体" w:cs="宋体" w:eastAsia="宋体" w:hint="default"/>
                <w:spacing w:val="-1"/>
                <w:sz w:val="21"/>
                <w:szCs w:val="21"/>
              </w:rPr>
              <w:t>商誉</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合并成本小于取得的可辨</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认净资产公允价值份额的金额</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60,798,377.31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715,994.33</w:t>
            </w:r>
          </w:p>
        </w:tc>
      </w:tr>
    </w:tbl>
    <w:p>
      <w:pPr>
        <w:pStyle w:val="BodyText"/>
        <w:spacing w:line="307" w:lineRule="auto" w:before="28"/>
        <w:ind w:left="233" w:right="2863"/>
        <w:jc w:val="left"/>
      </w:pPr>
      <w:r>
        <w:rPr>
          <w:spacing w:val="-2"/>
        </w:rPr>
        <w:t>合并成本公允价值的确定方法、或有对价及其变动的说明：</w:t>
      </w:r>
      <w:r>
        <w:rPr>
          <w:spacing w:val="-52"/>
        </w:rPr>
        <w:t> </w:t>
      </w:r>
      <w:r>
        <w:rPr>
          <w:spacing w:val="-52"/>
        </w:rPr>
      </w:r>
      <w:r>
        <w:rPr/>
        <w:t>大额商誉形成的主要原因：</w:t>
      </w:r>
    </w:p>
    <w:p>
      <w:pPr>
        <w:pStyle w:val="BodyText"/>
        <w:spacing w:line="240" w:lineRule="auto" w:before="21"/>
        <w:ind w:left="233" w:right="0"/>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left="233" w:right="0"/>
        <w:jc w:val="left"/>
        <w:rPr>
          <w:b w:val="0"/>
          <w:bCs w:val="0"/>
        </w:rPr>
      </w:pPr>
      <w:bookmarkStart w:name="（3）被购买方于购买日可辨认资产、负债" w:id="434"/>
      <w:bookmarkEnd w:id="434"/>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228" w:type="dxa"/>
        <w:tblLayout w:type="fixed"/>
        <w:tblCellMar>
          <w:top w:w="0" w:type="dxa"/>
          <w:left w:w="0" w:type="dxa"/>
          <w:bottom w:w="0" w:type="dxa"/>
          <w:right w:w="0" w:type="dxa"/>
        </w:tblCellMar>
        <w:tblLook w:val="01E0"/>
      </w:tblPr>
      <w:tblGrid>
        <w:gridCol w:w="1916"/>
        <w:gridCol w:w="3827"/>
        <w:gridCol w:w="3832"/>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37" w:right="0"/>
              <w:jc w:val="left"/>
              <w:rPr>
                <w:rFonts w:ascii="宋体" w:hAnsi="宋体" w:cs="宋体" w:eastAsia="宋体" w:hint="default"/>
                <w:sz w:val="21"/>
                <w:szCs w:val="21"/>
              </w:rPr>
            </w:pPr>
            <w:r>
              <w:rPr>
                <w:rFonts w:ascii="宋体" w:hAnsi="宋体" w:cs="宋体" w:eastAsia="宋体" w:hint="default"/>
                <w:sz w:val="21"/>
                <w:szCs w:val="21"/>
              </w:rPr>
              <w:t>湖南易晟通信网络技术有限公司</w:t>
            </w:r>
          </w:p>
        </w:tc>
        <w:tc>
          <w:tcPr>
            <w:tcW w:w="3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7" w:right="0"/>
              <w:jc w:val="left"/>
              <w:rPr>
                <w:rFonts w:ascii="宋体" w:hAnsi="宋体" w:cs="宋体" w:eastAsia="宋体" w:hint="default"/>
                <w:sz w:val="21"/>
                <w:szCs w:val="21"/>
              </w:rPr>
            </w:pPr>
            <w:r>
              <w:rPr>
                <w:rFonts w:ascii="宋体" w:hAnsi="宋体" w:cs="宋体" w:eastAsia="宋体" w:hint="default"/>
                <w:sz w:val="21"/>
                <w:szCs w:val="21"/>
              </w:rPr>
              <w:t>赫章县融源信息技术有限公司</w:t>
            </w:r>
          </w:p>
        </w:tc>
      </w:tr>
    </w:tbl>
    <w:p>
      <w:pPr>
        <w:spacing w:after="0" w:line="240" w:lineRule="auto"/>
        <w:jc w:val="left"/>
        <w:rPr>
          <w:rFonts w:ascii="宋体" w:hAnsi="宋体" w:cs="宋体" w:eastAsia="宋体" w:hint="default"/>
          <w:sz w:val="21"/>
          <w:szCs w:val="21"/>
        </w:rPr>
        <w:sectPr>
          <w:pgSz w:w="11910" w:h="16840"/>
          <w:pgMar w:header="906" w:footer="1022" w:top="1100" w:bottom="1220" w:left="90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1" w:right="0"/>
              <w:jc w:val="left"/>
              <w:rPr>
                <w:rFonts w:ascii="宋体" w:hAnsi="宋体" w:cs="宋体" w:eastAsia="宋体" w:hint="default"/>
                <w:sz w:val="21"/>
                <w:szCs w:val="21"/>
              </w:rPr>
            </w:pPr>
            <w:r>
              <w:rPr>
                <w:rFonts w:ascii="宋体" w:hAnsi="宋体" w:cs="宋体" w:eastAsia="宋体" w:hint="default"/>
                <w:sz w:val="21"/>
                <w:szCs w:val="21"/>
              </w:rPr>
              <w:t>购买日公允价值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20" w:right="0"/>
              <w:jc w:val="left"/>
              <w:rPr>
                <w:rFonts w:ascii="宋体" w:hAnsi="宋体" w:cs="宋体" w:eastAsia="宋体" w:hint="default"/>
                <w:sz w:val="21"/>
                <w:szCs w:val="21"/>
              </w:rPr>
            </w:pPr>
            <w:r>
              <w:rPr>
                <w:rFonts w:ascii="宋体" w:hAnsi="宋体" w:cs="宋体" w:eastAsia="宋体" w:hint="default"/>
                <w:sz w:val="21"/>
                <w:szCs w:val="21"/>
              </w:rPr>
              <w:t>购买日账面价值</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571,253.32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571,253.32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546.31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546.31</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应收款项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9"/>
              <w:jc w:val="right"/>
              <w:rPr>
                <w:rFonts w:ascii="Times New Roman" w:hAnsi="Times New Roman" w:cs="Times New Roman" w:eastAsia="Times New Roman" w:hint="default"/>
                <w:sz w:val="21"/>
                <w:szCs w:val="21"/>
              </w:rPr>
            </w:pPr>
            <w:r>
              <w:rPr>
                <w:rFonts w:ascii="Times New Roman"/>
                <w:sz w:val="21"/>
              </w:rPr>
              <w:t>7,687,285.71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94"/>
              <w:jc w:val="right"/>
              <w:rPr>
                <w:rFonts w:ascii="Times New Roman" w:hAnsi="Times New Roman" w:cs="Times New Roman" w:eastAsia="Times New Roman" w:hint="default"/>
                <w:sz w:val="21"/>
                <w:szCs w:val="21"/>
              </w:rPr>
            </w:pPr>
            <w:r>
              <w:rPr>
                <w:rFonts w:ascii="Times New Roman"/>
                <w:sz w:val="21"/>
              </w:rPr>
              <w:t>7,687,285.71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153,265,540.58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153,265,540.58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11,642,925.89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11,642,925.89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10,488,938.42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10,488,938.42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6,023.68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6,023.68</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1,091,624.40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1,091,624.40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7,500,000.00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pacing w:val="-2"/>
                <w:sz w:val="21"/>
              </w:rPr>
              <w:t>31,211.93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3"/>
              <w:jc w:val="right"/>
              <w:rPr>
                <w:rFonts w:ascii="Times New Roman" w:hAnsi="Times New Roman" w:cs="Times New Roman" w:eastAsia="Times New Roman" w:hint="default"/>
                <w:sz w:val="21"/>
                <w:szCs w:val="21"/>
              </w:rPr>
            </w:pPr>
            <w:r>
              <w:rPr>
                <w:rFonts w:ascii="Times New Roman"/>
                <w:spacing w:val="-2"/>
                <w:sz w:val="21"/>
              </w:rPr>
              <w:t>31,211.93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2,351,812.68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2,351,812.68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1,110,047.39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pacing w:val="-1"/>
                <w:sz w:val="21"/>
              </w:rPr>
              <w:t>1,110,047.39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860,094.29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860,094.29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应付款项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116,733,379.29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116,733,379.29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631,259.50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631,259.50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3,410,000.16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3,410,000.16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306,636.00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306,636.00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1,707.75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1,707.75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8,258.34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8,258.34</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37,393,720.00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37,393,720.00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195,619.76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195,619.76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18,502,318.13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18,502,318.13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19,424,405.67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19,424,405.67</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减：少数股东权益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5,550,695.44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5,550,695.44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取得的净资产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12,951,622.69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12,951,622.69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19,424,405.67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19,424,405.67</w:t>
            </w:r>
          </w:p>
        </w:tc>
      </w:tr>
    </w:tbl>
    <w:p>
      <w:pPr>
        <w:pStyle w:val="BodyText"/>
        <w:spacing w:line="307" w:lineRule="auto" w:before="28"/>
        <w:ind w:right="6986"/>
        <w:jc w:val="both"/>
      </w:pPr>
      <w:r>
        <w:rPr>
          <w:spacing w:val="-2"/>
        </w:rPr>
        <w:t>可辨认资产、负债公允价值的确定方法：</w:t>
      </w:r>
      <w:r>
        <w:rPr>
          <w:spacing w:val="-68"/>
        </w:rPr>
        <w:t> </w:t>
      </w:r>
      <w:r>
        <w:rPr>
          <w:spacing w:val="-68"/>
        </w:rPr>
      </w:r>
      <w:r>
        <w:rPr>
          <w:spacing w:val="-2"/>
        </w:rPr>
        <w:t>企业合并中承担的被购买方的或有负债：</w:t>
      </w:r>
      <w:r>
        <w:rPr>
          <w:spacing w:val="-68"/>
        </w:rPr>
        <w:t> </w:t>
      </w:r>
      <w:r>
        <w:rPr>
          <w:spacing w:val="-68"/>
        </w:rPr>
      </w:r>
      <w:r>
        <w:rPr/>
        <w:t>其他说明：</w:t>
      </w:r>
    </w:p>
    <w:p>
      <w:pPr>
        <w:spacing w:line="620" w:lineRule="exact" w:before="20"/>
        <w:ind w:left="113" w:right="1002" w:firstLine="0"/>
        <w:jc w:val="left"/>
        <w:rPr>
          <w:rFonts w:ascii="宋体" w:hAnsi="宋体" w:cs="宋体" w:eastAsia="宋体" w:hint="default"/>
          <w:sz w:val="21"/>
          <w:szCs w:val="21"/>
        </w:rPr>
      </w:pPr>
      <w:bookmarkStart w:name="（4）购买日之前持有的股权按照公允价值重新计量产生的利得或损失" w:id="435"/>
      <w:bookmarkEnd w:id="4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56" w:lineRule="exact" w:before="0"/>
        <w:ind w:right="0"/>
        <w:jc w:val="both"/>
      </w:pPr>
      <w:r>
        <w:rPr/>
        <w:t>□ 是 √</w:t>
      </w:r>
      <w:r>
        <w:rPr>
          <w:spacing w:val="5"/>
        </w:rPr>
        <w:t> </w:t>
      </w:r>
      <w:r>
        <w:rPr/>
        <w:t>否</w:t>
      </w:r>
    </w:p>
    <w:p>
      <w:pPr>
        <w:spacing w:line="240" w:lineRule="auto" w:before="8"/>
        <w:rPr>
          <w:rFonts w:ascii="宋体" w:hAnsi="宋体" w:cs="宋体" w:eastAsia="宋体" w:hint="default"/>
          <w:sz w:val="25"/>
          <w:szCs w:val="25"/>
        </w:rPr>
      </w:pPr>
    </w:p>
    <w:p>
      <w:pPr>
        <w:pStyle w:val="Heading5"/>
        <w:spacing w:line="240" w:lineRule="auto"/>
        <w:ind w:right="0"/>
        <w:jc w:val="both"/>
        <w:rPr>
          <w:b w:val="0"/>
          <w:bCs w:val="0"/>
        </w:rPr>
      </w:pPr>
      <w:bookmarkStart w:name="（5）购买日或合并当期期末无法合理确定合并对价或被购买方可辨认资产、负债公允价值" w:id="436"/>
      <w:bookmarkEnd w:id="436"/>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6）其他说明" w:id="437"/>
      <w:bookmarkEnd w:id="437"/>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0"/>
        <w:jc w:val="both"/>
        <w:rPr>
          <w:b w:val="0"/>
          <w:bCs w:val="0"/>
        </w:rPr>
      </w:pPr>
      <w:bookmarkStart w:name="2、同一控制下企业合并" w:id="438"/>
      <w:bookmarkEnd w:id="438"/>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1）本期发生的同一控制下企业合并" w:id="439"/>
      <w:bookmarkEnd w:id="439"/>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6"/>
        <w:gridCol w:w="1061"/>
        <w:gridCol w:w="1066"/>
        <w:gridCol w:w="1066"/>
        <w:gridCol w:w="1061"/>
        <w:gridCol w:w="1066"/>
        <w:gridCol w:w="1066"/>
      </w:tblGrid>
      <w:tr>
        <w:trPr>
          <w:trHeight w:val="134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6" w:lineRule="auto"/>
              <w:ind w:left="316" w:right="99" w:hanging="212"/>
              <w:jc w:val="left"/>
              <w:rPr>
                <w:rFonts w:ascii="宋体" w:hAnsi="宋体" w:cs="宋体" w:eastAsia="宋体" w:hint="default"/>
                <w:sz w:val="21"/>
                <w:szCs w:val="21"/>
              </w:rPr>
            </w:pPr>
            <w:r>
              <w:rPr>
                <w:rFonts w:ascii="宋体" w:hAnsi="宋体" w:cs="宋体" w:eastAsia="宋体" w:hint="default"/>
                <w:sz w:val="21"/>
                <w:szCs w:val="21"/>
              </w:rPr>
              <w:t>被合并方</w:t>
            </w:r>
            <w:r>
              <w:rPr>
                <w:rFonts w:ascii="宋体" w:hAnsi="宋体" w:cs="宋体" w:eastAsia="宋体" w:hint="default"/>
                <w:spacing w:val="-101"/>
                <w:sz w:val="21"/>
                <w:szCs w:val="21"/>
              </w:rPr>
              <w:t> </w:t>
            </w:r>
            <w:r>
              <w:rPr>
                <w:rFonts w:ascii="宋体" w:hAnsi="宋体" w:cs="宋体" w:eastAsia="宋体" w:hint="default"/>
                <w:sz w:val="21"/>
                <w:szCs w:val="21"/>
              </w:rPr>
              <w:t>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05" w:right="99"/>
              <w:jc w:val="both"/>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pacing w:val="-101"/>
                <w:sz w:val="21"/>
                <w:szCs w:val="21"/>
              </w:rPr>
              <w:t> </w:t>
            </w:r>
            <w:r>
              <w:rPr>
                <w:rFonts w:ascii="宋体" w:hAnsi="宋体" w:cs="宋体" w:eastAsia="宋体" w:hint="default"/>
                <w:sz w:val="21"/>
                <w:szCs w:val="21"/>
              </w:rPr>
              <w:t>中取得的</w:t>
            </w:r>
            <w:r>
              <w:rPr>
                <w:rFonts w:ascii="宋体" w:hAnsi="宋体" w:cs="宋体" w:eastAsia="宋体" w:hint="default"/>
                <w:spacing w:val="-101"/>
                <w:sz w:val="21"/>
                <w:szCs w:val="21"/>
              </w:rPr>
              <w:t> </w:t>
            </w:r>
            <w:r>
              <w:rPr>
                <w:rFonts w:ascii="宋体" w:hAnsi="宋体" w:cs="宋体" w:eastAsia="宋体" w:hint="default"/>
                <w:sz w:val="21"/>
                <w:szCs w:val="21"/>
              </w:rPr>
              <w:t>权益比例</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03"/>
              <w:jc w:val="center"/>
              <w:rPr>
                <w:rFonts w:ascii="宋体" w:hAnsi="宋体" w:cs="宋体" w:eastAsia="宋体" w:hint="default"/>
                <w:sz w:val="21"/>
                <w:szCs w:val="21"/>
              </w:rPr>
            </w:pPr>
            <w:r>
              <w:rPr>
                <w:rFonts w:ascii="宋体" w:hAnsi="宋体" w:cs="宋体" w:eastAsia="宋体" w:hint="default"/>
                <w:sz w:val="21"/>
                <w:szCs w:val="21"/>
              </w:rPr>
              <w:t>构成同一</w:t>
            </w:r>
            <w:r>
              <w:rPr>
                <w:rFonts w:ascii="宋体" w:hAnsi="宋体" w:cs="宋体" w:eastAsia="宋体" w:hint="default"/>
                <w:w w:val="100"/>
                <w:sz w:val="21"/>
                <w:szCs w:val="21"/>
              </w:rPr>
              <w:t> </w:t>
            </w:r>
            <w:r>
              <w:rPr>
                <w:rFonts w:ascii="宋体" w:hAnsi="宋体" w:cs="宋体" w:eastAsia="宋体" w:hint="default"/>
                <w:sz w:val="21"/>
                <w:szCs w:val="21"/>
              </w:rPr>
              <w:t>控制下企</w:t>
            </w:r>
            <w:r>
              <w:rPr>
                <w:rFonts w:ascii="宋体" w:hAnsi="宋体" w:cs="宋体" w:eastAsia="宋体" w:hint="default"/>
                <w:w w:val="100"/>
                <w:sz w:val="21"/>
                <w:szCs w:val="21"/>
              </w:rPr>
              <w:t> </w:t>
            </w:r>
            <w:r>
              <w:rPr>
                <w:rFonts w:ascii="宋体" w:hAnsi="宋体" w:cs="宋体" w:eastAsia="宋体" w:hint="default"/>
                <w:sz w:val="21"/>
                <w:szCs w:val="21"/>
              </w:rPr>
              <w:t>业合并的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6" w:lineRule="auto"/>
              <w:ind w:left="110" w:right="99"/>
              <w:jc w:val="left"/>
              <w:rPr>
                <w:rFonts w:ascii="宋体" w:hAnsi="宋体" w:cs="宋体" w:eastAsia="宋体" w:hint="default"/>
                <w:sz w:val="21"/>
                <w:szCs w:val="21"/>
              </w:rPr>
            </w:pPr>
            <w:r>
              <w:rPr>
                <w:rFonts w:ascii="宋体" w:hAnsi="宋体" w:cs="宋体" w:eastAsia="宋体" w:hint="default"/>
                <w:sz w:val="21"/>
                <w:szCs w:val="21"/>
              </w:rPr>
              <w:t>合并日的</w:t>
            </w:r>
            <w:r>
              <w:rPr>
                <w:rFonts w:ascii="宋体" w:hAnsi="宋体" w:cs="宋体" w:eastAsia="宋体" w:hint="default"/>
                <w:spacing w:val="-101"/>
                <w:sz w:val="21"/>
                <w:szCs w:val="21"/>
              </w:rPr>
              <w:t> </w:t>
            </w:r>
            <w:r>
              <w:rPr>
                <w:rFonts w:ascii="宋体" w:hAnsi="宋体" w:cs="宋体" w:eastAsia="宋体" w:hint="default"/>
                <w:sz w:val="21"/>
                <w:szCs w:val="21"/>
              </w:rPr>
              <w:t>确定依据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53"/>
              <w:ind w:left="110" w:right="99"/>
              <w:jc w:val="both"/>
              <w:rPr>
                <w:rFonts w:ascii="宋体" w:hAnsi="宋体" w:cs="宋体" w:eastAsia="宋体" w:hint="default"/>
                <w:sz w:val="21"/>
                <w:szCs w:val="21"/>
              </w:rPr>
            </w:pPr>
            <w:r>
              <w:rPr>
                <w:rFonts w:ascii="宋体" w:hAnsi="宋体" w:cs="宋体" w:eastAsia="宋体" w:hint="default"/>
                <w:sz w:val="21"/>
                <w:szCs w:val="21"/>
              </w:rPr>
              <w:t>合并当期</w:t>
            </w:r>
            <w:r>
              <w:rPr>
                <w:rFonts w:ascii="宋体" w:hAnsi="宋体" w:cs="宋体" w:eastAsia="宋体" w:hint="default"/>
                <w:spacing w:val="-101"/>
                <w:sz w:val="21"/>
                <w:szCs w:val="21"/>
              </w:rPr>
              <w:t> </w:t>
            </w:r>
            <w:r>
              <w:rPr>
                <w:rFonts w:ascii="宋体" w:hAnsi="宋体" w:cs="宋体" w:eastAsia="宋体" w:hint="default"/>
                <w:sz w:val="21"/>
                <w:szCs w:val="21"/>
              </w:rPr>
              <w:t>期初至合</w:t>
            </w:r>
            <w:r>
              <w:rPr>
                <w:rFonts w:ascii="宋体" w:hAnsi="宋体" w:cs="宋体" w:eastAsia="宋体" w:hint="default"/>
                <w:spacing w:val="-101"/>
                <w:sz w:val="21"/>
                <w:szCs w:val="21"/>
              </w:rPr>
              <w:t> </w:t>
            </w:r>
            <w:r>
              <w:rPr>
                <w:rFonts w:ascii="宋体" w:hAnsi="宋体" w:cs="宋体" w:eastAsia="宋体" w:hint="default"/>
                <w:sz w:val="21"/>
                <w:szCs w:val="21"/>
              </w:rPr>
              <w:t>并日被合</w:t>
            </w:r>
            <w:r>
              <w:rPr>
                <w:rFonts w:ascii="宋体" w:hAnsi="宋体" w:cs="宋体" w:eastAsia="宋体" w:hint="default"/>
                <w:spacing w:val="-101"/>
                <w:sz w:val="21"/>
                <w:szCs w:val="21"/>
              </w:rPr>
              <w:t> </w:t>
            </w:r>
            <w:r>
              <w:rPr>
                <w:rFonts w:ascii="宋体" w:hAnsi="宋体" w:cs="宋体" w:eastAsia="宋体" w:hint="default"/>
                <w:sz w:val="21"/>
                <w:szCs w:val="21"/>
              </w:rPr>
              <w:t>并方的收</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53"/>
              <w:ind w:left="105" w:right="99"/>
              <w:jc w:val="both"/>
              <w:rPr>
                <w:rFonts w:ascii="宋体" w:hAnsi="宋体" w:cs="宋体" w:eastAsia="宋体" w:hint="default"/>
                <w:sz w:val="21"/>
                <w:szCs w:val="21"/>
              </w:rPr>
            </w:pPr>
            <w:r>
              <w:rPr>
                <w:rFonts w:ascii="宋体" w:hAnsi="宋体" w:cs="宋体" w:eastAsia="宋体" w:hint="default"/>
                <w:sz w:val="21"/>
                <w:szCs w:val="21"/>
              </w:rPr>
              <w:t>合并当期</w:t>
            </w:r>
            <w:r>
              <w:rPr>
                <w:rFonts w:ascii="宋体" w:hAnsi="宋体" w:cs="宋体" w:eastAsia="宋体" w:hint="default"/>
                <w:spacing w:val="-101"/>
                <w:sz w:val="21"/>
                <w:szCs w:val="21"/>
              </w:rPr>
              <w:t> </w:t>
            </w:r>
            <w:r>
              <w:rPr>
                <w:rFonts w:ascii="宋体" w:hAnsi="宋体" w:cs="宋体" w:eastAsia="宋体" w:hint="default"/>
                <w:sz w:val="21"/>
                <w:szCs w:val="21"/>
              </w:rPr>
              <w:t>期初至合</w:t>
            </w:r>
            <w:r>
              <w:rPr>
                <w:rFonts w:ascii="宋体" w:hAnsi="宋体" w:cs="宋体" w:eastAsia="宋体" w:hint="default"/>
                <w:spacing w:val="-101"/>
                <w:sz w:val="21"/>
                <w:szCs w:val="21"/>
              </w:rPr>
              <w:t> </w:t>
            </w:r>
            <w:r>
              <w:rPr>
                <w:rFonts w:ascii="宋体" w:hAnsi="宋体" w:cs="宋体" w:eastAsia="宋体" w:hint="default"/>
                <w:sz w:val="21"/>
                <w:szCs w:val="21"/>
              </w:rPr>
              <w:t>并日被合</w:t>
            </w:r>
            <w:r>
              <w:rPr>
                <w:rFonts w:ascii="宋体" w:hAnsi="宋体" w:cs="宋体" w:eastAsia="宋体" w:hint="default"/>
                <w:spacing w:val="-101"/>
                <w:sz w:val="21"/>
                <w:szCs w:val="21"/>
              </w:rPr>
              <w:t> </w:t>
            </w:r>
            <w:r>
              <w:rPr>
                <w:rFonts w:ascii="宋体" w:hAnsi="宋体" w:cs="宋体" w:eastAsia="宋体" w:hint="default"/>
                <w:sz w:val="21"/>
                <w:szCs w:val="21"/>
              </w:rPr>
              <w:t>并方的净</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10" w:right="99"/>
              <w:jc w:val="both"/>
              <w:rPr>
                <w:rFonts w:ascii="宋体" w:hAnsi="宋体" w:cs="宋体" w:eastAsia="宋体" w:hint="default"/>
                <w:sz w:val="21"/>
                <w:szCs w:val="21"/>
              </w:rPr>
            </w:pPr>
            <w:r>
              <w:rPr>
                <w:rFonts w:ascii="宋体" w:hAnsi="宋体" w:cs="宋体" w:eastAsia="宋体" w:hint="default"/>
                <w:sz w:val="21"/>
                <w:szCs w:val="21"/>
              </w:rPr>
              <w:t>比较期间</w:t>
            </w:r>
            <w:r>
              <w:rPr>
                <w:rFonts w:ascii="宋体" w:hAnsi="宋体" w:cs="宋体" w:eastAsia="宋体" w:hint="default"/>
                <w:spacing w:val="-101"/>
                <w:sz w:val="21"/>
                <w:szCs w:val="21"/>
              </w:rPr>
              <w:t> </w:t>
            </w:r>
            <w:r>
              <w:rPr>
                <w:rFonts w:ascii="宋体" w:hAnsi="宋体" w:cs="宋体" w:eastAsia="宋体" w:hint="default"/>
                <w:sz w:val="21"/>
                <w:szCs w:val="21"/>
              </w:rPr>
              <w:t>被合并方</w:t>
            </w:r>
            <w:r>
              <w:rPr>
                <w:rFonts w:ascii="宋体" w:hAnsi="宋体" w:cs="宋体" w:eastAsia="宋体" w:hint="default"/>
                <w:spacing w:val="-101"/>
                <w:sz w:val="21"/>
                <w:szCs w:val="21"/>
              </w:rPr>
              <w:t> </w:t>
            </w:r>
            <w:r>
              <w:rPr>
                <w:rFonts w:ascii="宋体" w:hAnsi="宋体" w:cs="宋体" w:eastAsia="宋体" w:hint="default"/>
                <w:sz w:val="21"/>
                <w:szCs w:val="21"/>
              </w:rPr>
              <w:t>的收入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10" w:right="98"/>
              <w:jc w:val="both"/>
              <w:rPr>
                <w:rFonts w:ascii="宋体" w:hAnsi="宋体" w:cs="宋体" w:eastAsia="宋体" w:hint="default"/>
                <w:sz w:val="21"/>
                <w:szCs w:val="21"/>
              </w:rPr>
            </w:pPr>
            <w:r>
              <w:rPr>
                <w:rFonts w:ascii="宋体" w:hAnsi="宋体" w:cs="宋体" w:eastAsia="宋体" w:hint="default"/>
                <w:sz w:val="21"/>
                <w:szCs w:val="21"/>
              </w:rPr>
              <w:t>比较期间</w:t>
            </w:r>
            <w:r>
              <w:rPr>
                <w:rFonts w:ascii="宋体" w:hAnsi="宋体" w:cs="宋体" w:eastAsia="宋体" w:hint="default"/>
                <w:spacing w:val="-101"/>
                <w:sz w:val="21"/>
                <w:szCs w:val="21"/>
              </w:rPr>
              <w:t> </w:t>
            </w:r>
            <w:r>
              <w:rPr>
                <w:rFonts w:ascii="宋体" w:hAnsi="宋体" w:cs="宋体" w:eastAsia="宋体" w:hint="default"/>
                <w:sz w:val="21"/>
                <w:szCs w:val="21"/>
              </w:rPr>
              <w:t>被合并方</w:t>
            </w:r>
            <w:r>
              <w:rPr>
                <w:rFonts w:ascii="宋体" w:hAnsi="宋体" w:cs="宋体" w:eastAsia="宋体" w:hint="default"/>
                <w:spacing w:val="-101"/>
                <w:sz w:val="21"/>
                <w:szCs w:val="21"/>
              </w:rPr>
              <w:t> </w:t>
            </w:r>
            <w:r>
              <w:rPr>
                <w:rFonts w:ascii="宋体" w:hAnsi="宋体" w:cs="宋体" w:eastAsia="宋体" w:hint="default"/>
                <w:sz w:val="21"/>
                <w:szCs w:val="21"/>
              </w:rPr>
              <w:t>的净利润</w:t>
            </w:r>
          </w:p>
        </w:tc>
      </w:tr>
    </w:tbl>
    <w:p>
      <w:pPr>
        <w:spacing w:after="0" w:line="273" w:lineRule="auto"/>
        <w:jc w:val="both"/>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6"/>
        <w:gridCol w:w="1061"/>
        <w:gridCol w:w="1066"/>
        <w:gridCol w:w="1066"/>
        <w:gridCol w:w="1061"/>
        <w:gridCol w:w="1066"/>
        <w:gridCol w:w="1066"/>
      </w:tblGrid>
      <w:tr>
        <w:trPr>
          <w:trHeight w:val="360"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16"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2）合并成本" w:id="440"/>
      <w:bookmarkEnd w:id="440"/>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2"/>
        <w:rPr>
          <w:rFonts w:ascii="宋体" w:hAnsi="宋体" w:cs="宋体" w:eastAsia="宋体" w:hint="default"/>
          <w:sz w:val="6"/>
          <w:szCs w:val="6"/>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10;top:19;width:106;height:389" coordorigin="10,19" coordsize="106,389">
              <v:shape style="position:absolute;left:10;top:19;width:106;height:389" coordorigin="10,19" coordsize="106,389" path="m10,408l115,408,115,19,10,19,10,408xe" filled="true" fillcolor="#d2d2d2" stroked="false">
                <v:path arrowok="t"/>
                <v:fill type="solid"/>
              </v:shape>
            </v:group>
            <v:group style="position:absolute;left:4682;top:19;width:106;height:389" coordorigin="4682,19" coordsize="106,389">
              <v:shape style="position:absolute;left:4682;top:19;width:106;height:389" coordorigin="4682,19" coordsize="106,389" path="m4682,408l4788,408,4788,19,4682,19,4682,408xe" filled="true" fillcolor="#d2d2d2" stroked="false">
                <v:path arrowok="t"/>
                <v:fill type="solid"/>
              </v:shape>
            </v:group>
            <v:group style="position:absolute;left:115;top:19;width:4567;height:389" coordorigin="115,19" coordsize="4567,389">
              <v:shape style="position:absolute;left:115;top:19;width:4567;height:389" coordorigin="115,19" coordsize="4567,389" path="m115,408l4682,408,4682,19,115,19,115,408xe" filled="true" fillcolor="#d2d2d2" stroked="false">
                <v:path arrowok="t"/>
                <v:fill type="solid"/>
              </v:shape>
            </v:group>
            <v:group style="position:absolute;left:4797;top:19;width:101;height:389" coordorigin="4797,19" coordsize="101,389">
              <v:shape style="position:absolute;left:4797;top:19;width:101;height:389" coordorigin="4797,19" coordsize="101,389" path="m4797,408l4898,408,4898,19,4797,19,4797,408xe" filled="true" fillcolor="#d2d2d2" stroked="false">
                <v:path arrowok="t"/>
                <v:fill type="solid"/>
              </v:shape>
            </v:group>
            <v:group style="position:absolute;left:9469;top:19;width:106;height:389" coordorigin="9469,19" coordsize="106,389">
              <v:shape style="position:absolute;left:9469;top:19;width:106;height:389" coordorigin="9469,19" coordsize="106,389" path="m9469,408l9575,408,9575,19,9469,19,9469,408xe" filled="true" fillcolor="#d2d2d2" stroked="false">
                <v:path arrowok="t"/>
                <v:fill type="solid"/>
              </v:shape>
            </v:group>
            <v:group style="position:absolute;left:4898;top:19;width:4571;height:389" coordorigin="4898,19" coordsize="4571,389">
              <v:shape style="position:absolute;left:4898;top:19;width:4571;height:389" coordorigin="4898,19" coordsize="4571,389" path="m4898,408l9469,408,9469,19,4898,19,4898,408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8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8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8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shape style="position:absolute;left:5;top:12;width:4788;height:401" type="#_x0000_t202" filled="false" stroked="false">
                <v:textbox inset="0,0,0,0">
                  <w:txbxContent>
                    <w:p>
                      <w:pPr>
                        <w:spacing w:before="35"/>
                        <w:ind w:left="3" w:right="0" w:firstLine="0"/>
                        <w:jc w:val="center"/>
                        <w:rPr>
                          <w:rFonts w:ascii="宋体" w:hAnsi="宋体" w:cs="宋体" w:eastAsia="宋体" w:hint="default"/>
                          <w:sz w:val="21"/>
                          <w:szCs w:val="21"/>
                        </w:rPr>
                      </w:pPr>
                      <w:r>
                        <w:rPr>
                          <w:rFonts w:ascii="宋体" w:hAnsi="宋体" w:cs="宋体" w:eastAsia="宋体" w:hint="default"/>
                          <w:sz w:val="21"/>
                          <w:szCs w:val="21"/>
                        </w:rPr>
                        <w:t>合并成本</w:t>
                      </w:r>
                    </w:p>
                  </w:txbxContent>
                </v:textbox>
                <w10:wrap type="none"/>
              </v:shape>
            </v:group>
          </v:group>
        </w:pict>
      </w:r>
      <w:r>
        <w:rPr>
          <w:rFonts w:ascii="宋体" w:hAnsi="宋体" w:cs="宋体" w:eastAsia="宋体" w:hint="default"/>
          <w:position w:val="-7"/>
          <w:sz w:val="20"/>
          <w:szCs w:val="20"/>
        </w:rPr>
      </w:r>
    </w:p>
    <w:p>
      <w:pPr>
        <w:pStyle w:val="BodyText"/>
        <w:spacing w:line="309" w:lineRule="auto" w:before="24"/>
        <w:ind w:right="8243"/>
        <w:jc w:val="left"/>
      </w:pPr>
      <w:r>
        <w:rPr>
          <w:spacing w:val="-1"/>
        </w:rPr>
        <w:t>或有对价及其变动的说明：</w:t>
      </w:r>
      <w:r>
        <w:rPr>
          <w:spacing w:val="-89"/>
        </w:rPr>
        <w:t> </w:t>
      </w:r>
      <w:r>
        <w:rPr>
          <w:spacing w:val="-89"/>
        </w:rPr>
      </w:r>
      <w:r>
        <w:rPr/>
        <w:t>其他说明：</w:t>
      </w:r>
    </w:p>
    <w:p>
      <w:pPr>
        <w:spacing w:line="240" w:lineRule="auto" w:before="7"/>
        <w:rPr>
          <w:rFonts w:ascii="宋体" w:hAnsi="宋体" w:cs="宋体" w:eastAsia="宋体" w:hint="default"/>
          <w:sz w:val="20"/>
          <w:szCs w:val="20"/>
        </w:rPr>
      </w:pPr>
    </w:p>
    <w:p>
      <w:pPr>
        <w:pStyle w:val="Heading5"/>
        <w:spacing w:line="240" w:lineRule="auto"/>
        <w:ind w:right="1002"/>
        <w:jc w:val="left"/>
        <w:rPr>
          <w:b w:val="0"/>
          <w:bCs w:val="0"/>
        </w:rPr>
      </w:pPr>
      <w:bookmarkStart w:name="（3）合并日被合并方资产、负债的账面价值" w:id="441"/>
      <w:bookmarkEnd w:id="441"/>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p>
      <w:pPr>
        <w:spacing w:line="821" w:lineRule="exact"/>
        <w:ind w:left="10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25pt;height:41.1pt;mso-position-horizontal-relative:char;mso-position-vertical-relative:line" coordorigin="0,0" coordsize="9585,822">
            <v:group style="position:absolute;left:10;top:15;width:106;height:390" coordorigin="10,15" coordsize="106,390">
              <v:shape style="position:absolute;left:10;top:15;width:106;height:390" coordorigin="10,15" coordsize="106,390" path="m10,404l115,404,115,15,10,15,10,404xe" filled="true" fillcolor="#d2d2d2" stroked="false">
                <v:path arrowok="t"/>
                <v:fill type="solid"/>
              </v:shape>
            </v:group>
            <v:group style="position:absolute;left:3087;top:15;width:106;height:390" coordorigin="3087,15" coordsize="106,390">
              <v:shape style="position:absolute;left:3087;top:15;width:106;height:390" coordorigin="3087,15" coordsize="106,390" path="m3087,404l3193,404,3193,15,3087,15,3087,404xe" filled="true" fillcolor="#d2d2d2" stroked="false">
                <v:path arrowok="t"/>
                <v:fill type="solid"/>
              </v:shape>
            </v:group>
            <v:group style="position:absolute;left:115;top:15;width:2973;height:390" coordorigin="115,15" coordsize="2973,390">
              <v:shape style="position:absolute;left:115;top:15;width:2973;height:390" coordorigin="115,15" coordsize="2973,390" path="m115,404l3087,404,3087,15,115,15,115,404xe" filled="true" fillcolor="#d2d2d2" stroked="false">
                <v:path arrowok="t"/>
                <v:fill type="solid"/>
              </v:shape>
            </v:group>
            <v:group style="position:absolute;left:3203;top:15;width:102;height:390" coordorigin="3203,15" coordsize="102,390">
              <v:shape style="position:absolute;left:3203;top:15;width:102;height:390" coordorigin="3203,15" coordsize="102,390" path="m3203,404l3304,404,3304,15,3203,15,3203,404xe" filled="true" fillcolor="#d2d2d2" stroked="false">
                <v:path arrowok="t"/>
                <v:fill type="solid"/>
              </v:shape>
            </v:group>
            <v:group style="position:absolute;left:9469;top:15;width:106;height:390" coordorigin="9469,15" coordsize="106,390">
              <v:shape style="position:absolute;left:9469;top:15;width:106;height:390" coordorigin="9469,15" coordsize="106,390" path="m9469,404l9575,404,9575,15,9469,15,9469,404xe" filled="true" fillcolor="#d2d2d2" stroked="false">
                <v:path arrowok="t"/>
                <v:fill type="solid"/>
              </v:shape>
            </v:group>
            <v:group style="position:absolute;left:3304;top:15;width:6166;height:390" coordorigin="3304,15" coordsize="6166,390">
              <v:shape style="position:absolute;left:3304;top:15;width:6166;height:390" coordorigin="3304,15" coordsize="6166,390" path="m3304,404l9469,404,9469,15,3304,15,3304,404xe" filled="true" fillcolor="#d2d2d2" stroked="false">
                <v:path arrowok="t"/>
                <v:fill type="solid"/>
              </v:shape>
            </v:group>
            <v:group style="position:absolute;left:10;top:10;width:3184;height:2" coordorigin="10,10" coordsize="3184,2">
              <v:shape style="position:absolute;left:10;top:10;width:3184;height:2" coordorigin="10,10" coordsize="3184,0" path="m10,10l3193,10e" filled="false" stroked="true" strokeweight=".48001pt" strokecolor="#000000">
                <v:path arrowok="t"/>
              </v:shape>
            </v:group>
            <v:group style="position:absolute;left:3203;top:10;width:6372;height:2" coordorigin="3203,10" coordsize="6372,2">
              <v:shape style="position:absolute;left:3203;top:10;width:6372;height:2" coordorigin="3203,10" coordsize="6372,0" path="m3203,10l9575,10e" filled="false" stroked="true" strokeweight=".48001pt" strokecolor="#000000">
                <v:path arrowok="t"/>
              </v:shape>
            </v:group>
            <v:group style="position:absolute;left:10;top:414;width:106;height:394" coordorigin="10,414" coordsize="106,394">
              <v:shape style="position:absolute;left:10;top:414;width:106;height:394" coordorigin="10,414" coordsize="106,394" path="m10,807l115,807,115,414,10,414,10,807xe" filled="true" fillcolor="#d2d2d2" stroked="false">
                <v:path arrowok="t"/>
                <v:fill type="solid"/>
              </v:shape>
            </v:group>
            <v:group style="position:absolute;left:3087;top:414;width:106;height:394" coordorigin="3087,414" coordsize="106,394">
              <v:shape style="position:absolute;left:3087;top:414;width:106;height:394" coordorigin="3087,414" coordsize="106,394" path="m3087,807l3193,807,3193,414,3087,414,3087,807xe" filled="true" fillcolor="#d2d2d2" stroked="false">
                <v:path arrowok="t"/>
                <v:fill type="solid"/>
              </v:shape>
            </v:group>
            <v:group style="position:absolute;left:115;top:414;width:2973;height:394" coordorigin="115,414" coordsize="2973,394">
              <v:shape style="position:absolute;left:115;top:414;width:2973;height:394" coordorigin="115,414" coordsize="2973,394" path="m115,807l3087,807,3087,414,115,414,115,807xe" filled="true" fillcolor="#d2d2d2" stroked="false">
                <v:path arrowok="t"/>
                <v:fill type="solid"/>
              </v:shape>
            </v:group>
            <v:group style="position:absolute;left:3203;top:414;width:102;height:394" coordorigin="3203,414" coordsize="102,394">
              <v:shape style="position:absolute;left:3203;top:414;width:102;height:394" coordorigin="3203,414" coordsize="102,394" path="m3203,807l3304,807,3304,414,3203,414,3203,807xe" filled="true" fillcolor="#d2d2d2" stroked="false">
                <v:path arrowok="t"/>
                <v:fill type="solid"/>
              </v:shape>
            </v:group>
            <v:group style="position:absolute;left:6281;top:414;width:101;height:394" coordorigin="6281,414" coordsize="101,394">
              <v:shape style="position:absolute;left:6281;top:414;width:101;height:394" coordorigin="6281,414" coordsize="101,394" path="m6281,807l6382,807,6382,414,6281,414,6281,807xe" filled="true" fillcolor="#d2d2d2" stroked="false">
                <v:path arrowok="t"/>
                <v:fill type="solid"/>
              </v:shape>
            </v:group>
            <v:group style="position:absolute;left:3304;top:414;width:2977;height:394" coordorigin="3304,414" coordsize="2977,394">
              <v:shape style="position:absolute;left:3304;top:414;width:2977;height:394" coordorigin="3304,414" coordsize="2977,394" path="m3304,807l6281,807,6281,414,3304,414,3304,807xe" filled="true" fillcolor="#d2d2d2" stroked="false">
                <v:path arrowok="t"/>
                <v:fill type="solid"/>
              </v:shape>
            </v:group>
            <v:group style="position:absolute;left:6391;top:414;width:106;height:394" coordorigin="6391,414" coordsize="106,394">
              <v:shape style="position:absolute;left:6391;top:414;width:106;height:394" coordorigin="6391,414" coordsize="106,394" path="m6391,807l6497,807,6497,414,6391,414,6391,807xe" filled="true" fillcolor="#d2d2d2" stroked="false">
                <v:path arrowok="t"/>
                <v:fill type="solid"/>
              </v:shape>
            </v:group>
            <v:group style="position:absolute;left:9469;top:414;width:106;height:394" coordorigin="9469,414" coordsize="106,394">
              <v:shape style="position:absolute;left:9469;top:414;width:106;height:394" coordorigin="9469,414" coordsize="106,394" path="m9469,807l9575,807,9575,414,9469,414,9469,807xe" filled="true" fillcolor="#d2d2d2" stroked="false">
                <v:path arrowok="t"/>
                <v:fill type="solid"/>
              </v:shape>
            </v:group>
            <v:group style="position:absolute;left:6497;top:414;width:2973;height:394" coordorigin="6497,414" coordsize="2973,394">
              <v:shape style="position:absolute;left:6497;top:414;width:2973;height:394" coordorigin="6497,414" coordsize="2973,394" path="m6497,807l9469,807,9469,414,6497,414,6497,807xe" filled="true" fillcolor="#d2d2d2" stroked="false">
                <v:path arrowok="t"/>
                <v:fill type="solid"/>
              </v:shape>
            </v:group>
            <v:group style="position:absolute;left:10;top:409;width:3184;height:2" coordorigin="10,409" coordsize="3184,2">
              <v:shape style="position:absolute;left:10;top:409;width:3184;height:2" coordorigin="10,409" coordsize="3184,0" path="m10,409l3193,409e" filled="false" stroked="true" strokeweight=".48001pt" strokecolor="#000000">
                <v:path arrowok="t"/>
              </v:shape>
            </v:group>
            <v:group style="position:absolute;left:3203;top:409;width:3179;height:2" coordorigin="3203,409" coordsize="3179,2">
              <v:shape style="position:absolute;left:3203;top:409;width:3179;height:2" coordorigin="3203,409" coordsize="3179,0" path="m3203,409l6382,409e" filled="false" stroked="true" strokeweight=".48001pt" strokecolor="#000000">
                <v:path arrowok="t"/>
              </v:shape>
            </v:group>
            <v:group style="position:absolute;left:6391;top:409;width:3184;height:2" coordorigin="6391,409" coordsize="3184,2">
              <v:shape style="position:absolute;left:6391;top:409;width:3184;height:2" coordorigin="6391,409" coordsize="3184,0" path="m6391,409l9575,409e" filled="false" stroked="true" strokeweight=".48001pt" strokecolor="#000000">
                <v:path arrowok="t"/>
              </v:shape>
            </v:group>
            <v:group style="position:absolute;left:5;top:5;width:2;height:812" coordorigin="5,5" coordsize="2,812">
              <v:shape style="position:absolute;left:5;top:5;width:2;height:812" coordorigin="5,5" coordsize="0,812" path="m5,5l5,817e" filled="false" stroked="true" strokeweight=".48pt" strokecolor="#000000">
                <v:path arrowok="t"/>
              </v:shape>
            </v:group>
            <v:group style="position:absolute;left:10;top:812;width:3184;height:2" coordorigin="10,812" coordsize="3184,2">
              <v:shape style="position:absolute;left:10;top:812;width:3184;height:2" coordorigin="10,812" coordsize="3184,0" path="m10,812l3193,812e" filled="false" stroked="true" strokeweight=".47998pt" strokecolor="#000000">
                <v:path arrowok="t"/>
              </v:shape>
            </v:group>
            <v:group style="position:absolute;left:3198;top:5;width:2;height:812" coordorigin="3198,5" coordsize="2,812">
              <v:shape style="position:absolute;left:3198;top:5;width:2;height:812" coordorigin="3198,5" coordsize="0,812" path="m3198,5l3198,817e" filled="false" stroked="true" strokeweight=".48pt" strokecolor="#000000">
                <v:path arrowok="t"/>
              </v:shape>
            </v:group>
            <v:group style="position:absolute;left:3203;top:812;width:3179;height:2" coordorigin="3203,812" coordsize="3179,2">
              <v:shape style="position:absolute;left:3203;top:812;width:3179;height:2" coordorigin="3203,812" coordsize="3179,0" path="m3203,812l6382,812e" filled="false" stroked="true" strokeweight=".47998pt" strokecolor="#000000">
                <v:path arrowok="t"/>
              </v:shape>
            </v:group>
            <v:group style="position:absolute;left:6386;top:404;width:2;height:413" coordorigin="6386,404" coordsize="2,413">
              <v:shape style="position:absolute;left:6386;top:404;width:2;height:413" coordorigin="6386,404" coordsize="0,413" path="m6386,404l6386,817e" filled="false" stroked="true" strokeweight=".48001pt" strokecolor="#000000">
                <v:path arrowok="t"/>
              </v:shape>
            </v:group>
            <v:group style="position:absolute;left:6391;top:812;width:3184;height:2" coordorigin="6391,812" coordsize="3184,2">
              <v:shape style="position:absolute;left:6391;top:812;width:3184;height:2" coordorigin="6391,812" coordsize="3184,0" path="m6391,812l9575,812e" filled="false" stroked="true" strokeweight=".47998pt" strokecolor="#000000">
                <v:path arrowok="t"/>
              </v:shape>
            </v:group>
            <v:group style="position:absolute;left:9580;top:5;width:2;height:812" coordorigin="9580,5" coordsize="2,812">
              <v:shape style="position:absolute;left:9580;top:5;width:2;height:812" coordorigin="9580,5" coordsize="0,812" path="m9580,5l9580,817e" filled="false" stroked="true" strokeweight=".50403pt" strokecolor="#000000">
                <v:path arrowok="t"/>
              </v:shape>
              <v:shape style="position:absolute;left:3198;top:409;width:3189;height:404" type="#_x0000_t202" filled="false" stroked="false">
                <v:textbox inset="0,0,0,0">
                  <w:txbxContent>
                    <w:p>
                      <w:pPr>
                        <w:spacing w:before="33"/>
                        <w:ind w:left="0" w:right="0" w:firstLine="0"/>
                        <w:jc w:val="center"/>
                        <w:rPr>
                          <w:rFonts w:ascii="宋体" w:hAnsi="宋体" w:cs="宋体" w:eastAsia="宋体" w:hint="default"/>
                          <w:sz w:val="21"/>
                          <w:szCs w:val="21"/>
                        </w:rPr>
                      </w:pPr>
                      <w:r>
                        <w:rPr>
                          <w:rFonts w:ascii="宋体" w:hAnsi="宋体" w:cs="宋体" w:eastAsia="宋体" w:hint="default"/>
                          <w:sz w:val="21"/>
                          <w:szCs w:val="21"/>
                        </w:rPr>
                        <w:t>合并日</w:t>
                      </w:r>
                    </w:p>
                  </w:txbxContent>
                </v:textbox>
                <w10:wrap type="none"/>
              </v:shape>
              <v:shape style="position:absolute;left:6386;top:409;width:3194;height:404" type="#_x0000_t202" filled="false" stroked="false">
                <v:textbox inset="0,0,0,0">
                  <w:txbxContent>
                    <w:p>
                      <w:pPr>
                        <w:spacing w:before="33"/>
                        <w:ind w:left="4" w:right="0" w:firstLine="0"/>
                        <w:jc w:val="center"/>
                        <w:rPr>
                          <w:rFonts w:ascii="宋体" w:hAnsi="宋体" w:cs="宋体" w:eastAsia="宋体" w:hint="default"/>
                          <w:sz w:val="21"/>
                          <w:szCs w:val="21"/>
                        </w:rPr>
                      </w:pPr>
                      <w:r>
                        <w:rPr>
                          <w:rFonts w:ascii="宋体" w:hAnsi="宋体" w:cs="宋体" w:eastAsia="宋体" w:hint="default"/>
                          <w:sz w:val="21"/>
                          <w:szCs w:val="21"/>
                        </w:rPr>
                        <w:t>上期期末</w:t>
                      </w:r>
                    </w:p>
                  </w:txbxContent>
                </v:textbox>
                <w10:wrap type="none"/>
              </v:shape>
            </v:group>
          </v:group>
        </w:pict>
      </w:r>
      <w:r>
        <w:rPr>
          <w:rFonts w:ascii="宋体" w:hAnsi="宋体" w:cs="宋体" w:eastAsia="宋体" w:hint="default"/>
          <w:position w:val="-15"/>
          <w:sz w:val="20"/>
          <w:szCs w:val="20"/>
        </w:rPr>
      </w:r>
    </w:p>
    <w:p>
      <w:pPr>
        <w:pStyle w:val="BodyText"/>
        <w:spacing w:line="309" w:lineRule="auto" w:before="24"/>
        <w:ind w:right="6807"/>
        <w:jc w:val="left"/>
      </w:pPr>
      <w:r>
        <w:rPr>
          <w:spacing w:val="-2"/>
        </w:rPr>
        <w:t>企业合并中承担的被合并方的或有负债：</w:t>
      </w:r>
      <w:r>
        <w:rPr>
          <w:spacing w:val="-68"/>
        </w:rPr>
        <w:t> </w:t>
      </w:r>
      <w:r>
        <w:rPr>
          <w:spacing w:val="-68"/>
        </w:rPr>
      </w:r>
      <w:r>
        <w:rPr/>
        <w:t>其他说明：</w:t>
      </w:r>
    </w:p>
    <w:p>
      <w:pPr>
        <w:spacing w:line="240" w:lineRule="auto" w:before="8"/>
        <w:rPr>
          <w:rFonts w:ascii="宋体" w:hAnsi="宋体" w:cs="宋体" w:eastAsia="宋体" w:hint="default"/>
          <w:sz w:val="20"/>
          <w:szCs w:val="20"/>
        </w:rPr>
      </w:pPr>
    </w:p>
    <w:p>
      <w:pPr>
        <w:pStyle w:val="Heading5"/>
        <w:spacing w:line="240" w:lineRule="auto"/>
        <w:ind w:right="1002"/>
        <w:jc w:val="left"/>
        <w:rPr>
          <w:b w:val="0"/>
          <w:bCs w:val="0"/>
        </w:rPr>
      </w:pPr>
      <w:bookmarkStart w:name="3、反向购买" w:id="442"/>
      <w:bookmarkEnd w:id="442"/>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0"/>
        <w:rPr>
          <w:rFonts w:ascii="宋体" w:hAnsi="宋体" w:cs="宋体" w:eastAsia="宋体" w:hint="default"/>
          <w:b/>
          <w:bCs/>
          <w:sz w:val="24"/>
          <w:szCs w:val="24"/>
        </w:rPr>
      </w:pPr>
    </w:p>
    <w:p>
      <w:pPr>
        <w:pStyle w:val="BodyText"/>
        <w:spacing w:line="276" w:lineRule="auto" w:before="0"/>
        <w:ind w:right="1002"/>
        <w:jc w:val="left"/>
      </w:pPr>
      <w:r>
        <w:rPr>
          <w:spacing w:val="-2"/>
        </w:rPr>
        <w:t>交易基本信息、交易构成反向购买的依据、上市公司保留的资产、负债是否构成业务及其依据、合并成本</w:t>
      </w:r>
      <w:r>
        <w:rPr>
          <w:spacing w:val="-32"/>
        </w:rPr>
        <w:t> </w:t>
      </w:r>
      <w:r>
        <w:rPr>
          <w:spacing w:val="-32"/>
        </w:rPr>
      </w:r>
      <w:r>
        <w:rPr/>
        <w:t>的确定、按照权益性交易处理时调整权益的金额及其计算：</w:t>
      </w:r>
    </w:p>
    <w:p>
      <w:pPr>
        <w:spacing w:line="620" w:lineRule="exact" w:before="48"/>
        <w:ind w:left="113" w:right="5730" w:firstLine="0"/>
        <w:jc w:val="left"/>
        <w:rPr>
          <w:rFonts w:ascii="宋体" w:hAnsi="宋体" w:cs="宋体" w:eastAsia="宋体" w:hint="default"/>
          <w:sz w:val="21"/>
          <w:szCs w:val="21"/>
        </w:rPr>
      </w:pPr>
      <w:bookmarkStart w:name="4、处置子公司" w:id="443"/>
      <w:bookmarkEnd w:id="44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b/>
          <w:bCs/>
          <w:spacing w:val="-103"/>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61" w:lineRule="exact" w:before="0"/>
        <w:ind w:right="1002"/>
        <w:jc w:val="left"/>
      </w:pPr>
      <w:r>
        <w:rPr/>
        <w:t>□ 是 √</w:t>
      </w:r>
      <w:r>
        <w:rPr>
          <w:spacing w:val="5"/>
        </w:rPr>
        <w:t> </w:t>
      </w:r>
      <w:r>
        <w:rPr/>
        <w:t>否</w:t>
      </w:r>
    </w:p>
    <w:p>
      <w:pPr>
        <w:pStyle w:val="BodyText"/>
        <w:spacing w:line="240" w:lineRule="auto" w:before="75"/>
        <w:ind w:right="1002"/>
        <w:jc w:val="left"/>
      </w:pPr>
      <w:r>
        <w:rPr/>
        <w:t>是否存在通过多次交易分步处置对子公司投资且在本期丧失控制权的情形</w:t>
      </w:r>
    </w:p>
    <w:p>
      <w:pPr>
        <w:pStyle w:val="BodyText"/>
        <w:spacing w:line="240" w:lineRule="auto" w:before="76"/>
        <w:ind w:right="1002"/>
        <w:jc w:val="left"/>
      </w:pPr>
      <w:r>
        <w:rPr/>
        <w:t>□ 是 √</w:t>
      </w:r>
      <w:r>
        <w:rPr>
          <w:spacing w:val="5"/>
        </w:rPr>
        <w:t> </w:t>
      </w:r>
      <w:r>
        <w:rPr/>
        <w:t>否</w:t>
      </w:r>
    </w:p>
    <w:p>
      <w:pPr>
        <w:spacing w:line="600" w:lineRule="atLeast" w:before="25"/>
        <w:ind w:left="113" w:right="1002" w:firstLine="0"/>
        <w:jc w:val="left"/>
        <w:rPr>
          <w:rFonts w:ascii="宋体" w:hAnsi="宋体" w:cs="宋体" w:eastAsia="宋体" w:hint="default"/>
          <w:sz w:val="21"/>
          <w:szCs w:val="21"/>
        </w:rPr>
      </w:pPr>
      <w:bookmarkStart w:name="5、其他原因的合并范围变动" w:id="444"/>
      <w:bookmarkEnd w:id="44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b/>
          <w:bCs/>
          <w:spacing w:val="-101"/>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40" w:lineRule="auto" w:before="152"/>
        <w:ind w:left="977" w:right="1002"/>
        <w:jc w:val="left"/>
      </w:pPr>
      <w:r>
        <w:rPr/>
        <w:t>本期新设子公司情况如下：</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794"/>
        <w:gridCol w:w="2146"/>
        <w:gridCol w:w="1652"/>
        <w:gridCol w:w="1800"/>
      </w:tblGrid>
      <w:tr>
        <w:trPr>
          <w:trHeight w:val="346"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hAnsi="宋体" w:cs="宋体" w:eastAsia="宋体" w:hint="default"/>
                <w:sz w:val="21"/>
                <w:szCs w:val="21"/>
              </w:rPr>
              <w:t>成立时间</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98"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46"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湖北楚兴联怡网络技术有限公司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7</w:t>
            </w:r>
            <w:r>
              <w:rPr>
                <w:rFonts w:ascii="宋体" w:hAnsi="宋体" w:cs="宋体" w:eastAsia="宋体" w:hint="default"/>
                <w:sz w:val="21"/>
                <w:szCs w:val="21"/>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5,000,000.00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70.00</w:t>
            </w:r>
          </w:p>
        </w:tc>
      </w:tr>
      <w:tr>
        <w:trPr>
          <w:trHeight w:val="346"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恒联通达信息科技河北有限公司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8</w:t>
            </w:r>
            <w:r>
              <w:rPr>
                <w:rFonts w:ascii="宋体" w:hAnsi="宋体" w:cs="宋体" w:eastAsia="宋体" w:hint="default"/>
                <w:sz w:val="21"/>
                <w:szCs w:val="21"/>
              </w:rPr>
              <w:t>月</w:t>
            </w:r>
            <w:r>
              <w:rPr>
                <w:rFonts w:ascii="宋体" w:hAnsi="宋体" w:cs="宋体" w:eastAsia="宋体" w:hint="default"/>
                <w:sz w:val="21"/>
                <w:szCs w:val="21"/>
              </w:rPr>
              <w:t>19</w:t>
            </w:r>
            <w:r>
              <w:rPr>
                <w:rFonts w:ascii="宋体" w:hAnsi="宋体" w:cs="宋体" w:eastAsia="宋体" w:hint="default"/>
                <w:sz w:val="21"/>
                <w:szCs w:val="21"/>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5,000,000.00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80.00</w:t>
            </w:r>
          </w:p>
        </w:tc>
      </w:tr>
      <w:tr>
        <w:trPr>
          <w:trHeight w:val="350"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四川恒联通达信息科技有限公司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5,000,000.00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z w:val="21"/>
              </w:rPr>
              <w:t>80.00</w:t>
            </w:r>
          </w:p>
        </w:tc>
      </w:tr>
      <w:tr>
        <w:trPr>
          <w:trHeight w:val="346"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湖南时空大数据管理有限公司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3</w:t>
            </w:r>
            <w:r>
              <w:rPr>
                <w:rFonts w:ascii="宋体" w:hAnsi="宋体" w:cs="宋体" w:eastAsia="宋体" w:hint="default"/>
                <w:sz w:val="21"/>
                <w:szCs w:val="21"/>
              </w:rPr>
              <w:t>月</w:t>
            </w:r>
            <w:r>
              <w:rPr>
                <w:rFonts w:ascii="宋体" w:hAnsi="宋体" w:cs="宋体" w:eastAsia="宋体" w:hint="default"/>
                <w:sz w:val="21"/>
                <w:szCs w:val="21"/>
              </w:rPr>
              <w:t>7</w:t>
            </w:r>
            <w:r>
              <w:rPr>
                <w:rFonts w:ascii="宋体" w:hAnsi="宋体" w:cs="宋体" w:eastAsia="宋体" w:hint="default"/>
                <w:sz w:val="21"/>
                <w:szCs w:val="21"/>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5,000,000.00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95.00</w:t>
            </w:r>
          </w:p>
        </w:tc>
      </w:tr>
      <w:tr>
        <w:trPr>
          <w:trHeight w:val="346"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新疆云尚智慧科技有限公司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z w:val="21"/>
                <w:szCs w:val="21"/>
              </w:rPr>
              <w:t>20</w:t>
            </w:r>
            <w:r>
              <w:rPr>
                <w:rFonts w:ascii="宋体" w:hAnsi="宋体" w:cs="宋体" w:eastAsia="宋体" w:hint="default"/>
                <w:sz w:val="21"/>
                <w:szCs w:val="21"/>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5,000,000.00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70.00</w:t>
            </w:r>
          </w:p>
        </w:tc>
      </w:tr>
      <w:tr>
        <w:trPr>
          <w:trHeight w:val="350"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中电兴发智享科技（成都）有限公司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30,000,000.00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z w:val="21"/>
              </w:rPr>
              <w:t>67.00</w:t>
            </w:r>
          </w:p>
        </w:tc>
      </w:tr>
    </w:tbl>
    <w:p>
      <w:pPr>
        <w:spacing w:after="0" w:line="274" w:lineRule="exact"/>
        <w:jc w:val="right"/>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3794"/>
        <w:gridCol w:w="2146"/>
        <w:gridCol w:w="1652"/>
        <w:gridCol w:w="1800"/>
      </w:tblGrid>
      <w:tr>
        <w:trPr>
          <w:trHeight w:val="346"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四川中电兴发云尚科技有限公司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11</w:t>
            </w:r>
            <w:r>
              <w:rPr>
                <w:rFonts w:ascii="宋体" w:hAnsi="宋体" w:cs="宋体" w:eastAsia="宋体" w:hint="default"/>
                <w:sz w:val="21"/>
                <w:szCs w:val="21"/>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30,000,000.00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67.00</w:t>
            </w:r>
          </w:p>
        </w:tc>
      </w:tr>
      <w:tr>
        <w:trPr>
          <w:trHeight w:val="350"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中电兴发工程管理（北京）有限公司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17</w:t>
            </w:r>
            <w:r>
              <w:rPr>
                <w:rFonts w:ascii="宋体" w:hAnsi="宋体" w:cs="宋体" w:eastAsia="宋体" w:hint="default"/>
                <w:sz w:val="21"/>
                <w:szCs w:val="21"/>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3,000,000.00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80.00</w:t>
            </w:r>
          </w:p>
        </w:tc>
      </w:tr>
      <w:tr>
        <w:trPr>
          <w:trHeight w:val="346"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芜湖中电兴发科技有限公司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9</w:t>
            </w:r>
            <w:r>
              <w:rPr>
                <w:rFonts w:ascii="宋体" w:hAnsi="宋体" w:cs="宋体" w:eastAsia="宋体" w:hint="default"/>
                <w:sz w:val="21"/>
                <w:szCs w:val="21"/>
              </w:rPr>
              <w:t>月</w:t>
            </w:r>
            <w:r>
              <w:rPr>
                <w:rFonts w:ascii="宋体" w:hAnsi="宋体" w:cs="宋体" w:eastAsia="宋体" w:hint="default"/>
                <w:sz w:val="21"/>
                <w:szCs w:val="21"/>
              </w:rPr>
              <w:t>9</w:t>
            </w:r>
            <w:r>
              <w:rPr>
                <w:rFonts w:ascii="宋体" w:hAnsi="宋体" w:cs="宋体" w:eastAsia="宋体" w:hint="default"/>
                <w:sz w:val="21"/>
                <w:szCs w:val="21"/>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2,000,000.00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100.00</w:t>
            </w:r>
          </w:p>
        </w:tc>
      </w:tr>
      <w:tr>
        <w:trPr>
          <w:trHeight w:val="346"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开封云聚锦尚数据管理有限公司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5,000,000.00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90.00</w:t>
            </w:r>
          </w:p>
        </w:tc>
      </w:tr>
      <w:tr>
        <w:trPr>
          <w:trHeight w:val="346"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湖南中电兴发科技有限公司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13</w:t>
            </w:r>
            <w:r>
              <w:rPr>
                <w:rFonts w:ascii="宋体" w:hAnsi="宋体" w:cs="宋体" w:eastAsia="宋体" w:hint="default"/>
                <w:sz w:val="21"/>
                <w:szCs w:val="21"/>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50,000,000.00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100.00</w:t>
            </w:r>
          </w:p>
        </w:tc>
      </w:tr>
      <w:tr>
        <w:trPr>
          <w:trHeight w:val="350" w:hRule="exact"/>
        </w:trPr>
        <w:tc>
          <w:tcPr>
            <w:tcW w:w="37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陕西中电兴发智享科技有限公司</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11</w:t>
            </w:r>
            <w:r>
              <w:rPr>
                <w:rFonts w:ascii="宋体" w:hAnsi="宋体" w:cs="宋体" w:eastAsia="宋体" w:hint="default"/>
                <w:sz w:val="21"/>
                <w:szCs w:val="21"/>
              </w:rPr>
              <w:t>月</w:t>
            </w:r>
            <w:r>
              <w:rPr>
                <w:rFonts w:ascii="宋体" w:hAnsi="宋体" w:cs="宋体" w:eastAsia="宋体" w:hint="default"/>
                <w:sz w:val="21"/>
                <w:szCs w:val="21"/>
              </w:rPr>
              <w:t>28</w:t>
            </w:r>
            <w:r>
              <w:rPr>
                <w:rFonts w:ascii="宋体" w:hAnsi="宋体" w:cs="宋体" w:eastAsia="宋体" w:hint="default"/>
                <w:sz w:val="21"/>
                <w:szCs w:val="21"/>
              </w:rPr>
              <w:t>日</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5,000,000.00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z w:val="21"/>
              </w:rPr>
              <w:t>90.00</w:t>
            </w:r>
          </w:p>
        </w:tc>
      </w:tr>
    </w:tbl>
    <w:p>
      <w:pPr>
        <w:spacing w:line="240" w:lineRule="auto" w:before="3"/>
        <w:rPr>
          <w:rFonts w:ascii="宋体" w:hAnsi="宋体" w:cs="宋体" w:eastAsia="宋体" w:hint="default"/>
          <w:sz w:val="19"/>
          <w:szCs w:val="19"/>
        </w:rPr>
      </w:pPr>
    </w:p>
    <w:p>
      <w:pPr>
        <w:pStyle w:val="Heading5"/>
        <w:spacing w:line="520" w:lineRule="auto" w:before="36"/>
        <w:ind w:right="8431"/>
        <w:jc w:val="left"/>
        <w:rPr>
          <w:b w:val="0"/>
          <w:bCs w:val="0"/>
        </w:rPr>
      </w:pPr>
      <w:bookmarkStart w:name="6、其他" w:id="445"/>
      <w:bookmarkEnd w:id="445"/>
      <w:r>
        <w:rPr>
          <w:b w:val="0"/>
          <w:bCs w:val="0"/>
        </w:rPr>
      </w:r>
      <w:r>
        <w:rPr>
          <w:rFonts w:ascii="Times New Roman" w:hAnsi="Times New Roman" w:cs="Times New Roman" w:eastAsia="Times New Roman" w:hint="default"/>
        </w:rPr>
        <w:t>6</w:t>
      </w:r>
      <w:r>
        <w:rPr/>
        <w:t>、其他</w:t>
      </w:r>
      <w:r>
        <w:rPr>
          <w:w w:val="100"/>
        </w:rPr>
        <w:t> </w:t>
      </w:r>
      <w:bookmarkStart w:name="九、在其他主体中的权益" w:id="446"/>
      <w:bookmarkEnd w:id="446"/>
      <w:r>
        <w:rPr/>
        <w:t>九、在其他主体中的权益</w:t>
      </w:r>
      <w:r>
        <w:rPr>
          <w:spacing w:val="-102"/>
        </w:rPr>
        <w:t> </w:t>
      </w:r>
      <w:r>
        <w:rPr>
          <w:spacing w:val="-102"/>
        </w:rPr>
      </w:r>
      <w:bookmarkStart w:name="1、在子公司中的权益" w:id="447"/>
      <w:bookmarkEnd w:id="447"/>
      <w:r>
        <w:rPr>
          <w:spacing w:val="-102"/>
        </w:rPr>
      </w:r>
      <w:r>
        <w:rPr>
          <w:rFonts w:ascii="Times New Roman" w:hAnsi="Times New Roman" w:cs="Times New Roman" w:eastAsia="Times New Roman" w:hint="default"/>
        </w:rPr>
        <w:t>1</w:t>
      </w:r>
      <w:r>
        <w:rPr/>
        <w:t>、在子公司中的权益</w:t>
      </w:r>
      <w:r>
        <w:rPr>
          <w:b w:val="0"/>
          <w:bCs w:val="0"/>
        </w:rPr>
      </w:r>
    </w:p>
    <w:p>
      <w:pPr>
        <w:pStyle w:val="Heading5"/>
        <w:spacing w:line="240" w:lineRule="auto" w:before="52"/>
        <w:ind w:right="1002"/>
        <w:jc w:val="left"/>
        <w:rPr>
          <w:b w:val="0"/>
          <w:bCs w:val="0"/>
        </w:rPr>
      </w:pPr>
      <w:bookmarkStart w:name="（1）企业集团的构成" w:id="448"/>
      <w:bookmarkEnd w:id="448"/>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142"/>
        <w:gridCol w:w="1051"/>
        <w:gridCol w:w="913"/>
        <w:gridCol w:w="1368"/>
        <w:gridCol w:w="1560"/>
        <w:gridCol w:w="1172"/>
        <w:gridCol w:w="1369"/>
      </w:tblGrid>
      <w:tr>
        <w:trPr>
          <w:trHeight w:val="401" w:hRule="exact"/>
        </w:trPr>
        <w:tc>
          <w:tcPr>
            <w:tcW w:w="21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05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74"/>
              <w:ind w:left="311" w:right="199"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取得方式</w:t>
            </w:r>
          </w:p>
        </w:tc>
      </w:tr>
      <w:tr>
        <w:trPr>
          <w:trHeight w:val="403" w:hRule="exact"/>
        </w:trPr>
        <w:tc>
          <w:tcPr>
            <w:tcW w:w="2142"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5"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安徽森源电器有限公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0"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安徽鑫龙电器元件销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售有限公司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3"/>
              <w:ind w:left="105" w:right="128"/>
              <w:jc w:val="left"/>
              <w:rPr>
                <w:rFonts w:ascii="宋体" w:hAnsi="宋体" w:cs="宋体" w:eastAsia="宋体" w:hint="default"/>
                <w:sz w:val="21"/>
                <w:szCs w:val="21"/>
              </w:rPr>
            </w:pPr>
            <w:r>
              <w:rPr>
                <w:rFonts w:ascii="宋体" w:hAnsi="宋体" w:cs="宋体" w:eastAsia="宋体" w:hint="default"/>
                <w:sz w:val="21"/>
                <w:szCs w:val="21"/>
              </w:rPr>
              <w:t>安徽鑫龙自动化有限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安徽鑫龙低压电器有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安徽鑫龙变压器有限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1"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105" w:right="128"/>
              <w:jc w:val="left"/>
              <w:rPr>
                <w:rFonts w:ascii="宋体" w:hAnsi="宋体" w:cs="宋体" w:eastAsia="宋体" w:hint="default"/>
                <w:sz w:val="21"/>
                <w:szCs w:val="21"/>
              </w:rPr>
            </w:pPr>
            <w:r>
              <w:rPr>
                <w:rFonts w:ascii="宋体" w:hAnsi="宋体" w:cs="宋体" w:eastAsia="宋体" w:hint="default"/>
                <w:sz w:val="21"/>
                <w:szCs w:val="21"/>
              </w:rPr>
              <w:t>安徽北辰能源工程技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术有限公司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安装劳务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3"/>
              <w:ind w:left="105" w:right="128"/>
              <w:jc w:val="left"/>
              <w:rPr>
                <w:rFonts w:ascii="宋体" w:hAnsi="宋体" w:cs="宋体" w:eastAsia="宋体" w:hint="default"/>
                <w:sz w:val="21"/>
                <w:szCs w:val="21"/>
              </w:rPr>
            </w:pPr>
            <w:r>
              <w:rPr>
                <w:rFonts w:ascii="宋体" w:hAnsi="宋体" w:cs="宋体" w:eastAsia="宋体" w:hint="default"/>
                <w:sz w:val="21"/>
                <w:szCs w:val="21"/>
              </w:rPr>
              <w:t>斯高思电器（安徽）</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75.00%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安徽鑫东投资管理有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90.00%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安徽佑赛科技股份有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68.00%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0"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亳州鑫龙电气有限公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亳州市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亳州市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3"/>
              <w:ind w:left="105" w:right="128"/>
              <w:jc w:val="left"/>
              <w:rPr>
                <w:rFonts w:ascii="宋体" w:hAnsi="宋体" w:cs="宋体" w:eastAsia="宋体" w:hint="default"/>
                <w:sz w:val="21"/>
                <w:szCs w:val="21"/>
              </w:rPr>
            </w:pPr>
            <w:r>
              <w:rPr>
                <w:rFonts w:ascii="宋体" w:hAnsi="宋体" w:cs="宋体" w:eastAsia="宋体" w:hint="default"/>
                <w:sz w:val="21"/>
                <w:szCs w:val="21"/>
              </w:rPr>
              <w:t>天津市泰达工程设计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59.74%</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3"/>
              <w:ind w:left="105" w:right="194"/>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99"/>
                <w:sz w:val="21"/>
                <w:szCs w:val="21"/>
              </w:rPr>
              <w:t> </w:t>
            </w:r>
            <w:r>
              <w:rPr>
                <w:rFonts w:ascii="宋体" w:hAnsi="宋体" w:cs="宋体" w:eastAsia="宋体" w:hint="default"/>
                <w:sz w:val="21"/>
                <w:szCs w:val="21"/>
              </w:rPr>
              <w:t>下购并</w:t>
            </w:r>
          </w:p>
        </w:tc>
      </w:tr>
      <w:tr>
        <w:trPr>
          <w:trHeight w:val="403"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苏州开关二厂有限公</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苏州市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70.00%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非同一控制</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142"/>
        <w:gridCol w:w="1051"/>
        <w:gridCol w:w="913"/>
        <w:gridCol w:w="1368"/>
        <w:gridCol w:w="1560"/>
        <w:gridCol w:w="1172"/>
        <w:gridCol w:w="1369"/>
      </w:tblGrid>
      <w:tr>
        <w:trPr>
          <w:trHeight w:val="360"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051"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下购并</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北京中电兴发科技有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94"/>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99"/>
                <w:sz w:val="21"/>
                <w:szCs w:val="21"/>
              </w:rPr>
              <w:t> </w:t>
            </w:r>
            <w:r>
              <w:rPr>
                <w:rFonts w:ascii="宋体" w:hAnsi="宋体" w:cs="宋体" w:eastAsia="宋体" w:hint="default"/>
                <w:sz w:val="21"/>
                <w:szCs w:val="21"/>
              </w:rPr>
              <w:t>下购并</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28"/>
              <w:ind w:left="105" w:right="201"/>
              <w:jc w:val="left"/>
              <w:rPr>
                <w:rFonts w:ascii="宋体" w:hAnsi="宋体" w:cs="宋体" w:eastAsia="宋体" w:hint="default"/>
                <w:sz w:val="21"/>
                <w:szCs w:val="21"/>
              </w:rPr>
            </w:pPr>
            <w:r>
              <w:rPr>
                <w:rFonts w:ascii="宋体" w:hAnsi="宋体" w:cs="宋体" w:eastAsia="宋体" w:hint="default"/>
                <w:sz w:val="21"/>
                <w:szCs w:val="21"/>
              </w:rPr>
              <w:t>信诺非凡</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科技</w:t>
            </w:r>
            <w:r>
              <w:rPr>
                <w:rFonts w:ascii="宋体" w:hAnsi="宋体" w:cs="宋体" w:eastAsia="宋体" w:hint="default"/>
                <w:spacing w:val="-103"/>
                <w:sz w:val="21"/>
                <w:szCs w:val="21"/>
              </w:rPr>
              <w:t> </w:t>
            </w:r>
            <w:r>
              <w:rPr>
                <w:rFonts w:ascii="宋体" w:hAnsi="宋体" w:cs="宋体" w:eastAsia="宋体" w:hint="default"/>
                <w:sz w:val="21"/>
                <w:szCs w:val="21"/>
              </w:rPr>
              <w:t>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94"/>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99"/>
                <w:sz w:val="21"/>
                <w:szCs w:val="21"/>
              </w:rPr>
              <w:t> </w:t>
            </w:r>
            <w:r>
              <w:rPr>
                <w:rFonts w:ascii="宋体" w:hAnsi="宋体" w:cs="宋体" w:eastAsia="宋体" w:hint="default"/>
                <w:sz w:val="21"/>
                <w:szCs w:val="21"/>
              </w:rPr>
              <w:t>下购并</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中电兴发机器人技术</w:t>
            </w:r>
          </w:p>
          <w:p>
            <w:pPr>
              <w:pStyle w:val="TableParagraph"/>
              <w:spacing w:line="240" w:lineRule="auto" w:before="37"/>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68.00%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1"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安徽杰偌新材料技术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安徽鑫龙电器股份有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1028"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3" w:lineRule="auto"/>
              <w:ind w:left="105" w:right="128"/>
              <w:jc w:val="left"/>
              <w:rPr>
                <w:rFonts w:ascii="宋体" w:hAnsi="宋体" w:cs="宋体" w:eastAsia="宋体" w:hint="default"/>
                <w:sz w:val="21"/>
                <w:szCs w:val="21"/>
              </w:rPr>
            </w:pPr>
            <w:r>
              <w:rPr>
                <w:rFonts w:ascii="宋体" w:hAnsi="宋体" w:cs="宋体" w:eastAsia="宋体" w:hint="default"/>
                <w:sz w:val="21"/>
                <w:szCs w:val="21"/>
              </w:rPr>
              <w:t>安徽龙玺新能源科技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95"/>
              <w:jc w:val="both"/>
              <w:rPr>
                <w:rFonts w:ascii="宋体" w:hAnsi="宋体" w:cs="宋体" w:eastAsia="宋体" w:hint="default"/>
                <w:sz w:val="21"/>
                <w:szCs w:val="21"/>
              </w:rPr>
            </w:pPr>
            <w:r>
              <w:rPr>
                <w:rFonts w:ascii="宋体" w:hAnsi="宋体" w:cs="宋体" w:eastAsia="宋体" w:hint="default"/>
                <w:sz w:val="21"/>
                <w:szCs w:val="21"/>
              </w:rPr>
              <w:t>新能源技术</w:t>
            </w:r>
            <w:r>
              <w:rPr>
                <w:rFonts w:ascii="宋体" w:hAnsi="宋体" w:cs="宋体" w:eastAsia="宋体" w:hint="default"/>
                <w:spacing w:val="-99"/>
                <w:sz w:val="21"/>
                <w:szCs w:val="21"/>
              </w:rPr>
              <w:t> </w:t>
            </w:r>
            <w:r>
              <w:rPr>
                <w:rFonts w:ascii="宋体" w:hAnsi="宋体" w:cs="宋体" w:eastAsia="宋体" w:hint="default"/>
                <w:sz w:val="21"/>
                <w:szCs w:val="21"/>
              </w:rPr>
              <w:t>研发、新能</w:t>
            </w:r>
            <w:r>
              <w:rPr>
                <w:rFonts w:ascii="宋体" w:hAnsi="宋体" w:cs="宋体" w:eastAsia="宋体" w:hint="default"/>
                <w:spacing w:val="-99"/>
                <w:sz w:val="21"/>
                <w:szCs w:val="21"/>
              </w:rPr>
              <w:t> </w:t>
            </w:r>
            <w:r>
              <w:rPr>
                <w:rFonts w:ascii="宋体" w:hAnsi="宋体" w:cs="宋体" w:eastAsia="宋体" w:hint="default"/>
                <w:sz w:val="21"/>
                <w:szCs w:val="21"/>
              </w:rPr>
              <w:t>源汽车租赁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0"/>
              <w:ind w:right="95"/>
              <w:jc w:val="right"/>
              <w:rPr>
                <w:rFonts w:ascii="Times New Roman" w:hAnsi="Times New Roman" w:cs="Times New Roman" w:eastAsia="Times New Roman" w:hint="default"/>
                <w:sz w:val="21"/>
                <w:szCs w:val="21"/>
              </w:rPr>
            </w:pPr>
            <w:r>
              <w:rPr>
                <w:rFonts w:ascii="Times New Roman"/>
                <w:sz w:val="21"/>
              </w:rPr>
              <w:t>65.00%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红河智慧科技有限公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蒙自市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蒙自市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51.00%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4"/>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99"/>
                <w:sz w:val="21"/>
                <w:szCs w:val="21"/>
              </w:rPr>
              <w:t> </w:t>
            </w:r>
            <w:r>
              <w:rPr>
                <w:rFonts w:ascii="宋体" w:hAnsi="宋体" w:cs="宋体" w:eastAsia="宋体" w:hint="default"/>
                <w:sz w:val="21"/>
                <w:szCs w:val="21"/>
              </w:rPr>
              <w:t>下购并</w:t>
            </w:r>
          </w:p>
        </w:tc>
      </w:tr>
      <w:tr>
        <w:trPr>
          <w:trHeight w:val="711"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云南红河智慧城市互</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联网发展有限公司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蒙自市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蒙自市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互联网开发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4"/>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99"/>
                <w:sz w:val="21"/>
                <w:szCs w:val="21"/>
              </w:rPr>
              <w:t> </w:t>
            </w:r>
            <w:r>
              <w:rPr>
                <w:rFonts w:ascii="宋体" w:hAnsi="宋体" w:cs="宋体" w:eastAsia="宋体" w:hint="default"/>
                <w:sz w:val="21"/>
                <w:szCs w:val="21"/>
              </w:rPr>
              <w:t>下购并</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红河智慧旅游信息发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展有限公司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蒙自市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蒙自市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旅游开发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62.00%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94"/>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99"/>
                <w:sz w:val="21"/>
                <w:szCs w:val="21"/>
              </w:rPr>
              <w:t> </w:t>
            </w:r>
            <w:r>
              <w:rPr>
                <w:rFonts w:ascii="宋体" w:hAnsi="宋体" w:cs="宋体" w:eastAsia="宋体" w:hint="default"/>
                <w:sz w:val="21"/>
                <w:szCs w:val="21"/>
              </w:rPr>
              <w:t>下购并</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9"/>
              <w:jc w:val="left"/>
              <w:rPr>
                <w:rFonts w:ascii="宋体" w:hAnsi="宋体" w:cs="宋体" w:eastAsia="宋体" w:hint="default"/>
                <w:sz w:val="21"/>
                <w:szCs w:val="21"/>
              </w:rPr>
            </w:pPr>
            <w:r>
              <w:rPr>
                <w:rFonts w:ascii="宋体" w:hAnsi="宋体" w:cs="宋体" w:eastAsia="宋体" w:hint="default"/>
                <w:sz w:val="21"/>
                <w:szCs w:val="21"/>
              </w:rPr>
              <w:t>安徽鑫畅达轨道交通</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电气有限公司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安徽鑫龙售电有限公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电力销售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0"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云南中电典基网络科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技有限公司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昆明市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昆明市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9"/>
              <w:ind w:left="105" w:right="128"/>
              <w:jc w:val="left"/>
              <w:rPr>
                <w:rFonts w:ascii="宋体" w:hAnsi="宋体" w:cs="宋体" w:eastAsia="宋体" w:hint="default"/>
                <w:sz w:val="21"/>
                <w:szCs w:val="21"/>
              </w:rPr>
            </w:pPr>
            <w:r>
              <w:rPr>
                <w:rFonts w:ascii="宋体" w:hAnsi="宋体" w:cs="宋体" w:eastAsia="宋体" w:hint="default"/>
                <w:sz w:val="21"/>
                <w:szCs w:val="21"/>
              </w:rPr>
              <w:t>伊宁县智慧城市信息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科技有限公司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伊宁县</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伊宁县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95.00%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天津滨龙工程管理咨</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询有限公司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造价咨询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苏州天平安装工程有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苏州市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安装劳务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99.88%</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4"/>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99"/>
                <w:sz w:val="21"/>
                <w:szCs w:val="21"/>
              </w:rPr>
              <w:t> </w:t>
            </w:r>
            <w:r>
              <w:rPr>
                <w:rFonts w:ascii="宋体" w:hAnsi="宋体" w:cs="宋体" w:eastAsia="宋体" w:hint="default"/>
                <w:sz w:val="21"/>
                <w:szCs w:val="21"/>
              </w:rPr>
              <w:t>下购并</w:t>
            </w:r>
          </w:p>
        </w:tc>
      </w:tr>
      <w:tr>
        <w:trPr>
          <w:trHeight w:val="710"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9"/>
              <w:jc w:val="left"/>
              <w:rPr>
                <w:rFonts w:ascii="宋体" w:hAnsi="宋体" w:cs="宋体" w:eastAsia="宋体" w:hint="default"/>
                <w:sz w:val="21"/>
                <w:szCs w:val="21"/>
              </w:rPr>
            </w:pPr>
            <w:r>
              <w:rPr>
                <w:rFonts w:ascii="宋体" w:hAnsi="宋体" w:cs="宋体" w:eastAsia="宋体" w:hint="default"/>
                <w:sz w:val="21"/>
                <w:szCs w:val="21"/>
              </w:rPr>
              <w:t>安徽中电兴发科技有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中电兴发软件研发</w:t>
            </w:r>
          </w:p>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（北京）有限公司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9"/>
              <w:ind w:left="105" w:right="128"/>
              <w:jc w:val="left"/>
              <w:rPr>
                <w:rFonts w:ascii="宋体" w:hAnsi="宋体" w:cs="宋体" w:eastAsia="宋体" w:hint="default"/>
                <w:sz w:val="21"/>
                <w:szCs w:val="21"/>
              </w:rPr>
            </w:pPr>
            <w:r>
              <w:rPr>
                <w:rFonts w:ascii="宋体" w:hAnsi="宋体" w:cs="宋体" w:eastAsia="宋体" w:hint="default"/>
                <w:sz w:val="21"/>
                <w:szCs w:val="21"/>
              </w:rPr>
              <w:t>北京普天智慧科技有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403"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枣强县智慧城市信息</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枣强县</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枣强县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142"/>
        <w:gridCol w:w="1051"/>
        <w:gridCol w:w="913"/>
        <w:gridCol w:w="1368"/>
        <w:gridCol w:w="1560"/>
        <w:gridCol w:w="1172"/>
        <w:gridCol w:w="1369"/>
      </w:tblGrid>
      <w:tr>
        <w:trPr>
          <w:trHeight w:val="360"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技术服务有限公司</w:t>
            </w:r>
          </w:p>
        </w:tc>
        <w:tc>
          <w:tcPr>
            <w:tcW w:w="1051" w:type="dxa"/>
            <w:tcBorders>
              <w:top w:val="single" w:sz="4" w:space="0" w:color="000000"/>
              <w:left w:val="single" w:sz="4" w:space="0" w:color="000000"/>
              <w:bottom w:val="single" w:sz="4" w:space="0" w:color="000000"/>
              <w:right w:val="single" w:sz="4" w:space="0" w:color="000000"/>
            </w:tcBorders>
          </w:tcPr>
          <w:p>
            <w:pPr/>
          </w:p>
        </w:tc>
        <w:tc>
          <w:tcPr>
            <w:tcW w:w="91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9"/>
              <w:jc w:val="left"/>
              <w:rPr>
                <w:rFonts w:ascii="宋体" w:hAnsi="宋体" w:cs="宋体" w:eastAsia="宋体" w:hint="default"/>
                <w:sz w:val="21"/>
                <w:szCs w:val="21"/>
              </w:rPr>
            </w:pPr>
            <w:r>
              <w:rPr>
                <w:rFonts w:ascii="宋体" w:hAnsi="宋体" w:cs="宋体" w:eastAsia="宋体" w:hint="default"/>
                <w:spacing w:val="-8"/>
                <w:sz w:val="21"/>
                <w:szCs w:val="21"/>
              </w:rPr>
              <w:t>中普慧园科技（北京）</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凤凰智慧城市管理运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营有限责任公司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凤凰县</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凤凰县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80.00%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云南中电新联通信网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络有限公司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昆明市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昆明市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1"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昭通中典联网络科技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昭通市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昭通市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通讯开发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68.00%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昭通欣联企业管理有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限合伙企业</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昭通市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昭通市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企业管理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44.07%</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曲靖中典联网络科技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曲靖市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曲靖市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通讯开发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68.00%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曲靖卓联企业管理合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伙企业（有限合伙）</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曲靖市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曲靖市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企业管理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40.63%</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0"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普洱中典联网络科技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普洱市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普洱市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通讯开发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68.00%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9"/>
              <w:jc w:val="left"/>
              <w:rPr>
                <w:rFonts w:ascii="宋体" w:hAnsi="宋体" w:cs="宋体" w:eastAsia="宋体" w:hint="default"/>
                <w:sz w:val="21"/>
                <w:szCs w:val="21"/>
              </w:rPr>
            </w:pPr>
            <w:r>
              <w:rPr>
                <w:rFonts w:ascii="宋体" w:hAnsi="宋体" w:cs="宋体" w:eastAsia="宋体" w:hint="default"/>
                <w:sz w:val="21"/>
                <w:szCs w:val="21"/>
              </w:rPr>
              <w:t>普洱卓联企业管理合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伙企业（有限合伙）</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普洱市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普洱市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企业管理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55.41%</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楚雄彝州云数据科技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楚雄市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楚雄市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通讯开发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68.00%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9"/>
              <w:jc w:val="left"/>
              <w:rPr>
                <w:rFonts w:ascii="宋体" w:hAnsi="宋体" w:cs="宋体" w:eastAsia="宋体" w:hint="default"/>
                <w:sz w:val="21"/>
                <w:szCs w:val="21"/>
              </w:rPr>
            </w:pPr>
            <w:r>
              <w:rPr>
                <w:rFonts w:ascii="宋体" w:hAnsi="宋体" w:cs="宋体" w:eastAsia="宋体" w:hint="default"/>
                <w:sz w:val="21"/>
                <w:szCs w:val="21"/>
              </w:rPr>
              <w:t>楚雄市卓联企业管理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8"/>
                <w:sz w:val="21"/>
                <w:szCs w:val="21"/>
              </w:rPr>
              <w:t>合伙企业（有限合伙）</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楚雄市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楚雄市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企业管理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40.63%</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出资设立</w:t>
            </w:r>
          </w:p>
        </w:tc>
      </w:tr>
      <w:tr>
        <w:trPr>
          <w:trHeight w:val="710"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湖南恒联通达信息科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技有限公司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长沙市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4"/>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99"/>
                <w:sz w:val="21"/>
                <w:szCs w:val="21"/>
              </w:rPr>
              <w:t> </w:t>
            </w:r>
            <w:r>
              <w:rPr>
                <w:rFonts w:ascii="宋体" w:hAnsi="宋体" w:cs="宋体" w:eastAsia="宋体" w:hint="default"/>
                <w:sz w:val="21"/>
                <w:szCs w:val="21"/>
              </w:rPr>
              <w:t>下购并</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湖北楚兴联怡网络技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术有限公司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湖北市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湖北市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新设成立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恒联通达信息科技河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北有限公司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石家庄</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石家庄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80.00%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新设成立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四川恒联通达信息科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技有限公司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80.00%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新设成立</w:t>
            </w:r>
          </w:p>
        </w:tc>
      </w:tr>
      <w:tr>
        <w:trPr>
          <w:trHeight w:val="711"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湖南时空大数据管理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娄底市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娄底市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95.00%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新设成立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新疆云尚智慧科技有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300"/>
              <w:jc w:val="left"/>
              <w:rPr>
                <w:rFonts w:ascii="宋体" w:hAnsi="宋体" w:cs="宋体" w:eastAsia="宋体" w:hint="default"/>
                <w:sz w:val="21"/>
                <w:szCs w:val="21"/>
              </w:rPr>
            </w:pPr>
            <w:r>
              <w:rPr>
                <w:rFonts w:ascii="宋体" w:hAnsi="宋体" w:cs="宋体" w:eastAsia="宋体" w:hint="default"/>
                <w:sz w:val="21"/>
                <w:szCs w:val="21"/>
              </w:rPr>
              <w:t>乌鲁木</w:t>
            </w:r>
            <w:r>
              <w:rPr>
                <w:rFonts w:ascii="宋体" w:hAnsi="宋体" w:cs="宋体" w:eastAsia="宋体" w:hint="default"/>
                <w:spacing w:val="-102"/>
                <w:sz w:val="21"/>
                <w:szCs w:val="21"/>
              </w:rPr>
              <w:t> </w:t>
            </w:r>
            <w:r>
              <w:rPr>
                <w:rFonts w:ascii="宋体" w:hAnsi="宋体" w:cs="宋体" w:eastAsia="宋体" w:hint="default"/>
                <w:sz w:val="21"/>
                <w:szCs w:val="21"/>
              </w:rPr>
              <w:t>齐</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6" w:right="161"/>
              <w:jc w:val="left"/>
              <w:rPr>
                <w:rFonts w:ascii="宋体" w:hAnsi="宋体" w:cs="宋体" w:eastAsia="宋体" w:hint="default"/>
                <w:sz w:val="21"/>
                <w:szCs w:val="21"/>
              </w:rPr>
            </w:pPr>
            <w:r>
              <w:rPr>
                <w:rFonts w:ascii="宋体" w:hAnsi="宋体" w:cs="宋体" w:eastAsia="宋体" w:hint="default"/>
                <w:sz w:val="21"/>
                <w:szCs w:val="21"/>
              </w:rPr>
              <w:t>乌鲁木</w:t>
            </w:r>
            <w:r>
              <w:rPr>
                <w:rFonts w:ascii="宋体" w:hAnsi="宋体" w:cs="宋体" w:eastAsia="宋体" w:hint="default"/>
                <w:spacing w:val="-102"/>
                <w:sz w:val="21"/>
                <w:szCs w:val="21"/>
              </w:rPr>
              <w:t> </w:t>
            </w:r>
            <w:r>
              <w:rPr>
                <w:rFonts w:ascii="宋体" w:hAnsi="宋体" w:cs="宋体" w:eastAsia="宋体" w:hint="default"/>
                <w:sz w:val="21"/>
                <w:szCs w:val="21"/>
              </w:rPr>
              <w:t>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新设成立</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中电兴发智享科技</w:t>
            </w:r>
          </w:p>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（成都）有限公司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67.00%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新设成立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四川中电兴发云尚科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技有限公司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67.00%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新设成立</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528" w:type="dxa"/>
        <w:tblLayout w:type="fixed"/>
        <w:tblCellMar>
          <w:top w:w="0" w:type="dxa"/>
          <w:left w:w="0" w:type="dxa"/>
          <w:bottom w:w="0" w:type="dxa"/>
          <w:right w:w="0" w:type="dxa"/>
        </w:tblCellMar>
        <w:tblLook w:val="01E0"/>
      </w:tblPr>
      <w:tblGrid>
        <w:gridCol w:w="2142"/>
        <w:gridCol w:w="1051"/>
        <w:gridCol w:w="913"/>
        <w:gridCol w:w="1368"/>
        <w:gridCol w:w="1560"/>
        <w:gridCol w:w="1172"/>
        <w:gridCol w:w="1369"/>
      </w:tblGrid>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中电兴发工程管理</w:t>
            </w:r>
          </w:p>
          <w:p>
            <w:pPr>
              <w:pStyle w:val="TableParagraph"/>
              <w:spacing w:line="240" w:lineRule="auto" w:before="37"/>
              <w:ind w:left="105" w:right="0"/>
              <w:jc w:val="left"/>
              <w:rPr>
                <w:rFonts w:ascii="宋体" w:hAnsi="宋体" w:cs="宋体" w:eastAsia="宋体" w:hint="default"/>
                <w:sz w:val="21"/>
                <w:szCs w:val="21"/>
              </w:rPr>
            </w:pPr>
            <w:r>
              <w:rPr>
                <w:rFonts w:ascii="宋体" w:hAnsi="宋体" w:cs="宋体" w:eastAsia="宋体" w:hint="default"/>
                <w:sz w:val="21"/>
                <w:szCs w:val="21"/>
              </w:rPr>
              <w:t>（北京）有限公司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80.00%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新设成立</w:t>
            </w:r>
          </w:p>
        </w:tc>
      </w:tr>
      <w:tr>
        <w:trPr>
          <w:trHeight w:val="711"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湖南易晟通信网络技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术有限公司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长沙市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技术开发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4"/>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99"/>
                <w:sz w:val="21"/>
                <w:szCs w:val="21"/>
              </w:rPr>
              <w:t> </w:t>
            </w:r>
            <w:r>
              <w:rPr>
                <w:rFonts w:ascii="宋体" w:hAnsi="宋体" w:cs="宋体" w:eastAsia="宋体" w:hint="default"/>
                <w:sz w:val="21"/>
                <w:szCs w:val="21"/>
              </w:rPr>
              <w:t>下购并</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3"/>
              <w:ind w:left="105" w:right="128"/>
              <w:jc w:val="left"/>
              <w:rPr>
                <w:rFonts w:ascii="宋体" w:hAnsi="宋体" w:cs="宋体" w:eastAsia="宋体" w:hint="default"/>
                <w:sz w:val="21"/>
                <w:szCs w:val="21"/>
              </w:rPr>
            </w:pPr>
            <w:r>
              <w:rPr>
                <w:rFonts w:ascii="宋体" w:hAnsi="宋体" w:cs="宋体" w:eastAsia="宋体" w:hint="default"/>
                <w:sz w:val="21"/>
                <w:szCs w:val="21"/>
              </w:rPr>
              <w:t>芜湖中电兴发科技有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新设成立</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开封云聚锦尚数据管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理有限公司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开封市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开封市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90.00%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新设成立</w:t>
            </w:r>
          </w:p>
        </w:tc>
      </w:tr>
      <w:tr>
        <w:trPr>
          <w:trHeight w:val="715"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赫章县融源信息技术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赫章县</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赫章县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4"/>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99"/>
                <w:sz w:val="21"/>
                <w:szCs w:val="21"/>
              </w:rPr>
              <w:t> </w:t>
            </w:r>
            <w:r>
              <w:rPr>
                <w:rFonts w:ascii="宋体" w:hAnsi="宋体" w:cs="宋体" w:eastAsia="宋体" w:hint="default"/>
                <w:sz w:val="21"/>
                <w:szCs w:val="21"/>
              </w:rPr>
              <w:t>下购并</w:t>
            </w:r>
          </w:p>
        </w:tc>
      </w:tr>
      <w:tr>
        <w:trPr>
          <w:trHeight w:val="710"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28"/>
              <w:jc w:val="left"/>
              <w:rPr>
                <w:rFonts w:ascii="宋体" w:hAnsi="宋体" w:cs="宋体" w:eastAsia="宋体" w:hint="default"/>
                <w:sz w:val="21"/>
                <w:szCs w:val="21"/>
              </w:rPr>
            </w:pPr>
            <w:r>
              <w:rPr>
                <w:rFonts w:ascii="宋体" w:hAnsi="宋体" w:cs="宋体" w:eastAsia="宋体" w:hint="default"/>
                <w:sz w:val="21"/>
                <w:szCs w:val="21"/>
              </w:rPr>
              <w:t>湖南中电兴发科技有</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长沙市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系统集成</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新设成立</w:t>
            </w:r>
          </w:p>
        </w:tc>
      </w:tr>
      <w:tr>
        <w:trPr>
          <w:trHeight w:val="716" w:hRule="exact"/>
        </w:trPr>
        <w:tc>
          <w:tcPr>
            <w:tcW w:w="21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33"/>
              <w:ind w:left="105" w:right="128"/>
              <w:jc w:val="left"/>
              <w:rPr>
                <w:rFonts w:ascii="宋体" w:hAnsi="宋体" w:cs="宋体" w:eastAsia="宋体" w:hint="default"/>
                <w:sz w:val="21"/>
                <w:szCs w:val="21"/>
              </w:rPr>
            </w:pPr>
            <w:r>
              <w:rPr>
                <w:rFonts w:ascii="宋体" w:hAnsi="宋体" w:cs="宋体" w:eastAsia="宋体" w:hint="default"/>
                <w:sz w:val="21"/>
                <w:szCs w:val="21"/>
              </w:rPr>
              <w:t>陕西中电兴发智享科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技有限公司</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西安市</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软件开发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90.00%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新设成立</w:t>
            </w:r>
          </w:p>
        </w:tc>
      </w:tr>
    </w:tbl>
    <w:p>
      <w:pPr>
        <w:pStyle w:val="BodyText"/>
        <w:spacing w:line="307" w:lineRule="auto" w:before="28"/>
        <w:ind w:left="533" w:right="1117"/>
        <w:jc w:val="left"/>
      </w:pPr>
      <w:r>
        <w:rPr/>
        <w:t>在子公司的持股比例不同于表决权比例的说明：</w:t>
      </w:r>
      <w:r>
        <w:rPr>
          <w:spacing w:val="-100"/>
        </w:rPr>
        <w:t> </w:t>
      </w:r>
      <w:r>
        <w:rPr>
          <w:spacing w:val="-100"/>
        </w:rPr>
      </w:r>
      <w:r>
        <w:rPr>
          <w:spacing w:val="-2"/>
        </w:rPr>
        <w:t>持有半数或以下表决权但仍控制被投资单位、以及持有半数以上表决权但不控制被投资单位的依据：</w:t>
      </w:r>
      <w:r>
        <w:rPr>
          <w:spacing w:val="-15"/>
        </w:rPr>
        <w:t> </w:t>
      </w:r>
      <w:r>
        <w:rPr>
          <w:spacing w:val="-15"/>
        </w:rPr>
      </w:r>
      <w:r>
        <w:rPr/>
        <w:t>对于纳入合并范围的重要的结构化主体，控制的依据：</w:t>
      </w:r>
    </w:p>
    <w:p>
      <w:pPr>
        <w:pStyle w:val="BodyText"/>
        <w:spacing w:line="307" w:lineRule="auto" w:before="22"/>
        <w:ind w:left="533" w:right="6188"/>
        <w:jc w:val="left"/>
      </w:pPr>
      <w:r>
        <w:rPr>
          <w:spacing w:val="-1"/>
        </w:rPr>
        <w:t>确定公司是代理人还是委托人的依据：</w:t>
      </w:r>
      <w:r>
        <w:rPr>
          <w:spacing w:val="-83"/>
        </w:rPr>
        <w:t> </w:t>
      </w:r>
      <w:r>
        <w:rPr>
          <w:spacing w:val="-83"/>
        </w:rPr>
      </w:r>
      <w:r>
        <w:rPr/>
        <w:t>其他说明：</w:t>
      </w:r>
    </w:p>
    <w:p>
      <w:pPr>
        <w:spacing w:line="240" w:lineRule="auto" w:before="9"/>
        <w:rPr>
          <w:rFonts w:ascii="宋体" w:hAnsi="宋体" w:cs="宋体" w:eastAsia="宋体" w:hint="default"/>
          <w:sz w:val="20"/>
          <w:szCs w:val="20"/>
        </w:rPr>
      </w:pPr>
    </w:p>
    <w:p>
      <w:pPr>
        <w:pStyle w:val="Heading5"/>
        <w:spacing w:line="240" w:lineRule="auto"/>
        <w:ind w:left="533" w:right="1117"/>
        <w:jc w:val="left"/>
        <w:rPr>
          <w:b w:val="0"/>
          <w:bCs w:val="0"/>
        </w:rPr>
      </w:pPr>
      <w:bookmarkStart w:name="（2）重要的非全资子公司" w:id="449"/>
      <w:bookmarkEnd w:id="449"/>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52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宋体" w:hAnsi="宋体" w:cs="宋体" w:eastAsia="宋体" w:hint="default"/>
                <w:sz w:val="21"/>
                <w:szCs w:val="21"/>
              </w:rPr>
            </w:pPr>
            <w:r>
              <w:rPr>
                <w:rFonts w:ascii="宋体" w:hAnsi="宋体" w:cs="宋体" w:eastAsia="宋体" w:hint="default"/>
                <w:spacing w:val="-1"/>
                <w:sz w:val="21"/>
                <w:szCs w:val="21"/>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2"/>
              <w:ind w:left="532" w:right="104" w:hanging="418"/>
              <w:jc w:val="left"/>
              <w:rPr>
                <w:rFonts w:ascii="宋体" w:hAnsi="宋体" w:cs="宋体" w:eastAsia="宋体" w:hint="default"/>
                <w:sz w:val="21"/>
                <w:szCs w:val="21"/>
              </w:rPr>
            </w:pPr>
            <w:r>
              <w:rPr>
                <w:rFonts w:ascii="宋体" w:hAnsi="宋体" w:cs="宋体" w:eastAsia="宋体" w:hint="default"/>
                <w:sz w:val="21"/>
                <w:szCs w:val="21"/>
              </w:rPr>
              <w:t>本期归属于少数股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东的损益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2"/>
              <w:ind w:left="321" w:right="104" w:hanging="212"/>
              <w:jc w:val="left"/>
              <w:rPr>
                <w:rFonts w:ascii="宋体" w:hAnsi="宋体" w:cs="宋体" w:eastAsia="宋体" w:hint="default"/>
                <w:sz w:val="21"/>
                <w:szCs w:val="21"/>
              </w:rPr>
            </w:pPr>
            <w:r>
              <w:rPr>
                <w:rFonts w:ascii="宋体" w:hAnsi="宋体" w:cs="宋体" w:eastAsia="宋体" w:hint="default"/>
                <w:sz w:val="21"/>
                <w:szCs w:val="21"/>
              </w:rPr>
              <w:t>本期向少数股东宣</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告分派的股利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52"/>
              <w:ind w:left="744" w:right="104" w:hanging="630"/>
              <w:jc w:val="left"/>
              <w:rPr>
                <w:rFonts w:ascii="宋体" w:hAnsi="宋体" w:cs="宋体" w:eastAsia="宋体" w:hint="default"/>
                <w:sz w:val="21"/>
                <w:szCs w:val="21"/>
              </w:rPr>
            </w:pPr>
            <w:r>
              <w:rPr>
                <w:rFonts w:ascii="宋体" w:hAnsi="宋体" w:cs="宋体" w:eastAsia="宋体" w:hint="default"/>
                <w:sz w:val="21"/>
                <w:szCs w:val="21"/>
              </w:rPr>
              <w:t>期末少数股东权益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余额</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安徽佑赛科技股份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626,098.69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12,635,173.84</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天津市泰达工程设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40.26%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4,072,534.19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1,261,080.32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53,887,157.27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苏州开关二厂有限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z w:val="21"/>
              </w:rPr>
              <w:t>30.00%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8,779,018.85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91,329,550.37</w:t>
            </w:r>
          </w:p>
        </w:tc>
      </w:tr>
    </w:tbl>
    <w:p>
      <w:pPr>
        <w:pStyle w:val="BodyText"/>
        <w:spacing w:line="309" w:lineRule="auto" w:before="28"/>
        <w:ind w:left="533" w:right="4749"/>
        <w:jc w:val="left"/>
      </w:pPr>
      <w:r>
        <w:rPr>
          <w:spacing w:val="-2"/>
        </w:rPr>
        <w:t>子公司少数股东的持股比例不同于表决权比例的说明：</w:t>
      </w:r>
      <w:r>
        <w:rPr>
          <w:spacing w:val="-59"/>
        </w:rPr>
        <w:t> </w:t>
      </w:r>
      <w:r>
        <w:rPr>
          <w:spacing w:val="-59"/>
        </w:rPr>
      </w:r>
      <w:r>
        <w:rPr/>
        <w:t>其他说明：</w:t>
      </w:r>
    </w:p>
    <w:p>
      <w:pPr>
        <w:spacing w:line="240" w:lineRule="auto" w:before="7"/>
        <w:rPr>
          <w:rFonts w:ascii="宋体" w:hAnsi="宋体" w:cs="宋体" w:eastAsia="宋体" w:hint="default"/>
          <w:sz w:val="20"/>
          <w:szCs w:val="20"/>
        </w:rPr>
      </w:pPr>
    </w:p>
    <w:p>
      <w:pPr>
        <w:pStyle w:val="Heading5"/>
        <w:spacing w:line="240" w:lineRule="auto"/>
        <w:ind w:left="533" w:right="1117"/>
        <w:jc w:val="left"/>
        <w:rPr>
          <w:b w:val="0"/>
          <w:bCs w:val="0"/>
        </w:rPr>
      </w:pPr>
      <w:bookmarkStart w:name="（3）重要非全资子公司的主要财务信息" w:id="450"/>
      <w:bookmarkEnd w:id="450"/>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157"/>
        <w:gridCol w:w="740"/>
        <w:gridCol w:w="735"/>
        <w:gridCol w:w="734"/>
        <w:gridCol w:w="740"/>
        <w:gridCol w:w="734"/>
        <w:gridCol w:w="735"/>
        <w:gridCol w:w="735"/>
        <w:gridCol w:w="734"/>
        <w:gridCol w:w="735"/>
        <w:gridCol w:w="739"/>
        <w:gridCol w:w="735"/>
        <w:gridCol w:w="739"/>
      </w:tblGrid>
      <w:tr>
        <w:trPr>
          <w:trHeight w:val="403" w:hRule="exact"/>
        </w:trPr>
        <w:tc>
          <w:tcPr>
            <w:tcW w:w="115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57"/>
              <w:ind w:left="470" w:right="146" w:hanging="317"/>
              <w:jc w:val="left"/>
              <w:rPr>
                <w:rFonts w:ascii="宋体" w:hAnsi="宋体" w:cs="宋体" w:eastAsia="宋体" w:hint="default"/>
                <w:sz w:val="21"/>
                <w:szCs w:val="21"/>
              </w:rPr>
            </w:pPr>
            <w:r>
              <w:rPr>
                <w:rFonts w:ascii="宋体" w:hAnsi="宋体" w:cs="宋体" w:eastAsia="宋体" w:hint="default"/>
                <w:sz w:val="21"/>
                <w:szCs w:val="21"/>
              </w:rPr>
              <w:t>子公司名</w:t>
            </w:r>
            <w:r>
              <w:rPr>
                <w:rFonts w:ascii="宋体" w:hAnsi="宋体" w:cs="宋体" w:eastAsia="宋体" w:hint="default"/>
                <w:spacing w:val="-101"/>
                <w:sz w:val="21"/>
                <w:szCs w:val="21"/>
              </w:rPr>
              <w:t> </w:t>
            </w:r>
            <w:r>
              <w:rPr>
                <w:rFonts w:ascii="宋体" w:hAnsi="宋体" w:cs="宋体" w:eastAsia="宋体" w:hint="default"/>
                <w:sz w:val="21"/>
                <w:szCs w:val="21"/>
              </w:rPr>
              <w:t>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65" w:hRule="exact"/>
        </w:trPr>
        <w:tc>
          <w:tcPr>
            <w:tcW w:w="1157"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4" w:right="0"/>
              <w:jc w:val="left"/>
              <w:rPr>
                <w:rFonts w:ascii="宋体" w:hAnsi="宋体" w:cs="宋体" w:eastAsia="宋体" w:hint="default"/>
                <w:sz w:val="21"/>
                <w:szCs w:val="21"/>
              </w:rPr>
            </w:pPr>
            <w:r>
              <w:rPr>
                <w:rFonts w:ascii="宋体" w:hAnsi="宋体" w:cs="宋体" w:eastAsia="宋体" w:hint="default"/>
                <w:sz w:val="21"/>
                <w:szCs w:val="21"/>
              </w:rPr>
              <w:t>流动</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8" w:right="0"/>
              <w:jc w:val="left"/>
              <w:rPr>
                <w:rFonts w:ascii="宋体" w:hAnsi="宋体" w:cs="宋体" w:eastAsia="宋体" w:hint="default"/>
                <w:sz w:val="21"/>
                <w:szCs w:val="21"/>
              </w:rPr>
            </w:pPr>
            <w:r>
              <w:rPr>
                <w:rFonts w:ascii="宋体" w:hAnsi="宋体" w:cs="宋体" w:eastAsia="宋体" w:hint="default"/>
                <w:sz w:val="21"/>
                <w:szCs w:val="21"/>
              </w:rPr>
              <w:t>非流</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流动</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8" w:right="0"/>
              <w:jc w:val="left"/>
              <w:rPr>
                <w:rFonts w:ascii="宋体" w:hAnsi="宋体" w:cs="宋体" w:eastAsia="宋体" w:hint="default"/>
                <w:sz w:val="21"/>
                <w:szCs w:val="21"/>
              </w:rPr>
            </w:pPr>
            <w:r>
              <w:rPr>
                <w:rFonts w:ascii="宋体" w:hAnsi="宋体" w:cs="宋体" w:eastAsia="宋体" w:hint="default"/>
                <w:sz w:val="21"/>
                <w:szCs w:val="21"/>
              </w:rPr>
              <w:t>非流</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流动</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非流</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8" w:right="0"/>
              <w:jc w:val="left"/>
              <w:rPr>
                <w:rFonts w:ascii="宋体" w:hAnsi="宋体" w:cs="宋体" w:eastAsia="宋体" w:hint="default"/>
                <w:sz w:val="21"/>
                <w:szCs w:val="21"/>
              </w:rPr>
            </w:pPr>
            <w:r>
              <w:rPr>
                <w:rFonts w:ascii="宋体" w:hAnsi="宋体" w:cs="宋体" w:eastAsia="宋体" w:hint="default"/>
                <w:sz w:val="21"/>
                <w:szCs w:val="21"/>
              </w:rPr>
              <w:t>流动</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非流</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53" w:right="0"/>
              <w:jc w:val="left"/>
              <w:rPr>
                <w:rFonts w:ascii="宋体" w:hAnsi="宋体" w:cs="宋体" w:eastAsia="宋体" w:hint="default"/>
                <w:sz w:val="21"/>
                <w:szCs w:val="21"/>
              </w:rPr>
            </w:pPr>
            <w:r>
              <w:rPr>
                <w:rFonts w:ascii="宋体" w:hAnsi="宋体" w:cs="宋体" w:eastAsia="宋体" w:hint="default"/>
                <w:sz w:val="21"/>
                <w:szCs w:val="21"/>
              </w:rPr>
              <w:t>负债</w:t>
            </w:r>
          </w:p>
        </w:tc>
      </w:tr>
    </w:tbl>
    <w:p>
      <w:pPr>
        <w:spacing w:after="0" w:line="240" w:lineRule="auto"/>
        <w:jc w:val="left"/>
        <w:rPr>
          <w:rFonts w:ascii="宋体" w:hAnsi="宋体" w:cs="宋体" w:eastAsia="宋体" w:hint="default"/>
          <w:sz w:val="21"/>
          <w:szCs w:val="21"/>
        </w:rPr>
        <w:sectPr>
          <w:pgSz w:w="11910" w:h="16840"/>
          <w:pgMar w:header="906" w:footer="1022" w:top="1100" w:bottom="1220" w:left="600" w:right="0"/>
        </w:sectPr>
      </w:pPr>
    </w:p>
    <w:p>
      <w:pPr>
        <w:spacing w:line="240" w:lineRule="auto" w:before="7"/>
        <w:rPr>
          <w:rFonts w:ascii="宋体" w:hAnsi="宋体" w:cs="宋体" w:eastAsia="宋体" w:hint="default"/>
          <w:sz w:val="25"/>
          <w:szCs w:val="25"/>
        </w:rPr>
      </w:pPr>
    </w:p>
    <w:tbl>
      <w:tblPr>
        <w:tblW w:w="0" w:type="auto"/>
        <w:jc w:val="left"/>
        <w:tblInd w:w="106" w:type="dxa"/>
        <w:tblLayout w:type="fixed"/>
        <w:tblCellMar>
          <w:top w:w="0" w:type="dxa"/>
          <w:left w:w="0" w:type="dxa"/>
          <w:bottom w:w="0" w:type="dxa"/>
          <w:right w:w="0" w:type="dxa"/>
        </w:tblCellMar>
        <w:tblLook w:val="01E0"/>
      </w:tblPr>
      <w:tblGrid>
        <w:gridCol w:w="1157"/>
        <w:gridCol w:w="740"/>
        <w:gridCol w:w="735"/>
        <w:gridCol w:w="734"/>
        <w:gridCol w:w="740"/>
        <w:gridCol w:w="734"/>
        <w:gridCol w:w="735"/>
        <w:gridCol w:w="735"/>
        <w:gridCol w:w="734"/>
        <w:gridCol w:w="735"/>
        <w:gridCol w:w="739"/>
        <w:gridCol w:w="735"/>
        <w:gridCol w:w="739"/>
      </w:tblGrid>
      <w:tr>
        <w:trPr>
          <w:trHeight w:val="672" w:hRule="exact"/>
        </w:trPr>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54"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3"/>
              <w:jc w:val="center"/>
              <w:rPr>
                <w:rFonts w:ascii="宋体" w:hAnsi="宋体" w:cs="宋体" w:eastAsia="宋体" w:hint="default"/>
                <w:sz w:val="21"/>
                <w:szCs w:val="21"/>
              </w:rPr>
            </w:pPr>
            <w:r>
              <w:rPr>
                <w:rFonts w:ascii="宋体" w:hAnsi="宋体" w:cs="宋体" w:eastAsia="宋体" w:hint="default"/>
                <w:sz w:val="21"/>
                <w:szCs w:val="21"/>
              </w:rPr>
              <w:t>动资</w:t>
            </w:r>
          </w:p>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53"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动负</w:t>
            </w:r>
          </w:p>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53"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动资</w:t>
            </w:r>
          </w:p>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w w:val="100"/>
                <w:sz w:val="21"/>
                <w:szCs w:val="21"/>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58"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动负</w:t>
            </w:r>
          </w:p>
          <w:p>
            <w:pPr>
              <w:pStyle w:val="TableParagraph"/>
              <w:spacing w:line="240" w:lineRule="auto" w:before="42"/>
              <w:ind w:left="5" w:right="0"/>
              <w:jc w:val="center"/>
              <w:rPr>
                <w:rFonts w:ascii="宋体" w:hAnsi="宋体" w:cs="宋体" w:eastAsia="宋体" w:hint="default"/>
                <w:sz w:val="21"/>
                <w:szCs w:val="21"/>
              </w:rPr>
            </w:pPr>
            <w:r>
              <w:rPr>
                <w:rFonts w:ascii="宋体" w:hAnsi="宋体" w:cs="宋体" w:eastAsia="宋体" w:hint="default"/>
                <w:w w:val="100"/>
                <w:sz w:val="21"/>
                <w:szCs w:val="21"/>
              </w:rPr>
              <w:t>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53" w:right="0"/>
              <w:jc w:val="left"/>
              <w:rPr>
                <w:rFonts w:ascii="宋体" w:hAnsi="宋体" w:cs="宋体" w:eastAsia="宋体" w:hint="default"/>
                <w:sz w:val="21"/>
                <w:szCs w:val="21"/>
              </w:rPr>
            </w:pPr>
            <w:r>
              <w:rPr>
                <w:rFonts w:ascii="宋体" w:hAnsi="宋体" w:cs="宋体" w:eastAsia="宋体" w:hint="default"/>
                <w:sz w:val="21"/>
                <w:szCs w:val="21"/>
              </w:rPr>
              <w:t>合计</w:t>
            </w:r>
          </w:p>
        </w:tc>
      </w:tr>
      <w:tr>
        <w:trPr>
          <w:trHeight w:val="102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94"/>
              <w:jc w:val="both"/>
              <w:rPr>
                <w:rFonts w:ascii="宋体" w:hAnsi="宋体" w:cs="宋体" w:eastAsia="宋体" w:hint="default"/>
                <w:sz w:val="21"/>
                <w:szCs w:val="21"/>
              </w:rPr>
            </w:pPr>
            <w:r>
              <w:rPr>
                <w:rFonts w:ascii="宋体" w:hAnsi="宋体" w:cs="宋体" w:eastAsia="宋体" w:hint="default"/>
                <w:sz w:val="21"/>
                <w:szCs w:val="21"/>
              </w:rPr>
              <w:t>安徽佑赛</w:t>
            </w:r>
            <w:r>
              <w:rPr>
                <w:rFonts w:ascii="宋体" w:hAnsi="宋体" w:cs="宋体" w:eastAsia="宋体" w:hint="default"/>
                <w:spacing w:val="-101"/>
                <w:sz w:val="21"/>
                <w:szCs w:val="21"/>
              </w:rPr>
              <w:t> </w:t>
            </w:r>
            <w:r>
              <w:rPr>
                <w:rFonts w:ascii="宋体" w:hAnsi="宋体" w:cs="宋体" w:eastAsia="宋体" w:hint="default"/>
                <w:sz w:val="21"/>
                <w:szCs w:val="21"/>
              </w:rPr>
              <w:t>科技股份</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4" w:right="0"/>
              <w:jc w:val="left"/>
              <w:rPr>
                <w:rFonts w:ascii="Times New Roman" w:hAnsi="Times New Roman" w:cs="Times New Roman" w:eastAsia="Times New Roman" w:hint="default"/>
                <w:sz w:val="21"/>
                <w:szCs w:val="21"/>
              </w:rPr>
            </w:pPr>
            <w:r>
              <w:rPr>
                <w:rFonts w:ascii="Times New Roman"/>
                <w:sz w:val="21"/>
              </w:rPr>
              <w:t>66,59</w:t>
            </w:r>
          </w:p>
          <w:p>
            <w:pPr>
              <w:pStyle w:val="TableParagraph"/>
              <w:spacing w:line="240" w:lineRule="auto" w:before="71"/>
              <w:ind w:left="154" w:right="0"/>
              <w:jc w:val="left"/>
              <w:rPr>
                <w:rFonts w:ascii="Times New Roman" w:hAnsi="Times New Roman" w:cs="Times New Roman" w:eastAsia="Times New Roman" w:hint="default"/>
                <w:sz w:val="21"/>
                <w:szCs w:val="21"/>
              </w:rPr>
            </w:pPr>
            <w:r>
              <w:rPr>
                <w:rFonts w:ascii="Times New Roman"/>
                <w:sz w:val="21"/>
              </w:rPr>
              <w:t>2,349</w:t>
            </w:r>
          </w:p>
          <w:p>
            <w:pPr>
              <w:pStyle w:val="TableParagraph"/>
              <w:spacing w:line="240" w:lineRule="auto" w:before="75"/>
              <w:ind w:left="360" w:right="0"/>
              <w:jc w:val="left"/>
              <w:rPr>
                <w:rFonts w:ascii="Times New Roman" w:hAnsi="Times New Roman" w:cs="Times New Roman" w:eastAsia="Times New Roman" w:hint="default"/>
                <w:sz w:val="21"/>
                <w:szCs w:val="21"/>
              </w:rPr>
            </w:pPr>
            <w:r>
              <w:rPr>
                <w:rFonts w:ascii="Times New Roman"/>
                <w:sz w:val="21"/>
              </w:rPr>
              <w:t>.84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8" w:right="0"/>
              <w:jc w:val="left"/>
              <w:rPr>
                <w:rFonts w:ascii="Times New Roman" w:hAnsi="Times New Roman" w:cs="Times New Roman" w:eastAsia="Times New Roman" w:hint="default"/>
                <w:sz w:val="21"/>
                <w:szCs w:val="21"/>
              </w:rPr>
            </w:pPr>
            <w:r>
              <w:rPr>
                <w:rFonts w:ascii="Times New Roman"/>
                <w:sz w:val="21"/>
              </w:rPr>
              <w:t>3,423</w:t>
            </w:r>
          </w:p>
          <w:p>
            <w:pPr>
              <w:pStyle w:val="TableParagraph"/>
              <w:spacing w:line="240" w:lineRule="auto" w:before="71"/>
              <w:ind w:left="201" w:right="0"/>
              <w:jc w:val="left"/>
              <w:rPr>
                <w:rFonts w:ascii="Times New Roman" w:hAnsi="Times New Roman" w:cs="Times New Roman" w:eastAsia="Times New Roman" w:hint="default"/>
                <w:sz w:val="21"/>
                <w:szCs w:val="21"/>
              </w:rPr>
            </w:pPr>
            <w:r>
              <w:rPr>
                <w:rFonts w:ascii="Times New Roman"/>
                <w:sz w:val="21"/>
              </w:rPr>
              <w:t>,915.</w:t>
            </w:r>
          </w:p>
          <w:p>
            <w:pPr>
              <w:pStyle w:val="TableParagraph"/>
              <w:spacing w:line="240" w:lineRule="auto" w:before="75"/>
              <w:ind w:left="407" w:right="0"/>
              <w:jc w:val="left"/>
              <w:rPr>
                <w:rFonts w:ascii="Times New Roman" w:hAnsi="Times New Roman" w:cs="Times New Roman" w:eastAsia="Times New Roman" w:hint="default"/>
                <w:sz w:val="21"/>
                <w:szCs w:val="21"/>
              </w:rPr>
            </w:pPr>
            <w:r>
              <w:rPr>
                <w:rFonts w:ascii="Times New Roman"/>
                <w:sz w:val="21"/>
              </w:rPr>
              <w:t>37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70,01</w:t>
            </w:r>
          </w:p>
          <w:p>
            <w:pPr>
              <w:pStyle w:val="TableParagraph"/>
              <w:spacing w:line="240" w:lineRule="auto" w:before="71"/>
              <w:ind w:left="153" w:right="0"/>
              <w:jc w:val="left"/>
              <w:rPr>
                <w:rFonts w:ascii="Times New Roman" w:hAnsi="Times New Roman" w:cs="Times New Roman" w:eastAsia="Times New Roman" w:hint="default"/>
                <w:sz w:val="21"/>
                <w:szCs w:val="21"/>
              </w:rPr>
            </w:pPr>
            <w:r>
              <w:rPr>
                <w:rFonts w:ascii="Times New Roman"/>
                <w:sz w:val="21"/>
              </w:rPr>
              <w:t>6,265</w:t>
            </w:r>
          </w:p>
          <w:p>
            <w:pPr>
              <w:pStyle w:val="TableParagraph"/>
              <w:spacing w:line="240" w:lineRule="auto" w:before="75"/>
              <w:ind w:left="359" w:right="0"/>
              <w:jc w:val="left"/>
              <w:rPr>
                <w:rFonts w:ascii="Times New Roman" w:hAnsi="Times New Roman" w:cs="Times New Roman" w:eastAsia="Times New Roman" w:hint="default"/>
                <w:sz w:val="21"/>
                <w:szCs w:val="21"/>
              </w:rPr>
            </w:pPr>
            <w:r>
              <w:rPr>
                <w:rFonts w:ascii="Times New Roman"/>
                <w:sz w:val="21"/>
              </w:rPr>
              <w:t>.21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29,08</w:t>
            </w:r>
          </w:p>
          <w:p>
            <w:pPr>
              <w:pStyle w:val="TableParagraph"/>
              <w:spacing w:line="240" w:lineRule="auto" w:before="71"/>
              <w:ind w:left="153" w:right="0"/>
              <w:jc w:val="left"/>
              <w:rPr>
                <w:rFonts w:ascii="Times New Roman" w:hAnsi="Times New Roman" w:cs="Times New Roman" w:eastAsia="Times New Roman" w:hint="default"/>
                <w:sz w:val="21"/>
                <w:szCs w:val="21"/>
              </w:rPr>
            </w:pPr>
            <w:r>
              <w:rPr>
                <w:rFonts w:ascii="Times New Roman"/>
                <w:sz w:val="21"/>
              </w:rPr>
              <w:t>0,984</w:t>
            </w:r>
          </w:p>
          <w:p>
            <w:pPr>
              <w:pStyle w:val="TableParagraph"/>
              <w:spacing w:line="240" w:lineRule="auto" w:before="75"/>
              <w:ind w:left="360" w:right="0"/>
              <w:jc w:val="left"/>
              <w:rPr>
                <w:rFonts w:ascii="Times New Roman" w:hAnsi="Times New Roman" w:cs="Times New Roman" w:eastAsia="Times New Roman" w:hint="default"/>
                <w:sz w:val="21"/>
                <w:szCs w:val="21"/>
              </w:rPr>
            </w:pPr>
            <w:r>
              <w:rPr>
                <w:rFonts w:ascii="Times New Roman"/>
                <w:sz w:val="21"/>
              </w:rPr>
              <w:t>.56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21"/>
                <w:szCs w:val="21"/>
              </w:rPr>
            </w:pPr>
            <w:r>
              <w:rPr>
                <w:rFonts w:ascii="Times New Roman"/>
                <w:sz w:val="21"/>
              </w:rPr>
              <w:t>301,0</w:t>
            </w:r>
          </w:p>
          <w:p>
            <w:pPr>
              <w:pStyle w:val="TableParagraph"/>
              <w:spacing w:line="240" w:lineRule="auto" w:before="70"/>
              <w:ind w:left="148" w:right="0"/>
              <w:jc w:val="left"/>
              <w:rPr>
                <w:rFonts w:ascii="Times New Roman" w:hAnsi="Times New Roman" w:cs="Times New Roman" w:eastAsia="Times New Roman" w:hint="default"/>
                <w:sz w:val="21"/>
                <w:szCs w:val="21"/>
              </w:rPr>
            </w:pPr>
            <w:r>
              <w:rPr>
                <w:rFonts w:ascii="Times New Roman"/>
                <w:sz w:val="21"/>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29,38</w:t>
            </w:r>
          </w:p>
          <w:p>
            <w:pPr>
              <w:pStyle w:val="TableParagraph"/>
              <w:spacing w:line="240" w:lineRule="auto" w:before="71"/>
              <w:ind w:left="153" w:right="0"/>
              <w:jc w:val="left"/>
              <w:rPr>
                <w:rFonts w:ascii="Times New Roman" w:hAnsi="Times New Roman" w:cs="Times New Roman" w:eastAsia="Times New Roman" w:hint="default"/>
                <w:sz w:val="21"/>
                <w:szCs w:val="21"/>
              </w:rPr>
            </w:pPr>
            <w:r>
              <w:rPr>
                <w:rFonts w:ascii="Times New Roman"/>
                <w:sz w:val="21"/>
              </w:rPr>
              <w:t>1,984</w:t>
            </w:r>
          </w:p>
          <w:p>
            <w:pPr>
              <w:pStyle w:val="TableParagraph"/>
              <w:spacing w:line="240" w:lineRule="auto" w:before="75"/>
              <w:ind w:left="360" w:right="0"/>
              <w:jc w:val="left"/>
              <w:rPr>
                <w:rFonts w:ascii="Times New Roman" w:hAnsi="Times New Roman" w:cs="Times New Roman" w:eastAsia="Times New Roman" w:hint="default"/>
                <w:sz w:val="21"/>
                <w:szCs w:val="21"/>
              </w:rPr>
            </w:pPr>
            <w:r>
              <w:rPr>
                <w:rFonts w:ascii="Times New Roman"/>
                <w:sz w:val="21"/>
              </w:rPr>
              <w:t>.56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78,55</w:t>
            </w:r>
          </w:p>
          <w:p>
            <w:pPr>
              <w:pStyle w:val="TableParagraph"/>
              <w:spacing w:line="240" w:lineRule="auto" w:before="71"/>
              <w:ind w:left="153" w:right="0"/>
              <w:jc w:val="left"/>
              <w:rPr>
                <w:rFonts w:ascii="Times New Roman" w:hAnsi="Times New Roman" w:cs="Times New Roman" w:eastAsia="Times New Roman" w:hint="default"/>
                <w:sz w:val="21"/>
                <w:szCs w:val="21"/>
              </w:rPr>
            </w:pPr>
            <w:r>
              <w:rPr>
                <w:rFonts w:ascii="Times New Roman"/>
                <w:sz w:val="21"/>
              </w:rPr>
              <w:t>7,506</w:t>
            </w:r>
          </w:p>
          <w:p>
            <w:pPr>
              <w:pStyle w:val="TableParagraph"/>
              <w:spacing w:line="240" w:lineRule="auto" w:before="75"/>
              <w:ind w:left="360" w:right="0"/>
              <w:jc w:val="left"/>
              <w:rPr>
                <w:rFonts w:ascii="Times New Roman" w:hAnsi="Times New Roman" w:cs="Times New Roman" w:eastAsia="Times New Roman" w:hint="default"/>
                <w:sz w:val="21"/>
                <w:szCs w:val="21"/>
              </w:rPr>
            </w:pPr>
            <w:r>
              <w:rPr>
                <w:rFonts w:ascii="Times New Roman"/>
                <w:sz w:val="21"/>
              </w:rPr>
              <w:t>.63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4,876</w:t>
            </w:r>
          </w:p>
          <w:p>
            <w:pPr>
              <w:pStyle w:val="TableParagraph"/>
              <w:spacing w:line="240" w:lineRule="auto" w:before="71"/>
              <w:ind w:left="206" w:right="0"/>
              <w:jc w:val="left"/>
              <w:rPr>
                <w:rFonts w:ascii="Times New Roman" w:hAnsi="Times New Roman" w:cs="Times New Roman" w:eastAsia="Times New Roman" w:hint="default"/>
                <w:sz w:val="21"/>
                <w:szCs w:val="21"/>
              </w:rPr>
            </w:pPr>
            <w:r>
              <w:rPr>
                <w:rFonts w:ascii="Times New Roman"/>
                <w:sz w:val="21"/>
              </w:rPr>
              <w:t>,235.</w:t>
            </w:r>
          </w:p>
          <w:p>
            <w:pPr>
              <w:pStyle w:val="TableParagraph"/>
              <w:spacing w:line="240" w:lineRule="auto" w:before="75"/>
              <w:ind w:left="412" w:right="0"/>
              <w:jc w:val="left"/>
              <w:rPr>
                <w:rFonts w:ascii="Times New Roman" w:hAnsi="Times New Roman" w:cs="Times New Roman" w:eastAsia="Times New Roman" w:hint="default"/>
                <w:sz w:val="21"/>
                <w:szCs w:val="21"/>
              </w:rPr>
            </w:pPr>
            <w:r>
              <w:rPr>
                <w:rFonts w:ascii="Times New Roman"/>
                <w:sz w:val="21"/>
              </w:rPr>
              <w:t>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83,43</w:t>
            </w:r>
          </w:p>
          <w:p>
            <w:pPr>
              <w:pStyle w:val="TableParagraph"/>
              <w:spacing w:line="240" w:lineRule="auto" w:before="71"/>
              <w:ind w:left="153" w:right="0"/>
              <w:jc w:val="left"/>
              <w:rPr>
                <w:rFonts w:ascii="Times New Roman" w:hAnsi="Times New Roman" w:cs="Times New Roman" w:eastAsia="Times New Roman" w:hint="default"/>
                <w:sz w:val="21"/>
                <w:szCs w:val="21"/>
              </w:rPr>
            </w:pPr>
            <w:r>
              <w:rPr>
                <w:rFonts w:ascii="Times New Roman"/>
                <w:sz w:val="21"/>
              </w:rPr>
              <w:t>3,742</w:t>
            </w:r>
          </w:p>
          <w:p>
            <w:pPr>
              <w:pStyle w:val="TableParagraph"/>
              <w:spacing w:line="240" w:lineRule="auto" w:before="75"/>
              <w:ind w:left="359" w:right="0"/>
              <w:jc w:val="left"/>
              <w:rPr>
                <w:rFonts w:ascii="Times New Roman" w:hAnsi="Times New Roman" w:cs="Times New Roman" w:eastAsia="Times New Roman" w:hint="default"/>
                <w:sz w:val="21"/>
                <w:szCs w:val="21"/>
              </w:rPr>
            </w:pPr>
            <w:r>
              <w:rPr>
                <w:rFonts w:ascii="Times New Roman"/>
                <w:sz w:val="21"/>
              </w:rPr>
              <w:t>.43</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8" w:right="0"/>
              <w:jc w:val="left"/>
              <w:rPr>
                <w:rFonts w:ascii="Times New Roman" w:hAnsi="Times New Roman" w:cs="Times New Roman" w:eastAsia="Times New Roman" w:hint="default"/>
                <w:sz w:val="21"/>
                <w:szCs w:val="21"/>
              </w:rPr>
            </w:pPr>
            <w:r>
              <w:rPr>
                <w:rFonts w:ascii="Times New Roman"/>
                <w:sz w:val="21"/>
              </w:rPr>
              <w:t>42,75</w:t>
            </w:r>
          </w:p>
          <w:p>
            <w:pPr>
              <w:pStyle w:val="TableParagraph"/>
              <w:spacing w:line="240" w:lineRule="auto" w:before="71"/>
              <w:ind w:left="158" w:right="0"/>
              <w:jc w:val="left"/>
              <w:rPr>
                <w:rFonts w:ascii="Times New Roman" w:hAnsi="Times New Roman" w:cs="Times New Roman" w:eastAsia="Times New Roman" w:hint="default"/>
                <w:sz w:val="21"/>
                <w:szCs w:val="21"/>
              </w:rPr>
            </w:pPr>
            <w:r>
              <w:rPr>
                <w:rFonts w:ascii="Times New Roman"/>
                <w:sz w:val="21"/>
              </w:rPr>
              <w:t>7,844</w:t>
            </w:r>
          </w:p>
          <w:p>
            <w:pPr>
              <w:pStyle w:val="TableParagraph"/>
              <w:spacing w:line="240" w:lineRule="auto" w:before="75"/>
              <w:ind w:left="364" w:right="0"/>
              <w:jc w:val="left"/>
              <w:rPr>
                <w:rFonts w:ascii="Times New Roman" w:hAnsi="Times New Roman" w:cs="Times New Roman" w:eastAsia="Times New Roman" w:hint="default"/>
                <w:sz w:val="21"/>
                <w:szCs w:val="21"/>
              </w:rPr>
            </w:pPr>
            <w:r>
              <w:rPr>
                <w:rFonts w:ascii="Times New Roman"/>
                <w:sz w:val="21"/>
              </w:rPr>
              <w:t>.56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322,0</w:t>
            </w:r>
          </w:p>
          <w:p>
            <w:pPr>
              <w:pStyle w:val="TableParagraph"/>
              <w:spacing w:line="240" w:lineRule="auto" w:before="70"/>
              <w:ind w:left="153" w:right="0"/>
              <w:jc w:val="left"/>
              <w:rPr>
                <w:rFonts w:ascii="Times New Roman" w:hAnsi="Times New Roman" w:cs="Times New Roman" w:eastAsia="Times New Roman" w:hint="default"/>
                <w:sz w:val="21"/>
                <w:szCs w:val="21"/>
              </w:rPr>
            </w:pPr>
            <w:r>
              <w:rPr>
                <w:rFonts w:ascii="Times New Roman"/>
                <w:sz w:val="21"/>
              </w:rPr>
              <w:t>00.00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43,07</w:t>
            </w:r>
          </w:p>
          <w:p>
            <w:pPr>
              <w:pStyle w:val="TableParagraph"/>
              <w:spacing w:line="240" w:lineRule="auto" w:before="71"/>
              <w:ind w:left="153" w:right="0"/>
              <w:jc w:val="left"/>
              <w:rPr>
                <w:rFonts w:ascii="Times New Roman" w:hAnsi="Times New Roman" w:cs="Times New Roman" w:eastAsia="Times New Roman" w:hint="default"/>
                <w:sz w:val="21"/>
                <w:szCs w:val="21"/>
              </w:rPr>
            </w:pPr>
            <w:r>
              <w:rPr>
                <w:rFonts w:ascii="Times New Roman"/>
                <w:sz w:val="21"/>
              </w:rPr>
              <w:t>9,844</w:t>
            </w:r>
          </w:p>
          <w:p>
            <w:pPr>
              <w:pStyle w:val="TableParagraph"/>
              <w:spacing w:line="240" w:lineRule="auto" w:before="75"/>
              <w:ind w:left="359" w:right="0"/>
              <w:jc w:val="left"/>
              <w:rPr>
                <w:rFonts w:ascii="Times New Roman" w:hAnsi="Times New Roman" w:cs="Times New Roman" w:eastAsia="Times New Roman" w:hint="default"/>
                <w:sz w:val="21"/>
                <w:szCs w:val="21"/>
              </w:rPr>
            </w:pPr>
            <w:r>
              <w:rPr>
                <w:rFonts w:ascii="Times New Roman"/>
                <w:sz w:val="21"/>
              </w:rPr>
              <w:t>.56</w:t>
            </w:r>
          </w:p>
        </w:tc>
      </w:tr>
      <w:tr>
        <w:trPr>
          <w:trHeight w:val="1340"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4"/>
              <w:jc w:val="both"/>
              <w:rPr>
                <w:rFonts w:ascii="宋体" w:hAnsi="宋体" w:cs="宋体" w:eastAsia="宋体" w:hint="default"/>
                <w:sz w:val="21"/>
                <w:szCs w:val="21"/>
              </w:rPr>
            </w:pPr>
            <w:r>
              <w:rPr>
                <w:rFonts w:ascii="宋体" w:hAnsi="宋体" w:cs="宋体" w:eastAsia="宋体" w:hint="default"/>
                <w:sz w:val="21"/>
                <w:szCs w:val="21"/>
              </w:rPr>
              <w:t>天津市泰</w:t>
            </w:r>
            <w:r>
              <w:rPr>
                <w:rFonts w:ascii="宋体" w:hAnsi="宋体" w:cs="宋体" w:eastAsia="宋体" w:hint="default"/>
                <w:spacing w:val="-101"/>
                <w:sz w:val="21"/>
                <w:szCs w:val="21"/>
              </w:rPr>
              <w:t> </w:t>
            </w:r>
            <w:r>
              <w:rPr>
                <w:rFonts w:ascii="宋体" w:hAnsi="宋体" w:cs="宋体" w:eastAsia="宋体" w:hint="default"/>
                <w:sz w:val="21"/>
                <w:szCs w:val="21"/>
              </w:rPr>
              <w:t>达工程设</w:t>
            </w:r>
            <w:r>
              <w:rPr>
                <w:rFonts w:ascii="宋体" w:hAnsi="宋体" w:cs="宋体" w:eastAsia="宋体" w:hint="default"/>
                <w:spacing w:val="-101"/>
                <w:sz w:val="21"/>
                <w:szCs w:val="21"/>
              </w:rPr>
              <w:t> </w:t>
            </w:r>
            <w:r>
              <w:rPr>
                <w:rFonts w:ascii="宋体" w:hAnsi="宋体" w:cs="宋体" w:eastAsia="宋体" w:hint="default"/>
                <w:sz w:val="21"/>
                <w:szCs w:val="21"/>
              </w:rPr>
              <w:t>计有限公</w:t>
            </w:r>
            <w:r>
              <w:rPr>
                <w:rFonts w:ascii="宋体" w:hAnsi="宋体" w:cs="宋体" w:eastAsia="宋体" w:hint="default"/>
                <w:spacing w:val="-101"/>
                <w:sz w:val="21"/>
                <w:szCs w:val="21"/>
              </w:rPr>
              <w:t> </w:t>
            </w:r>
            <w:r>
              <w:rPr>
                <w:rFonts w:ascii="宋体" w:hAnsi="宋体" w:cs="宋体" w:eastAsia="宋体" w:hint="default"/>
                <w:sz w:val="21"/>
                <w:szCs w:val="21"/>
              </w:rPr>
              <w:t>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53" w:right="0"/>
              <w:jc w:val="center"/>
              <w:rPr>
                <w:rFonts w:ascii="Times New Roman" w:hAnsi="Times New Roman" w:cs="Times New Roman" w:eastAsia="Times New Roman" w:hint="default"/>
                <w:sz w:val="21"/>
                <w:szCs w:val="21"/>
              </w:rPr>
            </w:pPr>
            <w:r>
              <w:rPr>
                <w:rFonts w:ascii="Times New Roman"/>
                <w:sz w:val="21"/>
              </w:rPr>
              <w:t>103,3</w:t>
            </w:r>
          </w:p>
          <w:p>
            <w:pPr>
              <w:pStyle w:val="TableParagraph"/>
              <w:spacing w:line="240" w:lineRule="auto" w:before="65"/>
              <w:ind w:left="53" w:right="0"/>
              <w:jc w:val="center"/>
              <w:rPr>
                <w:rFonts w:ascii="Times New Roman" w:hAnsi="Times New Roman" w:cs="Times New Roman" w:eastAsia="Times New Roman" w:hint="default"/>
                <w:sz w:val="21"/>
                <w:szCs w:val="21"/>
              </w:rPr>
            </w:pPr>
            <w:r>
              <w:rPr>
                <w:rFonts w:ascii="Times New Roman"/>
                <w:sz w:val="21"/>
              </w:rPr>
              <w:t>57,46</w:t>
            </w:r>
          </w:p>
          <w:p>
            <w:pPr>
              <w:pStyle w:val="TableParagraph"/>
              <w:spacing w:line="240" w:lineRule="auto" w:before="75"/>
              <w:ind w:left="149" w:right="0"/>
              <w:jc w:val="center"/>
              <w:rPr>
                <w:rFonts w:ascii="Times New Roman" w:hAnsi="Times New Roman" w:cs="Times New Roman" w:eastAsia="Times New Roman" w:hint="default"/>
                <w:sz w:val="21"/>
                <w:szCs w:val="21"/>
              </w:rPr>
            </w:pPr>
            <w:r>
              <w:rPr>
                <w:rFonts w:ascii="Times New Roman"/>
                <w:sz w:val="21"/>
              </w:rPr>
              <w:t>4.01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21"/>
                <w:szCs w:val="21"/>
              </w:rPr>
            </w:pPr>
            <w:r>
              <w:rPr>
                <w:rFonts w:ascii="Times New Roman"/>
                <w:sz w:val="21"/>
              </w:rPr>
              <w:t>67,19</w:t>
            </w:r>
          </w:p>
          <w:p>
            <w:pPr>
              <w:pStyle w:val="TableParagraph"/>
              <w:spacing w:line="240" w:lineRule="auto" w:before="65"/>
              <w:ind w:left="100" w:right="0"/>
              <w:jc w:val="left"/>
              <w:rPr>
                <w:rFonts w:ascii="Times New Roman" w:hAnsi="Times New Roman" w:cs="Times New Roman" w:eastAsia="Times New Roman" w:hint="default"/>
                <w:sz w:val="21"/>
                <w:szCs w:val="21"/>
              </w:rPr>
            </w:pPr>
            <w:r>
              <w:rPr>
                <w:rFonts w:ascii="Times New Roman"/>
                <w:sz w:val="21"/>
              </w:rPr>
              <w:t>3,611.</w:t>
            </w:r>
          </w:p>
          <w:p>
            <w:pPr>
              <w:pStyle w:val="TableParagraph"/>
              <w:spacing w:line="240" w:lineRule="auto" w:before="75"/>
              <w:ind w:left="407" w:right="0"/>
              <w:jc w:val="left"/>
              <w:rPr>
                <w:rFonts w:ascii="Times New Roman" w:hAnsi="Times New Roman" w:cs="Times New Roman" w:eastAsia="Times New Roman" w:hint="default"/>
                <w:sz w:val="21"/>
                <w:szCs w:val="21"/>
              </w:rPr>
            </w:pPr>
            <w:r>
              <w:rPr>
                <w:rFonts w:ascii="Times New Roman"/>
                <w:sz w:val="21"/>
              </w:rPr>
              <w:t>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170,5</w:t>
            </w:r>
          </w:p>
          <w:p>
            <w:pPr>
              <w:pStyle w:val="TableParagraph"/>
              <w:spacing w:line="240" w:lineRule="auto" w:before="65"/>
              <w:ind w:left="57" w:right="0"/>
              <w:jc w:val="center"/>
              <w:rPr>
                <w:rFonts w:ascii="Times New Roman" w:hAnsi="Times New Roman" w:cs="Times New Roman" w:eastAsia="Times New Roman" w:hint="default"/>
                <w:sz w:val="21"/>
                <w:szCs w:val="21"/>
              </w:rPr>
            </w:pPr>
            <w:r>
              <w:rPr>
                <w:rFonts w:ascii="Times New Roman"/>
                <w:sz w:val="21"/>
              </w:rPr>
              <w:t>51,07</w:t>
            </w:r>
          </w:p>
          <w:p>
            <w:pPr>
              <w:pStyle w:val="TableParagraph"/>
              <w:spacing w:line="240" w:lineRule="auto" w:before="75"/>
              <w:ind w:left="153" w:right="0"/>
              <w:jc w:val="center"/>
              <w:rPr>
                <w:rFonts w:ascii="Times New Roman" w:hAnsi="Times New Roman" w:cs="Times New Roman" w:eastAsia="Times New Roman" w:hint="default"/>
                <w:sz w:val="21"/>
                <w:szCs w:val="21"/>
              </w:rPr>
            </w:pPr>
            <w:r>
              <w:rPr>
                <w:rFonts w:ascii="Times New Roman"/>
                <w:sz w:val="21"/>
              </w:rPr>
              <w:t>5.73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35,54</w:t>
            </w:r>
          </w:p>
          <w:p>
            <w:pPr>
              <w:pStyle w:val="TableParagraph"/>
              <w:spacing w:line="240" w:lineRule="auto" w:before="65"/>
              <w:ind w:left="153" w:right="0"/>
              <w:jc w:val="left"/>
              <w:rPr>
                <w:rFonts w:ascii="Times New Roman" w:hAnsi="Times New Roman" w:cs="Times New Roman" w:eastAsia="Times New Roman" w:hint="default"/>
                <w:sz w:val="21"/>
                <w:szCs w:val="21"/>
              </w:rPr>
            </w:pPr>
            <w:r>
              <w:rPr>
                <w:rFonts w:ascii="Times New Roman"/>
                <w:sz w:val="21"/>
              </w:rPr>
              <w:t>4,949</w:t>
            </w:r>
          </w:p>
          <w:p>
            <w:pPr>
              <w:pStyle w:val="TableParagraph"/>
              <w:spacing w:line="240" w:lineRule="auto" w:before="75"/>
              <w:ind w:left="360" w:right="0"/>
              <w:jc w:val="left"/>
              <w:rPr>
                <w:rFonts w:ascii="Times New Roman" w:hAnsi="Times New Roman" w:cs="Times New Roman" w:eastAsia="Times New Roman" w:hint="default"/>
                <w:sz w:val="21"/>
                <w:szCs w:val="21"/>
              </w:rPr>
            </w:pPr>
            <w:r>
              <w:rPr>
                <w:rFonts w:ascii="Times New Roman"/>
                <w:sz w:val="21"/>
              </w:rPr>
              <w:t>.58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21"/>
                <w:szCs w:val="21"/>
              </w:rPr>
            </w:pPr>
            <w:r>
              <w:rPr>
                <w:rFonts w:ascii="Times New Roman"/>
                <w:sz w:val="21"/>
              </w:rPr>
              <w:t>1,164</w:t>
            </w:r>
          </w:p>
          <w:p>
            <w:pPr>
              <w:pStyle w:val="TableParagraph"/>
              <w:spacing w:line="240" w:lineRule="auto" w:before="65"/>
              <w:ind w:left="201" w:right="0"/>
              <w:jc w:val="left"/>
              <w:rPr>
                <w:rFonts w:ascii="Times New Roman" w:hAnsi="Times New Roman" w:cs="Times New Roman" w:eastAsia="Times New Roman" w:hint="default"/>
                <w:sz w:val="21"/>
                <w:szCs w:val="21"/>
              </w:rPr>
            </w:pPr>
            <w:r>
              <w:rPr>
                <w:rFonts w:ascii="Times New Roman"/>
                <w:sz w:val="21"/>
              </w:rPr>
              <w:t>,893.</w:t>
            </w:r>
          </w:p>
          <w:p>
            <w:pPr>
              <w:pStyle w:val="TableParagraph"/>
              <w:spacing w:line="240" w:lineRule="auto" w:before="75"/>
              <w:ind w:left="407" w:right="0"/>
              <w:jc w:val="left"/>
              <w:rPr>
                <w:rFonts w:ascii="Times New Roman" w:hAnsi="Times New Roman" w:cs="Times New Roman" w:eastAsia="Times New Roman" w:hint="default"/>
                <w:sz w:val="21"/>
                <w:szCs w:val="21"/>
              </w:rPr>
            </w:pPr>
            <w:r>
              <w:rPr>
                <w:rFonts w:ascii="Times New Roman"/>
                <w:sz w:val="21"/>
              </w:rPr>
              <w:t>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36,70</w:t>
            </w:r>
          </w:p>
          <w:p>
            <w:pPr>
              <w:pStyle w:val="TableParagraph"/>
              <w:spacing w:line="240" w:lineRule="auto" w:before="65"/>
              <w:ind w:left="153" w:right="0"/>
              <w:jc w:val="left"/>
              <w:rPr>
                <w:rFonts w:ascii="Times New Roman" w:hAnsi="Times New Roman" w:cs="Times New Roman" w:eastAsia="Times New Roman" w:hint="default"/>
                <w:sz w:val="21"/>
                <w:szCs w:val="21"/>
              </w:rPr>
            </w:pPr>
            <w:r>
              <w:rPr>
                <w:rFonts w:ascii="Times New Roman"/>
                <w:sz w:val="21"/>
              </w:rPr>
              <w:t>9,842</w:t>
            </w:r>
          </w:p>
          <w:p>
            <w:pPr>
              <w:pStyle w:val="TableParagraph"/>
              <w:spacing w:line="240" w:lineRule="auto" w:before="75"/>
              <w:ind w:left="360" w:right="0"/>
              <w:jc w:val="left"/>
              <w:rPr>
                <w:rFonts w:ascii="Times New Roman" w:hAnsi="Times New Roman" w:cs="Times New Roman" w:eastAsia="Times New Roman" w:hint="default"/>
                <w:sz w:val="21"/>
                <w:szCs w:val="21"/>
              </w:rPr>
            </w:pPr>
            <w:r>
              <w:rPr>
                <w:rFonts w:ascii="Times New Roman"/>
                <w:sz w:val="21"/>
              </w:rPr>
              <w:t>.67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103,2</w:t>
            </w:r>
          </w:p>
          <w:p>
            <w:pPr>
              <w:pStyle w:val="TableParagraph"/>
              <w:spacing w:line="240" w:lineRule="auto" w:before="65"/>
              <w:ind w:left="57" w:right="0"/>
              <w:jc w:val="center"/>
              <w:rPr>
                <w:rFonts w:ascii="Times New Roman" w:hAnsi="Times New Roman" w:cs="Times New Roman" w:eastAsia="Times New Roman" w:hint="default"/>
                <w:sz w:val="21"/>
                <w:szCs w:val="21"/>
              </w:rPr>
            </w:pPr>
            <w:r>
              <w:rPr>
                <w:rFonts w:ascii="Times New Roman"/>
                <w:sz w:val="21"/>
              </w:rPr>
              <w:t>99,90</w:t>
            </w:r>
          </w:p>
          <w:p>
            <w:pPr>
              <w:pStyle w:val="TableParagraph"/>
              <w:spacing w:line="240" w:lineRule="auto" w:before="75"/>
              <w:ind w:left="153" w:right="0"/>
              <w:jc w:val="center"/>
              <w:rPr>
                <w:rFonts w:ascii="Times New Roman" w:hAnsi="Times New Roman" w:cs="Times New Roman" w:eastAsia="Times New Roman" w:hint="default"/>
                <w:sz w:val="21"/>
                <w:szCs w:val="21"/>
              </w:rPr>
            </w:pPr>
            <w:r>
              <w:rPr>
                <w:rFonts w:ascii="Times New Roman"/>
                <w:sz w:val="21"/>
              </w:rPr>
              <w:t>9.06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71,55</w:t>
            </w:r>
          </w:p>
          <w:p>
            <w:pPr>
              <w:pStyle w:val="TableParagraph"/>
              <w:spacing w:line="240" w:lineRule="auto" w:before="65"/>
              <w:ind w:left="153" w:right="0"/>
              <w:jc w:val="left"/>
              <w:rPr>
                <w:rFonts w:ascii="Times New Roman" w:hAnsi="Times New Roman" w:cs="Times New Roman" w:eastAsia="Times New Roman" w:hint="default"/>
                <w:sz w:val="21"/>
                <w:szCs w:val="21"/>
              </w:rPr>
            </w:pPr>
            <w:r>
              <w:rPr>
                <w:rFonts w:ascii="Times New Roman"/>
                <w:sz w:val="21"/>
              </w:rPr>
              <w:t>3,191</w:t>
            </w:r>
          </w:p>
          <w:p>
            <w:pPr>
              <w:pStyle w:val="TableParagraph"/>
              <w:spacing w:line="240" w:lineRule="auto" w:before="75"/>
              <w:ind w:left="359" w:right="0"/>
              <w:jc w:val="left"/>
              <w:rPr>
                <w:rFonts w:ascii="Times New Roman" w:hAnsi="Times New Roman" w:cs="Times New Roman" w:eastAsia="Times New Roman" w:hint="default"/>
                <w:sz w:val="21"/>
                <w:szCs w:val="21"/>
              </w:rPr>
            </w:pPr>
            <w:r>
              <w:rPr>
                <w:rFonts w:ascii="Times New Roman"/>
                <w:sz w:val="21"/>
              </w:rPr>
              <w:t>.50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21"/>
                <w:szCs w:val="21"/>
              </w:rPr>
            </w:pPr>
            <w:r>
              <w:rPr>
                <w:rFonts w:ascii="Times New Roman"/>
                <w:sz w:val="21"/>
              </w:rPr>
              <w:t>174,8</w:t>
            </w:r>
          </w:p>
          <w:p>
            <w:pPr>
              <w:pStyle w:val="TableParagraph"/>
              <w:spacing w:line="240" w:lineRule="auto" w:before="65"/>
              <w:ind w:left="56" w:right="0"/>
              <w:jc w:val="center"/>
              <w:rPr>
                <w:rFonts w:ascii="Times New Roman" w:hAnsi="Times New Roman" w:cs="Times New Roman" w:eastAsia="Times New Roman" w:hint="default"/>
                <w:sz w:val="21"/>
                <w:szCs w:val="21"/>
              </w:rPr>
            </w:pPr>
            <w:r>
              <w:rPr>
                <w:rFonts w:ascii="Times New Roman"/>
                <w:sz w:val="21"/>
              </w:rPr>
              <w:t>53,10</w:t>
            </w:r>
          </w:p>
          <w:p>
            <w:pPr>
              <w:pStyle w:val="TableParagraph"/>
              <w:spacing w:line="240" w:lineRule="auto" w:before="75"/>
              <w:ind w:left="152" w:right="0"/>
              <w:jc w:val="center"/>
              <w:rPr>
                <w:rFonts w:ascii="Times New Roman" w:hAnsi="Times New Roman" w:cs="Times New Roman" w:eastAsia="Times New Roman" w:hint="default"/>
                <w:sz w:val="21"/>
                <w:szCs w:val="21"/>
              </w:rPr>
            </w:pPr>
            <w:r>
              <w:rPr>
                <w:rFonts w:ascii="Times New Roman"/>
                <w:sz w:val="21"/>
              </w:rPr>
              <w:t>0.56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46,70</w:t>
            </w:r>
          </w:p>
          <w:p>
            <w:pPr>
              <w:pStyle w:val="TableParagraph"/>
              <w:spacing w:line="240" w:lineRule="auto" w:before="65"/>
              <w:ind w:left="158" w:right="0"/>
              <w:jc w:val="left"/>
              <w:rPr>
                <w:rFonts w:ascii="Times New Roman" w:hAnsi="Times New Roman" w:cs="Times New Roman" w:eastAsia="Times New Roman" w:hint="default"/>
                <w:sz w:val="21"/>
                <w:szCs w:val="21"/>
              </w:rPr>
            </w:pPr>
            <w:r>
              <w:rPr>
                <w:rFonts w:ascii="Times New Roman"/>
                <w:sz w:val="21"/>
              </w:rPr>
              <w:t>9,284</w:t>
            </w:r>
          </w:p>
          <w:p>
            <w:pPr>
              <w:pStyle w:val="TableParagraph"/>
              <w:spacing w:line="240" w:lineRule="auto" w:before="75"/>
              <w:ind w:left="364" w:right="0"/>
              <w:jc w:val="left"/>
              <w:rPr>
                <w:rFonts w:ascii="Times New Roman" w:hAnsi="Times New Roman" w:cs="Times New Roman" w:eastAsia="Times New Roman" w:hint="default"/>
                <w:sz w:val="21"/>
                <w:szCs w:val="21"/>
              </w:rPr>
            </w:pPr>
            <w:r>
              <w:rPr>
                <w:rFonts w:ascii="Times New Roman"/>
                <w:sz w:val="21"/>
              </w:rPr>
              <w:t>.60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1,285</w:t>
            </w:r>
          </w:p>
          <w:p>
            <w:pPr>
              <w:pStyle w:val="TableParagraph"/>
              <w:spacing w:line="240" w:lineRule="auto" w:before="65"/>
              <w:ind w:left="206" w:right="0"/>
              <w:jc w:val="left"/>
              <w:rPr>
                <w:rFonts w:ascii="Times New Roman" w:hAnsi="Times New Roman" w:cs="Times New Roman" w:eastAsia="Times New Roman" w:hint="default"/>
                <w:sz w:val="21"/>
                <w:szCs w:val="21"/>
              </w:rPr>
            </w:pPr>
            <w:r>
              <w:rPr>
                <w:rFonts w:ascii="Times New Roman"/>
                <w:sz w:val="21"/>
              </w:rPr>
              <w:t>,479.</w:t>
            </w:r>
          </w:p>
          <w:p>
            <w:pPr>
              <w:pStyle w:val="TableParagraph"/>
              <w:spacing w:line="240" w:lineRule="auto" w:before="75"/>
              <w:ind w:left="413" w:right="0"/>
              <w:jc w:val="left"/>
              <w:rPr>
                <w:rFonts w:ascii="Times New Roman" w:hAnsi="Times New Roman" w:cs="Times New Roman" w:eastAsia="Times New Roman" w:hint="default"/>
                <w:sz w:val="21"/>
                <w:szCs w:val="21"/>
              </w:rPr>
            </w:pPr>
            <w:r>
              <w:rPr>
                <w:rFonts w:ascii="Times New Roman"/>
                <w:sz w:val="21"/>
              </w:rPr>
              <w:t>59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47,99</w:t>
            </w:r>
          </w:p>
          <w:p>
            <w:pPr>
              <w:pStyle w:val="TableParagraph"/>
              <w:spacing w:line="240" w:lineRule="auto" w:before="65"/>
              <w:ind w:left="153" w:right="0"/>
              <w:jc w:val="left"/>
              <w:rPr>
                <w:rFonts w:ascii="Times New Roman" w:hAnsi="Times New Roman" w:cs="Times New Roman" w:eastAsia="Times New Roman" w:hint="default"/>
                <w:sz w:val="21"/>
                <w:szCs w:val="21"/>
              </w:rPr>
            </w:pPr>
            <w:r>
              <w:rPr>
                <w:rFonts w:ascii="Times New Roman"/>
                <w:sz w:val="21"/>
              </w:rPr>
              <w:t>4,764</w:t>
            </w:r>
          </w:p>
          <w:p>
            <w:pPr>
              <w:pStyle w:val="TableParagraph"/>
              <w:spacing w:line="240" w:lineRule="auto" w:before="75"/>
              <w:ind w:left="359" w:right="0"/>
              <w:jc w:val="left"/>
              <w:rPr>
                <w:rFonts w:ascii="Times New Roman" w:hAnsi="Times New Roman" w:cs="Times New Roman" w:eastAsia="Times New Roman" w:hint="default"/>
                <w:sz w:val="21"/>
                <w:szCs w:val="21"/>
              </w:rPr>
            </w:pPr>
            <w:r>
              <w:rPr>
                <w:rFonts w:ascii="Times New Roman"/>
                <w:sz w:val="21"/>
              </w:rPr>
              <w:t>.19</w:t>
            </w:r>
          </w:p>
        </w:tc>
      </w:tr>
      <w:tr>
        <w:trPr>
          <w:trHeight w:val="102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94"/>
              <w:jc w:val="both"/>
              <w:rPr>
                <w:rFonts w:ascii="宋体" w:hAnsi="宋体" w:cs="宋体" w:eastAsia="宋体" w:hint="default"/>
                <w:sz w:val="21"/>
                <w:szCs w:val="21"/>
              </w:rPr>
            </w:pPr>
            <w:r>
              <w:rPr>
                <w:rFonts w:ascii="宋体" w:hAnsi="宋体" w:cs="宋体" w:eastAsia="宋体" w:hint="default"/>
                <w:sz w:val="21"/>
                <w:szCs w:val="21"/>
              </w:rPr>
              <w:t>苏州开关</w:t>
            </w:r>
            <w:r>
              <w:rPr>
                <w:rFonts w:ascii="宋体" w:hAnsi="宋体" w:cs="宋体" w:eastAsia="宋体" w:hint="default"/>
                <w:spacing w:val="-101"/>
                <w:sz w:val="21"/>
                <w:szCs w:val="21"/>
              </w:rPr>
              <w:t> </w:t>
            </w:r>
            <w:r>
              <w:rPr>
                <w:rFonts w:ascii="宋体" w:hAnsi="宋体" w:cs="宋体" w:eastAsia="宋体" w:hint="default"/>
                <w:sz w:val="21"/>
                <w:szCs w:val="21"/>
              </w:rPr>
              <w:t>二厂有限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3" w:right="0"/>
              <w:jc w:val="center"/>
              <w:rPr>
                <w:rFonts w:ascii="Times New Roman" w:hAnsi="Times New Roman" w:cs="Times New Roman" w:eastAsia="Times New Roman" w:hint="default"/>
                <w:sz w:val="21"/>
                <w:szCs w:val="21"/>
              </w:rPr>
            </w:pPr>
            <w:r>
              <w:rPr>
                <w:rFonts w:ascii="Times New Roman"/>
                <w:sz w:val="21"/>
              </w:rPr>
              <w:t>398,1</w:t>
            </w:r>
          </w:p>
          <w:p>
            <w:pPr>
              <w:pStyle w:val="TableParagraph"/>
              <w:spacing w:line="240" w:lineRule="auto" w:before="65"/>
              <w:ind w:left="53" w:right="0"/>
              <w:jc w:val="center"/>
              <w:rPr>
                <w:rFonts w:ascii="Times New Roman" w:hAnsi="Times New Roman" w:cs="Times New Roman" w:eastAsia="Times New Roman" w:hint="default"/>
                <w:sz w:val="21"/>
                <w:szCs w:val="21"/>
              </w:rPr>
            </w:pPr>
            <w:r>
              <w:rPr>
                <w:rFonts w:ascii="Times New Roman"/>
                <w:sz w:val="21"/>
              </w:rPr>
              <w:t>36,97</w:t>
            </w:r>
          </w:p>
          <w:p>
            <w:pPr>
              <w:pStyle w:val="TableParagraph"/>
              <w:spacing w:line="240" w:lineRule="auto" w:before="75"/>
              <w:ind w:left="149" w:right="0"/>
              <w:jc w:val="center"/>
              <w:rPr>
                <w:rFonts w:ascii="Times New Roman" w:hAnsi="Times New Roman" w:cs="Times New Roman" w:eastAsia="Times New Roman" w:hint="default"/>
                <w:sz w:val="21"/>
                <w:szCs w:val="21"/>
              </w:rPr>
            </w:pPr>
            <w:r>
              <w:rPr>
                <w:rFonts w:ascii="Times New Roman"/>
                <w:sz w:val="21"/>
              </w:rPr>
              <w:t>1.92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8" w:right="0"/>
              <w:jc w:val="left"/>
              <w:rPr>
                <w:rFonts w:ascii="Times New Roman" w:hAnsi="Times New Roman" w:cs="Times New Roman" w:eastAsia="Times New Roman" w:hint="default"/>
                <w:sz w:val="21"/>
                <w:szCs w:val="21"/>
              </w:rPr>
            </w:pPr>
            <w:r>
              <w:rPr>
                <w:rFonts w:ascii="Times New Roman"/>
                <w:sz w:val="21"/>
              </w:rPr>
              <w:t>96,91</w:t>
            </w:r>
          </w:p>
          <w:p>
            <w:pPr>
              <w:pStyle w:val="TableParagraph"/>
              <w:spacing w:line="240" w:lineRule="auto" w:before="65"/>
              <w:ind w:left="148" w:right="0"/>
              <w:jc w:val="left"/>
              <w:rPr>
                <w:rFonts w:ascii="Times New Roman" w:hAnsi="Times New Roman" w:cs="Times New Roman" w:eastAsia="Times New Roman" w:hint="default"/>
                <w:sz w:val="21"/>
                <w:szCs w:val="21"/>
              </w:rPr>
            </w:pPr>
            <w:r>
              <w:rPr>
                <w:rFonts w:ascii="Times New Roman"/>
                <w:sz w:val="21"/>
              </w:rPr>
              <w:t>4,630</w:t>
            </w:r>
          </w:p>
          <w:p>
            <w:pPr>
              <w:pStyle w:val="TableParagraph"/>
              <w:spacing w:line="240" w:lineRule="auto" w:before="75"/>
              <w:ind w:left="355" w:right="0"/>
              <w:jc w:val="left"/>
              <w:rPr>
                <w:rFonts w:ascii="Times New Roman" w:hAnsi="Times New Roman" w:cs="Times New Roman" w:eastAsia="Times New Roman" w:hint="default"/>
                <w:sz w:val="21"/>
                <w:szCs w:val="21"/>
              </w:rPr>
            </w:pPr>
            <w:r>
              <w:rPr>
                <w:rFonts w:ascii="Times New Roman"/>
                <w:sz w:val="21"/>
              </w:rPr>
              <w:t>.87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center"/>
              <w:rPr>
                <w:rFonts w:ascii="Times New Roman" w:hAnsi="Times New Roman" w:cs="Times New Roman" w:eastAsia="Times New Roman" w:hint="default"/>
                <w:sz w:val="21"/>
                <w:szCs w:val="21"/>
              </w:rPr>
            </w:pPr>
            <w:r>
              <w:rPr>
                <w:rFonts w:ascii="Times New Roman"/>
                <w:sz w:val="21"/>
              </w:rPr>
              <w:t>495,0</w:t>
            </w:r>
          </w:p>
          <w:p>
            <w:pPr>
              <w:pStyle w:val="TableParagraph"/>
              <w:spacing w:line="240" w:lineRule="auto" w:before="65"/>
              <w:ind w:left="57" w:right="0"/>
              <w:jc w:val="center"/>
              <w:rPr>
                <w:rFonts w:ascii="Times New Roman" w:hAnsi="Times New Roman" w:cs="Times New Roman" w:eastAsia="Times New Roman" w:hint="default"/>
                <w:sz w:val="21"/>
                <w:szCs w:val="21"/>
              </w:rPr>
            </w:pPr>
            <w:r>
              <w:rPr>
                <w:rFonts w:ascii="Times New Roman"/>
                <w:sz w:val="21"/>
              </w:rPr>
              <w:t>51,60</w:t>
            </w:r>
          </w:p>
          <w:p>
            <w:pPr>
              <w:pStyle w:val="TableParagraph"/>
              <w:spacing w:line="240" w:lineRule="auto" w:before="75"/>
              <w:ind w:left="153" w:right="0"/>
              <w:jc w:val="center"/>
              <w:rPr>
                <w:rFonts w:ascii="Times New Roman" w:hAnsi="Times New Roman" w:cs="Times New Roman" w:eastAsia="Times New Roman" w:hint="default"/>
                <w:sz w:val="21"/>
                <w:szCs w:val="21"/>
              </w:rPr>
            </w:pPr>
            <w:r>
              <w:rPr>
                <w:rFonts w:ascii="Times New Roman"/>
                <w:sz w:val="21"/>
              </w:rPr>
              <w:t>2.79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2" w:right="0"/>
              <w:jc w:val="center"/>
              <w:rPr>
                <w:rFonts w:ascii="Times New Roman" w:hAnsi="Times New Roman" w:cs="Times New Roman" w:eastAsia="Times New Roman" w:hint="default"/>
                <w:sz w:val="21"/>
                <w:szCs w:val="21"/>
              </w:rPr>
            </w:pPr>
            <w:r>
              <w:rPr>
                <w:rFonts w:ascii="Times New Roman"/>
                <w:sz w:val="21"/>
              </w:rPr>
              <w:t>187,7</w:t>
            </w:r>
          </w:p>
          <w:p>
            <w:pPr>
              <w:pStyle w:val="TableParagraph"/>
              <w:spacing w:line="240" w:lineRule="auto" w:before="65"/>
              <w:ind w:left="52" w:right="0"/>
              <w:jc w:val="center"/>
              <w:rPr>
                <w:rFonts w:ascii="Times New Roman" w:hAnsi="Times New Roman" w:cs="Times New Roman" w:eastAsia="Times New Roman" w:hint="default"/>
                <w:sz w:val="21"/>
                <w:szCs w:val="21"/>
              </w:rPr>
            </w:pPr>
            <w:r>
              <w:rPr>
                <w:rFonts w:ascii="Times New Roman"/>
                <w:sz w:val="21"/>
              </w:rPr>
              <w:t>64,94</w:t>
            </w:r>
          </w:p>
          <w:p>
            <w:pPr>
              <w:pStyle w:val="TableParagraph"/>
              <w:spacing w:line="240" w:lineRule="auto" w:before="75"/>
              <w:ind w:left="148" w:right="0"/>
              <w:jc w:val="center"/>
              <w:rPr>
                <w:rFonts w:ascii="Times New Roman" w:hAnsi="Times New Roman" w:cs="Times New Roman" w:eastAsia="Times New Roman" w:hint="default"/>
                <w:sz w:val="21"/>
                <w:szCs w:val="21"/>
              </w:rPr>
            </w:pPr>
            <w:r>
              <w:rPr>
                <w:rFonts w:ascii="Times New Roman"/>
                <w:sz w:val="21"/>
              </w:rPr>
              <w:t>5.92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8" w:right="0"/>
              <w:jc w:val="left"/>
              <w:rPr>
                <w:rFonts w:ascii="Times New Roman" w:hAnsi="Times New Roman" w:cs="Times New Roman" w:eastAsia="Times New Roman" w:hint="default"/>
                <w:sz w:val="21"/>
                <w:szCs w:val="21"/>
              </w:rPr>
            </w:pPr>
            <w:r>
              <w:rPr>
                <w:rFonts w:ascii="Times New Roman"/>
                <w:sz w:val="21"/>
              </w:rPr>
              <w:t>2,845</w:t>
            </w:r>
          </w:p>
          <w:p>
            <w:pPr>
              <w:pStyle w:val="TableParagraph"/>
              <w:spacing w:line="240" w:lineRule="auto" w:before="65"/>
              <w:ind w:left="201" w:right="0"/>
              <w:jc w:val="left"/>
              <w:rPr>
                <w:rFonts w:ascii="Times New Roman" w:hAnsi="Times New Roman" w:cs="Times New Roman" w:eastAsia="Times New Roman" w:hint="default"/>
                <w:sz w:val="21"/>
                <w:szCs w:val="21"/>
              </w:rPr>
            </w:pPr>
            <w:r>
              <w:rPr>
                <w:rFonts w:ascii="Times New Roman"/>
                <w:sz w:val="21"/>
              </w:rPr>
              <w:t>,063.</w:t>
            </w:r>
          </w:p>
          <w:p>
            <w:pPr>
              <w:pStyle w:val="TableParagraph"/>
              <w:spacing w:line="240" w:lineRule="auto" w:before="75"/>
              <w:ind w:left="407" w:right="0"/>
              <w:jc w:val="left"/>
              <w:rPr>
                <w:rFonts w:ascii="Times New Roman" w:hAnsi="Times New Roman" w:cs="Times New Roman" w:eastAsia="Times New Roman" w:hint="default"/>
                <w:sz w:val="21"/>
                <w:szCs w:val="21"/>
              </w:rPr>
            </w:pPr>
            <w:r>
              <w:rPr>
                <w:rFonts w:ascii="Times New Roman"/>
                <w:sz w:val="21"/>
              </w:rPr>
              <w:t>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center"/>
              <w:rPr>
                <w:rFonts w:ascii="Times New Roman" w:hAnsi="Times New Roman" w:cs="Times New Roman" w:eastAsia="Times New Roman" w:hint="default"/>
                <w:sz w:val="21"/>
                <w:szCs w:val="21"/>
              </w:rPr>
            </w:pPr>
            <w:r>
              <w:rPr>
                <w:rFonts w:ascii="Times New Roman"/>
                <w:sz w:val="21"/>
              </w:rPr>
              <w:t>190,6</w:t>
            </w:r>
          </w:p>
          <w:p>
            <w:pPr>
              <w:pStyle w:val="TableParagraph"/>
              <w:spacing w:line="240" w:lineRule="auto" w:before="65"/>
              <w:ind w:left="57"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75"/>
              <w:ind w:left="153" w:right="0"/>
              <w:jc w:val="center"/>
              <w:rPr>
                <w:rFonts w:ascii="Times New Roman" w:hAnsi="Times New Roman" w:cs="Times New Roman" w:eastAsia="Times New Roman" w:hint="default"/>
                <w:sz w:val="21"/>
                <w:szCs w:val="21"/>
              </w:rPr>
            </w:pPr>
            <w:r>
              <w:rPr>
                <w:rFonts w:ascii="Times New Roman"/>
                <w:sz w:val="21"/>
              </w:rPr>
              <w:t>9.30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center"/>
              <w:rPr>
                <w:rFonts w:ascii="Times New Roman" w:hAnsi="Times New Roman" w:cs="Times New Roman" w:eastAsia="Times New Roman" w:hint="default"/>
                <w:sz w:val="21"/>
                <w:szCs w:val="21"/>
              </w:rPr>
            </w:pPr>
            <w:r>
              <w:rPr>
                <w:rFonts w:ascii="Times New Roman"/>
                <w:sz w:val="21"/>
              </w:rPr>
              <w:t>356,4</w:t>
            </w:r>
          </w:p>
          <w:p>
            <w:pPr>
              <w:pStyle w:val="TableParagraph"/>
              <w:spacing w:line="240" w:lineRule="auto" w:before="65"/>
              <w:ind w:left="57" w:right="0"/>
              <w:jc w:val="center"/>
              <w:rPr>
                <w:rFonts w:ascii="Times New Roman" w:hAnsi="Times New Roman" w:cs="Times New Roman" w:eastAsia="Times New Roman" w:hint="default"/>
                <w:sz w:val="21"/>
                <w:szCs w:val="21"/>
              </w:rPr>
            </w:pPr>
            <w:r>
              <w:rPr>
                <w:rFonts w:ascii="Times New Roman"/>
                <w:sz w:val="21"/>
              </w:rPr>
              <w:t>70,46</w:t>
            </w:r>
          </w:p>
          <w:p>
            <w:pPr>
              <w:pStyle w:val="TableParagraph"/>
              <w:spacing w:line="240" w:lineRule="auto" w:before="75"/>
              <w:ind w:left="153" w:right="0"/>
              <w:jc w:val="center"/>
              <w:rPr>
                <w:rFonts w:ascii="Times New Roman" w:hAnsi="Times New Roman" w:cs="Times New Roman" w:eastAsia="Times New Roman" w:hint="default"/>
                <w:sz w:val="21"/>
                <w:szCs w:val="21"/>
              </w:rPr>
            </w:pPr>
            <w:r>
              <w:rPr>
                <w:rFonts w:ascii="Times New Roman"/>
                <w:sz w:val="21"/>
              </w:rPr>
              <w:t>6.39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 w:right="0"/>
              <w:jc w:val="center"/>
              <w:rPr>
                <w:rFonts w:ascii="Times New Roman" w:hAnsi="Times New Roman" w:cs="Times New Roman" w:eastAsia="Times New Roman" w:hint="default"/>
                <w:sz w:val="21"/>
                <w:szCs w:val="21"/>
              </w:rPr>
            </w:pPr>
            <w:r>
              <w:rPr>
                <w:rFonts w:ascii="Times New Roman"/>
                <w:sz w:val="21"/>
              </w:rPr>
              <w:t>104,9</w:t>
            </w:r>
          </w:p>
          <w:p>
            <w:pPr>
              <w:pStyle w:val="TableParagraph"/>
              <w:spacing w:line="240" w:lineRule="auto" w:before="65"/>
              <w:ind w:left="57" w:right="0"/>
              <w:jc w:val="center"/>
              <w:rPr>
                <w:rFonts w:ascii="Times New Roman" w:hAnsi="Times New Roman" w:cs="Times New Roman" w:eastAsia="Times New Roman" w:hint="default"/>
                <w:sz w:val="21"/>
                <w:szCs w:val="21"/>
              </w:rPr>
            </w:pPr>
            <w:r>
              <w:rPr>
                <w:rFonts w:ascii="Times New Roman"/>
                <w:sz w:val="21"/>
              </w:rPr>
              <w:t>93,13</w:t>
            </w:r>
          </w:p>
          <w:p>
            <w:pPr>
              <w:pStyle w:val="TableParagraph"/>
              <w:spacing w:line="240" w:lineRule="auto" w:before="75"/>
              <w:ind w:left="153" w:right="0"/>
              <w:jc w:val="center"/>
              <w:rPr>
                <w:rFonts w:ascii="Times New Roman" w:hAnsi="Times New Roman" w:cs="Times New Roman" w:eastAsia="Times New Roman" w:hint="default"/>
                <w:sz w:val="21"/>
                <w:szCs w:val="21"/>
              </w:rPr>
            </w:pPr>
            <w:r>
              <w:rPr>
                <w:rFonts w:ascii="Times New Roman"/>
                <w:sz w:val="21"/>
              </w:rPr>
              <w:t>7.55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6" w:right="0"/>
              <w:jc w:val="center"/>
              <w:rPr>
                <w:rFonts w:ascii="Times New Roman" w:hAnsi="Times New Roman" w:cs="Times New Roman" w:eastAsia="Times New Roman" w:hint="default"/>
                <w:sz w:val="21"/>
                <w:szCs w:val="21"/>
              </w:rPr>
            </w:pPr>
            <w:r>
              <w:rPr>
                <w:rFonts w:ascii="Times New Roman"/>
                <w:sz w:val="21"/>
              </w:rPr>
              <w:t>461,4</w:t>
            </w:r>
          </w:p>
          <w:p>
            <w:pPr>
              <w:pStyle w:val="TableParagraph"/>
              <w:spacing w:line="240" w:lineRule="auto" w:before="65"/>
              <w:ind w:left="56" w:right="0"/>
              <w:jc w:val="center"/>
              <w:rPr>
                <w:rFonts w:ascii="Times New Roman" w:hAnsi="Times New Roman" w:cs="Times New Roman" w:eastAsia="Times New Roman" w:hint="default"/>
                <w:sz w:val="21"/>
                <w:szCs w:val="21"/>
              </w:rPr>
            </w:pPr>
            <w:r>
              <w:rPr>
                <w:rFonts w:ascii="Times New Roman"/>
                <w:sz w:val="21"/>
              </w:rPr>
              <w:t>63,60</w:t>
            </w:r>
          </w:p>
          <w:p>
            <w:pPr>
              <w:pStyle w:val="TableParagraph"/>
              <w:spacing w:line="240" w:lineRule="auto" w:before="75"/>
              <w:ind w:left="152" w:right="0"/>
              <w:jc w:val="center"/>
              <w:rPr>
                <w:rFonts w:ascii="Times New Roman" w:hAnsi="Times New Roman" w:cs="Times New Roman" w:eastAsia="Times New Roman" w:hint="default"/>
                <w:sz w:val="21"/>
                <w:szCs w:val="21"/>
              </w:rPr>
            </w:pPr>
            <w:r>
              <w:rPr>
                <w:rFonts w:ascii="Times New Roman"/>
                <w:sz w:val="21"/>
              </w:rPr>
              <w:t>3.94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 w:right="0"/>
              <w:jc w:val="center"/>
              <w:rPr>
                <w:rFonts w:ascii="Times New Roman" w:hAnsi="Times New Roman" w:cs="Times New Roman" w:eastAsia="Times New Roman" w:hint="default"/>
                <w:sz w:val="21"/>
                <w:szCs w:val="21"/>
              </w:rPr>
            </w:pPr>
            <w:r>
              <w:rPr>
                <w:rFonts w:ascii="Times New Roman"/>
                <w:sz w:val="21"/>
              </w:rPr>
              <w:t>183,1</w:t>
            </w:r>
          </w:p>
          <w:p>
            <w:pPr>
              <w:pStyle w:val="TableParagraph"/>
              <w:spacing w:line="240" w:lineRule="auto" w:before="65"/>
              <w:ind w:left="62" w:right="0"/>
              <w:jc w:val="center"/>
              <w:rPr>
                <w:rFonts w:ascii="Times New Roman" w:hAnsi="Times New Roman" w:cs="Times New Roman" w:eastAsia="Times New Roman" w:hint="default"/>
                <w:sz w:val="21"/>
                <w:szCs w:val="21"/>
              </w:rPr>
            </w:pPr>
            <w:r>
              <w:rPr>
                <w:rFonts w:ascii="Times New Roman"/>
                <w:sz w:val="21"/>
              </w:rPr>
              <w:t>29,20</w:t>
            </w:r>
          </w:p>
          <w:p>
            <w:pPr>
              <w:pStyle w:val="TableParagraph"/>
              <w:spacing w:line="240" w:lineRule="auto" w:before="75"/>
              <w:ind w:left="158" w:right="0"/>
              <w:jc w:val="center"/>
              <w:rPr>
                <w:rFonts w:ascii="Times New Roman" w:hAnsi="Times New Roman" w:cs="Times New Roman" w:eastAsia="Times New Roman" w:hint="default"/>
                <w:sz w:val="21"/>
                <w:szCs w:val="21"/>
              </w:rPr>
            </w:pPr>
            <w:r>
              <w:rPr>
                <w:rFonts w:ascii="Times New Roman"/>
                <w:sz w:val="21"/>
              </w:rPr>
              <w:t>0.85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3,164</w:t>
            </w:r>
          </w:p>
          <w:p>
            <w:pPr>
              <w:pStyle w:val="TableParagraph"/>
              <w:spacing w:line="240" w:lineRule="auto" w:before="65"/>
              <w:ind w:left="206" w:right="0"/>
              <w:jc w:val="left"/>
              <w:rPr>
                <w:rFonts w:ascii="Times New Roman" w:hAnsi="Times New Roman" w:cs="Times New Roman" w:eastAsia="Times New Roman" w:hint="default"/>
                <w:sz w:val="21"/>
                <w:szCs w:val="21"/>
              </w:rPr>
            </w:pPr>
            <w:r>
              <w:rPr>
                <w:rFonts w:ascii="Times New Roman"/>
                <w:sz w:val="21"/>
              </w:rPr>
              <w:t>,554.</w:t>
            </w:r>
          </w:p>
          <w:p>
            <w:pPr>
              <w:pStyle w:val="TableParagraph"/>
              <w:spacing w:line="240" w:lineRule="auto" w:before="75"/>
              <w:ind w:left="413" w:right="0"/>
              <w:jc w:val="left"/>
              <w:rPr>
                <w:rFonts w:ascii="Times New Roman" w:hAnsi="Times New Roman" w:cs="Times New Roman" w:eastAsia="Times New Roman" w:hint="default"/>
                <w:sz w:val="21"/>
                <w:szCs w:val="21"/>
              </w:rPr>
            </w:pPr>
            <w:r>
              <w:rPr>
                <w:rFonts w:ascii="Times New Roman"/>
                <w:sz w:val="21"/>
              </w:rPr>
              <w:t>08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2" w:right="0"/>
              <w:jc w:val="center"/>
              <w:rPr>
                <w:rFonts w:ascii="Times New Roman" w:hAnsi="Times New Roman" w:cs="Times New Roman" w:eastAsia="Times New Roman" w:hint="default"/>
                <w:sz w:val="21"/>
                <w:szCs w:val="21"/>
              </w:rPr>
            </w:pPr>
            <w:r>
              <w:rPr>
                <w:rFonts w:ascii="Times New Roman"/>
                <w:sz w:val="21"/>
              </w:rPr>
              <w:t>186,2</w:t>
            </w:r>
          </w:p>
          <w:p>
            <w:pPr>
              <w:pStyle w:val="TableParagraph"/>
              <w:spacing w:line="240" w:lineRule="auto" w:before="65"/>
              <w:ind w:left="52" w:right="0"/>
              <w:jc w:val="center"/>
              <w:rPr>
                <w:rFonts w:ascii="Times New Roman" w:hAnsi="Times New Roman" w:cs="Times New Roman" w:eastAsia="Times New Roman" w:hint="default"/>
                <w:sz w:val="21"/>
                <w:szCs w:val="21"/>
              </w:rPr>
            </w:pPr>
            <w:r>
              <w:rPr>
                <w:rFonts w:ascii="Times New Roman"/>
                <w:sz w:val="21"/>
              </w:rPr>
              <w:t>93,75</w:t>
            </w:r>
          </w:p>
          <w:p>
            <w:pPr>
              <w:pStyle w:val="TableParagraph"/>
              <w:spacing w:line="240" w:lineRule="auto" w:before="75"/>
              <w:ind w:left="148" w:right="0"/>
              <w:jc w:val="center"/>
              <w:rPr>
                <w:rFonts w:ascii="Times New Roman" w:hAnsi="Times New Roman" w:cs="Times New Roman" w:eastAsia="Times New Roman" w:hint="default"/>
                <w:sz w:val="21"/>
                <w:szCs w:val="21"/>
              </w:rPr>
            </w:pPr>
            <w:r>
              <w:rPr>
                <w:rFonts w:ascii="Times New Roman"/>
                <w:sz w:val="21"/>
              </w:rPr>
              <w:t>4.93</w:t>
            </w:r>
          </w:p>
        </w:tc>
      </w:tr>
    </w:tbl>
    <w:p>
      <w:pPr>
        <w:pStyle w:val="BodyText"/>
        <w:spacing w:line="240" w:lineRule="auto" w:before="28"/>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317" w:type="dxa"/>
        <w:tblLayout w:type="fixed"/>
        <w:tblCellMar>
          <w:top w:w="0" w:type="dxa"/>
          <w:left w:w="0" w:type="dxa"/>
          <w:bottom w:w="0" w:type="dxa"/>
          <w:right w:w="0" w:type="dxa"/>
        </w:tblCellMar>
        <w:tblLook w:val="01E0"/>
      </w:tblPr>
      <w:tblGrid>
        <w:gridCol w:w="1273"/>
        <w:gridCol w:w="1061"/>
        <w:gridCol w:w="1061"/>
        <w:gridCol w:w="1066"/>
        <w:gridCol w:w="1066"/>
        <w:gridCol w:w="1066"/>
        <w:gridCol w:w="1061"/>
        <w:gridCol w:w="1061"/>
        <w:gridCol w:w="1071"/>
      </w:tblGrid>
      <w:tr>
        <w:trPr>
          <w:trHeight w:val="403" w:hRule="exact"/>
        </w:trPr>
        <w:tc>
          <w:tcPr>
            <w:tcW w:w="12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5" w:hRule="exact"/>
        </w:trPr>
        <w:tc>
          <w:tcPr>
            <w:tcW w:w="1273"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322" w:right="98"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pacing w:val="-101"/>
                <w:sz w:val="21"/>
                <w:szCs w:val="21"/>
              </w:rPr>
              <w:t> </w:t>
            </w:r>
            <w:r>
              <w:rPr>
                <w:rFonts w:ascii="宋体" w:hAnsi="宋体" w:cs="宋体" w:eastAsia="宋体" w:hint="default"/>
                <w:sz w:val="21"/>
                <w:szCs w:val="21"/>
              </w:rPr>
              <w:t>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10" w:right="99"/>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spacing w:val="-101"/>
                <w:sz w:val="21"/>
                <w:szCs w:val="21"/>
              </w:rPr>
              <w:t> </w:t>
            </w:r>
            <w:r>
              <w:rPr>
                <w:rFonts w:ascii="宋体" w:hAnsi="宋体" w:cs="宋体" w:eastAsia="宋体" w:hint="default"/>
                <w:sz w:val="21"/>
                <w:szCs w:val="21"/>
              </w:rPr>
              <w:t>现金流量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316" w:right="99" w:hanging="212"/>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pacing w:val="-101"/>
                <w:sz w:val="21"/>
                <w:szCs w:val="21"/>
              </w:rPr>
              <w:t> </w:t>
            </w:r>
            <w:r>
              <w:rPr>
                <w:rFonts w:ascii="宋体" w:hAnsi="宋体" w:cs="宋体" w:eastAsia="宋体" w:hint="default"/>
                <w:sz w:val="21"/>
                <w:szCs w:val="21"/>
              </w:rPr>
              <w:t>总额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10" w:right="103"/>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spacing w:val="-101"/>
                <w:sz w:val="21"/>
                <w:szCs w:val="21"/>
              </w:rPr>
              <w:t> </w:t>
            </w:r>
            <w:r>
              <w:rPr>
                <w:rFonts w:ascii="宋体" w:hAnsi="宋体" w:cs="宋体" w:eastAsia="宋体" w:hint="default"/>
                <w:sz w:val="21"/>
                <w:szCs w:val="21"/>
              </w:rPr>
              <w:t>现金流量</w:t>
            </w:r>
          </w:p>
        </w:tc>
      </w:tr>
      <w:tr>
        <w:trPr>
          <w:trHeight w:val="1028" w:hRule="exact"/>
        </w:trPr>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104"/>
              <w:jc w:val="both"/>
              <w:rPr>
                <w:rFonts w:ascii="宋体" w:hAnsi="宋体" w:cs="宋体" w:eastAsia="宋体" w:hint="default"/>
                <w:sz w:val="21"/>
                <w:szCs w:val="21"/>
              </w:rPr>
            </w:pPr>
            <w:r>
              <w:rPr>
                <w:rFonts w:ascii="宋体" w:hAnsi="宋体" w:cs="宋体" w:eastAsia="宋体" w:hint="default"/>
                <w:sz w:val="21"/>
                <w:szCs w:val="21"/>
              </w:rPr>
              <w:t>安徽佑赛科</w:t>
            </w:r>
            <w:r>
              <w:rPr>
                <w:rFonts w:ascii="宋体" w:hAnsi="宋体" w:cs="宋体" w:eastAsia="宋体" w:hint="default"/>
                <w:spacing w:val="-99"/>
                <w:sz w:val="21"/>
                <w:szCs w:val="21"/>
              </w:rPr>
              <w:t> </w:t>
            </w:r>
            <w:r>
              <w:rPr>
                <w:rFonts w:ascii="宋体" w:hAnsi="宋体" w:cs="宋体" w:eastAsia="宋体" w:hint="default"/>
                <w:sz w:val="21"/>
                <w:szCs w:val="21"/>
              </w:rPr>
              <w:t>技股份有限</w:t>
            </w:r>
            <w:r>
              <w:rPr>
                <w:rFonts w:ascii="宋体" w:hAnsi="宋体" w:cs="宋体" w:eastAsia="宋体" w:hint="default"/>
                <w:spacing w:val="-99"/>
                <w:sz w:val="21"/>
                <w:szCs w:val="21"/>
              </w:rPr>
              <w:t> </w:t>
            </w:r>
            <w:r>
              <w:rPr>
                <w:rFonts w:ascii="宋体" w:hAnsi="宋体" w:cs="宋体" w:eastAsia="宋体" w:hint="default"/>
                <w:sz w:val="21"/>
                <w:szCs w:val="21"/>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74,703,95</w:t>
            </w:r>
          </w:p>
          <w:p>
            <w:pPr>
              <w:pStyle w:val="TableParagraph"/>
              <w:spacing w:line="240" w:lineRule="auto" w:before="75"/>
              <w:ind w:left="580" w:right="0"/>
              <w:jc w:val="left"/>
              <w:rPr>
                <w:rFonts w:ascii="Times New Roman" w:hAnsi="Times New Roman" w:cs="Times New Roman" w:eastAsia="Times New Roman" w:hint="default"/>
                <w:sz w:val="21"/>
                <w:szCs w:val="21"/>
              </w:rPr>
            </w:pPr>
            <w:r>
              <w:rPr>
                <w:rFonts w:ascii="Times New Roman"/>
                <w:sz w:val="21"/>
              </w:rPr>
              <w:t>5.39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1,780,382</w:t>
            </w:r>
          </w:p>
          <w:p>
            <w:pPr>
              <w:pStyle w:val="TableParagraph"/>
              <w:spacing w:line="240" w:lineRule="auto" w:before="75"/>
              <w:ind w:left="686" w:right="0"/>
              <w:jc w:val="left"/>
              <w:rPr>
                <w:rFonts w:ascii="Times New Roman" w:hAnsi="Times New Roman" w:cs="Times New Roman" w:eastAsia="Times New Roman" w:hint="default"/>
                <w:sz w:val="21"/>
                <w:szCs w:val="21"/>
              </w:rPr>
            </w:pPr>
            <w:r>
              <w:rPr>
                <w:rFonts w:ascii="Times New Roman"/>
                <w:sz w:val="21"/>
              </w:rPr>
              <w:t>.78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1,780,382</w:t>
            </w:r>
          </w:p>
          <w:p>
            <w:pPr>
              <w:pStyle w:val="TableParagraph"/>
              <w:spacing w:line="240" w:lineRule="auto" w:before="75"/>
              <w:ind w:left="691" w:right="0"/>
              <w:jc w:val="left"/>
              <w:rPr>
                <w:rFonts w:ascii="Times New Roman" w:hAnsi="Times New Roman" w:cs="Times New Roman" w:eastAsia="Times New Roman" w:hint="default"/>
                <w:sz w:val="21"/>
                <w:szCs w:val="21"/>
              </w:rPr>
            </w:pPr>
            <w:r>
              <w:rPr>
                <w:rFonts w:ascii="Times New Roman"/>
                <w:sz w:val="21"/>
              </w:rPr>
              <w:t>.78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5,123,961</w:t>
            </w:r>
          </w:p>
          <w:p>
            <w:pPr>
              <w:pStyle w:val="TableParagraph"/>
              <w:spacing w:line="240" w:lineRule="auto" w:before="75"/>
              <w:ind w:left="691" w:right="0"/>
              <w:jc w:val="left"/>
              <w:rPr>
                <w:rFonts w:ascii="Times New Roman" w:hAnsi="Times New Roman" w:cs="Times New Roman" w:eastAsia="Times New Roman" w:hint="default"/>
                <w:sz w:val="21"/>
                <w:szCs w:val="21"/>
              </w:rPr>
            </w:pPr>
            <w:r>
              <w:rPr>
                <w:rFonts w:ascii="Times New Roman"/>
                <w:sz w:val="21"/>
              </w:rPr>
              <w:t>.44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52,238,12</w:t>
            </w:r>
          </w:p>
          <w:p>
            <w:pPr>
              <w:pStyle w:val="TableParagraph"/>
              <w:spacing w:line="240" w:lineRule="auto" w:before="75"/>
              <w:ind w:left="581" w:right="0"/>
              <w:jc w:val="left"/>
              <w:rPr>
                <w:rFonts w:ascii="Times New Roman" w:hAnsi="Times New Roman" w:cs="Times New Roman" w:eastAsia="Times New Roman" w:hint="default"/>
                <w:sz w:val="21"/>
                <w:szCs w:val="21"/>
              </w:rPr>
            </w:pPr>
            <w:r>
              <w:rPr>
                <w:rFonts w:ascii="Times New Roman"/>
                <w:sz w:val="21"/>
              </w:rPr>
              <w:t>4.51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-241,165.</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sz w:val="21"/>
              </w:rPr>
              <w:t>48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-241,165.</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48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3,484,527</w:t>
            </w:r>
          </w:p>
          <w:p>
            <w:pPr>
              <w:pStyle w:val="TableParagraph"/>
              <w:spacing w:line="240" w:lineRule="auto" w:before="75"/>
              <w:ind w:left="691" w:right="0"/>
              <w:jc w:val="left"/>
              <w:rPr>
                <w:rFonts w:ascii="Times New Roman" w:hAnsi="Times New Roman" w:cs="Times New Roman" w:eastAsia="Times New Roman" w:hint="default"/>
                <w:sz w:val="21"/>
                <w:szCs w:val="21"/>
              </w:rPr>
            </w:pPr>
            <w:r>
              <w:rPr>
                <w:rFonts w:ascii="Times New Roman"/>
                <w:sz w:val="21"/>
              </w:rPr>
              <w:t>.45</w:t>
            </w:r>
          </w:p>
        </w:tc>
      </w:tr>
      <w:tr>
        <w:trPr>
          <w:trHeight w:val="1022" w:hRule="exact"/>
        </w:trPr>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0" w:right="104"/>
              <w:jc w:val="both"/>
              <w:rPr>
                <w:rFonts w:ascii="宋体" w:hAnsi="宋体" w:cs="宋体" w:eastAsia="宋体" w:hint="default"/>
                <w:sz w:val="21"/>
                <w:szCs w:val="21"/>
              </w:rPr>
            </w:pPr>
            <w:r>
              <w:rPr>
                <w:rFonts w:ascii="宋体" w:hAnsi="宋体" w:cs="宋体" w:eastAsia="宋体" w:hint="default"/>
                <w:sz w:val="21"/>
                <w:szCs w:val="21"/>
              </w:rPr>
              <w:t>天津市泰达</w:t>
            </w:r>
            <w:r>
              <w:rPr>
                <w:rFonts w:ascii="宋体" w:hAnsi="宋体" w:cs="宋体" w:eastAsia="宋体" w:hint="default"/>
                <w:spacing w:val="-99"/>
                <w:sz w:val="21"/>
                <w:szCs w:val="21"/>
              </w:rPr>
              <w:t> </w:t>
            </w:r>
            <w:r>
              <w:rPr>
                <w:rFonts w:ascii="宋体" w:hAnsi="宋体" w:cs="宋体" w:eastAsia="宋体" w:hint="default"/>
                <w:sz w:val="21"/>
                <w:szCs w:val="21"/>
              </w:rPr>
              <w:t>工程设计有</w:t>
            </w:r>
            <w:r>
              <w:rPr>
                <w:rFonts w:ascii="宋体" w:hAnsi="宋体" w:cs="宋体" w:eastAsia="宋体" w:hint="default"/>
                <w:spacing w:val="-99"/>
                <w:sz w:val="21"/>
                <w:szCs w:val="21"/>
              </w:rPr>
              <w:t> </w:t>
            </w:r>
            <w:r>
              <w:rPr>
                <w:rFonts w:ascii="宋体" w:hAnsi="宋体" w:cs="宋体" w:eastAsia="宋体" w:hint="default"/>
                <w:sz w:val="21"/>
                <w:szCs w:val="21"/>
              </w:rPr>
              <w:t>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98,447,09</w:t>
            </w:r>
          </w:p>
          <w:p>
            <w:pPr>
              <w:pStyle w:val="TableParagraph"/>
              <w:spacing w:line="240" w:lineRule="auto" w:before="75"/>
              <w:ind w:left="580" w:right="0"/>
              <w:jc w:val="left"/>
              <w:rPr>
                <w:rFonts w:ascii="Times New Roman" w:hAnsi="Times New Roman" w:cs="Times New Roman" w:eastAsia="Times New Roman" w:hint="default"/>
                <w:sz w:val="21"/>
                <w:szCs w:val="21"/>
              </w:rPr>
            </w:pPr>
            <w:r>
              <w:rPr>
                <w:rFonts w:ascii="Times New Roman"/>
                <w:sz w:val="21"/>
              </w:rPr>
              <w:t>5.70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9" w:right="0"/>
              <w:jc w:val="left"/>
              <w:rPr>
                <w:rFonts w:ascii="Times New Roman" w:hAnsi="Times New Roman" w:cs="Times New Roman" w:eastAsia="Times New Roman" w:hint="default"/>
                <w:sz w:val="21"/>
                <w:szCs w:val="21"/>
              </w:rPr>
            </w:pPr>
            <w:r>
              <w:rPr>
                <w:rFonts w:ascii="Times New Roman"/>
                <w:sz w:val="21"/>
              </w:rPr>
              <w:t>10,115,08</w:t>
            </w:r>
          </w:p>
          <w:p>
            <w:pPr>
              <w:pStyle w:val="TableParagraph"/>
              <w:spacing w:line="240" w:lineRule="auto" w:before="75"/>
              <w:ind w:left="580" w:right="0"/>
              <w:jc w:val="left"/>
              <w:rPr>
                <w:rFonts w:ascii="Times New Roman" w:hAnsi="Times New Roman" w:cs="Times New Roman" w:eastAsia="Times New Roman" w:hint="default"/>
                <w:sz w:val="21"/>
                <w:szCs w:val="21"/>
              </w:rPr>
            </w:pPr>
            <w:r>
              <w:rPr>
                <w:rFonts w:ascii="Times New Roman"/>
                <w:sz w:val="21"/>
              </w:rPr>
              <w:t>1.69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5" w:right="0"/>
              <w:jc w:val="left"/>
              <w:rPr>
                <w:rFonts w:ascii="Times New Roman" w:hAnsi="Times New Roman" w:cs="Times New Roman" w:eastAsia="Times New Roman" w:hint="default"/>
                <w:sz w:val="21"/>
                <w:szCs w:val="21"/>
              </w:rPr>
            </w:pPr>
            <w:r>
              <w:rPr>
                <w:rFonts w:ascii="Times New Roman"/>
                <w:sz w:val="21"/>
              </w:rPr>
              <w:t>10,115,08</w:t>
            </w:r>
          </w:p>
          <w:p>
            <w:pPr>
              <w:pStyle w:val="TableParagraph"/>
              <w:spacing w:line="240" w:lineRule="auto" w:before="75"/>
              <w:ind w:left="586" w:right="0"/>
              <w:jc w:val="left"/>
              <w:rPr>
                <w:rFonts w:ascii="Times New Roman" w:hAnsi="Times New Roman" w:cs="Times New Roman" w:eastAsia="Times New Roman" w:hint="default"/>
                <w:sz w:val="21"/>
                <w:szCs w:val="21"/>
              </w:rPr>
            </w:pPr>
            <w:r>
              <w:rPr>
                <w:rFonts w:ascii="Times New Roman"/>
                <w:sz w:val="21"/>
              </w:rPr>
              <w:t>1.69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22,098,20</w:t>
            </w:r>
          </w:p>
          <w:p>
            <w:pPr>
              <w:pStyle w:val="TableParagraph"/>
              <w:spacing w:line="240" w:lineRule="auto" w:before="75"/>
              <w:ind w:left="585" w:right="0"/>
              <w:jc w:val="left"/>
              <w:rPr>
                <w:rFonts w:ascii="Times New Roman" w:hAnsi="Times New Roman" w:cs="Times New Roman" w:eastAsia="Times New Roman" w:hint="default"/>
                <w:sz w:val="21"/>
                <w:szCs w:val="21"/>
              </w:rPr>
            </w:pPr>
            <w:r>
              <w:rPr>
                <w:rFonts w:ascii="Times New Roman"/>
                <w:sz w:val="21"/>
              </w:rPr>
              <w:t>1.43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4" w:right="0"/>
              <w:jc w:val="left"/>
              <w:rPr>
                <w:rFonts w:ascii="Times New Roman" w:hAnsi="Times New Roman" w:cs="Times New Roman" w:eastAsia="Times New Roman" w:hint="default"/>
                <w:sz w:val="21"/>
                <w:szCs w:val="21"/>
              </w:rPr>
            </w:pPr>
            <w:r>
              <w:rPr>
                <w:rFonts w:ascii="Times New Roman"/>
                <w:spacing w:val="-3"/>
                <w:sz w:val="21"/>
              </w:rPr>
              <w:t>111,002,4</w:t>
            </w:r>
          </w:p>
          <w:p>
            <w:pPr>
              <w:pStyle w:val="TableParagraph"/>
              <w:spacing w:line="240" w:lineRule="auto" w:before="75"/>
              <w:ind w:left="480" w:right="0"/>
              <w:jc w:val="left"/>
              <w:rPr>
                <w:rFonts w:ascii="Times New Roman" w:hAnsi="Times New Roman" w:cs="Times New Roman" w:eastAsia="Times New Roman" w:hint="default"/>
                <w:sz w:val="21"/>
                <w:szCs w:val="21"/>
              </w:rPr>
            </w:pPr>
            <w:r>
              <w:rPr>
                <w:rFonts w:ascii="Times New Roman"/>
                <w:sz w:val="21"/>
              </w:rPr>
              <w:t>92.24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21"/>
                <w:szCs w:val="21"/>
              </w:rPr>
            </w:pPr>
            <w:r>
              <w:rPr>
                <w:rFonts w:ascii="Times New Roman"/>
                <w:sz w:val="21"/>
              </w:rPr>
              <w:t>19,916,68</w:t>
            </w:r>
          </w:p>
          <w:p>
            <w:pPr>
              <w:pStyle w:val="TableParagraph"/>
              <w:spacing w:line="240" w:lineRule="auto" w:before="75"/>
              <w:ind w:left="575" w:right="0"/>
              <w:jc w:val="left"/>
              <w:rPr>
                <w:rFonts w:ascii="Times New Roman" w:hAnsi="Times New Roman" w:cs="Times New Roman" w:eastAsia="Times New Roman" w:hint="default"/>
                <w:sz w:val="21"/>
                <w:szCs w:val="21"/>
              </w:rPr>
            </w:pPr>
            <w:r>
              <w:rPr>
                <w:rFonts w:ascii="Times New Roman"/>
                <w:sz w:val="21"/>
              </w:rPr>
              <w:t>7.22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19,916,68</w:t>
            </w:r>
          </w:p>
          <w:p>
            <w:pPr>
              <w:pStyle w:val="TableParagraph"/>
              <w:spacing w:line="240" w:lineRule="auto" w:before="75"/>
              <w:ind w:left="580" w:right="0"/>
              <w:jc w:val="left"/>
              <w:rPr>
                <w:rFonts w:ascii="Times New Roman" w:hAnsi="Times New Roman" w:cs="Times New Roman" w:eastAsia="Times New Roman" w:hint="default"/>
                <w:sz w:val="21"/>
                <w:szCs w:val="21"/>
              </w:rPr>
            </w:pPr>
            <w:r>
              <w:rPr>
                <w:rFonts w:ascii="Times New Roman"/>
                <w:sz w:val="21"/>
              </w:rPr>
              <w:t>7.22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2,927,500</w:t>
            </w:r>
          </w:p>
          <w:p>
            <w:pPr>
              <w:pStyle w:val="TableParagraph"/>
              <w:spacing w:line="240" w:lineRule="auto" w:before="75"/>
              <w:ind w:left="691" w:right="0"/>
              <w:jc w:val="left"/>
              <w:rPr>
                <w:rFonts w:ascii="Times New Roman" w:hAnsi="Times New Roman" w:cs="Times New Roman" w:eastAsia="Times New Roman" w:hint="default"/>
                <w:sz w:val="21"/>
                <w:szCs w:val="21"/>
              </w:rPr>
            </w:pPr>
            <w:r>
              <w:rPr>
                <w:rFonts w:ascii="Times New Roman"/>
                <w:sz w:val="21"/>
              </w:rPr>
              <w:t>.76</w:t>
            </w:r>
          </w:p>
        </w:tc>
      </w:tr>
      <w:tr>
        <w:trPr>
          <w:trHeight w:val="716" w:hRule="exact"/>
        </w:trPr>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0" w:right="104"/>
              <w:jc w:val="left"/>
              <w:rPr>
                <w:rFonts w:ascii="宋体" w:hAnsi="宋体" w:cs="宋体" w:eastAsia="宋体" w:hint="default"/>
                <w:sz w:val="21"/>
                <w:szCs w:val="21"/>
              </w:rPr>
            </w:pPr>
            <w:r>
              <w:rPr>
                <w:rFonts w:ascii="宋体" w:hAnsi="宋体" w:cs="宋体" w:eastAsia="宋体" w:hint="default"/>
                <w:sz w:val="21"/>
                <w:szCs w:val="21"/>
              </w:rPr>
              <w:t>苏州开关二</w:t>
            </w:r>
            <w:r>
              <w:rPr>
                <w:rFonts w:ascii="宋体" w:hAnsi="宋体" w:cs="宋体" w:eastAsia="宋体" w:hint="default"/>
                <w:spacing w:val="-99"/>
                <w:sz w:val="21"/>
                <w:szCs w:val="21"/>
              </w:rPr>
              <w:t> </w:t>
            </w:r>
            <w:r>
              <w:rPr>
                <w:rFonts w:ascii="宋体" w:hAnsi="宋体" w:cs="宋体" w:eastAsia="宋体" w:hint="default"/>
                <w:sz w:val="21"/>
                <w:szCs w:val="21"/>
              </w:rPr>
              <w:t>厂有限公司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0" w:right="0"/>
              <w:jc w:val="left"/>
              <w:rPr>
                <w:rFonts w:ascii="Times New Roman" w:hAnsi="Times New Roman" w:cs="Times New Roman" w:eastAsia="Times New Roman" w:hint="default"/>
                <w:sz w:val="21"/>
                <w:szCs w:val="21"/>
              </w:rPr>
            </w:pPr>
            <w:r>
              <w:rPr>
                <w:rFonts w:ascii="Times New Roman"/>
                <w:sz w:val="21"/>
              </w:rPr>
              <w:t>295,442,3</w:t>
            </w:r>
          </w:p>
          <w:p>
            <w:pPr>
              <w:pStyle w:val="TableParagraph"/>
              <w:spacing w:line="240" w:lineRule="auto" w:before="75"/>
              <w:ind w:left="480" w:right="0"/>
              <w:jc w:val="left"/>
              <w:rPr>
                <w:rFonts w:ascii="Times New Roman" w:hAnsi="Times New Roman" w:cs="Times New Roman" w:eastAsia="Times New Roman" w:hint="default"/>
                <w:sz w:val="21"/>
                <w:szCs w:val="21"/>
              </w:rPr>
            </w:pPr>
            <w:r>
              <w:rPr>
                <w:rFonts w:ascii="Times New Roman"/>
                <w:sz w:val="21"/>
              </w:rPr>
              <w:t>45.70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0" w:right="0"/>
              <w:jc w:val="left"/>
              <w:rPr>
                <w:rFonts w:ascii="Times New Roman" w:hAnsi="Times New Roman" w:cs="Times New Roman" w:eastAsia="Times New Roman" w:hint="default"/>
                <w:sz w:val="21"/>
                <w:szCs w:val="21"/>
              </w:rPr>
            </w:pPr>
            <w:r>
              <w:rPr>
                <w:rFonts w:ascii="Times New Roman"/>
                <w:sz w:val="21"/>
              </w:rPr>
              <w:t>29,271,74</w:t>
            </w:r>
          </w:p>
          <w:p>
            <w:pPr>
              <w:pStyle w:val="TableParagraph"/>
              <w:spacing w:line="240" w:lineRule="auto" w:before="75"/>
              <w:ind w:left="580" w:right="0"/>
              <w:jc w:val="left"/>
              <w:rPr>
                <w:rFonts w:ascii="Times New Roman" w:hAnsi="Times New Roman" w:cs="Times New Roman" w:eastAsia="Times New Roman" w:hint="default"/>
                <w:sz w:val="21"/>
                <w:szCs w:val="21"/>
              </w:rPr>
            </w:pPr>
            <w:r>
              <w:rPr>
                <w:rFonts w:ascii="Times New Roman"/>
                <w:sz w:val="21"/>
              </w:rPr>
              <w:t>4.48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5" w:right="0"/>
              <w:jc w:val="left"/>
              <w:rPr>
                <w:rFonts w:ascii="Times New Roman" w:hAnsi="Times New Roman" w:cs="Times New Roman" w:eastAsia="Times New Roman" w:hint="default"/>
                <w:sz w:val="21"/>
                <w:szCs w:val="21"/>
              </w:rPr>
            </w:pPr>
            <w:r>
              <w:rPr>
                <w:rFonts w:ascii="Times New Roman"/>
                <w:sz w:val="21"/>
              </w:rPr>
              <w:t>29,271,74</w:t>
            </w:r>
          </w:p>
          <w:p>
            <w:pPr>
              <w:pStyle w:val="TableParagraph"/>
              <w:spacing w:line="240" w:lineRule="auto" w:before="75"/>
              <w:ind w:left="586" w:right="0"/>
              <w:jc w:val="left"/>
              <w:rPr>
                <w:rFonts w:ascii="Times New Roman" w:hAnsi="Times New Roman" w:cs="Times New Roman" w:eastAsia="Times New Roman" w:hint="default"/>
                <w:sz w:val="21"/>
                <w:szCs w:val="21"/>
              </w:rPr>
            </w:pPr>
            <w:r>
              <w:rPr>
                <w:rFonts w:ascii="Times New Roman"/>
                <w:sz w:val="21"/>
              </w:rPr>
              <w:t>4.48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5" w:right="0"/>
              <w:jc w:val="left"/>
              <w:rPr>
                <w:rFonts w:ascii="Times New Roman" w:hAnsi="Times New Roman" w:cs="Times New Roman" w:eastAsia="Times New Roman" w:hint="default"/>
                <w:sz w:val="21"/>
                <w:szCs w:val="21"/>
              </w:rPr>
            </w:pPr>
            <w:r>
              <w:rPr>
                <w:rFonts w:ascii="Times New Roman"/>
                <w:sz w:val="21"/>
              </w:rPr>
              <w:t>1,485,322</w:t>
            </w:r>
          </w:p>
          <w:p>
            <w:pPr>
              <w:pStyle w:val="TableParagraph"/>
              <w:spacing w:line="240" w:lineRule="auto" w:before="75"/>
              <w:ind w:left="691" w:right="0"/>
              <w:jc w:val="left"/>
              <w:rPr>
                <w:rFonts w:ascii="Times New Roman" w:hAnsi="Times New Roman" w:cs="Times New Roman" w:eastAsia="Times New Roman" w:hint="default"/>
                <w:sz w:val="21"/>
                <w:szCs w:val="21"/>
              </w:rPr>
            </w:pPr>
            <w:r>
              <w:rPr>
                <w:rFonts w:ascii="Times New Roman"/>
                <w:sz w:val="21"/>
              </w:rPr>
              <w:t>.80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0" w:right="0"/>
              <w:jc w:val="left"/>
              <w:rPr>
                <w:rFonts w:ascii="Times New Roman" w:hAnsi="Times New Roman" w:cs="Times New Roman" w:eastAsia="Times New Roman" w:hint="default"/>
                <w:sz w:val="21"/>
                <w:szCs w:val="21"/>
              </w:rPr>
            </w:pPr>
            <w:r>
              <w:rPr>
                <w:rFonts w:ascii="Times New Roman"/>
                <w:sz w:val="21"/>
              </w:rPr>
              <w:t>269,402,7</w:t>
            </w:r>
          </w:p>
          <w:p>
            <w:pPr>
              <w:pStyle w:val="TableParagraph"/>
              <w:spacing w:line="240" w:lineRule="auto" w:before="75"/>
              <w:ind w:left="480" w:right="0"/>
              <w:jc w:val="left"/>
              <w:rPr>
                <w:rFonts w:ascii="Times New Roman" w:hAnsi="Times New Roman" w:cs="Times New Roman" w:eastAsia="Times New Roman" w:hint="default"/>
                <w:sz w:val="21"/>
                <w:szCs w:val="21"/>
              </w:rPr>
            </w:pPr>
            <w:r>
              <w:rPr>
                <w:rFonts w:ascii="Times New Roman"/>
                <w:sz w:val="21"/>
              </w:rPr>
              <w:t>90.26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5" w:right="0"/>
              <w:jc w:val="left"/>
              <w:rPr>
                <w:rFonts w:ascii="Times New Roman" w:hAnsi="Times New Roman" w:cs="Times New Roman" w:eastAsia="Times New Roman" w:hint="default"/>
                <w:sz w:val="21"/>
                <w:szCs w:val="21"/>
              </w:rPr>
            </w:pPr>
            <w:r>
              <w:rPr>
                <w:rFonts w:ascii="Times New Roman"/>
                <w:sz w:val="21"/>
              </w:rPr>
              <w:t>41,878,66</w:t>
            </w:r>
          </w:p>
          <w:p>
            <w:pPr>
              <w:pStyle w:val="TableParagraph"/>
              <w:spacing w:line="240" w:lineRule="auto" w:before="75"/>
              <w:ind w:left="575" w:right="0"/>
              <w:jc w:val="left"/>
              <w:rPr>
                <w:rFonts w:ascii="Times New Roman" w:hAnsi="Times New Roman" w:cs="Times New Roman" w:eastAsia="Times New Roman" w:hint="default"/>
                <w:sz w:val="21"/>
                <w:szCs w:val="21"/>
              </w:rPr>
            </w:pPr>
            <w:r>
              <w:rPr>
                <w:rFonts w:ascii="Times New Roman"/>
                <w:sz w:val="21"/>
              </w:rPr>
              <w:t>9.14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0" w:right="0"/>
              <w:jc w:val="left"/>
              <w:rPr>
                <w:rFonts w:ascii="Times New Roman" w:hAnsi="Times New Roman" w:cs="Times New Roman" w:eastAsia="Times New Roman" w:hint="default"/>
                <w:sz w:val="21"/>
                <w:szCs w:val="21"/>
              </w:rPr>
            </w:pPr>
            <w:r>
              <w:rPr>
                <w:rFonts w:ascii="Times New Roman"/>
                <w:sz w:val="21"/>
              </w:rPr>
              <w:t>41,878,66</w:t>
            </w:r>
          </w:p>
          <w:p>
            <w:pPr>
              <w:pStyle w:val="TableParagraph"/>
              <w:spacing w:line="240" w:lineRule="auto" w:before="75"/>
              <w:ind w:left="580" w:right="0"/>
              <w:jc w:val="left"/>
              <w:rPr>
                <w:rFonts w:ascii="Times New Roman" w:hAnsi="Times New Roman" w:cs="Times New Roman" w:eastAsia="Times New Roman" w:hint="default"/>
                <w:sz w:val="21"/>
                <w:szCs w:val="21"/>
              </w:rPr>
            </w:pPr>
            <w:r>
              <w:rPr>
                <w:rFonts w:ascii="Times New Roman"/>
                <w:sz w:val="21"/>
              </w:rPr>
              <w:t>9.14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5" w:right="0"/>
              <w:jc w:val="left"/>
              <w:rPr>
                <w:rFonts w:ascii="Times New Roman" w:hAnsi="Times New Roman" w:cs="Times New Roman" w:eastAsia="Times New Roman" w:hint="default"/>
                <w:sz w:val="21"/>
                <w:szCs w:val="21"/>
              </w:rPr>
            </w:pPr>
            <w:r>
              <w:rPr>
                <w:rFonts w:ascii="Times New Roman"/>
                <w:sz w:val="21"/>
              </w:rPr>
              <w:t>23,577,99</w:t>
            </w:r>
          </w:p>
          <w:p>
            <w:pPr>
              <w:pStyle w:val="TableParagraph"/>
              <w:spacing w:line="240" w:lineRule="auto" w:before="75"/>
              <w:ind w:left="585" w:right="0"/>
              <w:jc w:val="left"/>
              <w:rPr>
                <w:rFonts w:ascii="Times New Roman" w:hAnsi="Times New Roman" w:cs="Times New Roman" w:eastAsia="Times New Roman" w:hint="default"/>
                <w:sz w:val="21"/>
                <w:szCs w:val="21"/>
              </w:rPr>
            </w:pPr>
            <w:r>
              <w:rPr>
                <w:rFonts w:ascii="Times New Roman"/>
                <w:sz w:val="21"/>
              </w:rPr>
              <w:t>8.28</w:t>
            </w:r>
          </w:p>
        </w:tc>
      </w:tr>
    </w:tbl>
    <w:p>
      <w:pPr>
        <w:pStyle w:val="BodyText"/>
        <w:spacing w:line="240" w:lineRule="auto" w:before="28"/>
        <w:ind w:left="533" w:right="1117"/>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left="533" w:right="1117"/>
        <w:jc w:val="left"/>
        <w:rPr>
          <w:b w:val="0"/>
          <w:bCs w:val="0"/>
        </w:rPr>
      </w:pPr>
      <w:bookmarkStart w:name="（4）使用企业集团资产和清偿企业集团债务的重大限制" w:id="451"/>
      <w:bookmarkEnd w:id="451"/>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520" w:lineRule="auto"/>
        <w:ind w:left="533" w:right="3943"/>
        <w:jc w:val="left"/>
        <w:rPr>
          <w:b w:val="0"/>
          <w:bCs w:val="0"/>
        </w:rPr>
      </w:pPr>
      <w:bookmarkStart w:name="（5）向纳入合并财务报表范围的结构化主体提供的财务支持或其他支持" w:id="452"/>
      <w:bookmarkEnd w:id="452"/>
      <w:r>
        <w:rPr>
          <w:b w:val="0"/>
          <w:bCs w:val="0"/>
        </w:rPr>
      </w:r>
      <w:r>
        <w:rPr>
          <w:spacing w:val="-1"/>
        </w:rPr>
        <w:t>（</w:t>
      </w:r>
      <w:r>
        <w:rPr>
          <w:rFonts w:ascii="Times New Roman" w:hAnsi="Times New Roman" w:cs="Times New Roman" w:eastAsia="Times New Roman" w:hint="default"/>
          <w:spacing w:val="-1"/>
        </w:rPr>
        <w:t>5</w:t>
      </w:r>
      <w:r>
        <w:rPr>
          <w:spacing w:val="-1"/>
        </w:rPr>
        <w:t>）向纳入合并财务报表范围的结构化主体提供的财务支持或其他支持</w:t>
      </w:r>
      <w:r>
        <w:rPr>
          <w:spacing w:val="-73"/>
        </w:rPr>
        <w:t> </w:t>
      </w:r>
      <w:r>
        <w:rPr>
          <w:spacing w:val="-73"/>
        </w:rPr>
      </w:r>
      <w:r>
        <w:rPr>
          <w:rFonts w:ascii="宋体" w:hAnsi="宋体" w:cs="宋体" w:eastAsia="宋体" w:hint="default"/>
          <w:b w:val="0"/>
          <w:bCs w:val="0"/>
        </w:rPr>
        <w:t>其他说明：</w:t>
      </w:r>
      <w:r>
        <w:rPr>
          <w:rFonts w:ascii="宋体" w:hAnsi="宋体" w:cs="宋体" w:eastAsia="宋体" w:hint="default"/>
          <w:b w:val="0"/>
          <w:bCs w:val="0"/>
          <w:spacing w:val="-99"/>
        </w:rPr>
        <w:t> </w:t>
      </w:r>
      <w:bookmarkStart w:name="2、在子公司的所有者权益份额发生变化且仍控制子公司的交易" w:id="453"/>
      <w:bookmarkEnd w:id="453"/>
      <w:r>
        <w:rPr>
          <w:rFonts w:ascii="宋体" w:hAnsi="宋体" w:cs="宋体" w:eastAsia="宋体" w:hint="default"/>
          <w:b w:val="0"/>
          <w:bCs w:val="0"/>
          <w:spacing w:val="-99"/>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pStyle w:val="Heading5"/>
        <w:spacing w:line="240" w:lineRule="auto" w:before="52"/>
        <w:ind w:left="533" w:right="1117"/>
        <w:jc w:val="left"/>
        <w:rPr>
          <w:b w:val="0"/>
          <w:bCs w:val="0"/>
        </w:rPr>
      </w:pPr>
      <w:bookmarkStart w:name="（1）在子公司所有者权益份额发生变化的情况说明" w:id="454"/>
      <w:bookmarkEnd w:id="454"/>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533" w:right="1117"/>
        <w:jc w:val="left"/>
        <w:rPr>
          <w:b w:val="0"/>
          <w:bCs w:val="0"/>
        </w:rPr>
      </w:pPr>
      <w:bookmarkStart w:name="（2）交易对于少数股东权益及归属于母公司所有者权益的影响" w:id="455"/>
      <w:bookmarkEnd w:id="455"/>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p>
      <w:pPr>
        <w:spacing w:line="422" w:lineRule="exact"/>
        <w:ind w:left="52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pt;height:21.15pt;mso-position-horizontal-relative:char;mso-position-vertical-relative:line" coordorigin="0,0" coordsize="9580,423">
            <v:group style="position:absolute;left:10;top:14;width:106;height:389" coordorigin="10,14" coordsize="106,389">
              <v:shape style="position:absolute;left:10;top:14;width:106;height:389" coordorigin="10,14" coordsize="106,389" path="m10,403l115,403,115,14,10,14,10,403xe" filled="true" fillcolor="#d2d2d2" stroked="false">
                <v:path arrowok="t"/>
                <v:fill type="solid"/>
              </v:shape>
            </v:group>
            <v:group style="position:absolute;left:4682;top:14;width:106;height:389" coordorigin="4682,14" coordsize="106,389">
              <v:shape style="position:absolute;left:4682;top:14;width:106;height:389" coordorigin="4682,14" coordsize="106,389" path="m4682,403l4788,403,4788,14,4682,14,4682,403xe" filled="true" fillcolor="#d2d2d2" stroked="false">
                <v:path arrowok="t"/>
                <v:fill type="solid"/>
              </v:shape>
            </v:group>
            <v:group style="position:absolute;left:115;top:14;width:4567;height:389" coordorigin="115,14" coordsize="4567,389">
              <v:shape style="position:absolute;left:115;top:14;width:4567;height:389" coordorigin="115,14" coordsize="4567,389" path="m115,403l4682,403,4682,14,115,14,115,403xe" filled="true" fillcolor="#d2d2d2" stroked="false">
                <v:path arrowok="t"/>
                <v:fill type="solid"/>
              </v:shape>
            </v:group>
            <v:group style="position:absolute;left:4797;top:14;width:101;height:389" coordorigin="4797,14" coordsize="101,389">
              <v:shape style="position:absolute;left:4797;top:14;width:101;height:389" coordorigin="4797,14" coordsize="101,389" path="m4797,403l4898,403,4898,14,4797,14,4797,403xe" filled="true" fillcolor="#d2d2d2" stroked="false">
                <v:path arrowok="t"/>
                <v:fill type="solid"/>
              </v:shape>
            </v:group>
            <v:group style="position:absolute;left:9469;top:14;width:106;height:389" coordorigin="9469,14" coordsize="106,389">
              <v:shape style="position:absolute;left:9469;top:14;width:106;height:389" coordorigin="9469,14" coordsize="106,389" path="m9469,403l9575,403,9575,14,9469,14,9469,403xe" filled="true" fillcolor="#d2d2d2" stroked="false">
                <v:path arrowok="t"/>
                <v:fill type="solid"/>
              </v:shape>
            </v:group>
            <v:group style="position:absolute;left:4898;top:14;width:4571;height:389" coordorigin="4898,14" coordsize="4571,389">
              <v:shape style="position:absolute;left:4898;top:14;width:4571;height:389" coordorigin="4898,14" coordsize="4571,389" path="m4898,403l9469,403,9469,14,4898,14,4898,403xe" filled="true" fillcolor="#d2d2d2" stroked="false">
                <v:path arrowok="t"/>
                <v:fill type="solid"/>
              </v:shape>
            </v:group>
            <v:group style="position:absolute;left:10;top:10;width:4778;height:2" coordorigin="10,10" coordsize="4778,2">
              <v:shape style="position:absolute;left:10;top:10;width:4778;height:2" coordorigin="10,10" coordsize="4778,0" path="m10,10l4788,10e" filled="false" stroked="true" strokeweight=".47998pt" strokecolor="#000000">
                <v:path arrowok="t"/>
              </v:shape>
            </v:group>
            <v:group style="position:absolute;left:4797;top:10;width:4773;height:2" coordorigin="4797,10" coordsize="4773,2">
              <v:shape style="position:absolute;left:4797;top:10;width:4773;height:2" coordorigin="4797,10" coordsize="4773,0" path="m4797,10l9570,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8;height:2" coordorigin="10,413" coordsize="4778,2">
              <v:shape style="position:absolute;left:10;top:413;width:4778;height:2" coordorigin="10,413" coordsize="4778,0" path="m10,413l4788,413e" filled="false" stroked="true" strokeweight=".48004pt" strokecolor="#000000">
                <v:path arrowok="t"/>
              </v:shape>
            </v:group>
            <v:group style="position:absolute;left:4792;top:5;width:2;height:413" coordorigin="4792,5" coordsize="2,413">
              <v:shape style="position:absolute;left:4792;top:5;width:2;height:413" coordorigin="4792,5" coordsize="0,413" path="m4792,5l4792,418e" filled="false" stroked="true" strokeweight=".48001pt" strokecolor="#000000">
                <v:path arrowok="t"/>
              </v:shape>
            </v:group>
            <v:group style="position:absolute;left:4797;top:413;width:4773;height:2" coordorigin="4797,413" coordsize="4773,2">
              <v:shape style="position:absolute;left:4797;top:413;width:4773;height:2" coordorigin="4797,413" coordsize="4773,0" path="m4797,413l9570,413e" filled="false" stroked="true" strokeweight=".48004pt" strokecolor="#000000">
                <v:path arrowok="t"/>
              </v:shape>
            </v:group>
            <v:group style="position:absolute;left:9575;top:5;width:2;height:413" coordorigin="9575,5" coordsize="2,413">
              <v:shape style="position:absolute;left:9575;top:5;width:2;height:413" coordorigin="9575,5" coordsize="0,413" path="m9575,5l9575,418e" filled="false" stroked="true" strokeweight=".48004pt" strokecolor="#000000">
                <v:path arrowok="t"/>
              </v:shape>
            </v:group>
          </v:group>
        </w:pict>
      </w:r>
      <w:r>
        <w:rPr>
          <w:rFonts w:ascii="宋体" w:hAnsi="宋体" w:cs="宋体" w:eastAsia="宋体" w:hint="default"/>
          <w:position w:val="-7"/>
          <w:sz w:val="20"/>
          <w:szCs w:val="20"/>
        </w:rPr>
      </w:r>
    </w:p>
    <w:p>
      <w:pPr>
        <w:pStyle w:val="BodyText"/>
        <w:spacing w:line="240" w:lineRule="auto" w:before="24"/>
        <w:ind w:left="533" w:right="1117"/>
        <w:jc w:val="left"/>
      </w:pPr>
      <w:r>
        <w:rPr/>
        <w:t>其他说明</w:t>
      </w:r>
    </w:p>
    <w:p>
      <w:pPr>
        <w:spacing w:after="0" w:line="240" w:lineRule="auto"/>
        <w:jc w:val="left"/>
        <w:sectPr>
          <w:pgSz w:w="11910" w:h="16840"/>
          <w:pgMar w:header="906" w:footer="1022" w:top="1100" w:bottom="1220" w:left="60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3、在合营安排或联营企业中的权益" w:id="456"/>
      <w:bookmarkEnd w:id="456"/>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重要的合营企业或联营企业" w:id="457"/>
      <w:bookmarkEnd w:id="457"/>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709"/>
        <w:gridCol w:w="1426"/>
        <w:gridCol w:w="1407"/>
        <w:gridCol w:w="1412"/>
        <w:gridCol w:w="1244"/>
        <w:gridCol w:w="1008"/>
        <w:gridCol w:w="1369"/>
      </w:tblGrid>
      <w:tr>
        <w:trPr>
          <w:trHeight w:val="398" w:hRule="exact"/>
        </w:trPr>
        <w:tc>
          <w:tcPr>
            <w:tcW w:w="1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73" w:lineRule="auto"/>
              <w:ind w:left="432" w:right="108" w:hanging="317"/>
              <w:jc w:val="left"/>
              <w:rPr>
                <w:rFonts w:ascii="宋体" w:hAnsi="宋体" w:cs="宋体" w:eastAsia="宋体" w:hint="default"/>
                <w:sz w:val="21"/>
                <w:szCs w:val="21"/>
              </w:rPr>
            </w:pPr>
            <w:r>
              <w:rPr>
                <w:rFonts w:ascii="宋体" w:hAnsi="宋体" w:cs="宋体" w:eastAsia="宋体" w:hint="default"/>
                <w:sz w:val="21"/>
                <w:szCs w:val="21"/>
              </w:rPr>
              <w:t>合营企业或联营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企业名称</w:t>
            </w:r>
          </w:p>
        </w:tc>
        <w:tc>
          <w:tcPr>
            <w:tcW w:w="14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2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00"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28"/>
              <w:ind w:left="153" w:right="146"/>
              <w:jc w:val="both"/>
              <w:rPr>
                <w:rFonts w:ascii="宋体" w:hAnsi="宋体" w:cs="宋体" w:eastAsia="宋体" w:hint="default"/>
                <w:sz w:val="21"/>
                <w:szCs w:val="21"/>
              </w:rPr>
            </w:pPr>
            <w:r>
              <w:rPr>
                <w:rFonts w:ascii="宋体" w:hAnsi="宋体" w:cs="宋体" w:eastAsia="宋体" w:hint="default"/>
                <w:sz w:val="21"/>
                <w:szCs w:val="21"/>
              </w:rPr>
              <w:t>对合营企业</w:t>
            </w:r>
            <w:r>
              <w:rPr>
                <w:rFonts w:ascii="宋体" w:hAnsi="宋体" w:cs="宋体" w:eastAsia="宋体" w:hint="default"/>
                <w:spacing w:val="-99"/>
                <w:sz w:val="21"/>
                <w:szCs w:val="21"/>
              </w:rPr>
              <w:t> </w:t>
            </w:r>
            <w:r>
              <w:rPr>
                <w:rFonts w:ascii="宋体" w:hAnsi="宋体" w:cs="宋体" w:eastAsia="宋体" w:hint="default"/>
                <w:sz w:val="21"/>
                <w:szCs w:val="21"/>
              </w:rPr>
              <w:t>或联营企业</w:t>
            </w:r>
            <w:r>
              <w:rPr>
                <w:rFonts w:ascii="宋体" w:hAnsi="宋体" w:cs="宋体" w:eastAsia="宋体" w:hint="default"/>
                <w:spacing w:val="-99"/>
                <w:sz w:val="21"/>
                <w:szCs w:val="21"/>
              </w:rPr>
              <w:t> </w:t>
            </w:r>
            <w:r>
              <w:rPr>
                <w:rFonts w:ascii="宋体" w:hAnsi="宋体" w:cs="宋体" w:eastAsia="宋体" w:hint="default"/>
                <w:sz w:val="21"/>
                <w:szCs w:val="21"/>
              </w:rPr>
              <w:t>投资的会计</w:t>
            </w:r>
            <w:r>
              <w:rPr>
                <w:rFonts w:ascii="宋体" w:hAnsi="宋体" w:cs="宋体" w:eastAsia="宋体" w:hint="default"/>
                <w:spacing w:val="-99"/>
                <w:sz w:val="21"/>
                <w:szCs w:val="21"/>
              </w:rPr>
              <w:t> </w:t>
            </w:r>
            <w:r>
              <w:rPr>
                <w:rFonts w:ascii="宋体" w:hAnsi="宋体" w:cs="宋体" w:eastAsia="宋体" w:hint="default"/>
                <w:sz w:val="21"/>
                <w:szCs w:val="21"/>
              </w:rPr>
              <w:t>处理方法</w:t>
            </w:r>
          </w:p>
        </w:tc>
      </w:tr>
      <w:tr>
        <w:trPr>
          <w:trHeight w:val="936"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1426" w:type="dxa"/>
            <w:vMerge/>
            <w:tcBorders>
              <w:left w:val="single" w:sz="4" w:space="0" w:color="000000"/>
              <w:bottom w:val="single" w:sz="4" w:space="0" w:color="000000"/>
              <w:right w:val="single" w:sz="4" w:space="0" w:color="000000"/>
            </w:tcBorders>
            <w:shd w:val="clear" w:color="auto" w:fill="D2D2D2"/>
          </w:tcPr>
          <w:p>
            <w:pPr/>
          </w:p>
        </w:tc>
        <w:tc>
          <w:tcPr>
            <w:tcW w:w="1407" w:type="dxa"/>
            <w:vMerge/>
            <w:tcBorders>
              <w:left w:val="single" w:sz="4" w:space="0" w:color="000000"/>
              <w:bottom w:val="single" w:sz="4" w:space="0" w:color="000000"/>
              <w:right w:val="single" w:sz="4" w:space="0" w:color="000000"/>
            </w:tcBorders>
            <w:shd w:val="clear" w:color="auto" w:fill="D2D2D2"/>
          </w:tcPr>
          <w:p>
            <w:pPr/>
          </w:p>
        </w:tc>
        <w:tc>
          <w:tcPr>
            <w:tcW w:w="1412" w:type="dxa"/>
            <w:vMerge/>
            <w:tcBorders>
              <w:left w:val="single" w:sz="4" w:space="0" w:color="000000"/>
              <w:bottom w:val="single" w:sz="4" w:space="0" w:color="000000"/>
              <w:right w:val="single" w:sz="4" w:space="0" w:color="000000"/>
            </w:tcBorders>
            <w:shd w:val="clear" w:color="auto" w:fill="D2D2D2"/>
          </w:tcPr>
          <w:p>
            <w:pP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292"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18"/>
              <w:jc w:val="left"/>
              <w:rPr>
                <w:rFonts w:ascii="宋体" w:hAnsi="宋体" w:cs="宋体" w:eastAsia="宋体" w:hint="default"/>
                <w:sz w:val="21"/>
                <w:szCs w:val="21"/>
              </w:rPr>
            </w:pPr>
            <w:r>
              <w:rPr>
                <w:rFonts w:ascii="宋体" w:hAnsi="宋体" w:cs="宋体" w:eastAsia="宋体" w:hint="default"/>
                <w:sz w:val="21"/>
                <w:szCs w:val="21"/>
              </w:rPr>
              <w:t>云南联通新通信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昆明市</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昆明市</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通信</w:t>
            </w:r>
          </w:p>
        </w:tc>
        <w:tc>
          <w:tcPr>
            <w:tcW w:w="124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49" w:right="0"/>
              <w:jc w:val="left"/>
              <w:rPr>
                <w:rFonts w:ascii="Times New Roman" w:hAnsi="Times New Roman" w:cs="Times New Roman" w:eastAsia="Times New Roman" w:hint="default"/>
                <w:sz w:val="21"/>
                <w:szCs w:val="21"/>
              </w:rPr>
            </w:pPr>
            <w:r>
              <w:rPr>
                <w:rFonts w:ascii="Times New Roman"/>
                <w:sz w:val="21"/>
              </w:rPr>
              <w:t>25.82%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8"/>
              <w:jc w:val="left"/>
              <w:rPr>
                <w:rFonts w:ascii="宋体" w:hAnsi="宋体" w:cs="宋体" w:eastAsia="宋体" w:hint="default"/>
                <w:sz w:val="21"/>
                <w:szCs w:val="21"/>
              </w:rPr>
            </w:pPr>
            <w:r>
              <w:rPr>
                <w:rFonts w:ascii="宋体" w:hAnsi="宋体" w:cs="宋体" w:eastAsia="宋体" w:hint="default"/>
                <w:sz w:val="21"/>
                <w:szCs w:val="21"/>
              </w:rPr>
              <w:t>安徽美能储能系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统有限公司</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生产、销售</w:t>
            </w:r>
          </w:p>
        </w:tc>
        <w:tc>
          <w:tcPr>
            <w:tcW w:w="1244"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49" w:right="0"/>
              <w:jc w:val="left"/>
              <w:rPr>
                <w:rFonts w:ascii="Times New Roman" w:hAnsi="Times New Roman" w:cs="Times New Roman" w:eastAsia="Times New Roman" w:hint="default"/>
                <w:sz w:val="21"/>
                <w:szCs w:val="21"/>
              </w:rPr>
            </w:pPr>
            <w:r>
              <w:rPr>
                <w:rFonts w:ascii="Times New Roman"/>
                <w:sz w:val="21"/>
              </w:rPr>
              <w:t>42.20%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pStyle w:val="BodyText"/>
        <w:spacing w:line="240" w:lineRule="auto" w:before="28"/>
        <w:ind w:right="1002"/>
        <w:jc w:val="left"/>
      </w:pPr>
      <w:r>
        <w:rPr/>
        <w:t>在合营企业或联营企业的持股比例不同于表决权比例的说明：</w:t>
      </w:r>
    </w:p>
    <w:p>
      <w:pPr>
        <w:pStyle w:val="BodyText"/>
        <w:spacing w:line="240" w:lineRule="auto" w:before="81"/>
        <w:ind w:right="1002"/>
        <w:jc w:val="left"/>
      </w:pPr>
      <w:r>
        <w:rPr/>
        <w:t>持有</w:t>
      </w:r>
      <w:r>
        <w:rPr>
          <w:spacing w:val="-55"/>
        </w:rPr>
        <w:t> </w:t>
      </w:r>
      <w:r>
        <w:rPr>
          <w:rFonts w:ascii="Times New Roman" w:hAnsi="Times New Roman" w:cs="Times New Roman" w:eastAsia="Times New Roman" w:hint="default"/>
        </w:rPr>
        <w:t>20%</w:t>
      </w:r>
      <w:r>
        <w:rPr/>
        <w:t>以下表决权但具有重大影响，或者持有</w:t>
      </w:r>
      <w:r>
        <w:rPr>
          <w:spacing w:val="-53"/>
        </w:rPr>
        <w:t> </w:t>
      </w:r>
      <w:r>
        <w:rPr>
          <w:rFonts w:ascii="Times New Roman" w:hAnsi="Times New Roman" w:cs="Times New Roman" w:eastAsia="Times New Roman" w:hint="default"/>
        </w:rPr>
        <w:t>20%</w:t>
      </w:r>
      <w:r>
        <w:rPr/>
        <w:t>或以上表决权但不具有重大影响的依据：</w:t>
      </w:r>
    </w:p>
    <w:p>
      <w:pPr>
        <w:spacing w:line="240" w:lineRule="auto" w:before="0"/>
        <w:rPr>
          <w:rFonts w:ascii="宋体" w:hAnsi="宋体" w:cs="宋体" w:eastAsia="宋体" w:hint="default"/>
          <w:sz w:val="24"/>
          <w:szCs w:val="24"/>
        </w:rPr>
      </w:pPr>
    </w:p>
    <w:p>
      <w:pPr>
        <w:pStyle w:val="Heading5"/>
        <w:spacing w:line="240" w:lineRule="auto"/>
        <w:ind w:right="1002"/>
        <w:jc w:val="left"/>
        <w:rPr>
          <w:b w:val="0"/>
          <w:bCs w:val="0"/>
        </w:rPr>
      </w:pPr>
      <w:bookmarkStart w:name="（2）重要合营企业的主要财务信息" w:id="458"/>
      <w:bookmarkEnd w:id="458"/>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上期发生额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3）重要联营企业的主要财务信息" w:id="459"/>
      <w:bookmarkEnd w:id="459"/>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上期发生额</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528" w:right="109" w:hanging="418"/>
              <w:jc w:val="left"/>
              <w:rPr>
                <w:rFonts w:ascii="宋体" w:hAnsi="宋体" w:cs="宋体" w:eastAsia="宋体" w:hint="default"/>
                <w:sz w:val="21"/>
                <w:szCs w:val="21"/>
              </w:rPr>
            </w:pPr>
            <w:r>
              <w:rPr>
                <w:rFonts w:ascii="宋体" w:hAnsi="宋体" w:cs="宋体" w:eastAsia="宋体" w:hint="default"/>
                <w:sz w:val="21"/>
                <w:szCs w:val="21"/>
              </w:rPr>
              <w:t>安徽美能储能系统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633" w:right="104" w:hanging="524"/>
              <w:jc w:val="left"/>
              <w:rPr>
                <w:rFonts w:ascii="宋体" w:hAnsi="宋体" w:cs="宋体" w:eastAsia="宋体" w:hint="default"/>
                <w:sz w:val="21"/>
                <w:szCs w:val="21"/>
              </w:rPr>
            </w:pPr>
            <w:r>
              <w:rPr>
                <w:rFonts w:ascii="宋体" w:hAnsi="宋体" w:cs="宋体" w:eastAsia="宋体" w:hint="default"/>
                <w:sz w:val="21"/>
                <w:szCs w:val="21"/>
              </w:rPr>
              <w:t>云南联通新通信有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533" w:right="104" w:hanging="418"/>
              <w:jc w:val="left"/>
              <w:rPr>
                <w:rFonts w:ascii="宋体" w:hAnsi="宋体" w:cs="宋体" w:eastAsia="宋体" w:hint="default"/>
                <w:sz w:val="21"/>
                <w:szCs w:val="21"/>
              </w:rPr>
            </w:pPr>
            <w:r>
              <w:rPr>
                <w:rFonts w:ascii="宋体" w:hAnsi="宋体" w:cs="宋体" w:eastAsia="宋体" w:hint="default"/>
                <w:sz w:val="21"/>
                <w:szCs w:val="21"/>
              </w:rPr>
              <w:t>安徽美能储能系统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638" w:right="104" w:hanging="524"/>
              <w:jc w:val="left"/>
              <w:rPr>
                <w:rFonts w:ascii="宋体" w:hAnsi="宋体" w:cs="宋体" w:eastAsia="宋体" w:hint="default"/>
                <w:sz w:val="21"/>
                <w:szCs w:val="21"/>
              </w:rPr>
            </w:pPr>
            <w:r>
              <w:rPr>
                <w:rFonts w:ascii="宋体" w:hAnsi="宋体" w:cs="宋体" w:eastAsia="宋体" w:hint="default"/>
                <w:sz w:val="21"/>
                <w:szCs w:val="21"/>
              </w:rPr>
              <w:t>云南联通新通信有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16,059,068.55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145,389,675.17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20,304,740.26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8,294,221.10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pacing w:val="-1"/>
                <w:sz w:val="21"/>
              </w:rPr>
              <w:t>1,611,268.00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11,509,693.33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24,353,289.65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147,000,943.17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31,814,433.59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3,586,188.36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72,848,412.67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4,246,322.36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z w:val="21"/>
              </w:rPr>
              <w:t>3,586,188.36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72,848,412.67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4,246,322.36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归属于母公司股东</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权益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20,767,101.29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74,152,530.50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2"/>
                <w:sz w:val="21"/>
              </w:rPr>
              <w:t>27,568,111.23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按持股比例计算的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净资产份额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8,763,716.74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19,146,183.38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11,633,742.94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-108,687.70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2,858,388.97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-108,687.71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对联营企业权益投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8,655,029.04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22,004,572.35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11,525,055.23</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6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资的账面价值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749,053.94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99,704,473.35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3,030,578.26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-6,801,009.94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10,225,880.50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-5,702,183.04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-6,801,009.94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10,225,880.50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-5,702,183.04</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4）不重要的合营企业和联营企业的汇总财务信息" w:id="460"/>
      <w:bookmarkEnd w:id="460"/>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702"/>
        <w:gridCol w:w="2684"/>
        <w:gridCol w:w="3188"/>
      </w:tblGrid>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w:t>
            </w:r>
            <w:r>
              <w:rPr>
                <w:rFonts w:ascii="宋体" w:hAnsi="宋体" w:cs="宋体" w:eastAsia="宋体" w:hint="default"/>
                <w:sz w:val="21"/>
                <w:szCs w:val="21"/>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1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w:t>
            </w:r>
            <w:r>
              <w:rPr>
                <w:rFonts w:ascii="宋体" w:hAnsi="宋体" w:cs="宋体" w:eastAsia="宋体" w:hint="default"/>
                <w:sz w:val="21"/>
                <w:szCs w:val="21"/>
              </w:rPr>
              <w:t>上期发生额</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Times New Roman" w:hAnsi="Times New Roman" w:cs="Times New Roman" w:eastAsia="Times New Roman" w:hint="default"/>
                <w:sz w:val="21"/>
                <w:szCs w:val="21"/>
              </w:rPr>
            </w:pPr>
            <w:r>
              <w:rPr>
                <w:rFonts w:ascii="Times New Roman"/>
                <w:sz w:val="21"/>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9" w:right="0"/>
              <w:jc w:val="center"/>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4" w:right="0"/>
              <w:jc w:val="center"/>
              <w:rPr>
                <w:rFonts w:ascii="Times New Roman" w:hAnsi="Times New Roman" w:cs="Times New Roman" w:eastAsia="Times New Roman" w:hint="default"/>
                <w:sz w:val="21"/>
                <w:szCs w:val="21"/>
              </w:rPr>
            </w:pPr>
            <w:r>
              <w:rPr>
                <w:rFonts w:ascii="Times New Roman"/>
                <w:sz w:val="21"/>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9" w:right="0"/>
              <w:jc w:val="center"/>
              <w:rPr>
                <w:rFonts w:ascii="Times New Roman" w:hAnsi="Times New Roman" w:cs="Times New Roman" w:eastAsia="Times New Roman" w:hint="default"/>
                <w:sz w:val="21"/>
                <w:szCs w:val="21"/>
              </w:rPr>
            </w:pPr>
            <w:r>
              <w:rPr>
                <w:rFonts w:ascii="Times New Roman"/>
                <w:sz w:val="21"/>
              </w:rPr>
              <w:t>--</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4" w:right="0"/>
              <w:jc w:val="center"/>
              <w:rPr>
                <w:rFonts w:ascii="Times New Roman" w:hAnsi="Times New Roman" w:cs="Times New Roman" w:eastAsia="Times New Roman" w:hint="default"/>
                <w:sz w:val="21"/>
                <w:szCs w:val="21"/>
              </w:rPr>
            </w:pPr>
            <w:r>
              <w:rPr>
                <w:rFonts w:ascii="Times New Roman"/>
                <w:sz w:val="21"/>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9" w:right="0"/>
              <w:jc w:val="center"/>
              <w:rPr>
                <w:rFonts w:ascii="Times New Roman" w:hAnsi="Times New Roman" w:cs="Times New Roman" w:eastAsia="Times New Roman" w:hint="default"/>
                <w:sz w:val="21"/>
                <w:szCs w:val="21"/>
              </w:rPr>
            </w:pPr>
            <w:r>
              <w:rPr>
                <w:rFonts w:ascii="Times New Roman"/>
                <w:sz w:val="21"/>
              </w:rPr>
              <w:t>--</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33,227,189.23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10,327,725.62</w:t>
            </w:r>
          </w:p>
        </w:tc>
      </w:tr>
      <w:tr>
        <w:trPr>
          <w:trHeight w:val="401"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Times New Roman" w:hAnsi="Times New Roman" w:cs="Times New Roman" w:eastAsia="Times New Roman" w:hint="default"/>
                <w:sz w:val="21"/>
                <w:szCs w:val="21"/>
              </w:rPr>
            </w:pPr>
            <w:r>
              <w:rPr>
                <w:rFonts w:ascii="Times New Roman"/>
                <w:sz w:val="21"/>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9" w:right="0"/>
              <w:jc w:val="center"/>
              <w:rPr>
                <w:rFonts w:ascii="Times New Roman" w:hAnsi="Times New Roman" w:cs="Times New Roman" w:eastAsia="Times New Roman" w:hint="default"/>
                <w:sz w:val="21"/>
                <w:szCs w:val="21"/>
              </w:rPr>
            </w:pPr>
            <w:r>
              <w:rPr>
                <w:rFonts w:ascii="Times New Roman"/>
                <w:sz w:val="21"/>
              </w:rPr>
              <w:t>--</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3,335,213.61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1,485,333.98</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3,335,213.61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1,485,333.98</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5）合营企业或联营企业向本公司转移资金的能力存在重大限制的说明" w:id="461"/>
      <w:bookmarkEnd w:id="461"/>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6）合营企业或联营企业发生的超额亏损" w:id="462"/>
      <w:bookmarkEnd w:id="462"/>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391"/>
        <w:gridCol w:w="2391"/>
        <w:gridCol w:w="2396"/>
        <w:gridCol w:w="2391"/>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1085" w:right="133" w:hanging="942"/>
              <w:jc w:val="left"/>
              <w:rPr>
                <w:rFonts w:ascii="宋体" w:hAnsi="宋体" w:cs="宋体" w:eastAsia="宋体" w:hint="default"/>
                <w:sz w:val="21"/>
                <w:szCs w:val="21"/>
              </w:rPr>
            </w:pPr>
            <w:r>
              <w:rPr>
                <w:rFonts w:ascii="宋体" w:hAnsi="宋体" w:cs="宋体" w:eastAsia="宋体" w:hint="default"/>
                <w:spacing w:val="-1"/>
                <w:sz w:val="21"/>
                <w:szCs w:val="21"/>
              </w:rPr>
              <w:t>合营企业或联营企业名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984" w:right="133" w:hanging="841"/>
              <w:jc w:val="left"/>
              <w:rPr>
                <w:rFonts w:ascii="宋体" w:hAnsi="宋体" w:cs="宋体" w:eastAsia="宋体" w:hint="default"/>
                <w:sz w:val="21"/>
                <w:szCs w:val="21"/>
              </w:rPr>
            </w:pPr>
            <w:r>
              <w:rPr>
                <w:rFonts w:ascii="宋体" w:hAnsi="宋体" w:cs="宋体" w:eastAsia="宋体" w:hint="default"/>
                <w:spacing w:val="-1"/>
                <w:sz w:val="21"/>
                <w:szCs w:val="21"/>
              </w:rPr>
              <w:t>累积未确认前期累计的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损失</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244" w:right="138" w:hanging="101"/>
              <w:jc w:val="left"/>
              <w:rPr>
                <w:rFonts w:ascii="宋体" w:hAnsi="宋体" w:cs="宋体" w:eastAsia="宋体" w:hint="default"/>
                <w:sz w:val="21"/>
                <w:szCs w:val="21"/>
              </w:rPr>
            </w:pPr>
            <w:r>
              <w:rPr>
                <w:rFonts w:ascii="宋体" w:hAnsi="宋体" w:cs="宋体" w:eastAsia="宋体" w:hint="default"/>
                <w:spacing w:val="-1"/>
                <w:sz w:val="21"/>
                <w:szCs w:val="21"/>
              </w:rPr>
              <w:t>本期未确认的损失（或</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本期分享的净利润）</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0"/>
              <w:ind w:left="1084" w:right="137" w:hanging="946"/>
              <w:jc w:val="left"/>
              <w:rPr>
                <w:rFonts w:ascii="宋体" w:hAnsi="宋体" w:cs="宋体" w:eastAsia="宋体" w:hint="default"/>
                <w:sz w:val="21"/>
                <w:szCs w:val="21"/>
              </w:rPr>
            </w:pPr>
            <w:r>
              <w:rPr>
                <w:rFonts w:ascii="宋体" w:hAnsi="宋体" w:cs="宋体" w:eastAsia="宋体" w:hint="default"/>
                <w:spacing w:val="-1"/>
                <w:sz w:val="21"/>
                <w:szCs w:val="21"/>
              </w:rPr>
              <w:t>本期末累积未确认的损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失</w:t>
            </w:r>
          </w:p>
        </w:tc>
      </w:tr>
    </w:tbl>
    <w:p>
      <w:pPr>
        <w:pStyle w:val="BodyText"/>
        <w:spacing w:line="240" w:lineRule="auto" w:before="29"/>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7）与合营企业投资相关的未确认承诺" w:id="463"/>
      <w:bookmarkEnd w:id="463"/>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8）与合营企业或联营企业投资相关的或有负债" w:id="464"/>
      <w:bookmarkEnd w:id="464"/>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4、重要的共同经营" w:id="465"/>
      <w:bookmarkEnd w:id="465"/>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1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享有的份额</w:t>
            </w:r>
          </w:p>
        </w:tc>
      </w:tr>
      <w:tr>
        <w:trPr>
          <w:trHeight w:val="403"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间接</w:t>
            </w:r>
          </w:p>
        </w:tc>
      </w:tr>
    </w:tbl>
    <w:p>
      <w:pPr>
        <w:pStyle w:val="BodyText"/>
        <w:spacing w:line="309" w:lineRule="auto" w:before="29"/>
        <w:ind w:right="1002"/>
        <w:jc w:val="left"/>
      </w:pPr>
      <w:r>
        <w:rPr>
          <w:spacing w:val="-2"/>
        </w:rPr>
        <w:t>在共同经营中的持股比例或享有的份额不同于表决权比例的说明：</w:t>
      </w:r>
      <w:r>
        <w:rPr>
          <w:spacing w:val="-48"/>
        </w:rPr>
        <w:t> </w:t>
      </w:r>
      <w:r>
        <w:rPr>
          <w:spacing w:val="-48"/>
        </w:rPr>
      </w:r>
      <w:r>
        <w:rPr/>
        <w:t>共同经营为单独主体的，分类为共同经营的依据：</w:t>
      </w:r>
    </w:p>
    <w:p>
      <w:pPr>
        <w:pStyle w:val="BodyText"/>
        <w:spacing w:line="240" w:lineRule="auto" w:before="14"/>
        <w:ind w:right="1002"/>
        <w:jc w:val="left"/>
      </w:pPr>
      <w:r>
        <w:rPr/>
        <w:t>其他说明</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spacing w:line="520" w:lineRule="auto" w:before="36"/>
        <w:ind w:left="113" w:right="5730" w:firstLine="0"/>
        <w:jc w:val="left"/>
        <w:rPr>
          <w:rFonts w:ascii="宋体" w:hAnsi="宋体" w:cs="宋体" w:eastAsia="宋体" w:hint="default"/>
          <w:sz w:val="21"/>
          <w:szCs w:val="21"/>
        </w:rPr>
      </w:pPr>
      <w:bookmarkStart w:name="5、在未纳入合并财务报表范围的结构化主体中的权益" w:id="466"/>
      <w:bookmarkEnd w:id="466"/>
      <w:r>
        <w:rPr/>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、在未纳入合并财务报表范围的结构化主体中的权益</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sz w:val="21"/>
          <w:szCs w:val="21"/>
        </w:rPr>
        <w:t>未纳入合并财务报表范围的结构化主体的相关说明：</w:t>
      </w:r>
      <w:r>
        <w:rPr>
          <w:rFonts w:ascii="宋体" w:hAnsi="宋体" w:cs="宋体" w:eastAsia="宋体" w:hint="default"/>
          <w:spacing w:val="-103"/>
          <w:sz w:val="21"/>
          <w:szCs w:val="21"/>
        </w:rPr>
        <w:t> </w:t>
      </w:r>
      <w:r>
        <w:rPr>
          <w:rFonts w:ascii="宋体" w:hAnsi="宋体" w:cs="宋体" w:eastAsia="宋体" w:hint="default"/>
          <w:spacing w:val="-103"/>
          <w:sz w:val="21"/>
          <w:szCs w:val="21"/>
        </w:rPr>
      </w:r>
      <w:bookmarkStart w:name="6、其他" w:id="467"/>
      <w:bookmarkEnd w:id="467"/>
      <w:r>
        <w:rPr>
          <w:rFonts w:ascii="宋体" w:hAnsi="宋体" w:cs="宋体" w:eastAsia="宋体" w:hint="default"/>
          <w:spacing w:val="-103"/>
          <w:sz w:val="21"/>
          <w:szCs w:val="21"/>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pStyle w:val="Heading5"/>
        <w:spacing w:line="240" w:lineRule="auto" w:before="51"/>
        <w:ind w:right="1002"/>
        <w:jc w:val="left"/>
        <w:rPr>
          <w:b w:val="0"/>
          <w:bCs w:val="0"/>
        </w:rPr>
      </w:pPr>
      <w:bookmarkStart w:name="十、与金融工具相关的风险" w:id="468"/>
      <w:bookmarkEnd w:id="468"/>
      <w:r>
        <w:rPr>
          <w:b w:val="0"/>
          <w:bCs w:val="0"/>
        </w:rPr>
      </w:r>
      <w:r>
        <w:rPr/>
        <w:t>十、与金融工具相关的风险</w:t>
      </w:r>
      <w:r>
        <w:rPr>
          <w:b w:val="0"/>
          <w:bCs w:val="0"/>
        </w:rPr>
      </w:r>
    </w:p>
    <w:p>
      <w:pPr>
        <w:spacing w:line="240" w:lineRule="auto" w:before="12"/>
        <w:rPr>
          <w:rFonts w:ascii="宋体" w:hAnsi="宋体" w:cs="宋体" w:eastAsia="宋体" w:hint="default"/>
          <w:b/>
          <w:bCs/>
          <w:sz w:val="25"/>
          <w:szCs w:val="25"/>
        </w:rPr>
      </w:pPr>
    </w:p>
    <w:p>
      <w:pPr>
        <w:pStyle w:val="BodyText"/>
        <w:spacing w:line="273" w:lineRule="auto" w:before="0"/>
        <w:ind w:right="1130" w:firstLine="360"/>
        <w:jc w:val="both"/>
      </w:pPr>
      <w:r>
        <w:rPr>
          <w:spacing w:val="-1"/>
        </w:rPr>
        <w:t>在日常活动中面临各种金融工具的风险，主要包括信用风险、流动性风险、市场风险。与这些金融工</w:t>
      </w:r>
      <w:r>
        <w:rPr>
          <w:w w:val="100"/>
        </w:rPr>
        <w:t> </w:t>
      </w:r>
      <w:r>
        <w:rPr/>
        <w:t>具相关的风险，以及本公司为降低这些风险所采取的风险管理政策如下所述：</w:t>
      </w:r>
    </w:p>
    <w:p>
      <w:pPr>
        <w:pStyle w:val="BodyText"/>
        <w:spacing w:line="273" w:lineRule="auto" w:before="7"/>
        <w:ind w:left="473" w:right="1002" w:hanging="360"/>
        <w:jc w:val="left"/>
      </w:pPr>
      <w:r>
        <w:rPr>
          <w:rFonts w:ascii="宋体" w:hAnsi="宋体" w:cs="宋体" w:eastAsia="宋体" w:hint="default"/>
          <w:b/>
          <w:bCs/>
        </w:rPr>
        <w:t>（一）信用风险</w:t>
      </w:r>
      <w:r>
        <w:rPr>
          <w:rFonts w:ascii="宋体" w:hAnsi="宋体" w:cs="宋体" w:eastAsia="宋体" w:hint="default"/>
          <w:b/>
          <w:bCs/>
          <w:spacing w:val="-104"/>
        </w:rPr>
        <w:t> </w:t>
      </w:r>
      <w:r>
        <w:rPr>
          <w:spacing w:val="-1"/>
        </w:rPr>
        <w:t>信用风险是指交易对手未能履行合同义务而导致本公司产生财务损失的风险，管理层已制定适当的信</w:t>
      </w:r>
    </w:p>
    <w:p>
      <w:pPr>
        <w:pStyle w:val="BodyText"/>
        <w:spacing w:line="273" w:lineRule="auto" w:before="7"/>
        <w:ind w:left="473" w:right="1002" w:hanging="360"/>
        <w:jc w:val="left"/>
      </w:pPr>
      <w:r>
        <w:rPr/>
        <w:t>用政策，并且不断监察信用风险的敞口。</w:t>
      </w:r>
      <w:r>
        <w:rPr>
          <w:w w:val="100"/>
        </w:rPr>
        <w:t> </w:t>
      </w:r>
      <w:r>
        <w:rPr>
          <w:spacing w:val="-1"/>
        </w:rPr>
        <w:t>本公司已采取政策只与信用良好的交易对手进行交易。另外，本公司基于对客户的财务状况、从第三</w:t>
      </w:r>
    </w:p>
    <w:p>
      <w:pPr>
        <w:pStyle w:val="BodyText"/>
        <w:spacing w:line="273" w:lineRule="auto" w:before="8"/>
        <w:ind w:right="1106"/>
        <w:jc w:val="both"/>
      </w:pPr>
      <w:r>
        <w:rPr>
          <w:spacing w:val="-2"/>
        </w:rPr>
        <w:t>方获取担保的可能性、信用记录及其它因素诸如目前市场状况等评估客户的信用资质并设置相应信用期。</w:t>
      </w:r>
      <w:r>
        <w:rPr>
          <w:spacing w:val="-13"/>
        </w:rPr>
        <w:t> </w:t>
      </w:r>
      <w:r>
        <w:rPr>
          <w:spacing w:val="-13"/>
        </w:rPr>
      </w:r>
      <w:r>
        <w:rPr>
          <w:spacing w:val="-2"/>
        </w:rPr>
        <w:t>本公司对应收票据、应收账款余额及收回情况进行持续监控，对于信用记录不良的客户，本公司会采用书</w:t>
      </w:r>
      <w:r>
        <w:rPr>
          <w:spacing w:val="-33"/>
        </w:rPr>
        <w:t> </w:t>
      </w:r>
      <w:r>
        <w:rPr>
          <w:spacing w:val="-33"/>
        </w:rPr>
      </w:r>
      <w:r>
        <w:rPr>
          <w:spacing w:val="-2"/>
        </w:rPr>
        <w:t>面催款、缩短信用期或取消信用期等方式，以确保本公司不致面临重大信用损失。此外，本公司于每个资</w:t>
      </w:r>
      <w:r>
        <w:rPr>
          <w:spacing w:val="-33"/>
        </w:rPr>
        <w:t> </w:t>
      </w:r>
      <w:r>
        <w:rPr>
          <w:spacing w:val="-33"/>
        </w:rPr>
      </w:r>
      <w:r>
        <w:rPr/>
        <w:t>产负债表日审核金融资产的回收情况，以确保相关金融资产计提了充分的预期信用损失准备。</w:t>
      </w:r>
    </w:p>
    <w:p>
      <w:pPr>
        <w:pStyle w:val="BodyText"/>
        <w:spacing w:line="273" w:lineRule="auto" w:before="7"/>
        <w:ind w:right="1125" w:firstLine="360"/>
        <w:jc w:val="both"/>
      </w:pPr>
      <w:r>
        <w:rPr>
          <w:spacing w:val="-1"/>
        </w:rPr>
        <w:t>本公司其他金融资产包括货币资金、应收票据、应收账款、其他应收款、长期应收款和其他权益工具</w:t>
      </w:r>
      <w:r>
        <w:rPr>
          <w:w w:val="100"/>
        </w:rPr>
        <w:t> </w:t>
      </w:r>
      <w:r>
        <w:rPr>
          <w:spacing w:val="-2"/>
        </w:rPr>
        <w:t>投资等，这些金融资产的信用风险源自于交易对手违约，最大信用风险敞口为资产负债表中每项金融资产</w:t>
      </w:r>
      <w:r>
        <w:rPr>
          <w:spacing w:val="-33"/>
        </w:rPr>
        <w:t> </w:t>
      </w:r>
      <w:r>
        <w:rPr>
          <w:spacing w:val="-33"/>
        </w:rPr>
      </w:r>
      <w:r>
        <w:rPr>
          <w:spacing w:val="-2"/>
        </w:rPr>
        <w:t>的账面金额。除附注十一所载本公司作出的财务担保外，本公司没有提供任何其他可能令本公司承受信用</w:t>
      </w:r>
      <w:r>
        <w:rPr>
          <w:spacing w:val="-33"/>
        </w:rPr>
        <w:t> </w:t>
      </w:r>
      <w:r>
        <w:rPr>
          <w:spacing w:val="-33"/>
        </w:rPr>
      </w:r>
      <w:r>
        <w:rPr/>
        <w:t>风险的担保。</w:t>
      </w:r>
    </w:p>
    <w:p>
      <w:pPr>
        <w:pStyle w:val="BodyText"/>
        <w:spacing w:line="273" w:lineRule="auto" w:before="7"/>
        <w:ind w:right="1125" w:firstLine="360"/>
        <w:jc w:val="both"/>
      </w:pPr>
      <w:r>
        <w:rPr>
          <w:spacing w:val="-1"/>
        </w:rPr>
        <w:t>本公司持有的货币资金主要存放于国有控股银行和其他大中型商业银行等金融机构，管理层认为这些</w:t>
      </w:r>
      <w:r>
        <w:rPr>
          <w:w w:val="100"/>
        </w:rPr>
        <w:t> </w:t>
      </w:r>
      <w:r>
        <w:rPr>
          <w:spacing w:val="-2"/>
        </w:rPr>
        <w:t>商业银行具备较高信誉和资产状况，不存在重大的信用风险，不会产生因对方单位违约而导致的任何重大</w:t>
      </w:r>
      <w:r>
        <w:rPr>
          <w:spacing w:val="-33"/>
        </w:rPr>
        <w:t> </w:t>
      </w:r>
      <w:r>
        <w:rPr>
          <w:spacing w:val="-33"/>
        </w:rPr>
      </w:r>
      <w:r>
        <w:rPr/>
        <w:t>损失。</w:t>
      </w:r>
    </w:p>
    <w:p>
      <w:pPr>
        <w:pStyle w:val="BodyText"/>
        <w:spacing w:line="273" w:lineRule="auto" w:before="8"/>
        <w:ind w:right="1123" w:firstLine="360"/>
        <w:jc w:val="both"/>
      </w:pPr>
      <w:r>
        <w:rPr>
          <w:spacing w:val="-1"/>
        </w:rPr>
        <w:t>作为本公司信用风险资产管理的一部分，本公司利用账龄来评估应收账款和其他应收款的减值损失。</w:t>
      </w:r>
      <w:r>
        <w:rPr>
          <w:w w:val="100"/>
        </w:rPr>
        <w:t> </w:t>
      </w:r>
      <w:r>
        <w:rPr>
          <w:spacing w:val="-2"/>
        </w:rPr>
        <w:t>本公司的应收账款和其他应收款涉及大量客户，账龄信息可以反映这些客户对于应收账款和其他应收款的</w:t>
      </w:r>
      <w:r>
        <w:rPr>
          <w:spacing w:val="-31"/>
        </w:rPr>
        <w:t> </w:t>
      </w:r>
      <w:r>
        <w:rPr>
          <w:spacing w:val="-31"/>
        </w:rPr>
      </w:r>
      <w:r>
        <w:rPr>
          <w:spacing w:val="-2"/>
        </w:rPr>
        <w:t>偿付能力和坏账风险。本公司根据历史数据计算不同账龄期间的历史实际坏账率，并考虑了当前及未来经</w:t>
      </w:r>
      <w:r>
        <w:rPr>
          <w:spacing w:val="-33"/>
        </w:rPr>
        <w:t> </w:t>
      </w:r>
      <w:r>
        <w:rPr>
          <w:spacing w:val="-33"/>
        </w:rPr>
      </w:r>
      <w:r>
        <w:rPr>
          <w:spacing w:val="-2"/>
        </w:rPr>
        <w:t>济状况的预测，前瞻性信息进行调整得出预期损失率。对于长期应收款，本公司综合考虑结算期、合同约</w:t>
      </w:r>
      <w:r>
        <w:rPr>
          <w:spacing w:val="-33"/>
        </w:rPr>
        <w:t> </w:t>
      </w:r>
      <w:r>
        <w:rPr>
          <w:spacing w:val="-33"/>
        </w:rPr>
      </w:r>
      <w:r>
        <w:rPr>
          <w:spacing w:val="-2"/>
        </w:rPr>
        <w:t>定付款期、债务人的财务状况和债务人所处行业的经济形势，并考虑上述前瞻性信息进行调整后对于预期</w:t>
      </w:r>
      <w:r>
        <w:rPr>
          <w:spacing w:val="-33"/>
        </w:rPr>
        <w:t> </w:t>
      </w:r>
      <w:r>
        <w:rPr>
          <w:spacing w:val="-33"/>
        </w:rPr>
      </w:r>
      <w:r>
        <w:rPr/>
        <w:t>信用损失进行合理评估。</w:t>
      </w:r>
    </w:p>
    <w:p>
      <w:pPr>
        <w:pStyle w:val="BodyText"/>
        <w:spacing w:line="240" w:lineRule="auto" w:before="7"/>
        <w:ind w:left="473" w:right="1002"/>
        <w:jc w:val="left"/>
      </w:pP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日，相关资产的账面余额与预期信用减值损失情况如下：</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227"/>
        <w:gridCol w:w="2694"/>
        <w:gridCol w:w="2603"/>
      </w:tblGrid>
      <w:tr>
        <w:trPr>
          <w:trHeight w:val="346"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3" w:right="0"/>
              <w:jc w:val="center"/>
              <w:rPr>
                <w:rFonts w:ascii="宋体" w:hAnsi="宋体" w:cs="宋体" w:eastAsia="宋体" w:hint="default"/>
                <w:sz w:val="21"/>
                <w:szCs w:val="21"/>
              </w:rPr>
            </w:pPr>
            <w:r>
              <w:rPr>
                <w:rFonts w:ascii="宋体" w:hAnsi="宋体" w:cs="宋体" w:eastAsia="宋体" w:hint="default"/>
                <w:sz w:val="21"/>
                <w:szCs w:val="21"/>
              </w:rPr>
              <w:t>减值准备</w:t>
            </w:r>
          </w:p>
        </w:tc>
      </w:tr>
      <w:tr>
        <w:trPr>
          <w:trHeight w:val="346"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z w:val="21"/>
              </w:rPr>
              <w:t>805,906.85</w:t>
            </w:r>
          </w:p>
        </w:tc>
        <w:tc>
          <w:tcPr>
            <w:tcW w:w="2603"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12,633,353.43</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0"/>
              <w:jc w:val="right"/>
              <w:rPr>
                <w:rFonts w:ascii="宋体" w:hAnsi="宋体" w:cs="宋体" w:eastAsia="宋体" w:hint="default"/>
                <w:sz w:val="21"/>
                <w:szCs w:val="21"/>
              </w:rPr>
            </w:pPr>
            <w:r>
              <w:rPr>
                <w:rFonts w:ascii="宋体"/>
                <w:sz w:val="21"/>
              </w:rPr>
              <w:t>370,278.07</w:t>
            </w:r>
          </w:p>
        </w:tc>
      </w:tr>
      <w:tr>
        <w:trPr>
          <w:trHeight w:val="346"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1,545,489,559.95</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
              <w:jc w:val="right"/>
              <w:rPr>
                <w:rFonts w:ascii="宋体" w:hAnsi="宋体" w:cs="宋体" w:eastAsia="宋体" w:hint="default"/>
                <w:sz w:val="21"/>
                <w:szCs w:val="21"/>
              </w:rPr>
            </w:pPr>
            <w:r>
              <w:rPr>
                <w:rFonts w:ascii="宋体"/>
                <w:spacing w:val="-1"/>
                <w:sz w:val="21"/>
              </w:rPr>
              <w:t>250,307,138.61</w:t>
            </w:r>
          </w:p>
        </w:tc>
      </w:tr>
      <w:tr>
        <w:trPr>
          <w:trHeight w:val="346"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72,617,377.37</w:t>
            </w:r>
          </w:p>
        </w:tc>
        <w:tc>
          <w:tcPr>
            <w:tcW w:w="2603"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148,472,396.12</w:t>
            </w:r>
          </w:p>
        </w:tc>
        <w:tc>
          <w:tcPr>
            <w:tcW w:w="260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
              <w:jc w:val="right"/>
              <w:rPr>
                <w:rFonts w:ascii="宋体" w:hAnsi="宋体" w:cs="宋体" w:eastAsia="宋体" w:hint="default"/>
                <w:sz w:val="21"/>
                <w:szCs w:val="21"/>
              </w:rPr>
            </w:pPr>
            <w:r>
              <w:rPr>
                <w:rFonts w:ascii="宋体"/>
                <w:spacing w:val="-1"/>
                <w:sz w:val="21"/>
              </w:rPr>
              <w:t>42,751,793.75</w:t>
            </w:r>
          </w:p>
        </w:tc>
      </w:tr>
      <w:tr>
        <w:trPr>
          <w:trHeight w:val="346"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159,996,247.64</w:t>
            </w:r>
          </w:p>
        </w:tc>
        <w:tc>
          <w:tcPr>
            <w:tcW w:w="260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其他权益工具投资</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1,917,656.41</w:t>
            </w:r>
          </w:p>
        </w:tc>
        <w:tc>
          <w:tcPr>
            <w:tcW w:w="260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3,243,335.39</w:t>
            </w:r>
          </w:p>
        </w:tc>
        <w:tc>
          <w:tcPr>
            <w:tcW w:w="2603"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right"/>
              <w:rPr>
                <w:rFonts w:ascii="宋体" w:hAnsi="宋体" w:cs="宋体" w:eastAsia="宋体" w:hint="default"/>
                <w:sz w:val="21"/>
                <w:szCs w:val="21"/>
              </w:rPr>
            </w:pPr>
            <w:r>
              <w:rPr>
                <w:rFonts w:ascii="宋体"/>
                <w:spacing w:val="-1"/>
                <w:sz w:val="21"/>
              </w:rPr>
              <w:t>1,966,113,727.6</w:t>
            </w:r>
          </w:p>
        </w:tc>
        <w:tc>
          <w:tcPr>
            <w:tcW w:w="260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5"/>
          <w:szCs w:val="5"/>
        </w:rPr>
      </w:pPr>
    </w:p>
    <w:p>
      <w:pPr>
        <w:pStyle w:val="BodyText"/>
        <w:spacing w:line="240" w:lineRule="auto"/>
        <w:ind w:left="473" w:right="1002"/>
        <w:jc w:val="left"/>
      </w:pPr>
      <w:r>
        <w:rPr/>
        <w:t>本公司所承受的最大信用风险敞口为资产负债表中每项金融资产</w:t>
      </w:r>
      <w:r>
        <w:rPr>
          <w:rFonts w:ascii="宋体" w:hAnsi="宋体" w:cs="宋体" w:eastAsia="宋体" w:hint="default"/>
        </w:rPr>
        <w:t>(</w:t>
      </w:r>
      <w:r>
        <w:rPr/>
        <w:t>包括衍生金融工具</w:t>
      </w:r>
      <w:r>
        <w:rPr>
          <w:rFonts w:ascii="宋体" w:hAnsi="宋体" w:cs="宋体" w:eastAsia="宋体" w:hint="default"/>
        </w:rPr>
        <w:t>)</w:t>
      </w:r>
      <w:r>
        <w:rPr>
          <w:rFonts w:ascii="宋体" w:hAnsi="宋体" w:cs="宋体" w:eastAsia="宋体" w:hint="default"/>
          <w:spacing w:val="13"/>
        </w:rPr>
        <w:t> </w:t>
      </w:r>
      <w:r>
        <w:rPr>
          <w:spacing w:val="-11"/>
        </w:rPr>
        <w:t>的账面金额。除</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40" w:lineRule="auto"/>
        <w:ind w:right="0"/>
        <w:jc w:val="both"/>
      </w:pPr>
      <w:r>
        <w:rPr/>
        <w:t>附注十一所载本公司作出的财务担保外，本公司没有提供任何其他可能令本公司承受信用风险的担保。</w:t>
      </w:r>
    </w:p>
    <w:p>
      <w:pPr>
        <w:pStyle w:val="BodyText"/>
        <w:spacing w:line="273" w:lineRule="auto" w:before="157"/>
        <w:ind w:left="473" w:right="1002" w:hanging="360"/>
        <w:jc w:val="left"/>
      </w:pPr>
      <w:r>
        <w:rPr>
          <w:rFonts w:ascii="宋体" w:hAnsi="宋体" w:cs="宋体" w:eastAsia="宋体" w:hint="default"/>
          <w:b/>
          <w:bCs/>
        </w:rPr>
        <w:t>（二）流动性风险</w:t>
      </w:r>
      <w:r>
        <w:rPr>
          <w:rFonts w:ascii="宋体" w:hAnsi="宋体" w:cs="宋体" w:eastAsia="宋体" w:hint="default"/>
          <w:b/>
          <w:bCs/>
          <w:spacing w:val="-103"/>
        </w:rPr>
        <w:t> </w:t>
      </w:r>
      <w:r>
        <w:rPr>
          <w:spacing w:val="-1"/>
        </w:rPr>
        <w:t>流动性风险是指本公司在履行以交付现金或其他金融资产的方式结算的义务时发生资金短缺的风险。</w:t>
      </w:r>
    </w:p>
    <w:p>
      <w:pPr>
        <w:pStyle w:val="BodyText"/>
        <w:spacing w:line="273" w:lineRule="auto" w:before="8"/>
        <w:ind w:right="1125"/>
        <w:jc w:val="both"/>
      </w:pPr>
      <w:r>
        <w:rPr>
          <w:spacing w:val="-2"/>
        </w:rPr>
        <w:t>本公司下属成员企业各自负责其现金流量预测。公司下属部门基于各成员企业的现金流量预测结果，在公</w:t>
      </w:r>
      <w:r>
        <w:rPr>
          <w:spacing w:val="-33"/>
        </w:rPr>
        <w:t> </w:t>
      </w:r>
      <w:r>
        <w:rPr>
          <w:spacing w:val="-33"/>
        </w:rPr>
      </w:r>
      <w:r>
        <w:rPr>
          <w:spacing w:val="-2"/>
        </w:rPr>
        <w:t>司层面持续监控公司短期和长期的资金需求，以确保维持充裕的现金储备；同时持续监控是否符合借款协</w:t>
      </w:r>
      <w:r>
        <w:rPr>
          <w:spacing w:val="-33"/>
        </w:rPr>
        <w:t> </w:t>
      </w:r>
      <w:r>
        <w:rPr>
          <w:spacing w:val="-33"/>
        </w:rPr>
      </w:r>
      <w:r>
        <w:rPr>
          <w:spacing w:val="-2"/>
        </w:rPr>
        <w:t>议的规定，从主要金融机构获得提供足够备用资金的承诺，以满足短期和长期的资金需求。此外，本公司</w:t>
      </w:r>
      <w:r>
        <w:rPr>
          <w:spacing w:val="-33"/>
        </w:rPr>
        <w:t> </w:t>
      </w:r>
      <w:r>
        <w:rPr>
          <w:spacing w:val="-33"/>
        </w:rPr>
      </w:r>
      <w:r>
        <w:rPr/>
        <w:t>与主要业务往来银行订立融资额度授信协议，为本公司履行与商业票据相关的义务提供支持。</w:t>
      </w:r>
    </w:p>
    <w:p>
      <w:pPr>
        <w:pStyle w:val="BodyText"/>
        <w:spacing w:line="273" w:lineRule="auto" w:before="7"/>
        <w:ind w:right="1002" w:firstLine="360"/>
        <w:jc w:val="left"/>
      </w:pPr>
      <w:r>
        <w:rPr>
          <w:spacing w:val="-1"/>
        </w:rPr>
        <w:t>截止</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日，本公司金融负债和表外担保项目以未折现的合同现金流量按合同剩余期限列示</w:t>
      </w:r>
      <w:r>
        <w:rPr>
          <w:w w:val="100"/>
        </w:rPr>
        <w:t> </w:t>
      </w:r>
      <w:r>
        <w:rPr/>
        <w:t>如下：</w:t>
      </w:r>
    </w:p>
    <w:tbl>
      <w:tblPr>
        <w:tblW w:w="0" w:type="auto"/>
        <w:jc w:val="left"/>
        <w:tblInd w:w="103" w:type="dxa"/>
        <w:tblLayout w:type="fixed"/>
        <w:tblCellMar>
          <w:top w:w="0" w:type="dxa"/>
          <w:left w:w="0" w:type="dxa"/>
          <w:bottom w:w="0" w:type="dxa"/>
          <w:right w:w="0" w:type="dxa"/>
        </w:tblCellMar>
        <w:tblLook w:val="01E0"/>
      </w:tblPr>
      <w:tblGrid>
        <w:gridCol w:w="1383"/>
        <w:gridCol w:w="1613"/>
        <w:gridCol w:w="1517"/>
        <w:gridCol w:w="1681"/>
        <w:gridCol w:w="1109"/>
        <w:gridCol w:w="1383"/>
        <w:gridCol w:w="1124"/>
      </w:tblGrid>
      <w:tr>
        <w:trPr>
          <w:trHeight w:val="346" w:hRule="exact"/>
        </w:trPr>
        <w:tc>
          <w:tcPr>
            <w:tcW w:w="1383" w:type="dxa"/>
            <w:vMerge w:val="restart"/>
            <w:tcBorders>
              <w:top w:val="single" w:sz="6" w:space="0" w:color="000000"/>
              <w:left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8427" w:type="dxa"/>
            <w:gridSpan w:val="6"/>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50" w:hRule="exact"/>
        </w:trPr>
        <w:tc>
          <w:tcPr>
            <w:tcW w:w="1383" w:type="dxa"/>
            <w:vMerge/>
            <w:tcBorders>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79"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36"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6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年以内</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87"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年</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27"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z w:val="21"/>
                <w:szCs w:val="21"/>
              </w:rPr>
              <w:t>年</w:t>
            </w:r>
          </w:p>
        </w:tc>
        <w:tc>
          <w:tcPr>
            <w:tcW w:w="11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年以上</w:t>
            </w:r>
          </w:p>
        </w:tc>
      </w:tr>
      <w:tr>
        <w:trPr>
          <w:trHeight w:val="346" w:hRule="exact"/>
        </w:trPr>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769,321,250.00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769,321,250.00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769,321,250.00</w:t>
            </w:r>
          </w:p>
        </w:tc>
        <w:tc>
          <w:tcPr>
            <w:tcW w:w="1109"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100,149,799.26</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100,149,799.26</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100,149,799.26</w:t>
            </w:r>
          </w:p>
        </w:tc>
        <w:tc>
          <w:tcPr>
            <w:tcW w:w="1109"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997,137,555.25</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997,137,555.25</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right"/>
              <w:rPr>
                <w:rFonts w:ascii="宋体" w:hAnsi="宋体" w:cs="宋体" w:eastAsia="宋体" w:hint="default"/>
                <w:sz w:val="21"/>
                <w:szCs w:val="21"/>
              </w:rPr>
            </w:pPr>
            <w:r>
              <w:rPr>
                <w:rFonts w:ascii="宋体"/>
                <w:spacing w:val="-1"/>
                <w:sz w:val="21"/>
              </w:rPr>
              <w:t>997,137,555.25</w:t>
            </w:r>
          </w:p>
        </w:tc>
        <w:tc>
          <w:tcPr>
            <w:tcW w:w="1109"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130,557,810.89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130,557,810.89</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130,557,810.89</w:t>
            </w:r>
          </w:p>
        </w:tc>
        <w:tc>
          <w:tcPr>
            <w:tcW w:w="1109"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58" w:right="46" w:hanging="101"/>
              <w:jc w:val="left"/>
              <w:rPr>
                <w:rFonts w:ascii="宋体" w:hAnsi="宋体" w:cs="宋体" w:eastAsia="宋体" w:hint="default"/>
                <w:sz w:val="21"/>
                <w:szCs w:val="21"/>
              </w:rPr>
            </w:pPr>
            <w:r>
              <w:rPr>
                <w:rFonts w:ascii="宋体" w:hAnsi="宋体" w:cs="宋体" w:eastAsia="宋体" w:hint="default"/>
                <w:sz w:val="21"/>
                <w:szCs w:val="21"/>
              </w:rPr>
              <w:t>一年内到期的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非流动负债</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27,000,000.00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27,000,000.00</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27,000,000.00</w:t>
            </w:r>
          </w:p>
        </w:tc>
        <w:tc>
          <w:tcPr>
            <w:tcW w:w="1109"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112,000,000.00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112,000,000.00</w:t>
            </w:r>
          </w:p>
        </w:tc>
        <w:tc>
          <w:tcPr>
            <w:tcW w:w="1681"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5"/>
              <w:jc w:val="right"/>
              <w:rPr>
                <w:rFonts w:ascii="Times New Roman" w:hAnsi="Times New Roman" w:cs="Times New Roman" w:eastAsia="Times New Roman" w:hint="default"/>
                <w:sz w:val="21"/>
                <w:szCs w:val="21"/>
              </w:rPr>
            </w:pPr>
            <w:r>
              <w:rPr>
                <w:rFonts w:ascii="宋体"/>
                <w:sz w:val="21"/>
              </w:rPr>
              <w:t>83</w:t>
            </w:r>
            <w:r>
              <w:rPr>
                <w:rFonts w:ascii="Times New Roman"/>
                <w:sz w:val="21"/>
              </w:rPr>
              <w:t>,000,000.</w:t>
            </w:r>
          </w:p>
          <w:p>
            <w:pPr>
              <w:pStyle w:val="TableParagraph"/>
              <w:spacing w:line="240" w:lineRule="auto" w:before="71"/>
              <w:ind w:right="-1"/>
              <w:jc w:val="right"/>
              <w:rPr>
                <w:rFonts w:ascii="Times New Roman" w:hAnsi="Times New Roman" w:cs="Times New Roman" w:eastAsia="Times New Roman" w:hint="default"/>
                <w:sz w:val="21"/>
                <w:szCs w:val="21"/>
              </w:rPr>
            </w:pPr>
            <w:r>
              <w:rPr>
                <w:rFonts w:ascii="Times New Roman"/>
                <w:sz w:val="21"/>
              </w:rPr>
              <w:t>00</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158" w:right="-5"/>
              <w:jc w:val="left"/>
              <w:rPr>
                <w:rFonts w:ascii="Times New Roman" w:hAnsi="Times New Roman" w:cs="Times New Roman" w:eastAsia="Times New Roman" w:hint="default"/>
                <w:sz w:val="21"/>
                <w:szCs w:val="21"/>
              </w:rPr>
            </w:pPr>
            <w:r>
              <w:rPr>
                <w:rFonts w:ascii="宋体"/>
                <w:sz w:val="21"/>
              </w:rPr>
              <w:t>29</w:t>
            </w:r>
            <w:r>
              <w:rPr>
                <w:rFonts w:ascii="Times New Roman"/>
                <w:sz w:val="21"/>
              </w:rPr>
              <w:t>,000,000.00</w:t>
            </w:r>
          </w:p>
        </w:tc>
        <w:tc>
          <w:tcPr>
            <w:tcW w:w="1124" w:type="dxa"/>
            <w:tcBorders>
              <w:top w:val="single" w:sz="6" w:space="0" w:color="000000"/>
              <w:left w:val="single" w:sz="6" w:space="0" w:color="000000"/>
              <w:bottom w:val="single" w:sz="6" w:space="0" w:color="000000"/>
              <w:right w:val="single" w:sz="6" w:space="0" w:color="000000"/>
            </w:tcBorders>
          </w:tcPr>
          <w:p>
            <w:pPr/>
          </w:p>
        </w:tc>
      </w:tr>
      <w:tr>
        <w:trPr>
          <w:trHeight w:val="662" w:hRule="exact"/>
        </w:trPr>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20" w:right="0"/>
              <w:jc w:val="left"/>
              <w:rPr>
                <w:rFonts w:ascii="宋体" w:hAnsi="宋体" w:cs="宋体" w:eastAsia="宋体" w:hint="default"/>
                <w:sz w:val="21"/>
                <w:szCs w:val="21"/>
              </w:rPr>
            </w:pPr>
            <w:r>
              <w:rPr>
                <w:rFonts w:ascii="宋体"/>
                <w:sz w:val="21"/>
              </w:rPr>
              <w:t>17,000,000.00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61"/>
              <w:jc w:val="right"/>
              <w:rPr>
                <w:rFonts w:ascii="宋体" w:hAnsi="宋体" w:cs="宋体" w:eastAsia="宋体" w:hint="default"/>
                <w:sz w:val="21"/>
                <w:szCs w:val="21"/>
              </w:rPr>
            </w:pPr>
            <w:r>
              <w:rPr>
                <w:rFonts w:ascii="宋体"/>
                <w:spacing w:val="-1"/>
                <w:sz w:val="21"/>
              </w:rPr>
              <w:t>17,000,000.00</w:t>
            </w:r>
          </w:p>
        </w:tc>
        <w:tc>
          <w:tcPr>
            <w:tcW w:w="1681" w:type="dxa"/>
            <w:tcBorders>
              <w:top w:val="single" w:sz="6" w:space="0" w:color="000000"/>
              <w:left w:val="single" w:sz="6" w:space="0" w:color="000000"/>
              <w:bottom w:val="single" w:sz="6" w:space="0" w:color="000000"/>
              <w:right w:val="single" w:sz="6" w:space="0" w:color="000000"/>
            </w:tcBorders>
          </w:tcPr>
          <w:p>
            <w:pP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z w:val="21"/>
              </w:rPr>
              <w:t>17,000,000</w:t>
            </w:r>
          </w:p>
          <w:p>
            <w:pPr>
              <w:pStyle w:val="TableParagraph"/>
              <w:spacing w:line="240" w:lineRule="auto" w:before="37"/>
              <w:ind w:right="0"/>
              <w:jc w:val="right"/>
              <w:rPr>
                <w:rFonts w:ascii="宋体" w:hAnsi="宋体" w:cs="宋体" w:eastAsia="宋体" w:hint="default"/>
                <w:sz w:val="21"/>
                <w:szCs w:val="21"/>
              </w:rPr>
            </w:pPr>
            <w:r>
              <w:rPr>
                <w:rFonts w:ascii="宋体"/>
                <w:sz w:val="21"/>
              </w:rPr>
              <w:t>.00</w:t>
            </w:r>
          </w:p>
        </w:tc>
        <w:tc>
          <w:tcPr>
            <w:tcW w:w="1383"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99"/>
              <w:jc w:val="left"/>
              <w:rPr>
                <w:rFonts w:ascii="宋体" w:hAnsi="宋体" w:cs="宋体" w:eastAsia="宋体" w:hint="default"/>
                <w:sz w:val="21"/>
                <w:szCs w:val="21"/>
              </w:rPr>
            </w:pPr>
            <w:r>
              <w:rPr>
                <w:rFonts w:ascii="宋体" w:hAnsi="宋体" w:cs="宋体" w:eastAsia="宋体" w:hint="default"/>
                <w:sz w:val="21"/>
                <w:szCs w:val="21"/>
              </w:rPr>
              <w:t>其他非流动负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债</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20" w:right="0"/>
              <w:jc w:val="left"/>
              <w:rPr>
                <w:rFonts w:ascii="宋体" w:hAnsi="宋体" w:cs="宋体" w:eastAsia="宋体" w:hint="default"/>
                <w:sz w:val="21"/>
                <w:szCs w:val="21"/>
              </w:rPr>
            </w:pPr>
            <w:r>
              <w:rPr>
                <w:rFonts w:ascii="宋体"/>
                <w:sz w:val="21"/>
              </w:rPr>
              <w:t>60,562,575.64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61"/>
              <w:jc w:val="right"/>
              <w:rPr>
                <w:rFonts w:ascii="宋体" w:hAnsi="宋体" w:cs="宋体" w:eastAsia="宋体" w:hint="default"/>
                <w:sz w:val="21"/>
                <w:szCs w:val="21"/>
              </w:rPr>
            </w:pPr>
            <w:r>
              <w:rPr>
                <w:rFonts w:ascii="宋体"/>
                <w:spacing w:val="-1"/>
                <w:sz w:val="21"/>
              </w:rPr>
              <w:t>60,562,575.64</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3" w:right="0"/>
              <w:jc w:val="left"/>
              <w:rPr>
                <w:rFonts w:ascii="宋体" w:hAnsi="宋体" w:cs="宋体" w:eastAsia="宋体" w:hint="default"/>
                <w:sz w:val="21"/>
                <w:szCs w:val="21"/>
              </w:rPr>
            </w:pPr>
            <w:r>
              <w:rPr>
                <w:rFonts w:ascii="宋体"/>
                <w:sz w:val="21"/>
              </w:rPr>
              <w:t>60,562,575.64</w:t>
            </w:r>
          </w:p>
        </w:tc>
        <w:tc>
          <w:tcPr>
            <w:tcW w:w="1109" w:type="dxa"/>
            <w:tcBorders>
              <w:top w:val="single" w:sz="6" w:space="0" w:color="000000"/>
              <w:left w:val="single" w:sz="6" w:space="0" w:color="000000"/>
              <w:bottom w:val="single" w:sz="6" w:space="0" w:color="000000"/>
              <w:right w:val="single" w:sz="6" w:space="0" w:color="000000"/>
            </w:tcBorders>
          </w:tcPr>
          <w:p>
            <w:pPr/>
          </w:p>
        </w:tc>
        <w:tc>
          <w:tcPr>
            <w:tcW w:w="1383" w:type="dxa"/>
            <w:tcBorders>
              <w:top w:val="single" w:sz="6" w:space="0" w:color="000000"/>
              <w:left w:val="single" w:sz="6" w:space="0" w:color="000000"/>
              <w:bottom w:val="single" w:sz="6" w:space="0" w:color="000000"/>
              <w:right w:val="single" w:sz="6" w:space="0" w:color="000000"/>
            </w:tcBorders>
          </w:tcPr>
          <w:p>
            <w:pPr/>
          </w:p>
        </w:tc>
        <w:tc>
          <w:tcPr>
            <w:tcW w:w="1124"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7" w:right="0"/>
              <w:jc w:val="left"/>
              <w:rPr>
                <w:rFonts w:ascii="宋体" w:hAnsi="宋体" w:cs="宋体" w:eastAsia="宋体" w:hint="default"/>
                <w:sz w:val="21"/>
                <w:szCs w:val="21"/>
              </w:rPr>
            </w:pPr>
            <w:r>
              <w:rPr>
                <w:rFonts w:ascii="宋体" w:hAnsi="宋体" w:cs="宋体" w:eastAsia="宋体" w:hint="default"/>
                <w:sz w:val="21"/>
                <w:szCs w:val="21"/>
              </w:rPr>
              <w:t>金融负债小计</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2,213,728,991.0</w:t>
            </w:r>
          </w:p>
          <w:p>
            <w:pPr>
              <w:pStyle w:val="TableParagraph"/>
              <w:spacing w:line="240" w:lineRule="auto" w:before="37"/>
              <w:ind w:left="5" w:right="0"/>
              <w:jc w:val="center"/>
              <w:rPr>
                <w:rFonts w:ascii="宋体" w:hAnsi="宋体" w:cs="宋体" w:eastAsia="宋体" w:hint="default"/>
                <w:sz w:val="21"/>
                <w:szCs w:val="21"/>
              </w:rPr>
            </w:pPr>
            <w:r>
              <w:rPr>
                <w:rFonts w:ascii="宋体"/>
                <w:w w:val="100"/>
                <w:sz w:val="21"/>
              </w:rPr>
              <w:t>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sz w:val="21"/>
              </w:rPr>
              <w:t>2,213,728,991.</w:t>
            </w:r>
          </w:p>
          <w:p>
            <w:pPr>
              <w:pStyle w:val="TableParagraph"/>
              <w:spacing w:line="240" w:lineRule="auto" w:before="37"/>
              <w:ind w:left="5" w:right="0"/>
              <w:jc w:val="center"/>
              <w:rPr>
                <w:rFonts w:ascii="宋体" w:hAnsi="宋体" w:cs="宋体" w:eastAsia="宋体" w:hint="default"/>
                <w:sz w:val="21"/>
                <w:szCs w:val="21"/>
              </w:rPr>
            </w:pPr>
            <w:r>
              <w:rPr>
                <w:rFonts w:ascii="宋体"/>
                <w:sz w:val="21"/>
              </w:rPr>
              <w:t>04</w:t>
            </w:r>
          </w:p>
        </w:tc>
        <w:tc>
          <w:tcPr>
            <w:tcW w:w="168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2,084,728,991.0</w:t>
            </w:r>
          </w:p>
          <w:p>
            <w:pPr>
              <w:pStyle w:val="TableParagraph"/>
              <w:spacing w:line="240" w:lineRule="auto" w:before="37"/>
              <w:ind w:left="4" w:right="0"/>
              <w:jc w:val="center"/>
              <w:rPr>
                <w:rFonts w:ascii="宋体" w:hAnsi="宋体" w:cs="宋体" w:eastAsia="宋体" w:hint="default"/>
                <w:sz w:val="21"/>
                <w:szCs w:val="21"/>
              </w:rPr>
            </w:pPr>
            <w:r>
              <w:rPr>
                <w:rFonts w:ascii="宋体"/>
                <w:w w:val="100"/>
                <w:sz w:val="21"/>
              </w:rPr>
              <w:t>4</w:t>
            </w:r>
          </w:p>
        </w:tc>
        <w:tc>
          <w:tcPr>
            <w:tcW w:w="110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sz w:val="21"/>
              </w:rPr>
              <w:t>100,000,00</w:t>
            </w:r>
          </w:p>
          <w:p>
            <w:pPr>
              <w:pStyle w:val="TableParagraph"/>
              <w:spacing w:line="240" w:lineRule="auto" w:before="37"/>
              <w:ind w:left="9" w:right="0"/>
              <w:jc w:val="center"/>
              <w:rPr>
                <w:rFonts w:ascii="宋体" w:hAnsi="宋体" w:cs="宋体" w:eastAsia="宋体" w:hint="default"/>
                <w:sz w:val="21"/>
                <w:szCs w:val="21"/>
              </w:rPr>
            </w:pPr>
            <w:r>
              <w:rPr>
                <w:rFonts w:ascii="宋体"/>
                <w:sz w:val="21"/>
              </w:rPr>
              <w:t>0.00</w:t>
            </w:r>
          </w:p>
        </w:tc>
        <w:tc>
          <w:tcPr>
            <w:tcW w:w="138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81" w:right="0"/>
              <w:jc w:val="left"/>
              <w:rPr>
                <w:rFonts w:ascii="Times New Roman" w:hAnsi="Times New Roman" w:cs="Times New Roman" w:eastAsia="Times New Roman" w:hint="default"/>
                <w:sz w:val="21"/>
                <w:szCs w:val="21"/>
              </w:rPr>
            </w:pPr>
            <w:r>
              <w:rPr>
                <w:rFonts w:ascii="宋体"/>
                <w:sz w:val="21"/>
              </w:rPr>
              <w:t>29</w:t>
            </w:r>
            <w:r>
              <w:rPr>
                <w:rFonts w:ascii="Times New Roman"/>
                <w:sz w:val="21"/>
              </w:rPr>
              <w:t>,000,000.00</w:t>
            </w:r>
          </w:p>
        </w:tc>
        <w:tc>
          <w:tcPr>
            <w:tcW w:w="112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Heading5"/>
        <w:spacing w:line="273" w:lineRule="auto" w:before="178"/>
        <w:ind w:right="9275"/>
        <w:jc w:val="left"/>
        <w:rPr>
          <w:b w:val="0"/>
          <w:bCs w:val="0"/>
        </w:rPr>
      </w:pPr>
      <w:r>
        <w:rPr/>
        <w:t>（三）市场风险</w:t>
      </w:r>
      <w:r>
        <w:rPr>
          <w:spacing w:val="-104"/>
        </w:rPr>
        <w:t> </w:t>
      </w:r>
      <w:r>
        <w:rPr>
          <w:rFonts w:ascii="宋体" w:hAnsi="宋体" w:cs="宋体" w:eastAsia="宋体" w:hint="default"/>
        </w:rPr>
        <w:t>1.</w:t>
      </w:r>
      <w:r>
        <w:rPr/>
        <w:t>汇率风险</w:t>
      </w:r>
      <w:r>
        <w:rPr>
          <w:b w:val="0"/>
          <w:bCs w:val="0"/>
        </w:rPr>
      </w:r>
    </w:p>
    <w:p>
      <w:pPr>
        <w:pStyle w:val="BodyText"/>
        <w:spacing w:line="273" w:lineRule="auto" w:before="8"/>
        <w:ind w:right="1122" w:firstLine="360"/>
        <w:jc w:val="both"/>
      </w:pPr>
      <w:r>
        <w:rPr>
          <w:spacing w:val="-1"/>
        </w:rPr>
        <w:t>本公司的主要经营位于中国境内，主要业务以人民币结算。但本公司已确认的外币资产和负债及未来</w:t>
      </w:r>
      <w:r>
        <w:rPr>
          <w:w w:val="100"/>
        </w:rPr>
        <w:t> </w:t>
      </w:r>
      <w:r>
        <w:rPr>
          <w:spacing w:val="-2"/>
        </w:rPr>
        <w:t>的外币交易（外币资产和负债及外币交易的计价货币主要为美元）依然存在汇率风险。本公司财务部门负</w:t>
      </w:r>
      <w:r>
        <w:rPr>
          <w:spacing w:val="-30"/>
        </w:rPr>
        <w:t> </w:t>
      </w:r>
      <w:r>
        <w:rPr>
          <w:spacing w:val="-30"/>
        </w:rPr>
      </w:r>
      <w:r>
        <w:rPr>
          <w:spacing w:val="-2"/>
        </w:rPr>
        <w:t>责监控公司外币交易和外币资产及负债的规模，以最大程度降低面临的汇率风险；为此，本公司可能会以</w:t>
      </w:r>
      <w:r>
        <w:rPr>
          <w:spacing w:val="-33"/>
        </w:rPr>
        <w:t> </w:t>
      </w:r>
      <w:r>
        <w:rPr>
          <w:spacing w:val="-33"/>
        </w:rPr>
      </w:r>
      <w:r>
        <w:rPr/>
        <w:t>签署远期外汇合约或货币互换合约来达到规避汇率风险的目的。</w:t>
      </w:r>
    </w:p>
    <w:p>
      <w:pPr>
        <w:pStyle w:val="BodyText"/>
        <w:spacing w:line="240" w:lineRule="auto" w:before="7"/>
        <w:ind w:left="473" w:right="1002"/>
        <w:jc w:val="left"/>
      </w:pPr>
      <w:r>
        <w:rPr/>
        <w:t>（</w:t>
      </w:r>
      <w:r>
        <w:rPr>
          <w:rFonts w:ascii="宋体" w:hAnsi="宋体" w:cs="宋体" w:eastAsia="宋体" w:hint="default"/>
        </w:rPr>
        <w:t>1</w:t>
      </w:r>
      <w:r>
        <w:rPr/>
        <w:t>）本年度公司未签署任何远期外汇合约或货币互换合约。</w:t>
      </w:r>
    </w:p>
    <w:p>
      <w:pPr>
        <w:pStyle w:val="BodyText"/>
        <w:spacing w:line="240" w:lineRule="auto" w:before="37"/>
        <w:ind w:left="473" w:right="0"/>
        <w:jc w:val="left"/>
      </w:pPr>
      <w:r>
        <w:rPr>
          <w:w w:val="100"/>
        </w:rPr>
        <w:t>（</w:t>
      </w:r>
      <w:r>
        <w:rPr>
          <w:rFonts w:ascii="宋体" w:hAnsi="宋体" w:cs="宋体" w:eastAsia="宋体" w:hint="default"/>
          <w:w w:val="100"/>
        </w:rPr>
        <w:t>2</w:t>
      </w:r>
      <w:r>
        <w:rPr>
          <w:spacing w:val="-87"/>
          <w:w w:val="100"/>
        </w:rPr>
        <w:t>）</w:t>
      </w:r>
      <w:r>
        <w:rPr>
          <w:w w:val="100"/>
        </w:rPr>
        <w:t>截止</w:t>
      </w:r>
      <w:r>
        <w:rPr>
          <w:rFonts w:ascii="宋体" w:hAnsi="宋体" w:cs="宋体" w:eastAsia="宋体" w:hint="default"/>
          <w:w w:val="100"/>
        </w:rPr>
        <w:t>20</w:t>
      </w:r>
      <w:r>
        <w:rPr>
          <w:rFonts w:ascii="宋体" w:hAnsi="宋体" w:cs="宋体" w:eastAsia="宋体" w:hint="default"/>
          <w:spacing w:val="-5"/>
          <w:w w:val="100"/>
        </w:rPr>
        <w:t>1</w:t>
      </w:r>
      <w:r>
        <w:rPr>
          <w:rFonts w:ascii="宋体" w:hAnsi="宋体" w:cs="宋体" w:eastAsia="宋体" w:hint="default"/>
          <w:w w:val="100"/>
        </w:rPr>
        <w:t>9</w:t>
      </w:r>
      <w:r>
        <w:rPr>
          <w:w w:val="100"/>
        </w:rPr>
        <w:t>年</w:t>
      </w:r>
      <w:r>
        <w:rPr>
          <w:rFonts w:ascii="宋体" w:hAnsi="宋体" w:cs="宋体" w:eastAsia="宋体" w:hint="default"/>
          <w:w w:val="100"/>
        </w:rPr>
        <w:t>12</w:t>
      </w:r>
      <w:r>
        <w:rPr>
          <w:w w:val="100"/>
        </w:rPr>
        <w:t>月</w:t>
      </w:r>
      <w:r>
        <w:rPr>
          <w:rFonts w:ascii="宋体" w:hAnsi="宋体" w:cs="宋体" w:eastAsia="宋体" w:hint="default"/>
          <w:spacing w:val="-5"/>
          <w:w w:val="100"/>
        </w:rPr>
        <w:t>3</w:t>
      </w:r>
      <w:r>
        <w:rPr>
          <w:rFonts w:ascii="宋体" w:hAnsi="宋体" w:cs="宋体" w:eastAsia="宋体" w:hint="default"/>
          <w:w w:val="100"/>
        </w:rPr>
        <w:t>1</w:t>
      </w:r>
      <w:r>
        <w:rPr>
          <w:w w:val="100"/>
        </w:rPr>
        <w:t>日</w:t>
      </w:r>
      <w:r>
        <w:rPr>
          <w:spacing w:val="-87"/>
          <w:w w:val="100"/>
        </w:rPr>
        <w:t>，</w:t>
      </w:r>
      <w:r>
        <w:rPr>
          <w:spacing w:val="-5"/>
          <w:w w:val="100"/>
        </w:rPr>
        <w:t>本</w:t>
      </w:r>
      <w:r>
        <w:rPr>
          <w:w w:val="100"/>
        </w:rPr>
        <w:t>公司持</w:t>
      </w:r>
      <w:r>
        <w:rPr>
          <w:spacing w:val="-5"/>
          <w:w w:val="100"/>
        </w:rPr>
        <w:t>有</w:t>
      </w:r>
      <w:r>
        <w:rPr>
          <w:w w:val="100"/>
        </w:rPr>
        <w:t>的外币</w:t>
      </w:r>
      <w:r>
        <w:rPr>
          <w:spacing w:val="-5"/>
          <w:w w:val="100"/>
        </w:rPr>
        <w:t>金</w:t>
      </w:r>
      <w:r>
        <w:rPr>
          <w:w w:val="100"/>
        </w:rPr>
        <w:t>融</w:t>
      </w:r>
      <w:r>
        <w:rPr>
          <w:spacing w:val="-5"/>
          <w:w w:val="100"/>
        </w:rPr>
        <w:t>资</w:t>
      </w:r>
      <w:r>
        <w:rPr>
          <w:w w:val="100"/>
        </w:rPr>
        <w:t>产和外币</w:t>
      </w:r>
      <w:r>
        <w:rPr>
          <w:spacing w:val="-5"/>
          <w:w w:val="100"/>
        </w:rPr>
        <w:t>金</w:t>
      </w:r>
      <w:r>
        <w:rPr>
          <w:w w:val="100"/>
        </w:rPr>
        <w:t>融负债</w:t>
      </w:r>
      <w:r>
        <w:rPr>
          <w:spacing w:val="-5"/>
          <w:w w:val="100"/>
        </w:rPr>
        <w:t>折</w:t>
      </w:r>
      <w:r>
        <w:rPr>
          <w:w w:val="100"/>
        </w:rPr>
        <w:t>算成人</w:t>
      </w:r>
      <w:r>
        <w:rPr>
          <w:spacing w:val="-5"/>
          <w:w w:val="100"/>
        </w:rPr>
        <w:t>民</w:t>
      </w:r>
      <w:r>
        <w:rPr>
          <w:w w:val="100"/>
        </w:rPr>
        <w:t>币的金</w:t>
      </w:r>
      <w:r>
        <w:rPr>
          <w:spacing w:val="-5"/>
          <w:w w:val="100"/>
        </w:rPr>
        <w:t>额</w:t>
      </w:r>
      <w:r>
        <w:rPr>
          <w:w w:val="100"/>
        </w:rPr>
        <w:t>列示如</w:t>
      </w:r>
      <w:r>
        <w:rPr>
          <w:spacing w:val="-5"/>
          <w:w w:val="100"/>
        </w:rPr>
        <w:t>下</w:t>
      </w:r>
      <w:r>
        <w:rPr>
          <w:w w:val="100"/>
        </w:rPr>
        <w:t>：</w:t>
      </w:r>
    </w:p>
    <w:p>
      <w:pPr>
        <w:spacing w:line="240" w:lineRule="auto" w:before="0"/>
        <w:rPr>
          <w:rFonts w:ascii="宋体" w:hAnsi="宋体" w:cs="宋体" w:eastAsia="宋体" w:hint="default"/>
          <w:sz w:val="4"/>
          <w:szCs w:val="4"/>
        </w:rPr>
      </w:pPr>
    </w:p>
    <w:tbl>
      <w:tblPr>
        <w:tblW w:w="0" w:type="auto"/>
        <w:jc w:val="left"/>
        <w:tblInd w:w="103" w:type="dxa"/>
        <w:tblLayout w:type="fixed"/>
        <w:tblCellMar>
          <w:top w:w="0" w:type="dxa"/>
          <w:left w:w="0" w:type="dxa"/>
          <w:bottom w:w="0" w:type="dxa"/>
          <w:right w:w="0" w:type="dxa"/>
        </w:tblCellMar>
        <w:tblLook w:val="01E0"/>
      </w:tblPr>
      <w:tblGrid>
        <w:gridCol w:w="2843"/>
        <w:gridCol w:w="2843"/>
        <w:gridCol w:w="2838"/>
      </w:tblGrid>
      <w:tr>
        <w:trPr>
          <w:trHeight w:val="350" w:hRule="exact"/>
        </w:trPr>
        <w:tc>
          <w:tcPr>
            <w:tcW w:w="2843" w:type="dxa"/>
            <w:vMerge w:val="restart"/>
            <w:tcBorders>
              <w:top w:val="single" w:sz="6" w:space="0" w:color="000000"/>
              <w:left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6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6" w:hRule="exact"/>
        </w:trPr>
        <w:tc>
          <w:tcPr>
            <w:tcW w:w="2843" w:type="dxa"/>
            <w:vMerge/>
            <w:tcBorders>
              <w:left w:val="single" w:sz="6" w:space="0" w:color="000000"/>
              <w:bottom w:val="single" w:sz="6" w:space="0" w:color="000000"/>
              <w:right w:val="single" w:sz="6" w:space="0" w:color="000000"/>
            </w:tcBorders>
          </w:tcPr>
          <w:p>
            <w:pP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美元项目</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外币金融资产：</w:t>
            </w:r>
          </w:p>
        </w:tc>
        <w:tc>
          <w:tcPr>
            <w:tcW w:w="2843" w:type="dxa"/>
            <w:tcBorders>
              <w:top w:val="single" w:sz="6" w:space="0" w:color="000000"/>
              <w:left w:val="single" w:sz="6" w:space="0" w:color="000000"/>
              <w:bottom w:val="single" w:sz="6" w:space="0" w:color="000000"/>
              <w:right w:val="single" w:sz="6" w:space="0" w:color="000000"/>
            </w:tcBorders>
          </w:tcPr>
          <w:p>
            <w:pPr/>
          </w:p>
        </w:tc>
        <w:tc>
          <w:tcPr>
            <w:tcW w:w="283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z w:val="21"/>
              </w:rPr>
              <w:t>60,950.13</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
              <w:jc w:val="right"/>
              <w:rPr>
                <w:rFonts w:ascii="宋体" w:hAnsi="宋体" w:cs="宋体" w:eastAsia="宋体" w:hint="default"/>
                <w:sz w:val="21"/>
                <w:szCs w:val="21"/>
              </w:rPr>
            </w:pPr>
            <w:r>
              <w:rPr>
                <w:rFonts w:ascii="宋体"/>
                <w:sz w:val="21"/>
              </w:rPr>
              <w:t>425,200.30</w:t>
            </w:r>
          </w:p>
        </w:tc>
      </w:tr>
      <w:tr>
        <w:trPr>
          <w:trHeight w:val="351"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5"/>
              <w:jc w:val="right"/>
              <w:rPr>
                <w:rFonts w:ascii="宋体" w:hAnsi="宋体" w:cs="宋体" w:eastAsia="宋体" w:hint="default"/>
                <w:sz w:val="21"/>
                <w:szCs w:val="21"/>
              </w:rPr>
            </w:pPr>
            <w:r>
              <w:rPr>
                <w:rFonts w:ascii="宋体"/>
                <w:spacing w:val="-1"/>
                <w:sz w:val="21"/>
              </w:rPr>
              <w:t>5,573,983.80</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
              <w:jc w:val="right"/>
              <w:rPr>
                <w:rFonts w:ascii="宋体" w:hAnsi="宋体" w:cs="宋体" w:eastAsia="宋体" w:hint="default"/>
                <w:sz w:val="21"/>
                <w:szCs w:val="21"/>
              </w:rPr>
            </w:pPr>
            <w:r>
              <w:rPr>
                <w:rFonts w:ascii="宋体"/>
                <w:spacing w:val="-1"/>
                <w:sz w:val="21"/>
              </w:rPr>
              <w:t>5,573,983.80</w:t>
            </w:r>
          </w:p>
        </w:tc>
      </w:tr>
      <w:tr>
        <w:trPr>
          <w:trHeight w:val="346" w:hRule="exact"/>
        </w:trPr>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8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5,634,933.93</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0"/>
              <w:jc w:val="right"/>
              <w:rPr>
                <w:rFonts w:ascii="Times New Roman" w:hAnsi="Times New Roman" w:cs="Times New Roman" w:eastAsia="Times New Roman" w:hint="default"/>
                <w:sz w:val="21"/>
                <w:szCs w:val="21"/>
              </w:rPr>
            </w:pPr>
            <w:r>
              <w:rPr>
                <w:rFonts w:ascii="宋体"/>
                <w:spacing w:val="-1"/>
                <w:sz w:val="21"/>
              </w:rPr>
              <w:t>5,999,184.1</w:t>
            </w:r>
            <w:r>
              <w:rPr>
                <w:rFonts w:ascii="Times New Roman"/>
                <w:spacing w:val="-1"/>
                <w:sz w:val="21"/>
              </w:rPr>
              <w:t>0</w:t>
            </w:r>
          </w:p>
        </w:tc>
      </w:tr>
    </w:tbl>
    <w:p>
      <w:pPr>
        <w:spacing w:after="0" w:line="285" w:lineRule="exact"/>
        <w:jc w:val="right"/>
        <w:rPr>
          <w:rFonts w:ascii="Times New Roman" w:hAnsi="Times New Roman" w:cs="Times New Roman" w:eastAsia="Times New Roman" w:hint="default"/>
          <w:sz w:val="21"/>
          <w:szCs w:val="21"/>
        </w:rPr>
        <w:sectPr>
          <w:headerReference w:type="default" r:id="rId26"/>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40" w:lineRule="auto"/>
        <w:ind w:left="473" w:right="1002"/>
        <w:jc w:val="left"/>
      </w:pPr>
      <w:r>
        <w:rPr/>
        <w:t>续：</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59"/>
        <w:gridCol w:w="2934"/>
        <w:gridCol w:w="2487"/>
      </w:tblGrid>
      <w:tr>
        <w:trPr>
          <w:trHeight w:val="346" w:hRule="exact"/>
        </w:trPr>
        <w:tc>
          <w:tcPr>
            <w:tcW w:w="3059" w:type="dxa"/>
            <w:vMerge w:val="restart"/>
            <w:tcBorders>
              <w:top w:val="single" w:sz="6" w:space="0" w:color="000000"/>
              <w:left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542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50" w:hRule="exact"/>
        </w:trPr>
        <w:tc>
          <w:tcPr>
            <w:tcW w:w="3059" w:type="dxa"/>
            <w:vMerge/>
            <w:tcBorders>
              <w:left w:val="single" w:sz="6" w:space="0" w:color="000000"/>
              <w:bottom w:val="single" w:sz="6" w:space="0" w:color="000000"/>
              <w:right w:val="single" w:sz="6" w:space="0" w:color="000000"/>
            </w:tcBorders>
          </w:tcPr>
          <w:p>
            <w:pP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center"/>
              <w:rPr>
                <w:rFonts w:ascii="宋体" w:hAnsi="宋体" w:cs="宋体" w:eastAsia="宋体" w:hint="default"/>
                <w:sz w:val="21"/>
                <w:szCs w:val="21"/>
              </w:rPr>
            </w:pPr>
            <w:r>
              <w:rPr>
                <w:rFonts w:ascii="宋体" w:hAnsi="宋体" w:cs="宋体" w:eastAsia="宋体" w:hint="default"/>
                <w:sz w:val="21"/>
                <w:szCs w:val="21"/>
              </w:rPr>
              <w:t>美元项目</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6"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外币金融资产：</w:t>
            </w:r>
          </w:p>
        </w:tc>
        <w:tc>
          <w:tcPr>
            <w:tcW w:w="2934" w:type="dxa"/>
            <w:tcBorders>
              <w:top w:val="single" w:sz="6" w:space="0" w:color="000000"/>
              <w:left w:val="single" w:sz="6" w:space="0" w:color="000000"/>
              <w:bottom w:val="single" w:sz="6" w:space="0" w:color="000000"/>
              <w:right w:val="single" w:sz="6" w:space="0" w:color="000000"/>
            </w:tcBorders>
          </w:tcPr>
          <w:p>
            <w:pPr/>
          </w:p>
        </w:tc>
        <w:tc>
          <w:tcPr>
            <w:tcW w:w="2487"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10,844,953.08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
              <w:jc w:val="right"/>
              <w:rPr>
                <w:rFonts w:ascii="宋体" w:hAnsi="宋体" w:cs="宋体" w:eastAsia="宋体" w:hint="default"/>
                <w:sz w:val="21"/>
                <w:szCs w:val="21"/>
              </w:rPr>
            </w:pPr>
            <w:r>
              <w:rPr>
                <w:rFonts w:ascii="宋体"/>
                <w:spacing w:val="-1"/>
                <w:sz w:val="21"/>
              </w:rPr>
              <w:t>10,844,953.08</w:t>
            </w:r>
          </w:p>
        </w:tc>
      </w:tr>
      <w:tr>
        <w:trPr>
          <w:trHeight w:val="346"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5"/>
              <w:jc w:val="right"/>
              <w:rPr>
                <w:rFonts w:ascii="Times New Roman" w:hAnsi="Times New Roman" w:cs="Times New Roman" w:eastAsia="Times New Roman" w:hint="default"/>
                <w:sz w:val="21"/>
                <w:szCs w:val="21"/>
              </w:rPr>
            </w:pPr>
            <w:r>
              <w:rPr>
                <w:rFonts w:ascii="宋体"/>
                <w:sz w:val="21"/>
              </w:rPr>
              <w:t>5</w:t>
            </w:r>
            <w:r>
              <w:rPr>
                <w:rFonts w:ascii="Times New Roman"/>
                <w:sz w:val="21"/>
              </w:rPr>
              <w:t>,</w:t>
            </w:r>
            <w:r>
              <w:rPr>
                <w:rFonts w:ascii="宋体"/>
                <w:sz w:val="21"/>
              </w:rPr>
              <w:t>483</w:t>
            </w:r>
            <w:r>
              <w:rPr>
                <w:rFonts w:ascii="Times New Roman"/>
                <w:sz w:val="21"/>
              </w:rPr>
              <w:t>,</w:t>
            </w:r>
            <w:r>
              <w:rPr>
                <w:rFonts w:ascii="宋体"/>
                <w:sz w:val="21"/>
              </w:rPr>
              <w:t>696.8</w:t>
            </w:r>
            <w:r>
              <w:rPr>
                <w:rFonts w:ascii="Times New Roman"/>
                <w:sz w:val="21"/>
              </w:rPr>
              <w:t>0</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5"/>
              <w:jc w:val="right"/>
              <w:rPr>
                <w:rFonts w:ascii="Times New Roman" w:hAnsi="Times New Roman" w:cs="Times New Roman" w:eastAsia="Times New Roman" w:hint="default"/>
                <w:sz w:val="21"/>
                <w:szCs w:val="21"/>
              </w:rPr>
            </w:pPr>
            <w:r>
              <w:rPr>
                <w:rFonts w:ascii="宋体"/>
                <w:sz w:val="21"/>
              </w:rPr>
              <w:t>5</w:t>
            </w:r>
            <w:r>
              <w:rPr>
                <w:rFonts w:ascii="Times New Roman"/>
                <w:sz w:val="21"/>
              </w:rPr>
              <w:t>,</w:t>
            </w:r>
            <w:r>
              <w:rPr>
                <w:rFonts w:ascii="宋体"/>
                <w:sz w:val="21"/>
              </w:rPr>
              <w:t>483</w:t>
            </w:r>
            <w:r>
              <w:rPr>
                <w:rFonts w:ascii="Times New Roman"/>
                <w:sz w:val="21"/>
              </w:rPr>
              <w:t>,</w:t>
            </w:r>
            <w:r>
              <w:rPr>
                <w:rFonts w:ascii="宋体"/>
                <w:sz w:val="21"/>
              </w:rPr>
              <w:t>696.8</w:t>
            </w:r>
            <w:r>
              <w:rPr>
                <w:rFonts w:ascii="Times New Roman"/>
                <w:sz w:val="21"/>
              </w:rPr>
              <w:t>0</w:t>
            </w:r>
          </w:p>
        </w:tc>
      </w:tr>
      <w:tr>
        <w:trPr>
          <w:trHeight w:val="350" w:hRule="exact"/>
        </w:trPr>
        <w:tc>
          <w:tcPr>
            <w:tcW w:w="305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16,328,649.88</w:t>
            </w:r>
          </w:p>
        </w:tc>
        <w:tc>
          <w:tcPr>
            <w:tcW w:w="2487"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16,328,649.88</w:t>
            </w:r>
          </w:p>
        </w:tc>
      </w:tr>
    </w:tbl>
    <w:p>
      <w:pPr>
        <w:spacing w:line="240" w:lineRule="auto" w:before="3"/>
        <w:rPr>
          <w:rFonts w:ascii="宋体" w:hAnsi="宋体" w:cs="宋体" w:eastAsia="宋体" w:hint="default"/>
          <w:sz w:val="5"/>
          <w:szCs w:val="5"/>
        </w:rPr>
      </w:pPr>
    </w:p>
    <w:p>
      <w:pPr>
        <w:pStyle w:val="BodyText"/>
        <w:spacing w:line="273" w:lineRule="auto"/>
        <w:ind w:left="473" w:right="1002"/>
        <w:jc w:val="left"/>
      </w:pPr>
      <w:r>
        <w:rPr/>
        <w:t>（</w:t>
      </w:r>
      <w:r>
        <w:rPr>
          <w:rFonts w:ascii="宋体" w:hAnsi="宋体" w:cs="宋体" w:eastAsia="宋体" w:hint="default"/>
        </w:rPr>
        <w:t>3</w:t>
      </w:r>
      <w:r>
        <w:rPr/>
        <w:t>）敏感性分析：</w:t>
      </w:r>
      <w:r>
        <w:rPr>
          <w:spacing w:val="-100"/>
        </w:rPr>
        <w:t> </w:t>
      </w:r>
      <w:r>
        <w:rPr>
          <w:spacing w:val="-100"/>
        </w:rPr>
      </w:r>
      <w:r>
        <w:rPr>
          <w:spacing w:val="-1"/>
        </w:rPr>
        <w:t>截止</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日，对于本公司各类美元金融资产和美元金融负债，如果人民币对美元升值或贬值</w:t>
      </w:r>
    </w:p>
    <w:p>
      <w:pPr>
        <w:pStyle w:val="BodyText"/>
        <w:spacing w:line="240" w:lineRule="auto" w:before="7"/>
        <w:ind w:right="1002"/>
        <w:jc w:val="left"/>
      </w:pPr>
      <w:r>
        <w:rPr>
          <w:rFonts w:ascii="宋体" w:hAnsi="宋体" w:cs="宋体" w:eastAsia="宋体" w:hint="default"/>
        </w:rPr>
        <w:t>10%</w:t>
      </w:r>
      <w:r>
        <w:rPr/>
        <w:t>，其他因素保持不变，则本公司将减少或增加净利润约</w:t>
      </w:r>
      <w:r>
        <w:rPr>
          <w:rFonts w:ascii="宋体" w:hAnsi="宋体" w:cs="宋体" w:eastAsia="宋体" w:hint="default"/>
        </w:rPr>
        <w:t>509,930.65</w:t>
      </w:r>
      <w:r>
        <w:rPr/>
        <w:t>元。</w:t>
      </w:r>
    </w:p>
    <w:p>
      <w:pPr>
        <w:pStyle w:val="Heading5"/>
        <w:spacing w:line="240" w:lineRule="auto" w:before="157"/>
        <w:ind w:right="1002"/>
        <w:jc w:val="left"/>
        <w:rPr>
          <w:b w:val="0"/>
          <w:bCs w:val="0"/>
        </w:rPr>
      </w:pPr>
      <w:r>
        <w:rPr>
          <w:rFonts w:ascii="宋体" w:hAnsi="宋体" w:cs="宋体" w:eastAsia="宋体" w:hint="default"/>
        </w:rPr>
        <w:t>2.</w:t>
      </w:r>
      <w:r>
        <w:rPr/>
        <w:t>利率风险</w:t>
      </w:r>
      <w:r>
        <w:rPr>
          <w:b w:val="0"/>
          <w:bCs w:val="0"/>
        </w:rPr>
      </w:r>
    </w:p>
    <w:p>
      <w:pPr>
        <w:pStyle w:val="BodyText"/>
        <w:spacing w:line="273" w:lineRule="auto" w:before="37"/>
        <w:ind w:right="1126" w:firstLine="360"/>
        <w:jc w:val="both"/>
      </w:pPr>
      <w:r>
        <w:rPr>
          <w:spacing w:val="-1"/>
        </w:rPr>
        <w:t>本公司的利率风险主要产生于银行借款。浮动利率的金融负债使本公司面临现金流量利率风险，固定</w:t>
      </w:r>
      <w:r>
        <w:rPr>
          <w:w w:val="100"/>
        </w:rPr>
        <w:t> </w:t>
      </w:r>
      <w:r>
        <w:rPr>
          <w:spacing w:val="-2"/>
        </w:rPr>
        <w:t>利率的金融负债使本公司面临公允价值利率风险。本公司根据当时的市场环境来决定固定利率及浮动利率</w:t>
      </w:r>
      <w:r>
        <w:rPr>
          <w:spacing w:val="-33"/>
        </w:rPr>
        <w:t> </w:t>
      </w:r>
      <w:r>
        <w:rPr>
          <w:spacing w:val="-33"/>
        </w:rPr>
      </w:r>
      <w:r>
        <w:rPr/>
        <w:t>合同的相对比例。</w:t>
      </w:r>
    </w:p>
    <w:p>
      <w:pPr>
        <w:pStyle w:val="BodyText"/>
        <w:spacing w:line="273" w:lineRule="auto" w:before="7"/>
        <w:ind w:right="1125" w:firstLine="360"/>
        <w:jc w:val="both"/>
      </w:pPr>
      <w:r>
        <w:rPr>
          <w:spacing w:val="-1"/>
        </w:rPr>
        <w:t>本公司财务部门持续监控公司利率水平。利率上升会增加新增带息债务的成本以及本公司尚未付清的</w:t>
      </w:r>
      <w:r>
        <w:rPr>
          <w:w w:val="100"/>
        </w:rPr>
        <w:t> </w:t>
      </w:r>
      <w:r>
        <w:rPr>
          <w:spacing w:val="-2"/>
        </w:rPr>
        <w:t>以浮动利率计息的带息债务的利息支出，并对本公司的财务业绩产生重大的不利影响，管理层会依据最新</w:t>
      </w:r>
      <w:r>
        <w:rPr>
          <w:spacing w:val="-33"/>
        </w:rPr>
        <w:t> </w:t>
      </w:r>
      <w:r>
        <w:rPr>
          <w:spacing w:val="-33"/>
        </w:rPr>
      </w:r>
      <w:r>
        <w:rPr/>
        <w:t>的市场状况及时做出调整，这些调整可能是进行利率互换的安排来降低利率风险。</w:t>
      </w:r>
    </w:p>
    <w:p>
      <w:pPr>
        <w:pStyle w:val="BodyText"/>
        <w:spacing w:line="240" w:lineRule="auto" w:before="7"/>
        <w:ind w:left="473" w:right="1002"/>
        <w:jc w:val="left"/>
      </w:pPr>
      <w:r>
        <w:rPr/>
        <w:t>（</w:t>
      </w:r>
      <w:r>
        <w:rPr>
          <w:rFonts w:ascii="宋体" w:hAnsi="宋体" w:cs="宋体" w:eastAsia="宋体" w:hint="default"/>
        </w:rPr>
        <w:t>1</w:t>
      </w:r>
      <w:r>
        <w:rPr/>
        <w:t>）本年度公司无利率互换安排。</w:t>
      </w:r>
    </w:p>
    <w:p>
      <w:pPr>
        <w:pStyle w:val="BodyText"/>
        <w:spacing w:line="273" w:lineRule="auto" w:before="37"/>
        <w:ind w:right="1129" w:firstLine="360"/>
        <w:jc w:val="both"/>
      </w:pPr>
      <w:r>
        <w:rPr/>
        <w:t>（</w:t>
      </w:r>
      <w:r>
        <w:rPr>
          <w:spacing w:val="-76"/>
        </w:rPr>
        <w:t> </w:t>
      </w:r>
      <w:r>
        <w:rPr>
          <w:rFonts w:ascii="宋体" w:hAnsi="宋体" w:cs="宋体" w:eastAsia="宋体" w:hint="default"/>
        </w:rPr>
        <w:t>2</w:t>
      </w:r>
      <w:r>
        <w:rPr>
          <w:rFonts w:ascii="宋体" w:hAnsi="宋体" w:cs="宋体" w:eastAsia="宋体" w:hint="default"/>
          <w:spacing w:val="-76"/>
        </w:rPr>
        <w:t> </w:t>
      </w:r>
      <w:r>
        <w:rPr>
          <w:spacing w:val="12"/>
        </w:rPr>
        <w:t>）截止</w:t>
      </w:r>
      <w:r>
        <w:rPr>
          <w:spacing w:val="-76"/>
        </w:rPr>
        <w:t> </w:t>
      </w:r>
      <w:r>
        <w:rPr>
          <w:rFonts w:ascii="宋体" w:hAnsi="宋体" w:cs="宋体" w:eastAsia="宋体" w:hint="default"/>
        </w:rPr>
        <w:t>2019</w:t>
      </w:r>
      <w:r>
        <w:rPr>
          <w:rFonts w:ascii="宋体" w:hAnsi="宋体" w:cs="宋体" w:eastAsia="宋体" w:hint="default"/>
          <w:spacing w:val="-76"/>
        </w:rPr>
        <w:t> </w:t>
      </w:r>
      <w:r>
        <w:rPr/>
        <w:t>年</w:t>
      </w:r>
      <w:r>
        <w:rPr>
          <w:spacing w:val="-76"/>
        </w:rPr>
        <w:t> </w:t>
      </w:r>
      <w:r>
        <w:rPr>
          <w:rFonts w:ascii="宋体" w:hAnsi="宋体" w:cs="宋体" w:eastAsia="宋体" w:hint="default"/>
        </w:rPr>
        <w:t>12</w:t>
      </w:r>
      <w:r>
        <w:rPr>
          <w:rFonts w:ascii="宋体" w:hAnsi="宋体" w:cs="宋体" w:eastAsia="宋体" w:hint="default"/>
          <w:spacing w:val="-76"/>
        </w:rPr>
        <w:t> </w:t>
      </w:r>
      <w:r>
        <w:rPr/>
        <w:t>月</w:t>
      </w:r>
      <w:r>
        <w:rPr>
          <w:spacing w:val="-76"/>
        </w:rPr>
        <w:t> </w:t>
      </w:r>
      <w:r>
        <w:rPr>
          <w:rFonts w:ascii="宋体" w:hAnsi="宋体" w:cs="宋体" w:eastAsia="宋体" w:hint="default"/>
          <w:spacing w:val="16"/>
        </w:rPr>
        <w:t>31</w:t>
      </w:r>
      <w:r>
        <w:rPr>
          <w:spacing w:val="16"/>
        </w:rPr>
        <w:t>日，本公司长期带息债务主要为人民币计价的浮动利率合同，金额为</w:t>
      </w:r>
      <w:r>
        <w:rPr>
          <w:w w:val="100"/>
        </w:rPr>
        <w:t> </w:t>
      </w:r>
      <w:r>
        <w:rPr>
          <w:rFonts w:ascii="宋体" w:hAnsi="宋体" w:cs="宋体" w:eastAsia="宋体" w:hint="default"/>
        </w:rPr>
        <w:t>156,000,000.00</w:t>
      </w:r>
      <w:r>
        <w:rPr/>
        <w:t>元，详见审计报告附注六注释</w:t>
      </w:r>
      <w:r>
        <w:rPr>
          <w:rFonts w:ascii="宋体" w:hAnsi="宋体" w:cs="宋体" w:eastAsia="宋体" w:hint="default"/>
        </w:rPr>
        <w:t>30</w:t>
      </w:r>
      <w:r>
        <w:rPr/>
        <w:t>、注释</w:t>
      </w:r>
      <w:r>
        <w:rPr>
          <w:rFonts w:ascii="宋体" w:hAnsi="宋体" w:cs="宋体" w:eastAsia="宋体" w:hint="default"/>
        </w:rPr>
        <w:t>31</w:t>
      </w:r>
      <w:r>
        <w:rPr/>
        <w:t>。</w:t>
      </w:r>
    </w:p>
    <w:p>
      <w:pPr>
        <w:pStyle w:val="BodyText"/>
        <w:spacing w:line="273" w:lineRule="auto" w:before="7"/>
        <w:ind w:left="473" w:right="1002"/>
        <w:jc w:val="left"/>
      </w:pPr>
      <w:r>
        <w:rPr/>
        <w:t>（</w:t>
      </w:r>
      <w:r>
        <w:rPr>
          <w:rFonts w:ascii="宋体" w:hAnsi="宋体" w:cs="宋体" w:eastAsia="宋体" w:hint="default"/>
        </w:rPr>
        <w:t>3</w:t>
      </w:r>
      <w:r>
        <w:rPr/>
        <w:t>）敏感性分析：</w:t>
      </w:r>
      <w:r>
        <w:rPr>
          <w:spacing w:val="-100"/>
        </w:rPr>
        <w:t> </w:t>
      </w:r>
      <w:r>
        <w:rPr>
          <w:spacing w:val="-100"/>
        </w:rPr>
      </w:r>
      <w:r>
        <w:rPr>
          <w:spacing w:val="-1"/>
        </w:rPr>
        <w:t>截止</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日，如果以浮动利率计算的借款利率上升或下降</w:t>
      </w:r>
      <w:r>
        <w:rPr>
          <w:rFonts w:ascii="宋体" w:hAnsi="宋体" w:cs="宋体" w:eastAsia="宋体" w:hint="default"/>
          <w:spacing w:val="-1"/>
        </w:rPr>
        <w:t>50</w:t>
      </w:r>
      <w:r>
        <w:rPr>
          <w:spacing w:val="-1"/>
        </w:rPr>
        <w:t>个基点，而其他因素保持不变，</w:t>
      </w:r>
    </w:p>
    <w:p>
      <w:pPr>
        <w:pStyle w:val="BodyText"/>
        <w:spacing w:line="273" w:lineRule="auto" w:before="7"/>
        <w:ind w:left="473" w:right="1002" w:hanging="360"/>
        <w:jc w:val="left"/>
      </w:pPr>
      <w:r>
        <w:rPr/>
        <w:t>本公司的净利润会减少或增加约</w:t>
      </w:r>
      <w:r>
        <w:rPr>
          <w:rFonts w:ascii="宋体" w:hAnsi="宋体" w:cs="宋体" w:eastAsia="宋体" w:hint="default"/>
        </w:rPr>
        <w:t>649,500.00</w:t>
      </w:r>
      <w:r>
        <w:rPr/>
        <w:t>元。</w:t>
      </w:r>
      <w:r>
        <w:rPr>
          <w:spacing w:val="-99"/>
        </w:rPr>
        <w:t> </w:t>
      </w:r>
      <w:r>
        <w:rPr>
          <w:spacing w:val="-1"/>
        </w:rPr>
        <w:t>上述敏感性分析假定在资产负债表日已发生利率变动，并且已应用于本公司所有按浮动利率获得的借</w:t>
      </w:r>
    </w:p>
    <w:p>
      <w:pPr>
        <w:spacing w:line="537" w:lineRule="auto" w:before="7"/>
        <w:ind w:left="113" w:right="8642" w:firstLine="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pacing w:val="-103"/>
          <w:sz w:val="21"/>
          <w:szCs w:val="21"/>
        </w:rPr>
        <w:t> </w:t>
      </w:r>
      <w:bookmarkStart w:name="十一、公允价值的披露" w:id="469"/>
      <w:bookmarkEnd w:id="469"/>
      <w:r>
        <w:rPr>
          <w:rFonts w:ascii="宋体" w:hAnsi="宋体" w:cs="宋体" w:eastAsia="宋体" w:hint="default"/>
          <w:spacing w:val="-103"/>
          <w:sz w:val="21"/>
          <w:szCs w:val="21"/>
        </w:rPr>
      </w:r>
      <w:r>
        <w:rPr>
          <w:rFonts w:ascii="宋体" w:hAnsi="宋体" w:cs="宋体" w:eastAsia="宋体" w:hint="default"/>
          <w:b/>
          <w:bCs/>
          <w:sz w:val="21"/>
          <w:szCs w:val="21"/>
        </w:rPr>
        <w:t>十一、公允价值的披露</w:t>
      </w:r>
      <w:r>
        <w:rPr>
          <w:rFonts w:ascii="宋体" w:hAnsi="宋体" w:cs="宋体" w:eastAsia="宋体" w:hint="default"/>
          <w:sz w:val="21"/>
          <w:szCs w:val="21"/>
        </w:rPr>
      </w:r>
    </w:p>
    <w:p>
      <w:pPr>
        <w:pStyle w:val="Heading5"/>
        <w:spacing w:line="240" w:lineRule="auto" w:before="74"/>
        <w:ind w:right="1002"/>
        <w:jc w:val="left"/>
        <w:rPr>
          <w:b w:val="0"/>
          <w:bCs w:val="0"/>
        </w:rPr>
      </w:pPr>
      <w:bookmarkStart w:name="1、以公允价值计量的资产和负债的期末公允价值" w:id="470"/>
      <w:bookmarkEnd w:id="470"/>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175"/>
        <w:gridCol w:w="1657"/>
        <w:gridCol w:w="1916"/>
        <w:gridCol w:w="1911"/>
        <w:gridCol w:w="1916"/>
      </w:tblGrid>
      <w:tr>
        <w:trPr>
          <w:trHeight w:val="403" w:hRule="exact"/>
        </w:trPr>
        <w:tc>
          <w:tcPr>
            <w:tcW w:w="21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3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期末公允价值</w:t>
            </w:r>
          </w:p>
        </w:tc>
      </w:tr>
      <w:tr>
        <w:trPr>
          <w:trHeight w:val="716" w:hRule="exact"/>
        </w:trPr>
        <w:tc>
          <w:tcPr>
            <w:tcW w:w="2175" w:type="dxa"/>
            <w:vMerge/>
            <w:tcBorders>
              <w:left w:val="single" w:sz="4" w:space="0" w:color="000000"/>
              <w:bottom w:val="single" w:sz="4" w:space="0" w:color="000000"/>
              <w:right w:val="single" w:sz="4" w:space="0" w:color="000000"/>
            </w:tcBorders>
            <w:shd w:val="clear" w:color="auto" w:fill="D2D2D2"/>
          </w:tcPr>
          <w:p>
            <w:pPr/>
          </w:p>
        </w:tc>
        <w:tc>
          <w:tcPr>
            <w:tcW w:w="1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03" w:right="190" w:hanging="212"/>
              <w:jc w:val="left"/>
              <w:rPr>
                <w:rFonts w:ascii="宋体" w:hAnsi="宋体" w:cs="宋体" w:eastAsia="宋体" w:hint="default"/>
                <w:sz w:val="21"/>
                <w:szCs w:val="21"/>
              </w:rPr>
            </w:pPr>
            <w:r>
              <w:rPr>
                <w:rFonts w:ascii="宋体" w:hAnsi="宋体" w:cs="宋体" w:eastAsia="宋体" w:hint="default"/>
                <w:sz w:val="21"/>
                <w:szCs w:val="21"/>
              </w:rPr>
              <w:t>第一层次公允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44" w:right="104" w:hanging="630"/>
              <w:jc w:val="left"/>
              <w:rPr>
                <w:rFonts w:ascii="宋体" w:hAnsi="宋体" w:cs="宋体" w:eastAsia="宋体" w:hint="default"/>
                <w:sz w:val="21"/>
                <w:szCs w:val="21"/>
              </w:rPr>
            </w:pPr>
            <w:r>
              <w:rPr>
                <w:rFonts w:ascii="宋体" w:hAnsi="宋体" w:cs="宋体" w:eastAsia="宋体" w:hint="default"/>
                <w:sz w:val="21"/>
                <w:szCs w:val="21"/>
              </w:rPr>
              <w:t>第二层次公允价值</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计量</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39" w:right="104" w:hanging="629"/>
              <w:jc w:val="left"/>
              <w:rPr>
                <w:rFonts w:ascii="宋体" w:hAnsi="宋体" w:cs="宋体" w:eastAsia="宋体" w:hint="default"/>
                <w:sz w:val="21"/>
                <w:szCs w:val="21"/>
              </w:rPr>
            </w:pPr>
            <w:r>
              <w:rPr>
                <w:rFonts w:ascii="宋体" w:hAnsi="宋体" w:cs="宋体" w:eastAsia="宋体" w:hint="default"/>
                <w:sz w:val="21"/>
                <w:szCs w:val="21"/>
              </w:rPr>
              <w:t>第三层次公允价值</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710" w:hRule="exact"/>
        </w:trPr>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62"/>
              <w:jc w:val="left"/>
              <w:rPr>
                <w:rFonts w:ascii="宋体" w:hAnsi="宋体" w:cs="宋体" w:eastAsia="宋体" w:hint="default"/>
                <w:sz w:val="21"/>
                <w:szCs w:val="21"/>
              </w:rPr>
            </w:pPr>
            <w:r>
              <w:rPr>
                <w:rFonts w:ascii="宋体" w:hAnsi="宋体" w:cs="宋体" w:eastAsia="宋体" w:hint="default"/>
                <w:sz w:val="21"/>
                <w:szCs w:val="21"/>
              </w:rPr>
              <w:t>一、持续的公允价值</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计量</w:t>
            </w:r>
          </w:p>
        </w:tc>
        <w:tc>
          <w:tcPr>
            <w:tcW w:w="1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78" w:right="0"/>
              <w:jc w:val="left"/>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w:t>
            </w:r>
          </w:p>
        </w:tc>
      </w:tr>
      <w:tr>
        <w:trPr>
          <w:trHeight w:val="715" w:hRule="exact"/>
        </w:trPr>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05" w:right="162"/>
              <w:jc w:val="left"/>
              <w:rPr>
                <w:rFonts w:ascii="宋体" w:hAnsi="宋体" w:cs="宋体" w:eastAsia="宋体" w:hint="default"/>
                <w:sz w:val="21"/>
                <w:szCs w:val="21"/>
              </w:rPr>
            </w:pPr>
            <w:r>
              <w:rPr>
                <w:rFonts w:ascii="宋体" w:hAnsi="宋体" w:cs="宋体" w:eastAsia="宋体" w:hint="default"/>
                <w:sz w:val="21"/>
                <w:szCs w:val="21"/>
              </w:rPr>
              <w:t>（一）交易性金融资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产</w:t>
            </w:r>
          </w:p>
        </w:tc>
        <w:tc>
          <w:tcPr>
            <w:tcW w:w="165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854" w:right="0"/>
              <w:jc w:val="left"/>
              <w:rPr>
                <w:rFonts w:ascii="Times New Roman" w:hAnsi="Times New Roman" w:cs="Times New Roman" w:eastAsia="Times New Roman" w:hint="default"/>
                <w:sz w:val="21"/>
                <w:szCs w:val="21"/>
              </w:rPr>
            </w:pPr>
            <w:r>
              <w:rPr>
                <w:rFonts w:ascii="Times New Roman"/>
                <w:sz w:val="21"/>
              </w:rPr>
              <w:t>805,906.85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805,906.85</w:t>
            </w:r>
          </w:p>
        </w:tc>
      </w:tr>
      <w:tr>
        <w:trPr>
          <w:trHeight w:val="1028" w:hRule="exact"/>
        </w:trPr>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9"/>
              <w:ind w:left="105" w:right="162"/>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以公允价值计量且</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其变动计入当期损益</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的金融资产</w:t>
            </w:r>
          </w:p>
        </w:tc>
        <w:tc>
          <w:tcPr>
            <w:tcW w:w="165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854" w:right="0"/>
              <w:jc w:val="left"/>
              <w:rPr>
                <w:rFonts w:ascii="Times New Roman" w:hAnsi="Times New Roman" w:cs="Times New Roman" w:eastAsia="Times New Roman" w:hint="default"/>
                <w:sz w:val="21"/>
                <w:szCs w:val="21"/>
              </w:rPr>
            </w:pPr>
            <w:r>
              <w:rPr>
                <w:rFonts w:ascii="Times New Roman"/>
                <w:sz w:val="21"/>
              </w:rPr>
              <w:t>805,906.85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805,906.85</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175"/>
        <w:gridCol w:w="1657"/>
        <w:gridCol w:w="1916"/>
        <w:gridCol w:w="1911"/>
        <w:gridCol w:w="1916"/>
      </w:tblGrid>
      <w:tr>
        <w:trPr>
          <w:trHeight w:val="403" w:hRule="exact"/>
        </w:trPr>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）衍生金融资产</w:t>
            </w:r>
          </w:p>
        </w:tc>
        <w:tc>
          <w:tcPr>
            <w:tcW w:w="165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805,906.85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805,906.85</w:t>
            </w:r>
          </w:p>
        </w:tc>
      </w:tr>
      <w:tr>
        <w:trPr>
          <w:trHeight w:val="1023" w:hRule="exact"/>
        </w:trPr>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05" w:right="162"/>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指定以公允价值计</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量且其变动计入当期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损益的金融资产</w:t>
            </w:r>
          </w:p>
        </w:tc>
        <w:tc>
          <w:tcPr>
            <w:tcW w:w="165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3,243,335.39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3,243,335.39</w:t>
            </w:r>
          </w:p>
        </w:tc>
      </w:tr>
      <w:tr>
        <w:trPr>
          <w:trHeight w:val="403" w:hRule="exact"/>
        </w:trPr>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）权益工具投资</w:t>
            </w:r>
          </w:p>
        </w:tc>
        <w:tc>
          <w:tcPr>
            <w:tcW w:w="165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3,243,335.39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sz w:val="21"/>
              </w:rPr>
              <w:t>3,243,335.39</w:t>
            </w:r>
          </w:p>
        </w:tc>
      </w:tr>
      <w:tr>
        <w:trPr>
          <w:trHeight w:val="715" w:hRule="exact"/>
        </w:trPr>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162"/>
              <w:jc w:val="left"/>
              <w:rPr>
                <w:rFonts w:ascii="宋体" w:hAnsi="宋体" w:cs="宋体" w:eastAsia="宋体" w:hint="default"/>
                <w:sz w:val="21"/>
                <w:szCs w:val="21"/>
              </w:rPr>
            </w:pPr>
            <w:r>
              <w:rPr>
                <w:rFonts w:ascii="宋体" w:hAnsi="宋体" w:cs="宋体" w:eastAsia="宋体" w:hint="default"/>
                <w:sz w:val="21"/>
                <w:szCs w:val="21"/>
              </w:rPr>
              <w:t>（三）其他权益工具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投资</w:t>
            </w:r>
          </w:p>
        </w:tc>
        <w:tc>
          <w:tcPr>
            <w:tcW w:w="1657"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1,917,656.41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1,917,656.41</w:t>
            </w:r>
          </w:p>
        </w:tc>
      </w:tr>
      <w:tr>
        <w:trPr>
          <w:trHeight w:val="716" w:hRule="exact"/>
        </w:trPr>
        <w:tc>
          <w:tcPr>
            <w:tcW w:w="2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62"/>
              <w:jc w:val="left"/>
              <w:rPr>
                <w:rFonts w:ascii="宋体" w:hAnsi="宋体" w:cs="宋体" w:eastAsia="宋体" w:hint="default"/>
                <w:sz w:val="21"/>
                <w:szCs w:val="21"/>
              </w:rPr>
            </w:pPr>
            <w:r>
              <w:rPr>
                <w:rFonts w:ascii="宋体" w:hAnsi="宋体" w:cs="宋体" w:eastAsia="宋体" w:hint="default"/>
                <w:sz w:val="21"/>
                <w:szCs w:val="21"/>
              </w:rPr>
              <w:t>二、非持续的公允价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值计量</w:t>
            </w:r>
          </w:p>
        </w:tc>
        <w:tc>
          <w:tcPr>
            <w:tcW w:w="1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持续和非持续第一层次公允价值计量项目市价的确定依据" w:id="471"/>
      <w:bookmarkEnd w:id="471"/>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1002"/>
        <w:jc w:val="left"/>
        <w:rPr>
          <w:b w:val="0"/>
          <w:bCs w:val="0"/>
        </w:rPr>
      </w:pPr>
      <w:bookmarkStart w:name="3、持续和非持续第二层次公允价值计量项目，采用的估值技术和重要参数的定性及定量信" w:id="472"/>
      <w:bookmarkEnd w:id="472"/>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4、持续和非持续第三层次公允价值计量项目，采用的估值技术和重要参数的定性及定量信" w:id="473"/>
      <w:bookmarkEnd w:id="473"/>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473" w:right="1002"/>
        <w:jc w:val="left"/>
      </w:pPr>
      <w:r>
        <w:rPr>
          <w:rFonts w:ascii="宋体" w:hAnsi="宋体" w:cs="宋体" w:eastAsia="宋体" w:hint="default"/>
          <w:b/>
          <w:bCs/>
        </w:rPr>
        <w:t>估值技术、输入值说明</w:t>
      </w:r>
      <w:r>
        <w:rPr>
          <w:rFonts w:ascii="宋体" w:hAnsi="宋体" w:cs="宋体" w:eastAsia="宋体" w:hint="default"/>
          <w:b/>
          <w:bCs/>
          <w:spacing w:val="-103"/>
        </w:rPr>
        <w:t> </w:t>
      </w:r>
      <w:r>
        <w:rPr>
          <w:spacing w:val="-1"/>
        </w:rPr>
        <w:t>对于不在活跃市场交易的权益工具投资，由于公司持有被投资单位股权较低，无重大影响，对被投资</w:t>
      </w:r>
    </w:p>
    <w:p>
      <w:pPr>
        <w:pStyle w:val="BodyText"/>
        <w:spacing w:line="273" w:lineRule="auto" w:before="8"/>
        <w:ind w:right="1125"/>
        <w:jc w:val="both"/>
      </w:pPr>
      <w:r>
        <w:rPr>
          <w:spacing w:val="-2"/>
        </w:rPr>
        <w:t>公司采用收益法或市场法进行估值不切实可行，且近期内被投资单位无引入外部投资者、股东之间转让股</w:t>
      </w:r>
      <w:r>
        <w:rPr>
          <w:spacing w:val="-33"/>
        </w:rPr>
        <w:t> </w:t>
      </w:r>
      <w:r>
        <w:rPr>
          <w:spacing w:val="-33"/>
        </w:rPr>
      </w:r>
      <w:r>
        <w:rPr>
          <w:spacing w:val="-2"/>
        </w:rPr>
        <w:t>权等可作为公允价值的参考依据，此外，公司从获取的相关信息分析，未发现被投资单位内外部环境自年</w:t>
      </w:r>
      <w:r>
        <w:rPr>
          <w:spacing w:val="-33"/>
        </w:rPr>
        <w:t> </w:t>
      </w:r>
      <w:r>
        <w:rPr>
          <w:spacing w:val="-33"/>
        </w:rPr>
      </w:r>
      <w:r>
        <w:rPr/>
        <w:t>初以来已发生重大变化，因此年末以成本作为公允价值。</w:t>
      </w:r>
    </w:p>
    <w:p>
      <w:pPr>
        <w:pStyle w:val="BodyText"/>
        <w:spacing w:line="273" w:lineRule="auto" w:before="7"/>
        <w:ind w:right="1126" w:firstLine="360"/>
        <w:jc w:val="both"/>
      </w:pPr>
      <w:r>
        <w:rPr>
          <w:spacing w:val="-1"/>
        </w:rPr>
        <w:t>公司的以公允价值计量且其变动计入当期损益的权益工具投资主要为非上市公司股权，公司选择与目</w:t>
      </w:r>
      <w:r>
        <w:rPr>
          <w:w w:val="100"/>
        </w:rPr>
        <w:t> </w:t>
      </w:r>
      <w:r>
        <w:rPr>
          <w:spacing w:val="-2"/>
        </w:rPr>
        <w:t>标公司相同行业的可比公司，将可比公司的市净率经综合修正后的价值比率乘数加权平均值作为目标公司</w:t>
      </w:r>
      <w:r>
        <w:rPr>
          <w:spacing w:val="-33"/>
        </w:rPr>
        <w:t> </w:t>
      </w:r>
      <w:r>
        <w:rPr>
          <w:spacing w:val="-33"/>
        </w:rPr>
      </w:r>
      <w:r>
        <w:rPr/>
        <w:t>价值比率乘数并考虑流动性折扣，采用上市公司比较法计算其公允价值。</w:t>
      </w:r>
    </w:p>
    <w:p>
      <w:pPr>
        <w:pStyle w:val="BodyText"/>
        <w:spacing w:line="273" w:lineRule="auto" w:before="7"/>
        <w:ind w:right="1129" w:firstLine="360"/>
        <w:jc w:val="both"/>
      </w:pPr>
      <w:r>
        <w:rPr>
          <w:spacing w:val="-1"/>
        </w:rPr>
        <w:t>应收款项融资系公司持有的银行承兑汇票，由于票据剩余期限较短，账面余额与公允价值接近，所以</w:t>
      </w:r>
      <w:r>
        <w:rPr>
          <w:w w:val="100"/>
        </w:rPr>
        <w:t> </w:t>
      </w:r>
      <w:r>
        <w:rPr/>
        <w:t>公司以票面金额确定公允价值。</w:t>
      </w:r>
    </w:p>
    <w:p>
      <w:pPr>
        <w:pStyle w:val="BodyText"/>
        <w:spacing w:line="240" w:lineRule="auto" w:before="7"/>
        <w:ind w:left="473" w:right="1002"/>
        <w:jc w:val="left"/>
      </w:pPr>
      <w:r>
        <w:rPr/>
        <w:t>对于购买理财产品，以预期收益率预测未来现金流量，不可观察估计值是预期收益率。</w:t>
      </w:r>
    </w:p>
    <w:p>
      <w:pPr>
        <w:spacing w:line="240" w:lineRule="auto" w:before="12"/>
        <w:rPr>
          <w:rFonts w:ascii="宋体" w:hAnsi="宋体" w:cs="宋体" w:eastAsia="宋体" w:hint="default"/>
          <w:sz w:val="25"/>
          <w:szCs w:val="25"/>
        </w:rPr>
      </w:pPr>
    </w:p>
    <w:p>
      <w:pPr>
        <w:pStyle w:val="Heading5"/>
        <w:spacing w:line="240" w:lineRule="auto"/>
        <w:ind w:right="1002"/>
        <w:jc w:val="left"/>
        <w:rPr>
          <w:b w:val="0"/>
          <w:bCs w:val="0"/>
        </w:rPr>
      </w:pPr>
      <w:bookmarkStart w:name="5、持续的第三层次公允价值计量项目，期初与期末账面价值间的调节信息及不可观察参数" w:id="474"/>
      <w:bookmarkEnd w:id="474"/>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5"/>
        <w:rPr>
          <w:rFonts w:ascii="宋体" w:hAnsi="宋体" w:cs="宋体" w:eastAsia="宋体" w:hint="default"/>
          <w:b/>
          <w:bCs/>
          <w:sz w:val="24"/>
          <w:szCs w:val="24"/>
        </w:rPr>
      </w:pPr>
    </w:p>
    <w:p>
      <w:pPr>
        <w:spacing w:line="506" w:lineRule="auto" w:before="0"/>
        <w:ind w:left="473" w:right="1002" w:hanging="360"/>
        <w:jc w:val="left"/>
        <w:rPr>
          <w:rFonts w:ascii="宋体" w:hAnsi="宋体" w:cs="宋体" w:eastAsia="宋体" w:hint="default"/>
          <w:sz w:val="21"/>
          <w:szCs w:val="21"/>
        </w:rPr>
      </w:pPr>
      <w:bookmarkStart w:name="6、持续的公允价值计量项目，本期内发生各层级之间转换的，转换的原因及确定转换时点" w:id="475"/>
      <w:bookmarkEnd w:id="475"/>
      <w:r>
        <w:rPr/>
      </w: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、持续的公允价值计量项目，本期内发生各层级之间转换的，转换的原因及确定转换时点的政策</w:t>
      </w:r>
      <w:r>
        <w:rPr>
          <w:rFonts w:ascii="宋体" w:hAnsi="宋体" w:cs="宋体" w:eastAsia="宋体" w:hint="default"/>
          <w:b/>
          <w:bCs/>
          <w:spacing w:val="-62"/>
          <w:sz w:val="21"/>
          <w:szCs w:val="21"/>
        </w:rPr>
        <w:t> </w:t>
      </w:r>
      <w:r>
        <w:rPr>
          <w:rFonts w:ascii="宋体" w:hAnsi="宋体" w:cs="宋体" w:eastAsia="宋体" w:hint="default"/>
          <w:b/>
          <w:bCs/>
          <w:spacing w:val="-62"/>
          <w:sz w:val="21"/>
          <w:szCs w:val="21"/>
        </w:rPr>
      </w:r>
      <w:r>
        <w:rPr>
          <w:rFonts w:ascii="宋体" w:hAnsi="宋体" w:cs="宋体" w:eastAsia="宋体" w:hint="default"/>
          <w:sz w:val="21"/>
          <w:szCs w:val="21"/>
        </w:rPr>
        <w:t>本公司上述持续的公允价值计量项目在本年度未发生各层次之间的转换。</w:t>
      </w:r>
    </w:p>
    <w:p>
      <w:pPr>
        <w:spacing w:line="504" w:lineRule="auto" w:before="107"/>
        <w:ind w:left="473" w:right="1824" w:hanging="360"/>
        <w:jc w:val="left"/>
        <w:rPr>
          <w:rFonts w:ascii="宋体" w:hAnsi="宋体" w:cs="宋体" w:eastAsia="宋体" w:hint="default"/>
          <w:sz w:val="21"/>
          <w:szCs w:val="21"/>
        </w:rPr>
      </w:pPr>
      <w:bookmarkStart w:name="7、本期内发生的估值技术变更及变更原因" w:id="476"/>
      <w:bookmarkEnd w:id="47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本公司金融工具的公允价值估值技术在本年度未发生变更。</w:t>
      </w:r>
    </w:p>
    <w:p>
      <w:pPr>
        <w:pStyle w:val="Heading5"/>
        <w:spacing w:line="240" w:lineRule="auto" w:before="108"/>
        <w:ind w:right="1002"/>
        <w:jc w:val="left"/>
        <w:rPr>
          <w:b w:val="0"/>
          <w:bCs w:val="0"/>
        </w:rPr>
      </w:pPr>
      <w:bookmarkStart w:name="8、不以公允价值计量的金融资产和金融负债的公允价值情况" w:id="477"/>
      <w:bookmarkEnd w:id="477"/>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宋体" w:hAnsi="宋体" w:cs="宋体" w:eastAsia="宋体" w:hint="default"/>
          <w:b/>
          <w:bCs/>
          <w:sz w:val="24"/>
          <w:szCs w:val="24"/>
        </w:rPr>
      </w:pPr>
    </w:p>
    <w:p>
      <w:pPr>
        <w:pStyle w:val="BodyText"/>
        <w:spacing w:line="273" w:lineRule="auto" w:before="0"/>
        <w:ind w:right="1130" w:firstLine="360"/>
        <w:jc w:val="both"/>
      </w:pPr>
      <w:r>
        <w:rPr>
          <w:spacing w:val="-1"/>
        </w:rPr>
        <w:t>不以公允价值计量的金融资产和负债主要包括：应收款项、债权投资、短期借款、应付款项、一年内</w:t>
      </w:r>
      <w:r>
        <w:rPr>
          <w:w w:val="100"/>
        </w:rPr>
        <w:t> </w:t>
      </w:r>
      <w:r>
        <w:rPr/>
        <w:t>到期的非流动负债和长期借款、在活跃市场中没有报价且其公允价值不能可靠计量的权益工具投资。</w:t>
      </w:r>
    </w:p>
    <w:p>
      <w:pPr>
        <w:pStyle w:val="BodyText"/>
        <w:spacing w:line="240" w:lineRule="auto" w:before="7"/>
        <w:ind w:left="473" w:right="1002"/>
        <w:jc w:val="left"/>
      </w:pPr>
      <w:r>
        <w:rPr/>
        <w:t>上述不以公允价值计量的金融资产和负债的账面价值与公允价值相差很小。</w:t>
      </w:r>
    </w:p>
    <w:p>
      <w:pPr>
        <w:spacing w:after="0" w:line="240"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520" w:lineRule="auto" w:before="36"/>
        <w:ind w:right="8431"/>
        <w:jc w:val="left"/>
        <w:rPr>
          <w:b w:val="0"/>
          <w:bCs w:val="0"/>
        </w:rPr>
      </w:pPr>
      <w:bookmarkStart w:name="9、其他" w:id="478"/>
      <w:bookmarkEnd w:id="478"/>
      <w:r>
        <w:rPr>
          <w:b w:val="0"/>
          <w:bCs w:val="0"/>
        </w:rPr>
      </w:r>
      <w:r>
        <w:rPr>
          <w:rFonts w:ascii="Times New Roman" w:hAnsi="Times New Roman" w:cs="Times New Roman" w:eastAsia="Times New Roman" w:hint="default"/>
        </w:rPr>
        <w:t>9</w:t>
      </w:r>
      <w:r>
        <w:rPr/>
        <w:t>、其他</w:t>
      </w:r>
      <w:r>
        <w:rPr>
          <w:w w:val="100"/>
        </w:rPr>
        <w:t> </w:t>
      </w:r>
      <w:bookmarkStart w:name="十二、关联方及关联交易" w:id="479"/>
      <w:bookmarkEnd w:id="479"/>
      <w:r>
        <w:rPr/>
        <w:t>十二、关联方及关联交易</w:t>
      </w:r>
      <w:r>
        <w:rPr>
          <w:spacing w:val="-102"/>
        </w:rPr>
        <w:t> </w:t>
      </w:r>
      <w:r>
        <w:rPr>
          <w:spacing w:val="-102"/>
        </w:rPr>
      </w:r>
      <w:bookmarkStart w:name="1、本企业的母公司情况" w:id="480"/>
      <w:bookmarkEnd w:id="480"/>
      <w:r>
        <w:rPr>
          <w:spacing w:val="-102"/>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4"/>
          <w:szCs w:val="4"/>
        </w:rPr>
      </w:pPr>
    </w:p>
    <w:tbl>
      <w:tblPr>
        <w:tblW w:w="0" w:type="auto"/>
        <w:jc w:val="left"/>
        <w:tblInd w:w="108" w:type="dxa"/>
        <w:tblLayout w:type="fixed"/>
        <w:tblCellMar>
          <w:top w:w="0" w:type="dxa"/>
          <w:left w:w="0" w:type="dxa"/>
          <w:bottom w:w="0" w:type="dxa"/>
          <w:right w:w="0" w:type="dxa"/>
        </w:tblCellMar>
        <w:tblLook w:val="01E0"/>
      </w:tblPr>
      <w:tblGrid>
        <w:gridCol w:w="1858"/>
        <w:gridCol w:w="1330"/>
        <w:gridCol w:w="1595"/>
        <w:gridCol w:w="1599"/>
        <w:gridCol w:w="1594"/>
        <w:gridCol w:w="1594"/>
      </w:tblGrid>
      <w:tr>
        <w:trPr>
          <w:trHeight w:val="1028" w:hRule="exact"/>
        </w:trPr>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375"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6"/>
                <w:szCs w:val="26"/>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73" w:lineRule="auto"/>
              <w:ind w:left="158" w:right="161"/>
              <w:jc w:val="left"/>
              <w:rPr>
                <w:rFonts w:ascii="宋体" w:hAnsi="宋体" w:cs="宋体" w:eastAsia="宋体" w:hint="default"/>
                <w:sz w:val="21"/>
                <w:szCs w:val="21"/>
              </w:rPr>
            </w:pPr>
            <w:r>
              <w:rPr>
                <w:rFonts w:ascii="宋体" w:hAnsi="宋体" w:cs="宋体" w:eastAsia="宋体" w:hint="default"/>
                <w:sz w:val="21"/>
                <w:szCs w:val="21"/>
              </w:rPr>
              <w:t>母公司对本企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业的持股比例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58" w:right="161"/>
              <w:jc w:val="center"/>
              <w:rPr>
                <w:rFonts w:ascii="宋体" w:hAnsi="宋体" w:cs="宋体" w:eastAsia="宋体"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业的表决权比</w:t>
            </w:r>
            <w:r>
              <w:rPr>
                <w:rFonts w:ascii="宋体" w:hAnsi="宋体" w:cs="宋体" w:eastAsia="宋体" w:hint="default"/>
                <w:w w:val="100"/>
                <w:sz w:val="21"/>
                <w:szCs w:val="21"/>
              </w:rPr>
              <w:t> </w:t>
            </w:r>
            <w:r>
              <w:rPr>
                <w:rFonts w:ascii="宋体" w:hAnsi="宋体" w:cs="宋体" w:eastAsia="宋体" w:hint="default"/>
                <w:sz w:val="21"/>
                <w:szCs w:val="21"/>
              </w:rPr>
              <w:t>例</w:t>
            </w:r>
          </w:p>
        </w:tc>
      </w:tr>
      <w:tr>
        <w:trPr>
          <w:trHeight w:val="40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自然人</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16.54%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16.54%</w:t>
            </w:r>
          </w:p>
        </w:tc>
      </w:tr>
      <w:tr>
        <w:trPr>
          <w:trHeight w:val="403"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束龙胜</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6" w:right="0"/>
              <w:jc w:val="left"/>
              <w:rPr>
                <w:rFonts w:ascii="宋体" w:hAnsi="宋体" w:cs="宋体" w:eastAsia="宋体" w:hint="default"/>
                <w:sz w:val="21"/>
                <w:szCs w:val="21"/>
              </w:rPr>
            </w:pPr>
            <w:r>
              <w:rPr>
                <w:rFonts w:ascii="宋体" w:hAnsi="宋体" w:cs="宋体" w:eastAsia="宋体" w:hint="default"/>
                <w:sz w:val="21"/>
                <w:szCs w:val="21"/>
              </w:rPr>
              <w:t>自然人</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10.61%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Times New Roman" w:hAnsi="Times New Roman" w:cs="Times New Roman" w:eastAsia="Times New Roman" w:hint="default"/>
                <w:sz w:val="21"/>
                <w:szCs w:val="21"/>
              </w:rPr>
            </w:pPr>
            <w:r>
              <w:rPr>
                <w:rFonts w:ascii="Times New Roman"/>
                <w:sz w:val="21"/>
              </w:rPr>
              <w:t>10.61%</w:t>
            </w:r>
          </w:p>
        </w:tc>
      </w:tr>
      <w:tr>
        <w:trPr>
          <w:trHeight w:val="710"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67"/>
              <w:jc w:val="left"/>
              <w:rPr>
                <w:rFonts w:ascii="宋体" w:hAnsi="宋体" w:cs="宋体" w:eastAsia="宋体" w:hint="default"/>
                <w:sz w:val="21"/>
                <w:szCs w:val="21"/>
              </w:rPr>
            </w:pPr>
            <w:r>
              <w:rPr>
                <w:rFonts w:ascii="宋体" w:hAnsi="宋体" w:cs="宋体" w:eastAsia="宋体" w:hint="default"/>
                <w:sz w:val="21"/>
                <w:szCs w:val="21"/>
              </w:rPr>
              <w:t>芜湖市鑫诚科技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芜湖市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2,108</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5.31%</w:t>
            </w:r>
          </w:p>
        </w:tc>
      </w:tr>
      <w:tr>
        <w:trPr>
          <w:trHeight w:val="716" w:hRule="exact"/>
        </w:trPr>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9"/>
              <w:ind w:left="105" w:right="94"/>
              <w:jc w:val="left"/>
              <w:rPr>
                <w:rFonts w:ascii="宋体" w:hAnsi="宋体" w:cs="宋体" w:eastAsia="宋体" w:hint="default"/>
                <w:sz w:val="21"/>
                <w:szCs w:val="21"/>
              </w:rPr>
            </w:pPr>
            <w:r>
              <w:rPr>
                <w:rFonts w:ascii="宋体" w:hAnsi="宋体" w:cs="宋体" w:eastAsia="宋体" w:hint="default"/>
                <w:spacing w:val="-6"/>
                <w:sz w:val="21"/>
                <w:szCs w:val="21"/>
              </w:rPr>
              <w:t>云泽投资管理（天</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津）有限公司</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天津市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06"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10,001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4.23%</w:t>
            </w:r>
          </w:p>
        </w:tc>
      </w:tr>
    </w:tbl>
    <w:p>
      <w:pPr>
        <w:pStyle w:val="BodyText"/>
        <w:spacing w:line="307" w:lineRule="auto" w:before="28"/>
        <w:ind w:left="473" w:right="1002" w:hanging="360"/>
        <w:jc w:val="left"/>
      </w:pPr>
      <w:r>
        <w:rPr/>
        <w:t>本企业的母公司情况的说明</w:t>
      </w:r>
      <w:r>
        <w:rPr>
          <w:spacing w:val="-101"/>
        </w:rPr>
        <w:t> </w:t>
      </w:r>
      <w:r>
        <w:rPr>
          <w:spacing w:val="-101"/>
        </w:rPr>
      </w:r>
      <w:r>
        <w:rPr>
          <w:spacing w:val="-3"/>
        </w:rPr>
        <w:t>瞿洪桂持有本公司</w:t>
      </w:r>
      <w:r>
        <w:rPr>
          <w:rFonts w:ascii="宋体" w:hAnsi="宋体" w:cs="宋体" w:eastAsia="宋体" w:hint="default"/>
          <w:spacing w:val="-3"/>
        </w:rPr>
        <w:t>16.54%</w:t>
      </w:r>
      <w:r>
        <w:rPr>
          <w:spacing w:val="-3"/>
        </w:rPr>
        <w:t>的股份，通过控制云泽投资管理（天津）有限公司－云泽投资</w:t>
      </w:r>
      <w:r>
        <w:rPr>
          <w:rFonts w:ascii="宋体" w:hAnsi="宋体" w:cs="宋体" w:eastAsia="宋体" w:hint="default"/>
          <w:spacing w:val="-3"/>
        </w:rPr>
        <w:t>1</w:t>
      </w:r>
      <w:r>
        <w:rPr>
          <w:spacing w:val="-3"/>
        </w:rPr>
        <w:t>号私募证券投</w:t>
      </w:r>
    </w:p>
    <w:p>
      <w:pPr>
        <w:pStyle w:val="BodyText"/>
        <w:spacing w:line="253" w:lineRule="exact" w:before="0"/>
        <w:ind w:right="1002"/>
        <w:jc w:val="left"/>
      </w:pPr>
      <w:r>
        <w:rPr/>
        <w:t>资基金间接控制本公司</w:t>
      </w:r>
      <w:r>
        <w:rPr>
          <w:rFonts w:ascii="宋体" w:hAnsi="宋体" w:cs="宋体" w:eastAsia="宋体" w:hint="default"/>
        </w:rPr>
        <w:t>4.23%</w:t>
      </w:r>
      <w:r>
        <w:rPr/>
        <w:t>的股份，合并控制本公司</w:t>
      </w:r>
      <w:r>
        <w:rPr>
          <w:rFonts w:ascii="宋体" w:hAnsi="宋体" w:cs="宋体" w:eastAsia="宋体" w:hint="default"/>
        </w:rPr>
        <w:t>20.77%</w:t>
      </w:r>
      <w:r>
        <w:rPr/>
        <w:t>的股份。</w:t>
      </w:r>
    </w:p>
    <w:p>
      <w:pPr>
        <w:pStyle w:val="BodyText"/>
        <w:spacing w:line="273" w:lineRule="auto" w:before="37"/>
        <w:ind w:right="1002" w:firstLine="360"/>
        <w:jc w:val="left"/>
      </w:pPr>
      <w:r>
        <w:rPr>
          <w:spacing w:val="-1"/>
        </w:rPr>
        <w:t>束龙胜持有本公司</w:t>
      </w:r>
      <w:r>
        <w:rPr>
          <w:rFonts w:ascii="宋体" w:hAnsi="宋体" w:cs="宋体" w:eastAsia="宋体" w:hint="default"/>
          <w:spacing w:val="-1"/>
        </w:rPr>
        <w:t>10.61%</w:t>
      </w:r>
      <w:r>
        <w:rPr>
          <w:spacing w:val="-1"/>
        </w:rPr>
        <w:t>的股份，通过持有芜湖市鑫诚科技投资有限公司</w:t>
      </w:r>
      <w:r>
        <w:rPr>
          <w:rFonts w:ascii="宋体" w:hAnsi="宋体" w:cs="宋体" w:eastAsia="宋体" w:hint="default"/>
          <w:spacing w:val="-1"/>
        </w:rPr>
        <w:t>99.88%</w:t>
      </w:r>
      <w:r>
        <w:rPr>
          <w:spacing w:val="-1"/>
        </w:rPr>
        <w:t>的股份间接控制本公</w:t>
      </w:r>
      <w:r>
        <w:rPr>
          <w:w w:val="100"/>
        </w:rPr>
        <w:t> </w:t>
      </w:r>
      <w:r>
        <w:rPr/>
        <w:t>司</w:t>
      </w:r>
      <w:r>
        <w:rPr>
          <w:rFonts w:ascii="宋体" w:hAnsi="宋体" w:cs="宋体" w:eastAsia="宋体" w:hint="default"/>
        </w:rPr>
        <w:t>5.31%</w:t>
      </w:r>
      <w:r>
        <w:rPr/>
        <w:t>的股份，合并控制本公司</w:t>
      </w:r>
      <w:r>
        <w:rPr>
          <w:rFonts w:ascii="宋体" w:hAnsi="宋体" w:cs="宋体" w:eastAsia="宋体" w:hint="default"/>
        </w:rPr>
        <w:t>15.92%</w:t>
      </w:r>
      <w:r>
        <w:rPr/>
        <w:t>的股份。</w:t>
      </w:r>
    </w:p>
    <w:p>
      <w:pPr>
        <w:pStyle w:val="BodyText"/>
        <w:spacing w:line="307" w:lineRule="auto" w:before="51"/>
        <w:ind w:right="7667"/>
        <w:jc w:val="left"/>
      </w:pPr>
      <w:r>
        <w:rPr/>
        <w:t>本企业最终控制方是。</w:t>
      </w:r>
      <w:r>
        <w:rPr>
          <w:w w:val="100"/>
        </w:rPr>
        <w:t> </w:t>
      </w:r>
      <w:r>
        <w:rPr/>
        <w:t>其他说明：</w:t>
      </w:r>
    </w:p>
    <w:p>
      <w:pPr>
        <w:spacing w:line="240" w:lineRule="auto" w:before="2"/>
        <w:rPr>
          <w:rFonts w:ascii="宋体" w:hAnsi="宋体" w:cs="宋体" w:eastAsia="宋体" w:hint="default"/>
          <w:sz w:val="21"/>
          <w:szCs w:val="21"/>
        </w:rPr>
      </w:pPr>
    </w:p>
    <w:p>
      <w:pPr>
        <w:spacing w:line="520" w:lineRule="auto" w:before="0"/>
        <w:ind w:left="113" w:right="5730" w:firstLine="0"/>
        <w:jc w:val="left"/>
        <w:rPr>
          <w:rFonts w:ascii="宋体" w:hAnsi="宋体" w:cs="宋体" w:eastAsia="宋体" w:hint="default"/>
          <w:sz w:val="21"/>
          <w:szCs w:val="21"/>
        </w:rPr>
      </w:pPr>
      <w:bookmarkStart w:name="2、本企业的子公司情况" w:id="481"/>
      <w:bookmarkEnd w:id="48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2"/>
          <w:sz w:val="21"/>
          <w:szCs w:val="21"/>
        </w:rPr>
        <w:t> </w:t>
      </w:r>
      <w:r>
        <w:rPr>
          <w:rFonts w:ascii="宋体" w:hAnsi="宋体" w:cs="宋体" w:eastAsia="宋体" w:hint="default"/>
          <w:sz w:val="21"/>
          <w:szCs w:val="21"/>
        </w:rPr>
        <w:t>本企业子公司的情况详见附注。</w:t>
      </w:r>
      <w:r>
        <w:rPr>
          <w:rFonts w:ascii="宋体" w:hAnsi="宋体" w:cs="宋体" w:eastAsia="宋体" w:hint="default"/>
          <w:w w:val="100"/>
          <w:sz w:val="21"/>
          <w:szCs w:val="21"/>
        </w:rPr>
        <w:t> </w:t>
      </w:r>
      <w:bookmarkStart w:name="3、本企业合营和联营企业情况" w:id="482"/>
      <w:bookmarkEnd w:id="482"/>
      <w:r>
        <w:rPr>
          <w:rFonts w:ascii="宋体" w:hAnsi="宋体" w:cs="宋体" w:eastAsia="宋体" w:hint="default"/>
          <w:w w:val="100"/>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90" w:lineRule="auto" w:before="57"/>
        <w:ind w:right="1013"/>
        <w:jc w:val="left"/>
      </w:pPr>
      <w:r>
        <w:rPr/>
        <w:t>本企业重要的合营或联营企业详见附注。</w:t>
      </w:r>
      <w:r>
        <w:rPr>
          <w:w w:val="100"/>
        </w:rPr>
        <w:t> </w:t>
      </w:r>
      <w:r>
        <w:rPr>
          <w:spacing w:val="-2"/>
        </w:rPr>
        <w:t>本期与本公司发生关联方交易，或前期与本公司发生关联方交易形成余额的其他合营或联营企业情况如</w:t>
      </w:r>
      <w:r>
        <w:rPr>
          <w:spacing w:val="-16"/>
        </w:rPr>
        <w:t> </w:t>
      </w:r>
      <w:r>
        <w:rPr>
          <w:spacing w:val="-16"/>
        </w:rPr>
      </w:r>
      <w:r>
        <w:rPr/>
        <w:t>下：</w:t>
      </w:r>
    </w:p>
    <w:p>
      <w:pPr>
        <w:spacing w:line="240" w:lineRule="auto" w:before="7"/>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40"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bl>
    <w:p>
      <w:pPr>
        <w:pStyle w:val="BodyText"/>
        <w:spacing w:line="240" w:lineRule="auto" w:before="31"/>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4、其他关联方情况" w:id="483"/>
      <w:bookmarkEnd w:id="483"/>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23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天津滨电电力工程有限公司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对子公司有重大影响的股东</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刘兵良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对子公司有重大影响的股东</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刘骥</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对子公司有重大影响的股东</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云南云韵投资有限公司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对子公司有重大影响的股东</w:t>
            </w:r>
          </w:p>
        </w:tc>
      </w:tr>
    </w:tbl>
    <w:p>
      <w:pPr>
        <w:pStyle w:val="BodyText"/>
        <w:spacing w:line="240" w:lineRule="auto" w:before="28"/>
        <w:ind w:right="1002"/>
        <w:jc w:val="left"/>
      </w:pPr>
      <w:r>
        <w:rPr/>
        <w:t>其他说明</w:t>
      </w:r>
    </w:p>
    <w:p>
      <w:pPr>
        <w:pStyle w:val="BodyText"/>
        <w:spacing w:line="273" w:lineRule="auto" w:before="70"/>
        <w:ind w:right="1002" w:firstLine="360"/>
        <w:jc w:val="left"/>
      </w:pPr>
      <w:r>
        <w:rPr>
          <w:spacing w:val="-1"/>
        </w:rPr>
        <w:t>此处披露的本公司与其他关联方之间的关联交易仅限于该公司与其可施加重大影响的子公司之间的交</w:t>
      </w:r>
      <w:r>
        <w:rPr>
          <w:w w:val="100"/>
        </w:rPr>
        <w:t> </w:t>
      </w:r>
      <w:r>
        <w:rPr/>
        <w:t>易，并未包含其与不能施加重大影响的公司其他组成部分之间的交易。</w:t>
      </w:r>
    </w:p>
    <w:p>
      <w:pPr>
        <w:spacing w:line="240" w:lineRule="auto" w:before="9"/>
        <w:rPr>
          <w:rFonts w:ascii="宋体" w:hAnsi="宋体" w:cs="宋体" w:eastAsia="宋体" w:hint="default"/>
          <w:sz w:val="23"/>
          <w:szCs w:val="23"/>
        </w:rPr>
      </w:pPr>
    </w:p>
    <w:p>
      <w:pPr>
        <w:pStyle w:val="Heading5"/>
        <w:spacing w:line="240" w:lineRule="auto"/>
        <w:ind w:right="1002"/>
        <w:jc w:val="left"/>
        <w:rPr>
          <w:b w:val="0"/>
          <w:bCs w:val="0"/>
        </w:rPr>
      </w:pPr>
      <w:bookmarkStart w:name="5、关联交易情况" w:id="484"/>
      <w:bookmarkEnd w:id="484"/>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购销商品、提供和接受劳务的关联交易" w:id="485"/>
      <w:bookmarkEnd w:id="485"/>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right="100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59"/>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715"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619" w:right="190" w:hanging="423"/>
              <w:jc w:val="left"/>
              <w:rPr>
                <w:rFonts w:ascii="宋体" w:hAnsi="宋体" w:cs="宋体" w:eastAsia="宋体" w:hint="default"/>
                <w:sz w:val="21"/>
                <w:szCs w:val="21"/>
              </w:rPr>
            </w:pPr>
            <w:r>
              <w:rPr>
                <w:rFonts w:ascii="宋体" w:hAnsi="宋体" w:cs="宋体" w:eastAsia="宋体" w:hint="default"/>
                <w:sz w:val="21"/>
                <w:szCs w:val="21"/>
              </w:rPr>
              <w:t>关联交易内</w:t>
            </w:r>
            <w:r>
              <w:rPr>
                <w:rFonts w:ascii="宋体" w:hAnsi="宋体" w:cs="宋体" w:eastAsia="宋体" w:hint="default"/>
                <w:spacing w:val="-99"/>
                <w:sz w:val="21"/>
                <w:szCs w:val="21"/>
              </w:rPr>
              <w:t> </w:t>
            </w:r>
            <w:r>
              <w:rPr>
                <w:rFonts w:ascii="宋体" w:hAnsi="宋体" w:cs="宋体" w:eastAsia="宋体" w:hint="default"/>
                <w:sz w:val="21"/>
                <w:szCs w:val="21"/>
              </w:rPr>
              <w:t>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743" w:right="109" w:hanging="629"/>
              <w:jc w:val="left"/>
              <w:rPr>
                <w:rFonts w:ascii="宋体" w:hAnsi="宋体" w:cs="宋体" w:eastAsia="宋体" w:hint="default"/>
                <w:sz w:val="21"/>
                <w:szCs w:val="21"/>
              </w:rPr>
            </w:pPr>
            <w:r>
              <w:rPr>
                <w:rFonts w:ascii="宋体" w:hAnsi="宋体" w:cs="宋体" w:eastAsia="宋体" w:hint="default"/>
                <w:sz w:val="21"/>
                <w:szCs w:val="21"/>
              </w:rPr>
              <w:t>是否超过交易额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105" w:right="161"/>
              <w:jc w:val="left"/>
              <w:rPr>
                <w:rFonts w:ascii="宋体" w:hAnsi="宋体" w:cs="宋体" w:eastAsia="宋体" w:hint="default"/>
                <w:sz w:val="21"/>
                <w:szCs w:val="21"/>
              </w:rPr>
            </w:pPr>
            <w:r>
              <w:rPr>
                <w:rFonts w:ascii="宋体" w:hAnsi="宋体" w:cs="宋体" w:eastAsia="宋体" w:hint="default"/>
                <w:sz w:val="21"/>
                <w:szCs w:val="21"/>
              </w:rPr>
              <w:t>安徽美能储能</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系统有限公司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采购材料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19,447.52</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13,513.51</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19,447.52</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13,513.51</w:t>
            </w:r>
          </w:p>
        </w:tc>
      </w:tr>
    </w:tbl>
    <w:p>
      <w:pPr>
        <w:pStyle w:val="BodyText"/>
        <w:spacing w:line="240" w:lineRule="auto" w:before="28"/>
        <w:ind w:right="100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59"/>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804"/>
        <w:gridCol w:w="1854"/>
        <w:gridCol w:w="2261"/>
        <w:gridCol w:w="2651"/>
      </w:tblGrid>
      <w:tr>
        <w:trPr>
          <w:trHeight w:val="398"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87"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9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天津滨电电力工程有限公司</w:t>
            </w:r>
          </w:p>
        </w:tc>
        <w:tc>
          <w:tcPr>
            <w:tcW w:w="1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设计服务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3,556.60</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6,417,942.45</w:t>
            </w:r>
          </w:p>
        </w:tc>
      </w:tr>
      <w:tr>
        <w:trPr>
          <w:trHeight w:val="40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54" w:type="dxa"/>
            <w:tcBorders>
              <w:top w:val="single" w:sz="4" w:space="0" w:color="000000"/>
              <w:left w:val="single" w:sz="4" w:space="0" w:color="000000"/>
              <w:bottom w:val="single" w:sz="4" w:space="0" w:color="000000"/>
              <w:right w:val="single" w:sz="4" w:space="0" w:color="000000"/>
            </w:tcBorders>
          </w:tcPr>
          <w:p>
            <w:pP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3,556.60</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6,417,942.45</w:t>
            </w:r>
          </w:p>
        </w:tc>
      </w:tr>
    </w:tbl>
    <w:p>
      <w:pPr>
        <w:pStyle w:val="BodyText"/>
        <w:spacing w:line="240" w:lineRule="auto" w:before="28"/>
        <w:ind w:right="1002"/>
        <w:jc w:val="left"/>
      </w:pPr>
      <w:r>
        <w:rPr/>
        <w:t>购销商品、提供和接受劳务的关联交易说明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2）关联受托管理/承包及委托管理/出包情况" w:id="486"/>
      <w:bookmarkEnd w:id="486"/>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right="1002"/>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64"/>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56" w:lineRule="auto"/>
              <w:ind w:left="364" w:right="118" w:hanging="240"/>
              <w:jc w:val="left"/>
              <w:rPr>
                <w:rFonts w:ascii="宋体" w:hAnsi="宋体" w:cs="宋体" w:eastAsia="宋体" w:hint="default"/>
                <w:sz w:val="21"/>
                <w:szCs w:val="21"/>
              </w:rPr>
            </w:pPr>
            <w:r>
              <w:rPr>
                <w:rFonts w:ascii="宋体" w:hAnsi="宋体" w:cs="宋体" w:eastAsia="宋体" w:hint="default"/>
                <w:sz w:val="21"/>
                <w:szCs w:val="21"/>
              </w:rPr>
              <w:t>委托方</w:t>
            </w:r>
            <w:r>
              <w:rPr>
                <w:rFonts w:ascii="Times New Roman" w:hAnsi="Times New Roman" w:cs="Times New Roman" w:eastAsia="Times New Roman" w:hint="default"/>
                <w:sz w:val="21"/>
                <w:szCs w:val="21"/>
              </w:rPr>
              <w:t>/</w:t>
            </w:r>
            <w:r>
              <w:rPr>
                <w:rFonts w:ascii="宋体" w:hAnsi="宋体" w:cs="宋体" w:eastAsia="宋体" w:hint="default"/>
                <w:sz w:val="21"/>
                <w:szCs w:val="21"/>
              </w:rPr>
              <w:t>出包</w:t>
            </w:r>
            <w:r>
              <w:rPr>
                <w:rFonts w:ascii="宋体" w:hAnsi="宋体" w:cs="宋体" w:eastAsia="宋体" w:hint="default"/>
                <w:spacing w:val="-101"/>
                <w:sz w:val="21"/>
                <w:szCs w:val="21"/>
              </w:rPr>
              <w:t> </w:t>
            </w:r>
            <w:r>
              <w:rPr>
                <w:rFonts w:ascii="宋体" w:hAnsi="宋体" w:cs="宋体" w:eastAsia="宋体" w:hint="default"/>
                <w:sz w:val="21"/>
                <w:szCs w:val="21"/>
              </w:rPr>
              <w:t>方名称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56" w:lineRule="auto"/>
              <w:ind w:left="364" w:right="119" w:hanging="240"/>
              <w:jc w:val="left"/>
              <w:rPr>
                <w:rFonts w:ascii="宋体" w:hAnsi="宋体" w:cs="宋体" w:eastAsia="宋体" w:hint="default"/>
                <w:sz w:val="21"/>
                <w:szCs w:val="21"/>
              </w:rPr>
            </w:pPr>
            <w:r>
              <w:rPr>
                <w:rFonts w:ascii="宋体" w:hAnsi="宋体" w:cs="宋体" w:eastAsia="宋体" w:hint="default"/>
                <w:sz w:val="21"/>
                <w:szCs w:val="21"/>
              </w:rPr>
              <w:t>受托方</w:t>
            </w:r>
            <w:r>
              <w:rPr>
                <w:rFonts w:ascii="Times New Roman" w:hAnsi="Times New Roman" w:cs="Times New Roman" w:eastAsia="Times New Roman" w:hint="default"/>
                <w:sz w:val="21"/>
                <w:szCs w:val="21"/>
              </w:rPr>
              <w:t>/</w:t>
            </w:r>
            <w:r>
              <w:rPr>
                <w:rFonts w:ascii="宋体" w:hAnsi="宋体" w:cs="宋体" w:eastAsia="宋体" w:hint="default"/>
                <w:sz w:val="21"/>
                <w:szCs w:val="21"/>
              </w:rPr>
              <w:t>承包</w:t>
            </w:r>
            <w:r>
              <w:rPr>
                <w:rFonts w:ascii="宋体" w:hAnsi="宋体" w:cs="宋体" w:eastAsia="宋体" w:hint="default"/>
                <w:spacing w:val="-101"/>
                <w:sz w:val="21"/>
                <w:szCs w:val="21"/>
              </w:rPr>
              <w:t> </w:t>
            </w:r>
            <w:r>
              <w:rPr>
                <w:rFonts w:ascii="宋体" w:hAnsi="宋体" w:cs="宋体" w:eastAsia="宋体" w:hint="default"/>
                <w:sz w:val="21"/>
                <w:szCs w:val="21"/>
              </w:rPr>
              <w:t>方名称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56" w:lineRule="auto"/>
              <w:ind w:left="364" w:right="119" w:hanging="240"/>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承包资</w:t>
            </w:r>
            <w:r>
              <w:rPr>
                <w:rFonts w:ascii="宋体" w:hAnsi="宋体" w:cs="宋体" w:eastAsia="宋体" w:hint="default"/>
                <w:spacing w:val="-101"/>
                <w:sz w:val="21"/>
                <w:szCs w:val="21"/>
              </w:rPr>
              <w:t> </w:t>
            </w:r>
            <w:r>
              <w:rPr>
                <w:rFonts w:ascii="宋体" w:hAnsi="宋体" w:cs="宋体" w:eastAsia="宋体" w:hint="default"/>
                <w:sz w:val="21"/>
                <w:szCs w:val="21"/>
              </w:rPr>
              <w:t>产类型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56" w:lineRule="auto"/>
              <w:ind w:left="470" w:right="119" w:hanging="346"/>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承包起</w:t>
            </w:r>
            <w:r>
              <w:rPr>
                <w:rFonts w:ascii="宋体" w:hAnsi="宋体" w:cs="宋体" w:eastAsia="宋体" w:hint="default"/>
                <w:spacing w:val="-101"/>
                <w:sz w:val="21"/>
                <w:szCs w:val="21"/>
              </w:rPr>
              <w:t> </w:t>
            </w:r>
            <w:r>
              <w:rPr>
                <w:rFonts w:ascii="宋体" w:hAnsi="宋体" w:cs="宋体" w:eastAsia="宋体" w:hint="default"/>
                <w:sz w:val="21"/>
                <w:szCs w:val="21"/>
              </w:rPr>
              <w:t>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56" w:lineRule="auto"/>
              <w:ind w:left="465" w:right="119" w:hanging="346"/>
              <w:jc w:val="left"/>
              <w:rPr>
                <w:rFonts w:ascii="宋体" w:hAnsi="宋体" w:cs="宋体" w:eastAsia="宋体" w:hint="default"/>
                <w:sz w:val="21"/>
                <w:szCs w:val="21"/>
              </w:rPr>
            </w:pPr>
            <w:r>
              <w:rPr>
                <w:rFonts w:ascii="宋体" w:hAnsi="宋体" w:cs="宋体" w:eastAsia="宋体" w:hint="default"/>
                <w:sz w:val="21"/>
                <w:szCs w:val="21"/>
              </w:rPr>
              <w:t>受托</w:t>
            </w:r>
            <w:r>
              <w:rPr>
                <w:rFonts w:ascii="Times New Roman" w:hAnsi="Times New Roman" w:cs="Times New Roman" w:eastAsia="Times New Roman" w:hint="default"/>
                <w:sz w:val="21"/>
                <w:szCs w:val="21"/>
              </w:rPr>
              <w:t>/</w:t>
            </w:r>
            <w:r>
              <w:rPr>
                <w:rFonts w:ascii="宋体" w:hAnsi="宋体" w:cs="宋体" w:eastAsia="宋体" w:hint="default"/>
                <w:sz w:val="21"/>
                <w:szCs w:val="21"/>
              </w:rPr>
              <w:t>承包终</w:t>
            </w:r>
            <w:r>
              <w:rPr>
                <w:rFonts w:ascii="宋体" w:hAnsi="宋体" w:cs="宋体" w:eastAsia="宋体" w:hint="default"/>
                <w:spacing w:val="-101"/>
                <w:sz w:val="21"/>
                <w:szCs w:val="21"/>
              </w:rPr>
              <w:t> </w:t>
            </w:r>
            <w:r>
              <w:rPr>
                <w:rFonts w:ascii="宋体" w:hAnsi="宋体" w:cs="宋体" w:eastAsia="宋体" w:hint="default"/>
                <w:sz w:val="21"/>
                <w:szCs w:val="21"/>
              </w:rPr>
              <w:t>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9"/>
              <w:ind w:left="124" w:right="119"/>
              <w:jc w:val="center"/>
              <w:rPr>
                <w:rFonts w:ascii="宋体" w:hAnsi="宋体" w:cs="宋体" w:eastAsia="宋体" w:hint="default"/>
                <w:sz w:val="21"/>
                <w:szCs w:val="21"/>
              </w:rPr>
            </w:pP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包收益定价</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9"/>
              <w:ind w:left="125" w:right="119"/>
              <w:jc w:val="center"/>
              <w:rPr>
                <w:rFonts w:ascii="宋体" w:hAnsi="宋体" w:cs="宋体" w:eastAsia="宋体" w:hint="default"/>
                <w:sz w:val="21"/>
                <w:szCs w:val="21"/>
              </w:rPr>
            </w:pPr>
            <w:r>
              <w:rPr>
                <w:rFonts w:ascii="宋体" w:hAnsi="宋体" w:cs="宋体" w:eastAsia="宋体" w:hint="default"/>
                <w:sz w:val="21"/>
                <w:szCs w:val="21"/>
              </w:rPr>
              <w:t>本期确认的</w:t>
            </w:r>
            <w:r>
              <w:rPr>
                <w:rFonts w:ascii="宋体" w:hAnsi="宋体" w:cs="宋体" w:eastAsia="宋体" w:hint="default"/>
                <w:w w:val="100"/>
                <w:sz w:val="21"/>
                <w:szCs w:val="21"/>
              </w:rPr>
              <w:t> </w:t>
            </w:r>
            <w:r>
              <w:rPr>
                <w:rFonts w:ascii="宋体" w:hAnsi="宋体" w:cs="宋体" w:eastAsia="宋体" w:hint="default"/>
                <w:sz w:val="21"/>
                <w:szCs w:val="21"/>
              </w:rPr>
              <w:t>托管收益</w:t>
            </w:r>
            <w:r>
              <w:rPr>
                <w:rFonts w:ascii="Times New Roman" w:hAnsi="Times New Roman" w:cs="Times New Roman" w:eastAsia="Times New Roman" w:hint="default"/>
                <w:sz w:val="21"/>
                <w:szCs w:val="21"/>
              </w:rPr>
              <w:t>/</w:t>
            </w:r>
            <w:r>
              <w:rPr>
                <w:rFonts w:ascii="宋体" w:hAnsi="宋体" w:cs="宋体" w:eastAsia="宋体" w:hint="default"/>
                <w:sz w:val="21"/>
                <w:szCs w:val="21"/>
              </w:rPr>
              <w:t>承</w:t>
            </w:r>
            <w:r>
              <w:rPr>
                <w:rFonts w:ascii="宋体" w:hAnsi="宋体" w:cs="宋体" w:eastAsia="宋体" w:hint="default"/>
                <w:w w:val="100"/>
                <w:sz w:val="21"/>
                <w:szCs w:val="21"/>
              </w:rPr>
              <w:t> </w:t>
            </w:r>
            <w:r>
              <w:rPr>
                <w:rFonts w:ascii="宋体" w:hAnsi="宋体" w:cs="宋体" w:eastAsia="宋体" w:hint="default"/>
                <w:sz w:val="21"/>
                <w:szCs w:val="21"/>
              </w:rPr>
              <w:t>包收益</w:t>
            </w:r>
          </w:p>
        </w:tc>
      </w:tr>
    </w:tbl>
    <w:p>
      <w:pPr>
        <w:spacing w:after="0" w:line="266" w:lineRule="auto"/>
        <w:jc w:val="center"/>
        <w:rPr>
          <w:rFonts w:ascii="宋体" w:hAnsi="宋体" w:cs="宋体" w:eastAsia="宋体" w:hint="default"/>
          <w:sz w:val="21"/>
          <w:szCs w:val="21"/>
        </w:rPr>
        <w:sectPr>
          <w:pgSz w:w="11910" w:h="16840"/>
          <w:pgMar w:header="906" w:footer="1022" w:top="1100" w:bottom="1220" w:left="1020" w:right="0"/>
        </w:sectPr>
      </w:pPr>
    </w:p>
    <w:p>
      <w:pPr>
        <w:pStyle w:val="BodyText"/>
        <w:spacing w:line="292" w:lineRule="auto" w:before="28"/>
        <w:ind w:right="0"/>
        <w:jc w:val="left"/>
      </w:pPr>
      <w:r>
        <w:rPr/>
        <w:t>关联托管</w:t>
      </w:r>
      <w:r>
        <w:rPr>
          <w:rFonts w:ascii="Times New Roman" w:hAnsi="Times New Roman" w:cs="Times New Roman" w:eastAsia="Times New Roman" w:hint="default"/>
        </w:rPr>
        <w:t>/</w:t>
      </w:r>
      <w:r>
        <w:rPr/>
        <w:t>承包情况说明</w:t>
      </w:r>
      <w:r>
        <w:rPr>
          <w:spacing w:val="-100"/>
        </w:rPr>
        <w:t> </w:t>
      </w:r>
      <w:r>
        <w:rPr>
          <w:spacing w:val="-100"/>
        </w:rPr>
      </w:r>
      <w:r>
        <w:rPr>
          <w:spacing w:val="-1"/>
        </w:rPr>
        <w:t>本公司委托管理</w:t>
      </w:r>
      <w:r>
        <w:rPr>
          <w:rFonts w:ascii="Times New Roman" w:hAnsi="Times New Roman" w:cs="Times New Roman" w:eastAsia="Times New Roman" w:hint="default"/>
          <w:spacing w:val="-1"/>
        </w:rPr>
        <w:t>/</w:t>
      </w:r>
      <w:r>
        <w:rPr>
          <w:spacing w:val="-1"/>
        </w:rPr>
        <w:t>出包情况表：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40"/>
          <w:pgMar w:top="1100" w:bottom="1220" w:left="1020" w:right="0"/>
          <w:cols w:num="2" w:equalWidth="0">
            <w:col w:w="2908" w:space="5788"/>
            <w:col w:w="2194"/>
          </w:cols>
        </w:sectPr>
      </w:pP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027"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56" w:lineRule="auto"/>
              <w:ind w:left="364" w:right="118" w:hanging="240"/>
              <w:jc w:val="left"/>
              <w:rPr>
                <w:rFonts w:ascii="宋体" w:hAnsi="宋体" w:cs="宋体" w:eastAsia="宋体" w:hint="default"/>
                <w:sz w:val="21"/>
                <w:szCs w:val="21"/>
              </w:rPr>
            </w:pPr>
            <w:r>
              <w:rPr>
                <w:rFonts w:ascii="宋体" w:hAnsi="宋体" w:cs="宋体" w:eastAsia="宋体" w:hint="default"/>
                <w:sz w:val="21"/>
                <w:szCs w:val="21"/>
              </w:rPr>
              <w:t>委托方</w:t>
            </w:r>
            <w:r>
              <w:rPr>
                <w:rFonts w:ascii="Times New Roman" w:hAnsi="Times New Roman" w:cs="Times New Roman" w:eastAsia="Times New Roman" w:hint="default"/>
                <w:sz w:val="21"/>
                <w:szCs w:val="21"/>
              </w:rPr>
              <w:t>/</w:t>
            </w:r>
            <w:r>
              <w:rPr>
                <w:rFonts w:ascii="宋体" w:hAnsi="宋体" w:cs="宋体" w:eastAsia="宋体" w:hint="default"/>
                <w:sz w:val="21"/>
                <w:szCs w:val="21"/>
              </w:rPr>
              <w:t>出包</w:t>
            </w:r>
            <w:r>
              <w:rPr>
                <w:rFonts w:ascii="宋体" w:hAnsi="宋体" w:cs="宋体" w:eastAsia="宋体" w:hint="default"/>
                <w:spacing w:val="-101"/>
                <w:sz w:val="21"/>
                <w:szCs w:val="21"/>
              </w:rPr>
              <w:t> </w:t>
            </w:r>
            <w:r>
              <w:rPr>
                <w:rFonts w:ascii="宋体" w:hAnsi="宋体" w:cs="宋体" w:eastAsia="宋体" w:hint="default"/>
                <w:sz w:val="21"/>
                <w:szCs w:val="21"/>
              </w:rPr>
              <w:t>方名称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56" w:lineRule="auto"/>
              <w:ind w:left="364" w:right="119" w:hanging="240"/>
              <w:jc w:val="left"/>
              <w:rPr>
                <w:rFonts w:ascii="宋体" w:hAnsi="宋体" w:cs="宋体" w:eastAsia="宋体" w:hint="default"/>
                <w:sz w:val="21"/>
                <w:szCs w:val="21"/>
              </w:rPr>
            </w:pPr>
            <w:r>
              <w:rPr>
                <w:rFonts w:ascii="宋体" w:hAnsi="宋体" w:cs="宋体" w:eastAsia="宋体" w:hint="default"/>
                <w:sz w:val="21"/>
                <w:szCs w:val="21"/>
              </w:rPr>
              <w:t>受托方</w:t>
            </w:r>
            <w:r>
              <w:rPr>
                <w:rFonts w:ascii="Times New Roman" w:hAnsi="Times New Roman" w:cs="Times New Roman" w:eastAsia="Times New Roman" w:hint="default"/>
                <w:sz w:val="21"/>
                <w:szCs w:val="21"/>
              </w:rPr>
              <w:t>/</w:t>
            </w:r>
            <w:r>
              <w:rPr>
                <w:rFonts w:ascii="宋体" w:hAnsi="宋体" w:cs="宋体" w:eastAsia="宋体" w:hint="default"/>
                <w:sz w:val="21"/>
                <w:szCs w:val="21"/>
              </w:rPr>
              <w:t>承包</w:t>
            </w:r>
            <w:r>
              <w:rPr>
                <w:rFonts w:ascii="宋体" w:hAnsi="宋体" w:cs="宋体" w:eastAsia="宋体" w:hint="default"/>
                <w:spacing w:val="-101"/>
                <w:sz w:val="21"/>
                <w:szCs w:val="21"/>
              </w:rPr>
              <w:t> </w:t>
            </w:r>
            <w:r>
              <w:rPr>
                <w:rFonts w:ascii="宋体" w:hAnsi="宋体" w:cs="宋体" w:eastAsia="宋体" w:hint="default"/>
                <w:sz w:val="21"/>
                <w:szCs w:val="21"/>
              </w:rPr>
              <w:t>方名称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56" w:lineRule="auto"/>
              <w:ind w:left="364" w:right="119" w:hanging="240"/>
              <w:jc w:val="left"/>
              <w:rPr>
                <w:rFonts w:ascii="宋体" w:hAnsi="宋体" w:cs="宋体" w:eastAsia="宋体" w:hint="default"/>
                <w:sz w:val="21"/>
                <w:szCs w:val="21"/>
              </w:rPr>
            </w:pPr>
            <w:r>
              <w:rPr>
                <w:rFonts w:ascii="宋体" w:hAnsi="宋体" w:cs="宋体" w:eastAsia="宋体" w:hint="default"/>
                <w:sz w:val="21"/>
                <w:szCs w:val="21"/>
              </w:rPr>
              <w:t>委托</w:t>
            </w:r>
            <w:r>
              <w:rPr>
                <w:rFonts w:ascii="Times New Roman" w:hAnsi="Times New Roman" w:cs="Times New Roman" w:eastAsia="Times New Roman" w:hint="default"/>
                <w:sz w:val="21"/>
                <w:szCs w:val="21"/>
              </w:rPr>
              <w:t>/</w:t>
            </w:r>
            <w:r>
              <w:rPr>
                <w:rFonts w:ascii="宋体" w:hAnsi="宋体" w:cs="宋体" w:eastAsia="宋体" w:hint="default"/>
                <w:sz w:val="21"/>
                <w:szCs w:val="21"/>
              </w:rPr>
              <w:t>出包资</w:t>
            </w:r>
            <w:r>
              <w:rPr>
                <w:rFonts w:ascii="宋体" w:hAnsi="宋体" w:cs="宋体" w:eastAsia="宋体" w:hint="default"/>
                <w:spacing w:val="-101"/>
                <w:sz w:val="21"/>
                <w:szCs w:val="21"/>
              </w:rPr>
              <w:t> </w:t>
            </w:r>
            <w:r>
              <w:rPr>
                <w:rFonts w:ascii="宋体" w:hAnsi="宋体" w:cs="宋体" w:eastAsia="宋体" w:hint="default"/>
                <w:sz w:val="21"/>
                <w:szCs w:val="21"/>
              </w:rPr>
              <w:t>产类型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56" w:lineRule="auto"/>
              <w:ind w:left="470" w:right="119" w:hanging="346"/>
              <w:jc w:val="left"/>
              <w:rPr>
                <w:rFonts w:ascii="宋体" w:hAnsi="宋体" w:cs="宋体" w:eastAsia="宋体" w:hint="default"/>
                <w:sz w:val="21"/>
                <w:szCs w:val="21"/>
              </w:rPr>
            </w:pPr>
            <w:r>
              <w:rPr>
                <w:rFonts w:ascii="宋体" w:hAnsi="宋体" w:cs="宋体" w:eastAsia="宋体" w:hint="default"/>
                <w:sz w:val="21"/>
                <w:szCs w:val="21"/>
              </w:rPr>
              <w:t>委托</w:t>
            </w:r>
            <w:r>
              <w:rPr>
                <w:rFonts w:ascii="Times New Roman" w:hAnsi="Times New Roman" w:cs="Times New Roman" w:eastAsia="Times New Roman" w:hint="default"/>
                <w:sz w:val="21"/>
                <w:szCs w:val="21"/>
              </w:rPr>
              <w:t>/</w:t>
            </w:r>
            <w:r>
              <w:rPr>
                <w:rFonts w:ascii="宋体" w:hAnsi="宋体" w:cs="宋体" w:eastAsia="宋体" w:hint="default"/>
                <w:sz w:val="21"/>
                <w:szCs w:val="21"/>
              </w:rPr>
              <w:t>出包起</w:t>
            </w:r>
            <w:r>
              <w:rPr>
                <w:rFonts w:ascii="宋体" w:hAnsi="宋体" w:cs="宋体" w:eastAsia="宋体" w:hint="default"/>
                <w:spacing w:val="-101"/>
                <w:sz w:val="21"/>
                <w:szCs w:val="21"/>
              </w:rPr>
              <w:t> </w:t>
            </w:r>
            <w:r>
              <w:rPr>
                <w:rFonts w:ascii="宋体" w:hAnsi="宋体" w:cs="宋体" w:eastAsia="宋体" w:hint="default"/>
                <w:sz w:val="21"/>
                <w:szCs w:val="21"/>
              </w:rPr>
              <w:t>始日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56" w:lineRule="auto"/>
              <w:ind w:left="465" w:right="119" w:hanging="346"/>
              <w:jc w:val="left"/>
              <w:rPr>
                <w:rFonts w:ascii="宋体" w:hAnsi="宋体" w:cs="宋体" w:eastAsia="宋体" w:hint="default"/>
                <w:sz w:val="21"/>
                <w:szCs w:val="21"/>
              </w:rPr>
            </w:pPr>
            <w:r>
              <w:rPr>
                <w:rFonts w:ascii="宋体" w:hAnsi="宋体" w:cs="宋体" w:eastAsia="宋体" w:hint="default"/>
                <w:sz w:val="21"/>
                <w:szCs w:val="21"/>
              </w:rPr>
              <w:t>委托</w:t>
            </w:r>
            <w:r>
              <w:rPr>
                <w:rFonts w:ascii="Times New Roman" w:hAnsi="Times New Roman" w:cs="Times New Roman" w:eastAsia="Times New Roman" w:hint="default"/>
                <w:sz w:val="21"/>
                <w:szCs w:val="21"/>
              </w:rPr>
              <w:t>/</w:t>
            </w:r>
            <w:r>
              <w:rPr>
                <w:rFonts w:ascii="宋体" w:hAnsi="宋体" w:cs="宋体" w:eastAsia="宋体" w:hint="default"/>
                <w:sz w:val="21"/>
                <w:szCs w:val="21"/>
              </w:rPr>
              <w:t>出包终</w:t>
            </w:r>
            <w:r>
              <w:rPr>
                <w:rFonts w:ascii="宋体" w:hAnsi="宋体" w:cs="宋体" w:eastAsia="宋体" w:hint="default"/>
                <w:spacing w:val="-101"/>
                <w:sz w:val="21"/>
                <w:szCs w:val="21"/>
              </w:rPr>
              <w:t> </w:t>
            </w:r>
            <w:r>
              <w:rPr>
                <w:rFonts w:ascii="宋体" w:hAnsi="宋体" w:cs="宋体" w:eastAsia="宋体" w:hint="default"/>
                <w:sz w:val="21"/>
                <w:szCs w:val="21"/>
              </w:rPr>
              <w:t>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56" w:lineRule="auto"/>
              <w:ind w:left="153" w:right="119" w:hanging="29"/>
              <w:jc w:val="left"/>
              <w:rPr>
                <w:rFonts w:ascii="宋体" w:hAnsi="宋体" w:cs="宋体" w:eastAsia="宋体" w:hint="default"/>
                <w:sz w:val="21"/>
                <w:szCs w:val="21"/>
              </w:rPr>
            </w:pPr>
            <w:r>
              <w:rPr>
                <w:rFonts w:ascii="宋体" w:hAnsi="宋体" w:cs="宋体" w:eastAsia="宋体" w:hint="default"/>
                <w:sz w:val="21"/>
                <w:szCs w:val="21"/>
              </w:rPr>
              <w:t>托管费</w:t>
            </w:r>
            <w:r>
              <w:rPr>
                <w:rFonts w:ascii="Times New Roman" w:hAnsi="Times New Roman" w:cs="Times New Roman" w:eastAsia="Times New Roman" w:hint="default"/>
                <w:sz w:val="21"/>
                <w:szCs w:val="21"/>
              </w:rPr>
              <w:t>/</w:t>
            </w:r>
            <w:r>
              <w:rPr>
                <w:rFonts w:ascii="宋体" w:hAnsi="宋体" w:cs="宋体" w:eastAsia="宋体" w:hint="default"/>
                <w:sz w:val="21"/>
                <w:szCs w:val="21"/>
              </w:rPr>
              <w:t>出包</w:t>
            </w:r>
            <w:r>
              <w:rPr>
                <w:rFonts w:ascii="宋体" w:hAnsi="宋体" w:cs="宋体" w:eastAsia="宋体" w:hint="default"/>
                <w:spacing w:val="-101"/>
                <w:sz w:val="21"/>
                <w:szCs w:val="21"/>
              </w:rPr>
              <w:t> </w:t>
            </w:r>
            <w:r>
              <w:rPr>
                <w:rFonts w:ascii="宋体" w:hAnsi="宋体" w:cs="宋体" w:eastAsia="宋体" w:hint="default"/>
                <w:sz w:val="21"/>
                <w:szCs w:val="21"/>
              </w:rPr>
              <w:t>费定价依据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before="28"/>
              <w:ind w:left="125" w:right="119"/>
              <w:jc w:val="center"/>
              <w:rPr>
                <w:rFonts w:ascii="宋体" w:hAnsi="宋体" w:cs="宋体" w:eastAsia="宋体" w:hint="default"/>
                <w:sz w:val="21"/>
                <w:szCs w:val="21"/>
              </w:rPr>
            </w:pPr>
            <w:r>
              <w:rPr>
                <w:rFonts w:ascii="宋体" w:hAnsi="宋体" w:cs="宋体" w:eastAsia="宋体" w:hint="default"/>
                <w:sz w:val="21"/>
                <w:szCs w:val="21"/>
              </w:rPr>
              <w:t>本期确认的</w:t>
            </w:r>
            <w:r>
              <w:rPr>
                <w:rFonts w:ascii="宋体" w:hAnsi="宋体" w:cs="宋体" w:eastAsia="宋体" w:hint="default"/>
                <w:w w:val="100"/>
                <w:sz w:val="21"/>
                <w:szCs w:val="21"/>
              </w:rPr>
              <w:t> </w:t>
            </w:r>
            <w:r>
              <w:rPr>
                <w:rFonts w:ascii="宋体" w:hAnsi="宋体" w:cs="宋体" w:eastAsia="宋体" w:hint="default"/>
                <w:sz w:val="21"/>
                <w:szCs w:val="21"/>
              </w:rPr>
              <w:t>托管费</w:t>
            </w:r>
            <w:r>
              <w:rPr>
                <w:rFonts w:ascii="Times New Roman" w:hAnsi="Times New Roman" w:cs="Times New Roman" w:eastAsia="Times New Roman" w:hint="default"/>
                <w:sz w:val="21"/>
                <w:szCs w:val="21"/>
              </w:rPr>
              <w:t>/</w:t>
            </w:r>
            <w:r>
              <w:rPr>
                <w:rFonts w:ascii="宋体" w:hAnsi="宋体" w:cs="宋体" w:eastAsia="宋体" w:hint="default"/>
                <w:sz w:val="21"/>
                <w:szCs w:val="21"/>
              </w:rPr>
              <w:t>出包</w:t>
            </w:r>
            <w:r>
              <w:rPr>
                <w:rFonts w:ascii="宋体" w:hAnsi="宋体" w:cs="宋体" w:eastAsia="宋体" w:hint="default"/>
                <w:w w:val="100"/>
                <w:sz w:val="21"/>
                <w:szCs w:val="21"/>
              </w:rPr>
              <w:t> </w:t>
            </w:r>
            <w:r>
              <w:rPr>
                <w:rFonts w:ascii="宋体" w:hAnsi="宋体" w:cs="宋体" w:eastAsia="宋体" w:hint="default"/>
                <w:sz w:val="21"/>
                <w:szCs w:val="21"/>
              </w:rPr>
              <w:t>费</w:t>
            </w:r>
          </w:p>
        </w:tc>
      </w:tr>
    </w:tbl>
    <w:p>
      <w:pPr>
        <w:pStyle w:val="BodyText"/>
        <w:spacing w:line="240" w:lineRule="auto" w:before="29"/>
        <w:ind w:right="1002"/>
        <w:jc w:val="left"/>
      </w:pPr>
      <w:r>
        <w:rPr/>
        <w:t>关联管理</w:t>
      </w:r>
      <w:r>
        <w:rPr>
          <w:rFonts w:ascii="Times New Roman" w:hAnsi="Times New Roman" w:cs="Times New Roman" w:eastAsia="Times New Roman" w:hint="default"/>
        </w:rPr>
        <w:t>/</w:t>
      </w:r>
      <w:r>
        <w:rPr/>
        <w:t>出包情况说明</w:t>
      </w:r>
    </w:p>
    <w:p>
      <w:pPr>
        <w:spacing w:after="0" w:line="240" w:lineRule="auto"/>
        <w:jc w:val="left"/>
        <w:sectPr>
          <w:type w:val="continuous"/>
          <w:pgSz w:w="11910" w:h="16840"/>
          <w:pgMar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3）关联租赁情况" w:id="487"/>
      <w:bookmarkEnd w:id="487"/>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right="1002"/>
        <w:jc w:val="left"/>
      </w:pPr>
      <w:r>
        <w:rPr/>
        <w:t>本公司作为出租方：</w:t>
      </w:r>
    </w:p>
    <w:p>
      <w:pPr>
        <w:pStyle w:val="BodyText"/>
        <w:spacing w:line="240" w:lineRule="auto" w:before="76"/>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391"/>
        <w:gridCol w:w="2391"/>
        <w:gridCol w:w="2396"/>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67"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61"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9"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9"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p>
        </w:tc>
      </w:tr>
    </w:tbl>
    <w:p>
      <w:pPr>
        <w:pStyle w:val="BodyText"/>
        <w:spacing w:line="240" w:lineRule="auto" w:before="28"/>
        <w:ind w:right="1002"/>
        <w:jc w:val="left"/>
      </w:pPr>
      <w:r>
        <w:rPr/>
        <w:t>本公司作为承租方：</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67"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6"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45" w:right="0"/>
              <w:jc w:val="left"/>
              <w:rPr>
                <w:rFonts w:ascii="宋体" w:hAnsi="宋体" w:cs="宋体" w:eastAsia="宋体" w:hint="default"/>
                <w:sz w:val="21"/>
                <w:szCs w:val="21"/>
              </w:rPr>
            </w:pPr>
            <w:r>
              <w:rPr>
                <w:rFonts w:ascii="宋体" w:hAnsi="宋体" w:cs="宋体" w:eastAsia="宋体" w:hint="default"/>
                <w:sz w:val="21"/>
                <w:szCs w:val="21"/>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50" w:right="0"/>
              <w:jc w:val="left"/>
              <w:rPr>
                <w:rFonts w:ascii="宋体" w:hAnsi="宋体" w:cs="宋体" w:eastAsia="宋体" w:hint="default"/>
                <w:sz w:val="21"/>
                <w:szCs w:val="21"/>
              </w:rPr>
            </w:pPr>
            <w:r>
              <w:rPr>
                <w:rFonts w:ascii="宋体" w:hAnsi="宋体" w:cs="宋体" w:eastAsia="宋体" w:hint="default"/>
                <w:sz w:val="21"/>
                <w:szCs w:val="21"/>
              </w:rPr>
              <w:t>上期确认的租赁费</w:t>
            </w:r>
          </w:p>
        </w:tc>
      </w:tr>
    </w:tbl>
    <w:p>
      <w:pPr>
        <w:pStyle w:val="BodyText"/>
        <w:spacing w:line="240" w:lineRule="auto" w:before="28"/>
        <w:ind w:right="1002"/>
        <w:jc w:val="left"/>
      </w:pPr>
      <w:r>
        <w:rPr/>
        <w:t>关联租赁情况说明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4）关联担保情况" w:id="488"/>
      <w:bookmarkEnd w:id="488"/>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right="1002"/>
        <w:jc w:val="left"/>
      </w:pPr>
      <w:r>
        <w:rPr/>
        <w:t>本公司作为担保方</w:t>
      </w:r>
    </w:p>
    <w:p>
      <w:pPr>
        <w:pStyle w:val="BodyText"/>
        <w:spacing w:line="240" w:lineRule="auto" w:before="76"/>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744" w:right="104" w:hanging="630"/>
              <w:jc w:val="left"/>
              <w:rPr>
                <w:rFonts w:ascii="宋体" w:hAnsi="宋体" w:cs="宋体" w:eastAsia="宋体" w:hint="default"/>
                <w:sz w:val="21"/>
                <w:szCs w:val="21"/>
              </w:rPr>
            </w:pPr>
            <w:r>
              <w:rPr>
                <w:rFonts w:ascii="宋体" w:hAnsi="宋体" w:cs="宋体" w:eastAsia="宋体" w:hint="default"/>
                <w:sz w:val="21"/>
                <w:szCs w:val="21"/>
              </w:rPr>
              <w:t>担保是否已经履行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完毕</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安徽鑫龙自动化有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北京中电兴发科技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北京中电兴发科技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13,022,000.00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北京中电兴发科技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15,353,400.00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北京中电兴发科技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10,624,600.00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北京中电兴发科技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北京中电兴发科技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北京中电兴发科技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安徽佑赛科技股份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7,807,600.00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苏州开关二厂有限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15,563,400.00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9"/>
              <w:jc w:val="right"/>
              <w:rPr>
                <w:rFonts w:ascii="Times New Roman" w:hAnsi="Times New Roman" w:cs="Times New Roman" w:eastAsia="Times New Roman" w:hint="default"/>
                <w:sz w:val="21"/>
                <w:szCs w:val="21"/>
              </w:rPr>
            </w:pPr>
            <w:r>
              <w:rPr>
                <w:rFonts w:ascii="Times New Roman"/>
                <w:spacing w:val="-1"/>
                <w:sz w:val="21"/>
              </w:rPr>
              <w:t>187,371,000.00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002"/>
        <w:jc w:val="left"/>
      </w:pPr>
      <w:r>
        <w:rPr/>
        <w:t>本公司作为被担保方</w:t>
      </w:r>
    </w:p>
    <w:p>
      <w:pPr>
        <w:pStyle w:val="BodyText"/>
        <w:spacing w:line="240" w:lineRule="auto" w:before="80"/>
        <w:ind w:left="0" w:right="1122"/>
        <w:jc w:val="right"/>
      </w:pPr>
      <w:r>
        <w:rPr/>
        <w:t>单位：</w:t>
      </w:r>
      <w:r>
        <w:rPr>
          <w:spacing w:val="4"/>
        </w:rPr>
        <w:t> </w:t>
      </w:r>
      <w:r>
        <w:rPr/>
        <w:t>元</w:t>
      </w:r>
    </w:p>
    <w:p>
      <w:pPr>
        <w:spacing w:after="0" w:line="240" w:lineRule="auto"/>
        <w:jc w:val="right"/>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82"/>
        <w:gridCol w:w="1757"/>
        <w:gridCol w:w="2012"/>
        <w:gridCol w:w="2026"/>
        <w:gridCol w:w="1397"/>
      </w:tblGrid>
      <w:tr>
        <w:trPr>
          <w:trHeight w:val="715" w:hRule="exact"/>
        </w:trPr>
        <w:tc>
          <w:tcPr>
            <w:tcW w:w="2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担保方</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担保起始日</w:t>
            </w:r>
          </w:p>
        </w:tc>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担保到期日</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63" w:right="167"/>
              <w:jc w:val="left"/>
              <w:rPr>
                <w:rFonts w:ascii="宋体" w:hAnsi="宋体" w:cs="宋体" w:eastAsia="宋体" w:hint="default"/>
                <w:sz w:val="21"/>
                <w:szCs w:val="21"/>
              </w:rPr>
            </w:pPr>
            <w:r>
              <w:rPr>
                <w:rFonts w:ascii="宋体" w:hAnsi="宋体" w:cs="宋体" w:eastAsia="宋体" w:hint="default"/>
                <w:sz w:val="21"/>
                <w:szCs w:val="21"/>
              </w:rPr>
              <w:t>担保是否已</w:t>
            </w:r>
            <w:r>
              <w:rPr>
                <w:rFonts w:ascii="宋体" w:hAnsi="宋体" w:cs="宋体" w:eastAsia="宋体" w:hint="default"/>
                <w:spacing w:val="-99"/>
                <w:sz w:val="21"/>
                <w:szCs w:val="21"/>
              </w:rPr>
              <w:t> </w:t>
            </w:r>
            <w:r>
              <w:rPr>
                <w:rFonts w:ascii="宋体" w:hAnsi="宋体" w:cs="宋体" w:eastAsia="宋体" w:hint="default"/>
                <w:sz w:val="21"/>
                <w:szCs w:val="21"/>
              </w:rPr>
              <w:t>经履行完毕</w:t>
            </w:r>
          </w:p>
        </w:tc>
      </w:tr>
      <w:tr>
        <w:trPr>
          <w:trHeight w:val="399"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30,000,000.00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30,000,000.00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20,000,000.00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50,000,000.00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4"/>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98"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20,000,000.00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5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4"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30,000,000.00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5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安徽森源电器有限公司</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10,000,000.00</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03" w:hRule="exact"/>
        </w:trPr>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190,000,000.00</w:t>
            </w:r>
          </w:p>
        </w:tc>
        <w:tc>
          <w:tcPr>
            <w:tcW w:w="2012"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8"/>
        <w:ind w:right="1002"/>
        <w:jc w:val="left"/>
      </w:pPr>
      <w:r>
        <w:rPr/>
        <w:t>关联担保情况说明</w:t>
      </w:r>
    </w:p>
    <w:p>
      <w:pPr>
        <w:spacing w:line="240" w:lineRule="auto" w:before="11"/>
        <w:rPr>
          <w:rFonts w:ascii="宋体" w:hAnsi="宋体" w:cs="宋体" w:eastAsia="宋体" w:hint="default"/>
          <w:sz w:val="27"/>
          <w:szCs w:val="27"/>
        </w:rPr>
      </w:pPr>
    </w:p>
    <w:p>
      <w:pPr>
        <w:pStyle w:val="BodyText"/>
        <w:spacing w:line="348" w:lineRule="auto" w:before="0"/>
        <w:ind w:right="1012" w:firstLine="537"/>
        <w:jc w:val="left"/>
      </w:pPr>
      <w:r>
        <w:rPr>
          <w:rFonts w:ascii="宋体" w:hAnsi="宋体" w:cs="宋体" w:eastAsia="宋体" w:hint="default"/>
          <w:spacing w:val="-4"/>
        </w:rPr>
        <w:t>1</w:t>
      </w:r>
      <w:r>
        <w:rPr>
          <w:spacing w:val="-4"/>
        </w:rPr>
        <w:t>、本公司为子公司安徽佑赛科技股份有限公司提供 </w:t>
      </w:r>
      <w:r>
        <w:rPr>
          <w:rFonts w:ascii="宋体" w:hAnsi="宋体" w:cs="宋体" w:eastAsia="宋体" w:hint="default"/>
        </w:rPr>
        <w:t>5,000.00</w:t>
      </w:r>
      <w:r>
        <w:rPr>
          <w:rFonts w:ascii="宋体" w:hAnsi="宋体" w:cs="宋体" w:eastAsia="宋体" w:hint="default"/>
          <w:spacing w:val="58"/>
        </w:rPr>
        <w:t> </w:t>
      </w:r>
      <w:r>
        <w:rPr>
          <w:spacing w:val="-5"/>
        </w:rPr>
        <w:t>万元担保额度，截止</w:t>
      </w:r>
      <w:r>
        <w:rPr>
          <w:rFonts w:ascii="宋体" w:hAnsi="宋体" w:cs="宋体" w:eastAsia="宋体" w:hint="default"/>
          <w:spacing w:val="-5"/>
        </w:rPr>
        <w:t>2019</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w:t>
      </w:r>
      <w:r>
        <w:rPr>
          <w:w w:val="100"/>
        </w:rPr>
        <w:t> </w:t>
      </w:r>
      <w:r>
        <w:rPr/>
        <w:t>安徽佑赛科技股份有限公司已使用</w:t>
      </w:r>
      <w:r>
        <w:rPr>
          <w:rFonts w:ascii="宋体" w:hAnsi="宋体" w:cs="宋体" w:eastAsia="宋体" w:hint="default"/>
        </w:rPr>
        <w:t>780.76</w:t>
      </w:r>
      <w:r>
        <w:rPr/>
        <w:t>万元授信额度。</w:t>
      </w:r>
    </w:p>
    <w:p>
      <w:pPr>
        <w:pStyle w:val="BodyText"/>
        <w:spacing w:line="348" w:lineRule="auto" w:before="34"/>
        <w:ind w:right="1011" w:firstLine="537"/>
        <w:jc w:val="left"/>
      </w:pPr>
      <w:r>
        <w:rPr>
          <w:rFonts w:ascii="宋体" w:hAnsi="宋体" w:cs="宋体" w:eastAsia="宋体" w:hint="default"/>
          <w:spacing w:val="-3"/>
        </w:rPr>
        <w:t>2</w:t>
      </w:r>
      <w:r>
        <w:rPr>
          <w:spacing w:val="-3"/>
        </w:rPr>
        <w:t>、本公司为子公司北京中电兴发科技有限公司提供不超过 </w:t>
      </w:r>
      <w:r>
        <w:rPr>
          <w:rFonts w:ascii="宋体" w:hAnsi="宋体" w:cs="宋体" w:eastAsia="宋体" w:hint="default"/>
        </w:rPr>
        <w:t>20.00</w:t>
      </w:r>
      <w:r>
        <w:rPr>
          <w:rFonts w:ascii="宋体" w:hAnsi="宋体" w:cs="宋体" w:eastAsia="宋体" w:hint="default"/>
          <w:spacing w:val="44"/>
        </w:rPr>
        <w:t> </w:t>
      </w:r>
      <w:r>
        <w:rPr/>
        <w:t>亿元的银行综合授信额度的担保，</w:t>
      </w:r>
      <w:r>
        <w:rPr>
          <w:w w:val="100"/>
        </w:rPr>
        <w:t> </w:t>
      </w:r>
      <w:r>
        <w:rPr/>
        <w:t>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日，北京中电兴发科技有限公司已使用</w:t>
      </w:r>
      <w:r>
        <w:rPr>
          <w:rFonts w:ascii="宋体" w:hAnsi="宋体" w:cs="宋体" w:eastAsia="宋体" w:hint="default"/>
        </w:rPr>
        <w:t>1.39</w:t>
      </w:r>
      <w:r>
        <w:rPr/>
        <w:t>亿元的授信额度。</w:t>
      </w:r>
    </w:p>
    <w:p>
      <w:pPr>
        <w:pStyle w:val="BodyText"/>
        <w:spacing w:line="240" w:lineRule="auto" w:before="29"/>
        <w:ind w:left="650" w:right="1002"/>
        <w:jc w:val="left"/>
      </w:pPr>
      <w:r>
        <w:rPr>
          <w:rFonts w:ascii="宋体" w:hAnsi="宋体" w:cs="宋体" w:eastAsia="宋体" w:hint="default"/>
        </w:rPr>
        <w:t>3</w:t>
      </w:r>
      <w:r>
        <w:rPr/>
        <w:t>、本公司为子公司苏州开关二厂有限公司提供不超过 </w:t>
      </w:r>
      <w:r>
        <w:rPr>
          <w:rFonts w:ascii="宋体" w:hAnsi="宋体" w:cs="宋体" w:eastAsia="宋体" w:hint="default"/>
        </w:rPr>
        <w:t>1</w:t>
      </w:r>
      <w:r>
        <w:rPr>
          <w:rFonts w:ascii="宋体" w:hAnsi="宋体" w:cs="宋体" w:eastAsia="宋体" w:hint="default"/>
          <w:spacing w:val="2"/>
        </w:rPr>
        <w:t> </w:t>
      </w:r>
      <w:r>
        <w:rPr/>
        <w:t>亿元的银行综合授信额度的担保，截止</w:t>
      </w:r>
    </w:p>
    <w:p>
      <w:pPr>
        <w:pStyle w:val="BodyText"/>
        <w:spacing w:line="240" w:lineRule="auto" w:before="128"/>
        <w:ind w:right="1002"/>
        <w:jc w:val="lef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日，苏州开关二厂有限公司已使用 </w:t>
      </w:r>
      <w:r>
        <w:rPr>
          <w:rFonts w:ascii="宋体" w:hAnsi="宋体" w:cs="宋体" w:eastAsia="宋体" w:hint="default"/>
        </w:rPr>
        <w:t>1,556.34</w:t>
      </w:r>
      <w:r>
        <w:rPr/>
        <w:t>万元的授信额度。</w:t>
      </w:r>
    </w:p>
    <w:p>
      <w:pPr>
        <w:pStyle w:val="BodyText"/>
        <w:spacing w:line="240" w:lineRule="auto" w:before="123"/>
        <w:ind w:left="650" w:right="1002"/>
        <w:jc w:val="left"/>
      </w:pPr>
      <w:r>
        <w:rPr>
          <w:rFonts w:ascii="宋体" w:hAnsi="宋体" w:cs="宋体" w:eastAsia="宋体" w:hint="default"/>
        </w:rPr>
        <w:t>4</w:t>
      </w:r>
      <w:r>
        <w:rPr/>
        <w:t>、本公司为子公司安徽森源电器有限公司提供不超过</w:t>
      </w:r>
      <w:r>
        <w:rPr>
          <w:rFonts w:ascii="宋体" w:hAnsi="宋体" w:cs="宋体" w:eastAsia="宋体" w:hint="default"/>
        </w:rPr>
        <w:t>3.00</w:t>
      </w:r>
      <w:r>
        <w:rPr>
          <w:rFonts w:ascii="宋体" w:hAnsi="宋体" w:cs="宋体" w:eastAsia="宋体" w:hint="default"/>
          <w:spacing w:val="3"/>
        </w:rPr>
        <w:t> </w:t>
      </w:r>
      <w:r>
        <w:rPr/>
        <w:t>亿元的银行综合授信额度的担保，截止</w:t>
      </w:r>
    </w:p>
    <w:p>
      <w:pPr>
        <w:pStyle w:val="BodyText"/>
        <w:spacing w:line="240" w:lineRule="auto" w:before="123"/>
        <w:ind w:right="1002"/>
        <w:jc w:val="lef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日，安徽森源电器有限公司未使用授信额度。</w:t>
      </w:r>
    </w:p>
    <w:p>
      <w:pPr>
        <w:pStyle w:val="BodyText"/>
        <w:spacing w:line="348" w:lineRule="auto" w:before="128"/>
        <w:ind w:right="1081" w:firstLine="537"/>
        <w:jc w:val="left"/>
      </w:pPr>
      <w:r>
        <w:rPr>
          <w:rFonts w:ascii="宋体" w:hAnsi="宋体" w:cs="宋体" w:eastAsia="宋体" w:hint="default"/>
        </w:rPr>
        <w:t>5</w:t>
      </w:r>
      <w:r>
        <w:rPr/>
        <w:t>、本公司为子公司安徽鑫龙低压电器有限公司提供不超过 </w:t>
      </w:r>
      <w:r>
        <w:rPr>
          <w:rFonts w:ascii="宋体" w:hAnsi="宋体" w:cs="宋体" w:eastAsia="宋体" w:hint="default"/>
        </w:rPr>
        <w:t>1.00</w:t>
      </w:r>
      <w:r>
        <w:rPr>
          <w:rFonts w:ascii="宋体" w:hAnsi="宋体" w:cs="宋体" w:eastAsia="宋体" w:hint="default"/>
          <w:spacing w:val="-2"/>
        </w:rPr>
        <w:t> </w:t>
      </w:r>
      <w:r>
        <w:rPr/>
        <w:t>亿元的银行综合授信额度的担保，</w:t>
      </w:r>
      <w:r>
        <w:rPr>
          <w:w w:val="100"/>
        </w:rPr>
        <w:t> </w:t>
      </w:r>
      <w:r>
        <w:rPr/>
        <w:t>截止</w:t>
      </w:r>
      <w:r>
        <w:rPr>
          <w:spacing w:val="1"/>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日，安徽鑫龙低压电器有限公司未使用授信额度。</w:t>
      </w:r>
    </w:p>
    <w:p>
      <w:pPr>
        <w:pStyle w:val="BodyText"/>
        <w:spacing w:line="352" w:lineRule="auto" w:before="29"/>
        <w:ind w:right="1115" w:firstLine="537"/>
        <w:jc w:val="left"/>
      </w:pPr>
      <w:r>
        <w:rPr>
          <w:rFonts w:ascii="宋体" w:hAnsi="宋体" w:cs="宋体" w:eastAsia="宋体" w:hint="default"/>
        </w:rPr>
        <w:t>6</w:t>
      </w:r>
      <w:r>
        <w:rPr/>
        <w:t>、本公司为子公司安徽鑫龙自动化有限公司提供不超过 </w:t>
      </w:r>
      <w:r>
        <w:rPr>
          <w:rFonts w:ascii="宋体" w:hAnsi="宋体" w:cs="宋体" w:eastAsia="宋体" w:hint="default"/>
        </w:rPr>
        <w:t>1.50</w:t>
      </w:r>
      <w:r>
        <w:rPr>
          <w:rFonts w:ascii="宋体" w:hAnsi="宋体" w:cs="宋体" w:eastAsia="宋体" w:hint="default"/>
          <w:spacing w:val="12"/>
        </w:rPr>
        <w:t> </w:t>
      </w:r>
      <w:r>
        <w:rPr>
          <w:spacing w:val="-3"/>
        </w:rPr>
        <w:t>亿元的银行综合授信额度的担保，截</w:t>
      </w:r>
      <w:r>
        <w:rPr>
          <w:w w:val="100"/>
        </w:rPr>
        <w:t> </w:t>
      </w:r>
      <w:r>
        <w:rPr/>
        <w:t>止</w:t>
      </w:r>
      <w:r>
        <w:rPr>
          <w:spacing w:val="3"/>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日，安徽鑫龙自动化有限公司已使用</w:t>
      </w:r>
      <w:r>
        <w:rPr>
          <w:rFonts w:ascii="宋体" w:hAnsi="宋体" w:cs="宋体" w:eastAsia="宋体" w:hint="default"/>
        </w:rPr>
        <w:t>2500</w:t>
      </w:r>
      <w:r>
        <w:rPr/>
        <w:t>万授信额度。</w:t>
      </w:r>
    </w:p>
    <w:p>
      <w:pPr>
        <w:pStyle w:val="BodyText"/>
        <w:spacing w:line="348" w:lineRule="auto" w:before="25"/>
        <w:ind w:right="1181" w:firstLine="537"/>
        <w:jc w:val="left"/>
      </w:pPr>
      <w:r>
        <w:rPr>
          <w:rFonts w:ascii="宋体" w:hAnsi="宋体" w:cs="宋体" w:eastAsia="宋体" w:hint="default"/>
        </w:rPr>
        <w:t>7</w:t>
      </w:r>
      <w:r>
        <w:rPr/>
        <w:t>、本公司为子公司安徽北辰能源工程技术有限公司提供不超过</w:t>
      </w:r>
      <w:r>
        <w:rPr>
          <w:rFonts w:ascii="宋体" w:hAnsi="宋体" w:cs="宋体" w:eastAsia="宋体" w:hint="default"/>
        </w:rPr>
        <w:t>5,000.00</w:t>
      </w:r>
      <w:r>
        <w:rPr>
          <w:rFonts w:ascii="宋体" w:hAnsi="宋体" w:cs="宋体" w:eastAsia="宋体" w:hint="default"/>
          <w:spacing w:val="3"/>
        </w:rPr>
        <w:t> </w:t>
      </w:r>
      <w:r>
        <w:rPr/>
        <w:t>万元的银行综合授信额度</w:t>
      </w:r>
      <w:r>
        <w:rPr>
          <w:w w:val="100"/>
        </w:rPr>
        <w:t> </w:t>
      </w:r>
      <w:r>
        <w:rPr/>
        <w:t>的担保，截止</w:t>
      </w:r>
      <w:r>
        <w:rPr>
          <w:spacing w:val="-1"/>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日，安徽北辰能源工程技术有限公司未使用授信额度。</w:t>
      </w:r>
    </w:p>
    <w:p>
      <w:pPr>
        <w:pStyle w:val="BodyText"/>
        <w:spacing w:line="348" w:lineRule="auto" w:before="34"/>
        <w:ind w:right="1117" w:firstLine="537"/>
        <w:jc w:val="left"/>
      </w:pPr>
      <w:r>
        <w:rPr>
          <w:rFonts w:ascii="宋体" w:hAnsi="宋体" w:cs="宋体" w:eastAsia="宋体" w:hint="default"/>
          <w:spacing w:val="-3"/>
        </w:rPr>
        <w:t>8</w:t>
      </w:r>
      <w:r>
        <w:rPr>
          <w:spacing w:val="-3"/>
        </w:rPr>
        <w:t>、本公司为子公司苏州天平安装工程有限公司提供不超过 </w:t>
      </w:r>
      <w:r>
        <w:rPr>
          <w:rFonts w:ascii="宋体" w:hAnsi="宋体" w:cs="宋体" w:eastAsia="宋体" w:hint="default"/>
        </w:rPr>
        <w:t>3,000.00</w:t>
      </w:r>
      <w:r>
        <w:rPr>
          <w:rFonts w:ascii="宋体" w:hAnsi="宋体" w:cs="宋体" w:eastAsia="宋体" w:hint="default"/>
          <w:spacing w:val="43"/>
        </w:rPr>
        <w:t> </w:t>
      </w:r>
      <w:r>
        <w:rPr/>
        <w:t>万元的银行综合授信额度的担</w:t>
      </w:r>
      <w:r>
        <w:rPr>
          <w:w w:val="100"/>
        </w:rPr>
        <w:t> </w:t>
      </w:r>
      <w:r>
        <w:rPr/>
        <w:t>保，截止</w:t>
      </w:r>
      <w:r>
        <w:rPr>
          <w:spacing w:val="-1"/>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日，苏州天平安装工程有限公司未使用授信额度。</w:t>
      </w:r>
    </w:p>
    <w:p>
      <w:pPr>
        <w:pStyle w:val="BodyText"/>
        <w:spacing w:line="240" w:lineRule="auto" w:before="29"/>
        <w:ind w:left="650" w:right="1002"/>
        <w:jc w:val="left"/>
      </w:pPr>
      <w:r>
        <w:rPr>
          <w:rFonts w:ascii="宋体" w:hAnsi="宋体" w:cs="宋体" w:eastAsia="宋体" w:hint="default"/>
        </w:rPr>
        <w:t>9</w:t>
      </w:r>
      <w:r>
        <w:rPr/>
        <w:t>、本公司子公司之间相互提供</w:t>
      </w:r>
      <w:r>
        <w:rPr>
          <w:rFonts w:ascii="宋体" w:hAnsi="宋体" w:cs="宋体" w:eastAsia="宋体" w:hint="default"/>
        </w:rPr>
        <w:t>2.00</w:t>
      </w:r>
      <w:r>
        <w:rPr/>
        <w:t>亿元担保，截止</w:t>
      </w:r>
      <w:r>
        <w:rPr>
          <w:spacing w:val="3"/>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日，子公司之间尚未使用授信额</w:t>
      </w:r>
    </w:p>
    <w:p>
      <w:pPr>
        <w:pStyle w:val="BodyText"/>
        <w:spacing w:line="240" w:lineRule="auto" w:before="128"/>
        <w:ind w:right="1002"/>
        <w:jc w:val="left"/>
      </w:pPr>
      <w:r>
        <w:rPr/>
        <w:t>度。</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5）关联方资金拆借" w:id="489"/>
      <w:bookmarkEnd w:id="489"/>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38"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98"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拆入</w:t>
            </w:r>
          </w:p>
        </w:tc>
      </w:tr>
    </w:tbl>
    <w:p>
      <w:pPr>
        <w:spacing w:after="0" w:line="240"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12"/>
        <w:rPr>
          <w:rFonts w:ascii="宋体" w:hAnsi="宋体" w:cs="宋体" w:eastAsia="宋体" w:hint="default"/>
          <w:sz w:val="25"/>
          <w:szCs w:val="25"/>
        </w:rPr>
      </w:pPr>
    </w:p>
    <w:p>
      <w:pPr>
        <w:spacing w:line="403" w:lineRule="exact"/>
        <w:ind w:left="113"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75pt;height:20.2pt;mso-position-horizontal-relative:char;mso-position-vertical-relative:line" type="#_x0000_t202" filled="true" fillcolor="#d2d2d2" stroked="true" strokeweight=".50403pt" strokecolor="#000000">
            <w10:anchorlock/>
            <v:textbox inset="0,0,0,0">
              <w:txbxContent>
                <w:p>
                  <w:pPr>
                    <w:pStyle w:val="BodyText"/>
                    <w:spacing w:line="240" w:lineRule="auto" w:before="28"/>
                    <w:ind w:left="105" w:right="0"/>
                    <w:jc w:val="left"/>
                  </w:pPr>
                  <w:r>
                    <w:rPr/>
                    <w:t>拆出</w:t>
                  </w:r>
                </w:p>
              </w:txbxContent>
            </v:textbox>
            <v:fill type="solid"/>
          </v:shape>
        </w:pict>
      </w:r>
      <w:r>
        <w:rPr>
          <w:rFonts w:ascii="宋体" w:hAnsi="宋体" w:cs="宋体" w:eastAsia="宋体" w:hint="default"/>
          <w:position w:val="-7"/>
          <w:sz w:val="20"/>
          <w:szCs w:val="20"/>
        </w:rPr>
      </w:r>
    </w:p>
    <w:p>
      <w:pPr>
        <w:spacing w:line="240" w:lineRule="auto" w:before="8"/>
        <w:rPr>
          <w:rFonts w:ascii="宋体" w:hAnsi="宋体" w:cs="宋体" w:eastAsia="宋体" w:hint="default"/>
          <w:sz w:val="19"/>
          <w:szCs w:val="19"/>
        </w:rPr>
      </w:pPr>
    </w:p>
    <w:p>
      <w:pPr>
        <w:pStyle w:val="Heading5"/>
        <w:spacing w:line="240" w:lineRule="auto" w:before="36"/>
        <w:ind w:right="1002"/>
        <w:jc w:val="left"/>
        <w:rPr>
          <w:b w:val="0"/>
          <w:bCs w:val="0"/>
        </w:rPr>
      </w:pPr>
      <w:bookmarkStart w:name="（6）关联方资产转让、债务重组情况" w:id="490"/>
      <w:bookmarkEnd w:id="49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9"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566"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66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7）关键管理人员报酬" w:id="491"/>
      <w:bookmarkEnd w:id="491"/>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371"/>
              <w:jc w:val="right"/>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386"/>
              <w:jc w:val="right"/>
              <w:rPr>
                <w:rFonts w:ascii="宋体" w:hAnsi="宋体" w:cs="宋体" w:eastAsia="宋体" w:hint="default"/>
                <w:sz w:val="21"/>
                <w:szCs w:val="21"/>
              </w:rPr>
            </w:pPr>
            <w:r>
              <w:rPr>
                <w:rFonts w:ascii="宋体" w:hAnsi="宋体" w:cs="宋体" w:eastAsia="宋体" w:hint="default"/>
                <w:spacing w:val="-1"/>
                <w:sz w:val="21"/>
                <w:szCs w:val="21"/>
              </w:rPr>
              <w:t>关键管理人员薪酬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78" w:right="0"/>
              <w:jc w:val="left"/>
              <w:rPr>
                <w:rFonts w:ascii="Times New Roman" w:hAnsi="Times New Roman" w:cs="Times New Roman" w:eastAsia="Times New Roman" w:hint="default"/>
                <w:sz w:val="21"/>
                <w:szCs w:val="21"/>
              </w:rPr>
            </w:pPr>
            <w:r>
              <w:rPr>
                <w:rFonts w:ascii="Times New Roman"/>
                <w:sz w:val="21"/>
              </w:rPr>
              <w:t>8,387,910.00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73" w:right="0"/>
              <w:jc w:val="left"/>
              <w:rPr>
                <w:rFonts w:ascii="Times New Roman" w:hAnsi="Times New Roman" w:cs="Times New Roman" w:eastAsia="Times New Roman" w:hint="default"/>
                <w:sz w:val="21"/>
                <w:szCs w:val="21"/>
              </w:rPr>
            </w:pPr>
            <w:r>
              <w:rPr>
                <w:rFonts w:ascii="Times New Roman"/>
                <w:sz w:val="21"/>
              </w:rPr>
              <w:t>7,915,610.00</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8）其他关联交易" w:id="492"/>
      <w:bookmarkEnd w:id="492"/>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6、关联方应收应付款项" w:id="493"/>
      <w:bookmarkEnd w:id="49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1002"/>
        <w:jc w:val="left"/>
        <w:rPr>
          <w:b w:val="0"/>
          <w:bCs w:val="0"/>
        </w:rPr>
      </w:pPr>
      <w:bookmarkStart w:name="（1）应收项目" w:id="494"/>
      <w:bookmarkEnd w:id="49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398"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6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7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219"/>
              <w:jc w:val="left"/>
              <w:rPr>
                <w:rFonts w:ascii="宋体" w:hAnsi="宋体" w:cs="宋体" w:eastAsia="宋体" w:hint="default"/>
                <w:sz w:val="21"/>
                <w:szCs w:val="21"/>
              </w:rPr>
            </w:pPr>
            <w:r>
              <w:rPr>
                <w:rFonts w:ascii="宋体" w:hAnsi="宋体" w:cs="宋体" w:eastAsia="宋体" w:hint="default"/>
                <w:sz w:val="21"/>
                <w:szCs w:val="21"/>
              </w:rPr>
              <w:t>天津滨电电力</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工程有限公司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75" w:right="0"/>
              <w:jc w:val="left"/>
              <w:rPr>
                <w:rFonts w:ascii="Times New Roman" w:hAnsi="Times New Roman" w:cs="Times New Roman" w:eastAsia="Times New Roman" w:hint="default"/>
                <w:sz w:val="21"/>
                <w:szCs w:val="21"/>
              </w:rPr>
            </w:pPr>
            <w:r>
              <w:rPr>
                <w:rFonts w:ascii="Times New Roman"/>
                <w:sz w:val="21"/>
              </w:rPr>
              <w:t>1,826,291.00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127,382.85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74" w:right="0"/>
              <w:jc w:val="left"/>
              <w:rPr>
                <w:rFonts w:ascii="Times New Roman" w:hAnsi="Times New Roman" w:cs="Times New Roman" w:eastAsia="Times New Roman" w:hint="default"/>
                <w:sz w:val="21"/>
                <w:szCs w:val="21"/>
              </w:rPr>
            </w:pPr>
            <w:r>
              <w:rPr>
                <w:rFonts w:ascii="Times New Roman"/>
                <w:sz w:val="21"/>
              </w:rPr>
              <w:t>2,301,021.00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69,030.63</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8"/>
              <w:ind w:left="105" w:right="219"/>
              <w:jc w:val="left"/>
              <w:rPr>
                <w:rFonts w:ascii="宋体" w:hAnsi="宋体" w:cs="宋体" w:eastAsia="宋体" w:hint="default"/>
                <w:sz w:val="21"/>
                <w:szCs w:val="21"/>
              </w:rPr>
            </w:pPr>
            <w:r>
              <w:rPr>
                <w:rFonts w:ascii="宋体" w:hAnsi="宋体" w:cs="宋体" w:eastAsia="宋体" w:hint="default"/>
                <w:sz w:val="21"/>
                <w:szCs w:val="21"/>
              </w:rPr>
              <w:t>云南云韵投资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75" w:right="0"/>
              <w:jc w:val="left"/>
              <w:rPr>
                <w:rFonts w:ascii="Times New Roman" w:hAnsi="Times New Roman" w:cs="Times New Roman" w:eastAsia="Times New Roman" w:hint="default"/>
                <w:sz w:val="21"/>
                <w:szCs w:val="21"/>
              </w:rPr>
            </w:pPr>
            <w:r>
              <w:rPr>
                <w:rFonts w:ascii="Times New Roman"/>
                <w:sz w:val="21"/>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21"/>
                <w:szCs w:val="21"/>
              </w:rPr>
            </w:pPr>
            <w:r>
              <w:rPr>
                <w:rFonts w:ascii="Times New Roman"/>
                <w:sz w:val="21"/>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200,000.00</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应付项目" w:id="495"/>
      <w:bookmarkEnd w:id="49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633"/>
        <w:gridCol w:w="3453"/>
        <w:gridCol w:w="2094"/>
        <w:gridCol w:w="2391"/>
      </w:tblGrid>
      <w:tr>
        <w:trPr>
          <w:trHeight w:val="404" w:hRule="exact"/>
        </w:trPr>
        <w:tc>
          <w:tcPr>
            <w:tcW w:w="1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9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3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0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61"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98" w:hRule="exact"/>
        </w:trPr>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453" w:type="dxa"/>
            <w:tcBorders>
              <w:top w:val="single" w:sz="4" w:space="0" w:color="000000"/>
              <w:left w:val="single" w:sz="4" w:space="0" w:color="000000"/>
              <w:bottom w:val="single" w:sz="4" w:space="0" w:color="000000"/>
              <w:right w:val="single" w:sz="4" w:space="0" w:color="000000"/>
            </w:tcBorders>
          </w:tcPr>
          <w:p>
            <w:pPr/>
          </w:p>
        </w:tc>
        <w:tc>
          <w:tcPr>
            <w:tcW w:w="20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3" w:type="dxa"/>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刘兵良</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11,086,475.00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3" w:type="dxa"/>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刘骥</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2,918,074.00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33" w:type="dxa"/>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芜湖中电兆威电子股份有限公司</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149,082.57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50,000.00</w:t>
            </w:r>
          </w:p>
        </w:tc>
      </w:tr>
      <w:tr>
        <w:trPr>
          <w:trHeight w:val="398" w:hRule="exact"/>
        </w:trPr>
        <w:tc>
          <w:tcPr>
            <w:tcW w:w="1633" w:type="dxa"/>
            <w:tcBorders>
              <w:top w:val="single" w:sz="4" w:space="0" w:color="000000"/>
              <w:left w:val="single" w:sz="4" w:space="0" w:color="000000"/>
              <w:bottom w:val="single" w:sz="4" w:space="0" w:color="000000"/>
              <w:right w:val="single" w:sz="4" w:space="0" w:color="000000"/>
            </w:tcBorders>
          </w:tcPr>
          <w:p>
            <w:pPr/>
          </w:p>
        </w:tc>
        <w:tc>
          <w:tcPr>
            <w:tcW w:w="3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瞿洪桂</w:t>
            </w:r>
          </w:p>
        </w:tc>
        <w:tc>
          <w:tcPr>
            <w:tcW w:w="20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508,547.01</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1002"/>
        <w:jc w:val="left"/>
        <w:rPr>
          <w:b w:val="0"/>
          <w:bCs w:val="0"/>
        </w:rPr>
      </w:pPr>
      <w:bookmarkStart w:name="7、关联方承诺" w:id="496"/>
      <w:bookmarkEnd w:id="496"/>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5"/>
        <w:rPr>
          <w:rFonts w:ascii="宋体" w:hAnsi="宋体" w:cs="宋体" w:eastAsia="宋体" w:hint="default"/>
          <w:b/>
          <w:bCs/>
          <w:sz w:val="24"/>
          <w:szCs w:val="24"/>
        </w:rPr>
      </w:pPr>
    </w:p>
    <w:p>
      <w:pPr>
        <w:pStyle w:val="Heading5"/>
        <w:spacing w:line="520" w:lineRule="auto"/>
        <w:ind w:right="8748"/>
        <w:jc w:val="left"/>
        <w:rPr>
          <w:b w:val="0"/>
          <w:bCs w:val="0"/>
        </w:rPr>
      </w:pPr>
      <w:bookmarkStart w:name="8、其他" w:id="497"/>
      <w:bookmarkEnd w:id="497"/>
      <w:r>
        <w:rPr>
          <w:b w:val="0"/>
          <w:bCs w:val="0"/>
        </w:rPr>
      </w:r>
      <w:r>
        <w:rPr>
          <w:rFonts w:ascii="Times New Roman" w:hAnsi="Times New Roman" w:cs="Times New Roman" w:eastAsia="Times New Roman" w:hint="default"/>
        </w:rPr>
        <w:t>8</w:t>
      </w:r>
      <w:r>
        <w:rPr/>
        <w:t>、其他</w:t>
      </w:r>
      <w:r>
        <w:rPr>
          <w:w w:val="100"/>
        </w:rPr>
        <w:t> </w:t>
      </w:r>
      <w:bookmarkStart w:name="十三、股份支付" w:id="498"/>
      <w:bookmarkEnd w:id="498"/>
      <w:r>
        <w:rPr/>
        <w:t>十三、股份支付</w:t>
      </w:r>
      <w:r>
        <w:rPr>
          <w:spacing w:val="-104"/>
        </w:rPr>
        <w:t> </w:t>
      </w:r>
      <w:r>
        <w:rPr>
          <w:spacing w:val="-104"/>
        </w:rPr>
      </w:r>
      <w:bookmarkStart w:name="1、股份支付总体情况" w:id="499"/>
      <w:bookmarkEnd w:id="499"/>
      <w:r>
        <w:rPr>
          <w:spacing w:val="-104"/>
        </w:rPr>
      </w:r>
      <w:r>
        <w:rPr>
          <w:rFonts w:ascii="Times New Roman" w:hAnsi="Times New Roman" w:cs="Times New Roman" w:eastAsia="Times New Roman" w:hint="default"/>
        </w:rPr>
        <w:t>1</w:t>
      </w:r>
      <w:r>
        <w:rPr/>
        <w:t>、股份支付总体情况</w:t>
      </w:r>
      <w:r>
        <w:rPr>
          <w:b w:val="0"/>
          <w:bCs w:val="0"/>
        </w:rPr>
      </w:r>
    </w:p>
    <w:p>
      <w:pPr>
        <w:pStyle w:val="BodyText"/>
        <w:spacing w:line="240" w:lineRule="auto" w:before="56"/>
        <w:ind w:right="1002"/>
        <w:jc w:val="left"/>
      </w:pPr>
      <w:r>
        <w:rPr/>
        <w:t>□ 适用 √</w:t>
      </w:r>
      <w:r>
        <w:rPr>
          <w:spacing w:val="4"/>
        </w:rPr>
        <w:t> </w:t>
      </w:r>
      <w:r>
        <w:rPr/>
        <w:t>不适用</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2、以权益结算的股份支付情况" w:id="500"/>
      <w:bookmarkEnd w:id="500"/>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002"/>
        <w:jc w:val="left"/>
      </w:pPr>
      <w:r>
        <w:rPr/>
        <w:t>□ 适用 √</w:t>
      </w:r>
      <w:r>
        <w:rPr>
          <w:spacing w:val="4"/>
        </w:rPr>
        <w:t> </w:t>
      </w:r>
      <w:r>
        <w:rPr/>
        <w:t>不适用</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3、以现金结算的股份支付情况" w:id="501"/>
      <w:bookmarkEnd w:id="501"/>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002"/>
        <w:jc w:val="left"/>
      </w:pPr>
      <w:r>
        <w:rPr/>
        <w:t>□ 适用 √</w:t>
      </w:r>
      <w:r>
        <w:rPr>
          <w:spacing w:val="4"/>
        </w:rPr>
        <w:t> </w:t>
      </w:r>
      <w:r>
        <w:rPr/>
        <w:t>不适用</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4、股份支付的修改、终止情况" w:id="502"/>
      <w:bookmarkEnd w:id="502"/>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pStyle w:val="Heading5"/>
        <w:spacing w:line="520" w:lineRule="auto"/>
        <w:ind w:right="8092"/>
        <w:jc w:val="left"/>
        <w:rPr>
          <w:b w:val="0"/>
          <w:bCs w:val="0"/>
        </w:rPr>
      </w:pPr>
      <w:bookmarkStart w:name="5、其他" w:id="503"/>
      <w:bookmarkEnd w:id="503"/>
      <w:r>
        <w:rPr>
          <w:b w:val="0"/>
          <w:bCs w:val="0"/>
        </w:rPr>
      </w:r>
      <w:r>
        <w:rPr>
          <w:rFonts w:ascii="Times New Roman" w:hAnsi="Times New Roman" w:cs="Times New Roman" w:eastAsia="Times New Roman" w:hint="default"/>
        </w:rPr>
        <w:t>5</w:t>
      </w:r>
      <w:r>
        <w:rPr/>
        <w:t>、其他</w:t>
      </w:r>
      <w:r>
        <w:rPr>
          <w:w w:val="100"/>
        </w:rPr>
        <w:t> </w:t>
      </w:r>
      <w:bookmarkStart w:name="十四、承诺及或有事项" w:id="504"/>
      <w:bookmarkEnd w:id="504"/>
      <w:r>
        <w:rPr/>
        <w:t>十四、承诺及或有事项</w:t>
      </w:r>
      <w:r>
        <w:rPr>
          <w:spacing w:val="-103"/>
        </w:rPr>
        <w:t> </w:t>
      </w:r>
      <w:r>
        <w:rPr>
          <w:spacing w:val="-103"/>
        </w:rPr>
      </w:r>
      <w:bookmarkStart w:name="1、重要承诺事项" w:id="505"/>
      <w:bookmarkEnd w:id="505"/>
      <w:r>
        <w:rPr>
          <w:spacing w:val="-103"/>
        </w:rPr>
      </w:r>
      <w:r>
        <w:rPr>
          <w:rFonts w:ascii="Times New Roman" w:hAnsi="Times New Roman" w:cs="Times New Roman" w:eastAsia="Times New Roman" w:hint="default"/>
        </w:rPr>
        <w:t>1</w:t>
      </w:r>
      <w:r>
        <w:rPr/>
        <w:t>、重要承诺事项</w:t>
      </w:r>
      <w:r>
        <w:rPr>
          <w:b w:val="0"/>
          <w:bCs w:val="0"/>
        </w:rPr>
      </w:r>
    </w:p>
    <w:p>
      <w:pPr>
        <w:pStyle w:val="BodyText"/>
        <w:spacing w:line="307" w:lineRule="auto" w:before="57"/>
        <w:ind w:left="473" w:right="5730" w:hanging="360"/>
        <w:jc w:val="left"/>
      </w:pPr>
      <w:r>
        <w:rPr/>
        <w:t>资产负债表日存在的重要承诺</w:t>
      </w:r>
      <w:r>
        <w:rPr>
          <w:spacing w:val="-100"/>
        </w:rPr>
        <w:t> </w:t>
      </w:r>
      <w:r>
        <w:rPr>
          <w:spacing w:val="-100"/>
        </w:rPr>
      </w:r>
      <w:r>
        <w:rPr>
          <w:spacing w:val="-2"/>
        </w:rPr>
        <w:t>本公司不存在需要披露的重要承诺事项。</w:t>
      </w:r>
    </w:p>
    <w:p>
      <w:pPr>
        <w:spacing w:line="240" w:lineRule="auto" w:before="6"/>
        <w:rPr>
          <w:rFonts w:ascii="宋体" w:hAnsi="宋体" w:cs="宋体" w:eastAsia="宋体" w:hint="default"/>
          <w:sz w:val="21"/>
          <w:szCs w:val="21"/>
        </w:rPr>
      </w:pPr>
    </w:p>
    <w:p>
      <w:pPr>
        <w:pStyle w:val="Heading5"/>
        <w:spacing w:line="240" w:lineRule="auto"/>
        <w:ind w:right="1002"/>
        <w:jc w:val="left"/>
        <w:rPr>
          <w:b w:val="0"/>
          <w:bCs w:val="0"/>
        </w:rPr>
      </w:pPr>
      <w:bookmarkStart w:name="2、或有事项" w:id="506"/>
      <w:bookmarkEnd w:id="506"/>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pStyle w:val="Heading5"/>
        <w:spacing w:line="506" w:lineRule="auto"/>
        <w:ind w:left="473" w:right="5857" w:hanging="360"/>
        <w:jc w:val="left"/>
        <w:rPr>
          <w:b w:val="0"/>
          <w:bCs w:val="0"/>
        </w:rPr>
      </w:pPr>
      <w:r>
        <w:rPr/>
        <w:pict>
          <v:shape style="position:absolute;margin-left:56.183998pt;margin-top:47.063698pt;width:476pt;height:163.7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8"/>
                    <w:gridCol w:w="1902"/>
                    <w:gridCol w:w="1224"/>
                    <w:gridCol w:w="1695"/>
                    <w:gridCol w:w="1575"/>
                    <w:gridCol w:w="1474"/>
                  </w:tblGrid>
                  <w:tr>
                    <w:trPr>
                      <w:trHeight w:val="346"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原告</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被告</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98" w:right="0"/>
                          <w:jc w:val="left"/>
                          <w:rPr>
                            <w:rFonts w:ascii="宋体" w:hAnsi="宋体" w:cs="宋体" w:eastAsia="宋体" w:hint="default"/>
                            <w:sz w:val="21"/>
                            <w:szCs w:val="21"/>
                          </w:rPr>
                        </w:pPr>
                        <w:r>
                          <w:rPr>
                            <w:rFonts w:ascii="宋体" w:hAnsi="宋体" w:cs="宋体" w:eastAsia="宋体" w:hint="default"/>
                            <w:sz w:val="21"/>
                            <w:szCs w:val="21"/>
                          </w:rPr>
                          <w:t>案由</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22" w:right="0"/>
                          <w:jc w:val="left"/>
                          <w:rPr>
                            <w:rFonts w:ascii="宋体" w:hAnsi="宋体" w:cs="宋体" w:eastAsia="宋体" w:hint="default"/>
                            <w:sz w:val="21"/>
                            <w:szCs w:val="21"/>
                          </w:rPr>
                        </w:pPr>
                        <w:r>
                          <w:rPr>
                            <w:rFonts w:ascii="宋体" w:hAnsi="宋体" w:cs="宋体" w:eastAsia="宋体" w:hint="default"/>
                            <w:sz w:val="21"/>
                            <w:szCs w:val="21"/>
                          </w:rPr>
                          <w:t>受理法院</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标的额</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5" w:right="0"/>
                          <w:jc w:val="left"/>
                          <w:rPr>
                            <w:rFonts w:ascii="宋体" w:hAnsi="宋体" w:cs="宋体" w:eastAsia="宋体" w:hint="default"/>
                            <w:sz w:val="21"/>
                            <w:szCs w:val="21"/>
                          </w:rPr>
                        </w:pPr>
                        <w:r>
                          <w:rPr>
                            <w:rFonts w:ascii="宋体" w:hAnsi="宋体" w:cs="宋体" w:eastAsia="宋体" w:hint="default"/>
                            <w:sz w:val="21"/>
                            <w:szCs w:val="21"/>
                          </w:rPr>
                          <w:t>案件进展情况</w:t>
                        </w:r>
                      </w:p>
                    </w:tc>
                  </w:tr>
                  <w:tr>
                    <w:trPr>
                      <w:trHeight w:val="970"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2"/>
                          <w:jc w:val="both"/>
                          <w:rPr>
                            <w:rFonts w:ascii="宋体" w:hAnsi="宋体" w:cs="宋体" w:eastAsia="宋体" w:hint="default"/>
                            <w:sz w:val="21"/>
                            <w:szCs w:val="21"/>
                          </w:rPr>
                        </w:pPr>
                        <w:r>
                          <w:rPr>
                            <w:rFonts w:ascii="宋体" w:hAnsi="宋体" w:cs="宋体" w:eastAsia="宋体" w:hint="default"/>
                            <w:sz w:val="21"/>
                            <w:szCs w:val="21"/>
                          </w:rPr>
                          <w:t>安徽中电兴发与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鑫龙科技股份有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95"/>
                          <w:jc w:val="left"/>
                          <w:rPr>
                            <w:rFonts w:ascii="宋体" w:hAnsi="宋体" w:cs="宋体" w:eastAsia="宋体" w:hint="default"/>
                            <w:sz w:val="21"/>
                            <w:szCs w:val="21"/>
                          </w:rPr>
                        </w:pPr>
                        <w:r>
                          <w:rPr>
                            <w:rFonts w:ascii="宋体" w:hAnsi="宋体" w:cs="宋体" w:eastAsia="宋体" w:hint="default"/>
                            <w:sz w:val="21"/>
                            <w:szCs w:val="21"/>
                          </w:rPr>
                          <w:t>合肥通用环境控制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技术有限责任公司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47"/>
                          <w:jc w:val="left"/>
                          <w:rPr>
                            <w:rFonts w:ascii="宋体" w:hAnsi="宋体" w:cs="宋体" w:eastAsia="宋体" w:hint="default"/>
                            <w:sz w:val="21"/>
                            <w:szCs w:val="21"/>
                          </w:rPr>
                        </w:pPr>
                        <w:r>
                          <w:rPr>
                            <w:rFonts w:ascii="宋体" w:hAnsi="宋体" w:cs="宋体" w:eastAsia="宋体" w:hint="default"/>
                            <w:sz w:val="21"/>
                            <w:szCs w:val="21"/>
                          </w:rPr>
                          <w:t>采购合同纠</w:t>
                        </w:r>
                        <w:r>
                          <w:rPr>
                            <w:rFonts w:ascii="宋体" w:hAnsi="宋体" w:cs="宋体" w:eastAsia="宋体" w:hint="default"/>
                            <w:spacing w:val="-99"/>
                            <w:sz w:val="21"/>
                            <w:szCs w:val="21"/>
                          </w:rPr>
                          <w:t> </w:t>
                        </w:r>
                        <w:r>
                          <w:rPr>
                            <w:rFonts w:ascii="宋体" w:hAnsi="宋体" w:cs="宋体" w:eastAsia="宋体" w:hint="default"/>
                            <w:sz w:val="21"/>
                            <w:szCs w:val="21"/>
                          </w:rPr>
                          <w:t>纷</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11" w:right="99" w:hanging="106"/>
                          <w:jc w:val="left"/>
                          <w:rPr>
                            <w:rFonts w:ascii="宋体" w:hAnsi="宋体" w:cs="宋体" w:eastAsia="宋体" w:hint="default"/>
                            <w:sz w:val="21"/>
                            <w:szCs w:val="21"/>
                          </w:rPr>
                        </w:pPr>
                        <w:r>
                          <w:rPr>
                            <w:rFonts w:ascii="宋体" w:hAnsi="宋体" w:cs="宋体" w:eastAsia="宋体" w:hint="default"/>
                            <w:sz w:val="21"/>
                            <w:szCs w:val="21"/>
                          </w:rPr>
                          <w:t>芜湖经济技术开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发区人民法院</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sz w:val="21"/>
                          </w:rPr>
                          <w:t>558,060.00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审理中</w:t>
                        </w:r>
                      </w:p>
                    </w:tc>
                  </w:tr>
                  <w:tr>
                    <w:trPr>
                      <w:trHeight w:val="970"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2"/>
                          <w:jc w:val="both"/>
                          <w:rPr>
                            <w:rFonts w:ascii="宋体" w:hAnsi="宋体" w:cs="宋体" w:eastAsia="宋体" w:hint="default"/>
                            <w:sz w:val="21"/>
                            <w:szCs w:val="21"/>
                          </w:rPr>
                        </w:pPr>
                        <w:r>
                          <w:rPr>
                            <w:rFonts w:ascii="宋体" w:hAnsi="宋体" w:cs="宋体" w:eastAsia="宋体" w:hint="default"/>
                            <w:sz w:val="21"/>
                            <w:szCs w:val="21"/>
                          </w:rPr>
                          <w:t>安徽中电兴发与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鑫龙科技股份有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95"/>
                          <w:jc w:val="left"/>
                          <w:rPr>
                            <w:rFonts w:ascii="宋体" w:hAnsi="宋体" w:cs="宋体" w:eastAsia="宋体" w:hint="default"/>
                            <w:sz w:val="21"/>
                            <w:szCs w:val="21"/>
                          </w:rPr>
                        </w:pPr>
                        <w:r>
                          <w:rPr>
                            <w:rFonts w:ascii="宋体" w:hAnsi="宋体" w:cs="宋体" w:eastAsia="宋体" w:hint="default"/>
                            <w:sz w:val="21"/>
                            <w:szCs w:val="21"/>
                          </w:rPr>
                          <w:t>邢台柏晶科技开发</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47"/>
                          <w:jc w:val="left"/>
                          <w:rPr>
                            <w:rFonts w:ascii="宋体" w:hAnsi="宋体" w:cs="宋体" w:eastAsia="宋体" w:hint="default"/>
                            <w:sz w:val="21"/>
                            <w:szCs w:val="21"/>
                          </w:rPr>
                        </w:pPr>
                        <w:r>
                          <w:rPr>
                            <w:rFonts w:ascii="宋体" w:hAnsi="宋体" w:cs="宋体" w:eastAsia="宋体" w:hint="default"/>
                            <w:sz w:val="21"/>
                            <w:szCs w:val="21"/>
                          </w:rPr>
                          <w:t>买卖合同纠</w:t>
                        </w:r>
                        <w:r>
                          <w:rPr>
                            <w:rFonts w:ascii="宋体" w:hAnsi="宋体" w:cs="宋体" w:eastAsia="宋体" w:hint="default"/>
                            <w:spacing w:val="-99"/>
                            <w:sz w:val="21"/>
                            <w:szCs w:val="21"/>
                          </w:rPr>
                          <w:t> </w:t>
                        </w:r>
                        <w:r>
                          <w:rPr>
                            <w:rFonts w:ascii="宋体" w:hAnsi="宋体" w:cs="宋体" w:eastAsia="宋体" w:hint="default"/>
                            <w:sz w:val="21"/>
                            <w:szCs w:val="21"/>
                          </w:rPr>
                          <w:t>纷</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33" w:right="99" w:hanging="528"/>
                          <w:jc w:val="left"/>
                          <w:rPr>
                            <w:rFonts w:ascii="宋体" w:hAnsi="宋体" w:cs="宋体" w:eastAsia="宋体" w:hint="default"/>
                            <w:sz w:val="21"/>
                            <w:szCs w:val="21"/>
                          </w:rPr>
                        </w:pPr>
                        <w:r>
                          <w:rPr>
                            <w:rFonts w:ascii="宋体" w:hAnsi="宋体" w:cs="宋体" w:eastAsia="宋体" w:hint="default"/>
                            <w:sz w:val="21"/>
                            <w:szCs w:val="21"/>
                          </w:rPr>
                          <w:t>河北省任县人民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法院</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8" w:right="0"/>
                          <w:jc w:val="center"/>
                          <w:rPr>
                            <w:rFonts w:ascii="宋体" w:hAnsi="宋体" w:cs="宋体" w:eastAsia="宋体" w:hint="default"/>
                            <w:sz w:val="21"/>
                            <w:szCs w:val="21"/>
                          </w:rPr>
                        </w:pPr>
                        <w:r>
                          <w:rPr>
                            <w:rFonts w:ascii="宋体"/>
                            <w:sz w:val="21"/>
                          </w:rPr>
                          <w:t>1,500,000.00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 w:right="-5"/>
                          <w:jc w:val="left"/>
                          <w:rPr>
                            <w:rFonts w:ascii="宋体" w:hAnsi="宋体" w:cs="宋体" w:eastAsia="宋体" w:hint="default"/>
                            <w:sz w:val="21"/>
                            <w:szCs w:val="21"/>
                          </w:rPr>
                        </w:pPr>
                        <w:r>
                          <w:rPr>
                            <w:rFonts w:ascii="宋体" w:hAnsi="宋体" w:cs="宋体" w:eastAsia="宋体" w:hint="default"/>
                            <w:spacing w:val="-4"/>
                            <w:sz w:val="21"/>
                            <w:szCs w:val="21"/>
                          </w:rPr>
                          <w:t>二审发回，重审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中</w:t>
                        </w:r>
                      </w:p>
                    </w:tc>
                  </w:tr>
                  <w:tr>
                    <w:trPr>
                      <w:trHeight w:val="975"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2"/>
                          <w:jc w:val="both"/>
                          <w:rPr>
                            <w:rFonts w:ascii="宋体" w:hAnsi="宋体" w:cs="宋体" w:eastAsia="宋体" w:hint="default"/>
                            <w:sz w:val="21"/>
                            <w:szCs w:val="21"/>
                          </w:rPr>
                        </w:pPr>
                        <w:r>
                          <w:rPr>
                            <w:rFonts w:ascii="宋体" w:hAnsi="宋体" w:cs="宋体" w:eastAsia="宋体" w:hint="default"/>
                            <w:sz w:val="21"/>
                            <w:szCs w:val="21"/>
                          </w:rPr>
                          <w:t>中科电力装备集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团安徽销售有限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95"/>
                          <w:jc w:val="left"/>
                          <w:rPr>
                            <w:rFonts w:ascii="宋体" w:hAnsi="宋体" w:cs="宋体" w:eastAsia="宋体" w:hint="default"/>
                            <w:sz w:val="21"/>
                            <w:szCs w:val="21"/>
                          </w:rPr>
                        </w:pPr>
                        <w:r>
                          <w:rPr>
                            <w:rFonts w:ascii="宋体" w:hAnsi="宋体" w:cs="宋体" w:eastAsia="宋体" w:hint="default"/>
                            <w:sz w:val="21"/>
                            <w:szCs w:val="21"/>
                          </w:rPr>
                          <w:t>苏州天平安装工程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47"/>
                          <w:jc w:val="left"/>
                          <w:rPr>
                            <w:rFonts w:ascii="宋体" w:hAnsi="宋体" w:cs="宋体" w:eastAsia="宋体" w:hint="default"/>
                            <w:sz w:val="21"/>
                            <w:szCs w:val="21"/>
                          </w:rPr>
                        </w:pPr>
                        <w:r>
                          <w:rPr>
                            <w:rFonts w:ascii="宋体" w:hAnsi="宋体" w:cs="宋体" w:eastAsia="宋体" w:hint="default"/>
                            <w:sz w:val="21"/>
                            <w:szCs w:val="21"/>
                          </w:rPr>
                          <w:t>买卖合同纠</w:t>
                        </w:r>
                        <w:r>
                          <w:rPr>
                            <w:rFonts w:ascii="宋体" w:hAnsi="宋体" w:cs="宋体" w:eastAsia="宋体" w:hint="default"/>
                            <w:spacing w:val="-99"/>
                            <w:sz w:val="21"/>
                            <w:szCs w:val="21"/>
                          </w:rPr>
                          <w:t> </w:t>
                        </w:r>
                        <w:r>
                          <w:rPr>
                            <w:rFonts w:ascii="宋体" w:hAnsi="宋体" w:cs="宋体" w:eastAsia="宋体" w:hint="default"/>
                            <w:sz w:val="21"/>
                            <w:szCs w:val="21"/>
                          </w:rPr>
                          <w:t>纷</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27" w:right="99" w:hanging="423"/>
                          <w:jc w:val="left"/>
                          <w:rPr>
                            <w:rFonts w:ascii="宋体" w:hAnsi="宋体" w:cs="宋体" w:eastAsia="宋体" w:hint="default"/>
                            <w:sz w:val="21"/>
                            <w:szCs w:val="21"/>
                          </w:rPr>
                        </w:pPr>
                        <w:r>
                          <w:rPr>
                            <w:rFonts w:ascii="宋体" w:hAnsi="宋体" w:cs="宋体" w:eastAsia="宋体" w:hint="default"/>
                            <w:sz w:val="21"/>
                            <w:szCs w:val="21"/>
                          </w:rPr>
                          <w:t>蚌埠市禹会区人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8" w:right="0"/>
                          <w:jc w:val="center"/>
                          <w:rPr>
                            <w:rFonts w:ascii="宋体" w:hAnsi="宋体" w:cs="宋体" w:eastAsia="宋体" w:hint="default"/>
                            <w:sz w:val="21"/>
                            <w:szCs w:val="21"/>
                          </w:rPr>
                        </w:pPr>
                        <w:r>
                          <w:rPr>
                            <w:rFonts w:ascii="宋体"/>
                            <w:sz w:val="21"/>
                          </w:rPr>
                          <w:t>11,010,567.22</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9" w:right="0"/>
                          <w:jc w:val="left"/>
                          <w:rPr>
                            <w:rFonts w:ascii="宋体" w:hAnsi="宋体" w:cs="宋体" w:eastAsia="宋体" w:hint="default"/>
                            <w:sz w:val="21"/>
                            <w:szCs w:val="21"/>
                          </w:rPr>
                        </w:pPr>
                        <w:r>
                          <w:rPr>
                            <w:rFonts w:ascii="宋体" w:hAnsi="宋体" w:cs="宋体" w:eastAsia="宋体" w:hint="default"/>
                            <w:sz w:val="21"/>
                            <w:szCs w:val="21"/>
                          </w:rPr>
                          <w:t>审理中</w:t>
                        </w:r>
                      </w:p>
                    </w:tc>
                  </w:tr>
                </w:tbl>
                <w:p>
                  <w:pPr/>
                </w:p>
              </w:txbxContent>
            </v:textbox>
            <w10:wrap type="none"/>
          </v:shape>
        </w:pict>
      </w:r>
      <w:bookmarkStart w:name="（1）资产负债表日存在的重要或有事项" w:id="507"/>
      <w:bookmarkEnd w:id="507"/>
      <w:r>
        <w:rPr>
          <w:b w:val="0"/>
          <w:bCs w:val="0"/>
        </w:rPr>
      </w:r>
      <w:r>
        <w:rPr/>
        <w:t>（</w:t>
      </w:r>
      <w:r>
        <w:rPr>
          <w:rFonts w:ascii="Times New Roman" w:hAnsi="Times New Roman" w:cs="Times New Roman" w:eastAsia="Times New Roman" w:hint="default"/>
        </w:rPr>
        <w:t>1</w:t>
      </w:r>
      <w:r>
        <w:rPr/>
        <w:t>）资产负债表日存在的重要或有事项</w:t>
      </w:r>
      <w:r>
        <w:rPr>
          <w:w w:val="100"/>
        </w:rPr>
        <w:t> </w:t>
      </w:r>
      <w:r>
        <w:rPr>
          <w:rFonts w:ascii="宋体" w:hAnsi="宋体" w:cs="宋体" w:eastAsia="宋体" w:hint="default"/>
        </w:rPr>
        <w:t>1</w:t>
      </w:r>
      <w:r>
        <w:rPr/>
        <w:t>、未决诉讼或仲裁形成的或有事项及其财务影响</w:t>
      </w:r>
      <w:r>
        <w:rPr>
          <w:b w:val="0"/>
          <w:bCs w:val="0"/>
        </w:rPr>
      </w:r>
    </w:p>
    <w:p>
      <w:pPr>
        <w:spacing w:after="0" w:line="506" w:lineRule="auto"/>
        <w:jc w:val="left"/>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1628"/>
        <w:gridCol w:w="1902"/>
        <w:gridCol w:w="1224"/>
        <w:gridCol w:w="1695"/>
        <w:gridCol w:w="1575"/>
        <w:gridCol w:w="1474"/>
      </w:tblGrid>
      <w:tr>
        <w:trPr>
          <w:trHeight w:val="658"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2"/>
              <w:jc w:val="left"/>
              <w:rPr>
                <w:rFonts w:ascii="宋体" w:hAnsi="宋体" w:cs="宋体" w:eastAsia="宋体" w:hint="default"/>
                <w:sz w:val="21"/>
                <w:szCs w:val="21"/>
              </w:rPr>
            </w:pPr>
            <w:r>
              <w:rPr>
                <w:rFonts w:ascii="宋体" w:hAnsi="宋体" w:cs="宋体" w:eastAsia="宋体" w:hint="default"/>
                <w:sz w:val="21"/>
                <w:szCs w:val="21"/>
              </w:rPr>
              <w:t>苏州天平安装工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程有限公司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5"/>
              <w:jc w:val="left"/>
              <w:rPr>
                <w:rFonts w:ascii="宋体" w:hAnsi="宋体" w:cs="宋体" w:eastAsia="宋体" w:hint="default"/>
                <w:sz w:val="21"/>
                <w:szCs w:val="21"/>
              </w:rPr>
            </w:pPr>
            <w:r>
              <w:rPr>
                <w:rFonts w:ascii="宋体" w:hAnsi="宋体" w:cs="宋体" w:eastAsia="宋体" w:hint="default"/>
                <w:spacing w:val="-2"/>
                <w:sz w:val="21"/>
                <w:szCs w:val="21"/>
              </w:rPr>
              <w:t>华谊影城（苏州）有</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47"/>
              <w:jc w:val="left"/>
              <w:rPr>
                <w:rFonts w:ascii="宋体" w:hAnsi="宋体" w:cs="宋体" w:eastAsia="宋体" w:hint="default"/>
                <w:sz w:val="21"/>
                <w:szCs w:val="21"/>
              </w:rPr>
            </w:pPr>
            <w:r>
              <w:rPr>
                <w:rFonts w:ascii="宋体" w:hAnsi="宋体" w:cs="宋体" w:eastAsia="宋体" w:hint="default"/>
                <w:sz w:val="21"/>
                <w:szCs w:val="21"/>
              </w:rPr>
              <w:t>建设工程施</w:t>
            </w:r>
            <w:r>
              <w:rPr>
                <w:rFonts w:ascii="宋体" w:hAnsi="宋体" w:cs="宋体" w:eastAsia="宋体" w:hint="default"/>
                <w:spacing w:val="-99"/>
                <w:sz w:val="21"/>
                <w:szCs w:val="21"/>
              </w:rPr>
              <w:t> </w:t>
            </w:r>
            <w:r>
              <w:rPr>
                <w:rFonts w:ascii="宋体" w:hAnsi="宋体" w:cs="宋体" w:eastAsia="宋体" w:hint="default"/>
                <w:sz w:val="21"/>
                <w:szCs w:val="21"/>
              </w:rPr>
              <w:t>工合同纠纷</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27" w:right="99" w:hanging="423"/>
              <w:jc w:val="left"/>
              <w:rPr>
                <w:rFonts w:ascii="宋体" w:hAnsi="宋体" w:cs="宋体" w:eastAsia="宋体" w:hint="default"/>
                <w:sz w:val="21"/>
                <w:szCs w:val="21"/>
              </w:rPr>
            </w:pPr>
            <w:r>
              <w:rPr>
                <w:rFonts w:ascii="宋体" w:hAnsi="宋体" w:cs="宋体" w:eastAsia="宋体" w:hint="default"/>
                <w:sz w:val="21"/>
                <w:szCs w:val="21"/>
              </w:rPr>
              <w:t>苏州工业园区人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42"/>
              <w:jc w:val="right"/>
              <w:rPr>
                <w:rFonts w:ascii="宋体" w:hAnsi="宋体" w:cs="宋体" w:eastAsia="宋体" w:hint="default"/>
                <w:sz w:val="21"/>
                <w:szCs w:val="21"/>
              </w:rPr>
            </w:pPr>
            <w:r>
              <w:rPr>
                <w:rFonts w:ascii="宋体"/>
                <w:spacing w:val="-1"/>
                <w:sz w:val="21"/>
              </w:rPr>
              <w:t>3,380,000.00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审理中</w:t>
            </w:r>
          </w:p>
        </w:tc>
      </w:tr>
      <w:tr>
        <w:trPr>
          <w:trHeight w:val="663"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11"/>
                <w:sz w:val="21"/>
                <w:szCs w:val="21"/>
              </w:rPr>
              <w:t>典基网络科技（上</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海）有限公司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95"/>
              <w:jc w:val="left"/>
              <w:rPr>
                <w:rFonts w:ascii="宋体" w:hAnsi="宋体" w:cs="宋体" w:eastAsia="宋体" w:hint="default"/>
                <w:sz w:val="21"/>
                <w:szCs w:val="21"/>
              </w:rPr>
            </w:pPr>
            <w:r>
              <w:rPr>
                <w:rFonts w:ascii="宋体" w:hAnsi="宋体" w:cs="宋体" w:eastAsia="宋体" w:hint="default"/>
                <w:sz w:val="21"/>
                <w:szCs w:val="21"/>
              </w:rPr>
              <w:t>北京中电兴发科技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经济纠纷</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33" w:right="99" w:hanging="528"/>
              <w:jc w:val="left"/>
              <w:rPr>
                <w:rFonts w:ascii="宋体" w:hAnsi="宋体" w:cs="宋体" w:eastAsia="宋体" w:hint="default"/>
                <w:sz w:val="21"/>
                <w:szCs w:val="21"/>
              </w:rPr>
            </w:pPr>
            <w:r>
              <w:rPr>
                <w:rFonts w:ascii="宋体" w:hAnsi="宋体" w:cs="宋体" w:eastAsia="宋体" w:hint="default"/>
                <w:sz w:val="21"/>
                <w:szCs w:val="21"/>
              </w:rPr>
              <w:t>北京市高级人民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法院</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7"/>
              <w:jc w:val="right"/>
              <w:rPr>
                <w:rFonts w:ascii="宋体" w:hAnsi="宋体" w:cs="宋体" w:eastAsia="宋体" w:hint="default"/>
                <w:sz w:val="21"/>
                <w:szCs w:val="21"/>
              </w:rPr>
            </w:pPr>
            <w:r>
              <w:rPr>
                <w:rFonts w:ascii="宋体"/>
                <w:spacing w:val="-1"/>
                <w:sz w:val="21"/>
              </w:rPr>
              <w:t>574,168,065.00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一审诉讼中</w:t>
            </w:r>
            <w:r>
              <w:rPr>
                <w:rFonts w:ascii="宋体" w:hAnsi="宋体" w:cs="宋体" w:eastAsia="宋体" w:hint="default"/>
                <w:sz w:val="21"/>
                <w:szCs w:val="21"/>
              </w:rPr>
              <w:t>*</w:t>
            </w:r>
            <w:r>
              <w:rPr>
                <w:rFonts w:ascii="宋体" w:hAnsi="宋体" w:cs="宋体" w:eastAsia="宋体" w:hint="default"/>
                <w:sz w:val="21"/>
                <w:szCs w:val="21"/>
              </w:rPr>
              <w:t>注</w:t>
            </w:r>
          </w:p>
        </w:tc>
      </w:tr>
      <w:tr>
        <w:trPr>
          <w:trHeight w:val="658"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2"/>
              <w:jc w:val="left"/>
              <w:rPr>
                <w:rFonts w:ascii="宋体" w:hAnsi="宋体" w:cs="宋体" w:eastAsia="宋体" w:hint="default"/>
                <w:sz w:val="21"/>
                <w:szCs w:val="21"/>
              </w:rPr>
            </w:pPr>
            <w:r>
              <w:rPr>
                <w:rFonts w:ascii="宋体" w:hAnsi="宋体" w:cs="宋体" w:eastAsia="宋体" w:hint="default"/>
                <w:sz w:val="21"/>
                <w:szCs w:val="21"/>
              </w:rPr>
              <w:t>北京中电兴发科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95"/>
              <w:jc w:val="left"/>
              <w:rPr>
                <w:rFonts w:ascii="宋体" w:hAnsi="宋体" w:cs="宋体" w:eastAsia="宋体" w:hint="default"/>
                <w:sz w:val="21"/>
                <w:szCs w:val="21"/>
              </w:rPr>
            </w:pPr>
            <w:r>
              <w:rPr>
                <w:rFonts w:ascii="宋体" w:hAnsi="宋体" w:cs="宋体" w:eastAsia="宋体" w:hint="default"/>
                <w:sz w:val="21"/>
                <w:szCs w:val="21"/>
              </w:rPr>
              <w:t>北京神州华茂知识</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产权有限公司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经济纠纷</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27" w:right="99" w:hanging="423"/>
              <w:jc w:val="left"/>
              <w:rPr>
                <w:rFonts w:ascii="宋体" w:hAnsi="宋体" w:cs="宋体" w:eastAsia="宋体" w:hint="default"/>
                <w:sz w:val="21"/>
                <w:szCs w:val="21"/>
              </w:rPr>
            </w:pPr>
            <w:r>
              <w:rPr>
                <w:rFonts w:ascii="宋体" w:hAnsi="宋体" w:cs="宋体" w:eastAsia="宋体" w:hint="default"/>
                <w:sz w:val="21"/>
                <w:szCs w:val="21"/>
              </w:rPr>
              <w:t>北京市西城区人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54" w:right="0"/>
              <w:jc w:val="left"/>
              <w:rPr>
                <w:rFonts w:ascii="宋体" w:hAnsi="宋体" w:cs="宋体" w:eastAsia="宋体" w:hint="default"/>
                <w:sz w:val="21"/>
                <w:szCs w:val="21"/>
              </w:rPr>
            </w:pPr>
            <w:r>
              <w:rPr>
                <w:rFonts w:ascii="宋体"/>
                <w:sz w:val="21"/>
              </w:rPr>
              <w:t>100,000.00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立案未开庭</w:t>
            </w:r>
          </w:p>
        </w:tc>
      </w:tr>
      <w:tr>
        <w:trPr>
          <w:trHeight w:val="658"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2"/>
              <w:jc w:val="left"/>
              <w:rPr>
                <w:rFonts w:ascii="宋体" w:hAnsi="宋体" w:cs="宋体" w:eastAsia="宋体" w:hint="default"/>
                <w:sz w:val="21"/>
                <w:szCs w:val="21"/>
              </w:rPr>
            </w:pPr>
            <w:r>
              <w:rPr>
                <w:rFonts w:ascii="宋体" w:hAnsi="宋体" w:cs="宋体" w:eastAsia="宋体" w:hint="default"/>
                <w:sz w:val="21"/>
                <w:szCs w:val="21"/>
              </w:rPr>
              <w:t>北京中电兴发科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95"/>
              <w:jc w:val="left"/>
              <w:rPr>
                <w:rFonts w:ascii="宋体" w:hAnsi="宋体" w:cs="宋体" w:eastAsia="宋体" w:hint="default"/>
                <w:sz w:val="21"/>
                <w:szCs w:val="21"/>
              </w:rPr>
            </w:pPr>
            <w:r>
              <w:rPr>
                <w:rFonts w:ascii="宋体" w:hAnsi="宋体" w:cs="宋体" w:eastAsia="宋体" w:hint="default"/>
                <w:sz w:val="21"/>
                <w:szCs w:val="21"/>
              </w:rPr>
              <w:t>辽宁中电兴展科技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经济纠纷</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27" w:right="99" w:hanging="423"/>
              <w:jc w:val="left"/>
              <w:rPr>
                <w:rFonts w:ascii="宋体" w:hAnsi="宋体" w:cs="宋体" w:eastAsia="宋体" w:hint="default"/>
                <w:sz w:val="21"/>
                <w:szCs w:val="21"/>
              </w:rPr>
            </w:pPr>
            <w:r>
              <w:rPr>
                <w:rFonts w:ascii="宋体" w:hAnsi="宋体" w:cs="宋体" w:eastAsia="宋体" w:hint="default"/>
                <w:sz w:val="21"/>
                <w:szCs w:val="21"/>
              </w:rPr>
              <w:t>北京市海淀区人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42"/>
              <w:jc w:val="right"/>
              <w:rPr>
                <w:rFonts w:ascii="宋体" w:hAnsi="宋体" w:cs="宋体" w:eastAsia="宋体" w:hint="default"/>
                <w:sz w:val="21"/>
                <w:szCs w:val="21"/>
              </w:rPr>
            </w:pPr>
            <w:r>
              <w:rPr>
                <w:rFonts w:ascii="宋体"/>
                <w:spacing w:val="-1"/>
                <w:sz w:val="21"/>
              </w:rPr>
              <w:t>4,347,675.20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立案未开庭</w:t>
            </w:r>
          </w:p>
        </w:tc>
      </w:tr>
      <w:tr>
        <w:trPr>
          <w:trHeight w:val="658"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2"/>
              <w:jc w:val="left"/>
              <w:rPr>
                <w:rFonts w:ascii="宋体" w:hAnsi="宋体" w:cs="宋体" w:eastAsia="宋体" w:hint="default"/>
                <w:sz w:val="21"/>
                <w:szCs w:val="21"/>
              </w:rPr>
            </w:pPr>
            <w:r>
              <w:rPr>
                <w:rFonts w:ascii="宋体" w:hAnsi="宋体" w:cs="宋体" w:eastAsia="宋体" w:hint="default"/>
                <w:sz w:val="21"/>
                <w:szCs w:val="21"/>
              </w:rPr>
              <w:t>北京中电兴发科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95"/>
              <w:jc w:val="left"/>
              <w:rPr>
                <w:rFonts w:ascii="宋体" w:hAnsi="宋体" w:cs="宋体" w:eastAsia="宋体" w:hint="default"/>
                <w:sz w:val="21"/>
                <w:szCs w:val="21"/>
              </w:rPr>
            </w:pPr>
            <w:r>
              <w:rPr>
                <w:rFonts w:ascii="宋体" w:hAnsi="宋体" w:cs="宋体" w:eastAsia="宋体" w:hint="default"/>
                <w:sz w:val="21"/>
                <w:szCs w:val="21"/>
              </w:rPr>
              <w:t>辽宁中电兴展科技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经济纠纷</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27" w:right="99" w:hanging="423"/>
              <w:jc w:val="left"/>
              <w:rPr>
                <w:rFonts w:ascii="宋体" w:hAnsi="宋体" w:cs="宋体" w:eastAsia="宋体" w:hint="default"/>
                <w:sz w:val="21"/>
                <w:szCs w:val="21"/>
              </w:rPr>
            </w:pPr>
            <w:r>
              <w:rPr>
                <w:rFonts w:ascii="宋体" w:hAnsi="宋体" w:cs="宋体" w:eastAsia="宋体" w:hint="default"/>
                <w:sz w:val="21"/>
                <w:szCs w:val="21"/>
              </w:rPr>
              <w:t>沈阳市浑南区人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54" w:right="0"/>
              <w:jc w:val="left"/>
              <w:rPr>
                <w:rFonts w:ascii="宋体" w:hAnsi="宋体" w:cs="宋体" w:eastAsia="宋体" w:hint="default"/>
                <w:sz w:val="21"/>
                <w:szCs w:val="21"/>
              </w:rPr>
            </w:pPr>
            <w:r>
              <w:rPr>
                <w:rFonts w:ascii="宋体"/>
                <w:sz w:val="21"/>
              </w:rPr>
              <w:t>866,243.00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立案未开庭</w:t>
            </w:r>
          </w:p>
        </w:tc>
      </w:tr>
      <w:tr>
        <w:trPr>
          <w:trHeight w:val="974"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2"/>
              <w:jc w:val="left"/>
              <w:rPr>
                <w:rFonts w:ascii="宋体" w:hAnsi="宋体" w:cs="宋体" w:eastAsia="宋体" w:hint="default"/>
                <w:sz w:val="21"/>
                <w:szCs w:val="21"/>
              </w:rPr>
            </w:pPr>
            <w:r>
              <w:rPr>
                <w:rFonts w:ascii="宋体" w:hAnsi="宋体" w:cs="宋体" w:eastAsia="宋体" w:hint="default"/>
                <w:sz w:val="21"/>
                <w:szCs w:val="21"/>
              </w:rPr>
              <w:t>北京中电兴发科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4"/>
              <w:jc w:val="left"/>
              <w:rPr>
                <w:rFonts w:ascii="宋体" w:hAnsi="宋体" w:cs="宋体" w:eastAsia="宋体" w:hint="default"/>
                <w:sz w:val="21"/>
                <w:szCs w:val="21"/>
              </w:rPr>
            </w:pPr>
            <w:r>
              <w:rPr>
                <w:rFonts w:ascii="宋体" w:hAnsi="宋体" w:cs="宋体" w:eastAsia="宋体" w:hint="default"/>
                <w:sz w:val="21"/>
                <w:szCs w:val="21"/>
              </w:rPr>
              <w:t>沈阳矿山机械有限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公司、北方重工集团</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有限公司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经济纠纷</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11" w:right="99" w:hanging="106"/>
              <w:jc w:val="left"/>
              <w:rPr>
                <w:rFonts w:ascii="宋体" w:hAnsi="宋体" w:cs="宋体" w:eastAsia="宋体" w:hint="default"/>
                <w:sz w:val="21"/>
                <w:szCs w:val="21"/>
              </w:rPr>
            </w:pPr>
            <w:r>
              <w:rPr>
                <w:rFonts w:ascii="宋体" w:hAnsi="宋体" w:cs="宋体" w:eastAsia="宋体" w:hint="default"/>
                <w:sz w:val="21"/>
                <w:szCs w:val="21"/>
              </w:rPr>
              <w:t>沈阳经济技术开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发区人民法院</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42"/>
              <w:jc w:val="right"/>
              <w:rPr>
                <w:rFonts w:ascii="宋体" w:hAnsi="宋体" w:cs="宋体" w:eastAsia="宋体" w:hint="default"/>
                <w:sz w:val="21"/>
                <w:szCs w:val="21"/>
              </w:rPr>
            </w:pPr>
            <w:r>
              <w:rPr>
                <w:rFonts w:ascii="宋体"/>
                <w:spacing w:val="-1"/>
                <w:sz w:val="21"/>
              </w:rPr>
              <w:t>3,161,941.19</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立案未开庭</w:t>
            </w:r>
          </w:p>
        </w:tc>
      </w:tr>
      <w:tr>
        <w:trPr>
          <w:trHeight w:val="658"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2"/>
              <w:jc w:val="left"/>
              <w:rPr>
                <w:rFonts w:ascii="宋体" w:hAnsi="宋体" w:cs="宋体" w:eastAsia="宋体" w:hint="default"/>
                <w:sz w:val="21"/>
                <w:szCs w:val="21"/>
              </w:rPr>
            </w:pPr>
            <w:r>
              <w:rPr>
                <w:rFonts w:ascii="宋体" w:hAnsi="宋体" w:cs="宋体" w:eastAsia="宋体" w:hint="default"/>
                <w:sz w:val="21"/>
                <w:szCs w:val="21"/>
              </w:rPr>
              <w:t>北京中电兴发科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技有限公司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山东省水文局</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经济纠纷</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27" w:right="99" w:hanging="423"/>
              <w:jc w:val="left"/>
              <w:rPr>
                <w:rFonts w:ascii="宋体" w:hAnsi="宋体" w:cs="宋体" w:eastAsia="宋体" w:hint="default"/>
                <w:sz w:val="21"/>
                <w:szCs w:val="21"/>
              </w:rPr>
            </w:pPr>
            <w:r>
              <w:rPr>
                <w:rFonts w:ascii="宋体" w:hAnsi="宋体" w:cs="宋体" w:eastAsia="宋体" w:hint="default"/>
                <w:sz w:val="21"/>
                <w:szCs w:val="21"/>
              </w:rPr>
              <w:t>济南市市中区人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54" w:right="0"/>
              <w:jc w:val="left"/>
              <w:rPr>
                <w:rFonts w:ascii="宋体" w:hAnsi="宋体" w:cs="宋体" w:eastAsia="宋体" w:hint="default"/>
                <w:sz w:val="21"/>
                <w:szCs w:val="21"/>
              </w:rPr>
            </w:pPr>
            <w:r>
              <w:rPr>
                <w:rFonts w:ascii="宋体"/>
                <w:sz w:val="21"/>
              </w:rPr>
              <w:t>300,000.00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立案未开庭</w:t>
            </w:r>
          </w:p>
        </w:tc>
      </w:tr>
      <w:tr>
        <w:trPr>
          <w:trHeight w:val="658"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王克强</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95"/>
              <w:jc w:val="left"/>
              <w:rPr>
                <w:rFonts w:ascii="宋体" w:hAnsi="宋体" w:cs="宋体" w:eastAsia="宋体" w:hint="default"/>
                <w:sz w:val="21"/>
                <w:szCs w:val="21"/>
              </w:rPr>
            </w:pPr>
            <w:r>
              <w:rPr>
                <w:rFonts w:ascii="宋体" w:hAnsi="宋体" w:cs="宋体" w:eastAsia="宋体" w:hint="default"/>
                <w:sz w:val="21"/>
                <w:szCs w:val="21"/>
              </w:rPr>
              <w:t>苏州开关二厂有限</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公司</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经济纠纷</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27" w:right="99" w:hanging="423"/>
              <w:jc w:val="left"/>
              <w:rPr>
                <w:rFonts w:ascii="宋体" w:hAnsi="宋体" w:cs="宋体" w:eastAsia="宋体" w:hint="default"/>
                <w:sz w:val="21"/>
                <w:szCs w:val="21"/>
              </w:rPr>
            </w:pPr>
            <w:r>
              <w:rPr>
                <w:rFonts w:ascii="宋体" w:hAnsi="宋体" w:cs="宋体" w:eastAsia="宋体" w:hint="default"/>
                <w:sz w:val="21"/>
                <w:szCs w:val="21"/>
              </w:rPr>
              <w:t>苏州市虎丘区人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89"/>
              <w:jc w:val="right"/>
              <w:rPr>
                <w:rFonts w:ascii="宋体" w:hAnsi="宋体" w:cs="宋体" w:eastAsia="宋体" w:hint="default"/>
                <w:sz w:val="21"/>
                <w:szCs w:val="21"/>
              </w:rPr>
            </w:pPr>
            <w:r>
              <w:rPr>
                <w:rFonts w:ascii="宋体"/>
                <w:spacing w:val="-1"/>
                <w:sz w:val="21"/>
              </w:rPr>
              <w:t>11,000,000.00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诉讼中</w:t>
            </w:r>
          </w:p>
        </w:tc>
      </w:tr>
      <w:tr>
        <w:trPr>
          <w:trHeight w:val="975" w:hRule="exact"/>
        </w:trPr>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32"/>
              <w:jc w:val="left"/>
              <w:rPr>
                <w:rFonts w:ascii="宋体" w:hAnsi="宋体" w:cs="宋体" w:eastAsia="宋体" w:hint="default"/>
                <w:sz w:val="21"/>
                <w:szCs w:val="21"/>
              </w:rPr>
            </w:pPr>
            <w:r>
              <w:rPr>
                <w:rFonts w:ascii="宋体" w:hAnsi="宋体" w:cs="宋体" w:eastAsia="宋体" w:hint="default"/>
                <w:sz w:val="21"/>
                <w:szCs w:val="21"/>
              </w:rPr>
              <w:t>苏州开关二厂有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90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王克强</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经济纠纷</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27" w:right="99" w:hanging="423"/>
              <w:jc w:val="left"/>
              <w:rPr>
                <w:rFonts w:ascii="宋体" w:hAnsi="宋体" w:cs="宋体" w:eastAsia="宋体" w:hint="default"/>
                <w:sz w:val="21"/>
                <w:szCs w:val="21"/>
              </w:rPr>
            </w:pPr>
            <w:r>
              <w:rPr>
                <w:rFonts w:ascii="宋体" w:hAnsi="宋体" w:cs="宋体" w:eastAsia="宋体" w:hint="default"/>
                <w:sz w:val="21"/>
                <w:szCs w:val="21"/>
              </w:rPr>
              <w:t>苏州市虎丘区人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民法院</w:t>
            </w:r>
          </w:p>
        </w:tc>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89"/>
              <w:jc w:val="right"/>
              <w:rPr>
                <w:rFonts w:ascii="宋体" w:hAnsi="宋体" w:cs="宋体" w:eastAsia="宋体" w:hint="default"/>
                <w:sz w:val="21"/>
                <w:szCs w:val="21"/>
              </w:rPr>
            </w:pPr>
            <w:r>
              <w:rPr>
                <w:rFonts w:ascii="宋体"/>
                <w:spacing w:val="-1"/>
                <w:sz w:val="21"/>
              </w:rPr>
              <w:t>10,000,000.00</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9" w:right="0"/>
              <w:jc w:val="left"/>
              <w:rPr>
                <w:rFonts w:ascii="宋体" w:hAnsi="宋体" w:cs="宋体" w:eastAsia="宋体" w:hint="default"/>
                <w:sz w:val="21"/>
                <w:szCs w:val="21"/>
              </w:rPr>
            </w:pPr>
            <w:r>
              <w:rPr>
                <w:rFonts w:ascii="宋体" w:hAnsi="宋体" w:cs="宋体" w:eastAsia="宋体" w:hint="default"/>
                <w:sz w:val="21"/>
                <w:szCs w:val="21"/>
              </w:rPr>
              <w:t>诉讼中</w:t>
            </w:r>
          </w:p>
        </w:tc>
      </w:tr>
    </w:tbl>
    <w:p>
      <w:pPr>
        <w:spacing w:line="240" w:lineRule="auto" w:before="5"/>
        <w:rPr>
          <w:rFonts w:ascii="宋体" w:hAnsi="宋体" w:cs="宋体" w:eastAsia="宋体" w:hint="default"/>
          <w:b/>
          <w:bCs/>
          <w:sz w:val="21"/>
          <w:szCs w:val="21"/>
        </w:rPr>
      </w:pPr>
    </w:p>
    <w:p>
      <w:pPr>
        <w:pStyle w:val="BodyText"/>
        <w:spacing w:line="343" w:lineRule="auto"/>
        <w:ind w:right="1125" w:firstLine="360"/>
        <w:jc w:val="both"/>
      </w:pPr>
      <w:r>
        <w:rPr>
          <w:spacing w:val="-2"/>
        </w:rPr>
        <w:t>注：本公司之控股子公司北京中电兴发科技有限公司因经济纠纷事宜被典基网络科技（上海）有限公</w:t>
      </w:r>
      <w:r>
        <w:rPr>
          <w:w w:val="100"/>
        </w:rPr>
        <w:t> </w:t>
      </w:r>
      <w:r>
        <w:rPr>
          <w:spacing w:val="-1"/>
        </w:rPr>
        <w:t>司起诉，诉讼金额为人民币</w:t>
      </w:r>
      <w:r>
        <w:rPr>
          <w:rFonts w:ascii="宋体" w:hAnsi="宋体" w:cs="宋体" w:eastAsia="宋体" w:hint="default"/>
          <w:spacing w:val="-1"/>
        </w:rPr>
        <w:t>566,280,263</w:t>
      </w:r>
      <w:r>
        <w:rPr>
          <w:rFonts w:ascii="Times New Roman" w:hAnsi="Times New Roman" w:cs="Times New Roman" w:eastAsia="Times New Roman" w:hint="default"/>
          <w:spacing w:val="-1"/>
        </w:rPr>
        <w:t>.00</w:t>
      </w:r>
      <w:r>
        <w:rPr>
          <w:spacing w:val="-1"/>
        </w:rPr>
        <w:t>元。截至财务报告批准报出日止，北京中电兴发已将项目实施</w:t>
      </w:r>
      <w:r>
        <w:rPr>
          <w:spacing w:val="-52"/>
        </w:rPr>
        <w:t> </w:t>
      </w:r>
      <w:r>
        <w:rPr>
          <w:spacing w:val="-52"/>
        </w:rPr>
      </w:r>
      <w:r>
        <w:rPr>
          <w:spacing w:val="-2"/>
        </w:rPr>
        <w:t>主体恢复原状，典基网络起诉要求赔偿的理由前提已不存在，目前双方正在协商和解过程中，存在和解的</w:t>
      </w:r>
      <w:r>
        <w:rPr>
          <w:spacing w:val="-33"/>
        </w:rPr>
        <w:t> </w:t>
      </w:r>
      <w:r>
        <w:rPr>
          <w:spacing w:val="-33"/>
        </w:rPr>
      </w:r>
      <w:r>
        <w:rPr>
          <w:spacing w:val="-2"/>
        </w:rPr>
        <w:t>可能性；若和解不成，即使法院判决，预计该案件也不会对北京中电兴发正常生产经营产生重大实质性影</w:t>
      </w:r>
      <w:r>
        <w:rPr>
          <w:spacing w:val="-33"/>
        </w:rPr>
        <w:t> </w:t>
      </w:r>
      <w:r>
        <w:rPr>
          <w:spacing w:val="-33"/>
        </w:rPr>
      </w:r>
      <w:r>
        <w:rPr/>
        <w:t>响。</w:t>
      </w:r>
    </w:p>
    <w:p>
      <w:pPr>
        <w:spacing w:line="343" w:lineRule="auto" w:before="153"/>
        <w:ind w:left="473" w:right="334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、对外提供债务担保形成的或有事项及其财务影响</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为关联方提供担保详见审计报告“附注十一、关联方交易之关联担保情况</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截止</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日，本公司无为非关联方单位提供保证。</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、开出保函、信用证</w:t>
      </w:r>
      <w:r>
        <w:rPr>
          <w:rFonts w:ascii="宋体" w:hAnsi="宋体" w:cs="宋体" w:eastAsia="宋体" w:hint="default"/>
          <w:sz w:val="21"/>
          <w:szCs w:val="21"/>
        </w:rPr>
      </w:r>
    </w:p>
    <w:p>
      <w:pPr>
        <w:pStyle w:val="BodyText"/>
        <w:spacing w:line="240" w:lineRule="auto" w:before="38"/>
        <w:ind w:left="473" w:right="1002"/>
        <w:jc w:val="left"/>
      </w:pPr>
      <w:r>
        <w:rPr>
          <w:rFonts w:ascii="宋体" w:hAnsi="宋体" w:cs="宋体" w:eastAsia="宋体" w:hint="default"/>
        </w:rPr>
        <w:t>1</w:t>
      </w:r>
      <w:r>
        <w:rPr/>
        <w:t>）安徽中电兴发与鑫龙科技股份有限公司期末应付银行承兑汇票金额</w:t>
      </w:r>
      <w:r>
        <w:rPr>
          <w:rFonts w:ascii="宋体" w:hAnsi="宋体" w:cs="宋体" w:eastAsia="宋体" w:hint="default"/>
        </w:rPr>
        <w:t>63,397,200.00</w:t>
      </w:r>
      <w:r>
        <w:rPr/>
        <w:t>元，票据保证金</w:t>
      </w:r>
    </w:p>
    <w:p>
      <w:pPr>
        <w:pStyle w:val="BodyText"/>
        <w:spacing w:line="240" w:lineRule="auto" w:before="124"/>
        <w:ind w:right="1002"/>
        <w:jc w:val="left"/>
      </w:pPr>
      <w:r>
        <w:rPr>
          <w:rFonts w:ascii="宋体" w:hAnsi="宋体" w:cs="宋体" w:eastAsia="宋体" w:hint="default"/>
        </w:rPr>
        <w:t>7,193,235.08</w:t>
      </w:r>
      <w:r>
        <w:rPr/>
        <w:t>元；保函金额</w:t>
      </w:r>
      <w:r>
        <w:rPr>
          <w:rFonts w:ascii="宋体" w:hAnsi="宋体" w:cs="宋体" w:eastAsia="宋体" w:hint="default"/>
        </w:rPr>
        <w:t>47</w:t>
      </w:r>
      <w:r>
        <w:rPr>
          <w:rFonts w:ascii="Times New Roman" w:hAnsi="Times New Roman" w:cs="Times New Roman" w:eastAsia="Times New Roman" w:hint="default"/>
        </w:rPr>
        <w:t>,</w:t>
      </w:r>
      <w:r>
        <w:rPr>
          <w:rFonts w:ascii="宋体" w:hAnsi="宋体" w:cs="宋体" w:eastAsia="宋体" w:hint="default"/>
        </w:rPr>
        <w:t>110</w:t>
      </w:r>
      <w:r>
        <w:rPr>
          <w:rFonts w:ascii="Times New Roman" w:hAnsi="Times New Roman" w:cs="Times New Roman" w:eastAsia="Times New Roman" w:hint="default"/>
        </w:rPr>
        <w:t>,</w:t>
      </w:r>
      <w:r>
        <w:rPr>
          <w:rFonts w:ascii="宋体" w:hAnsi="宋体" w:cs="宋体" w:eastAsia="宋体" w:hint="default"/>
        </w:rPr>
        <w:t>988</w:t>
      </w:r>
      <w:r>
        <w:rPr>
          <w:rFonts w:ascii="Times New Roman" w:hAnsi="Times New Roman" w:cs="Times New Roman" w:eastAsia="Times New Roman" w:hint="default"/>
        </w:rPr>
        <w:t>.</w:t>
      </w:r>
      <w:r>
        <w:rPr>
          <w:rFonts w:ascii="宋体" w:hAnsi="宋体" w:cs="宋体" w:eastAsia="宋体" w:hint="default"/>
        </w:rPr>
        <w:t>87</w:t>
      </w:r>
      <w:r>
        <w:rPr/>
        <w:t>元，保函保证金</w:t>
      </w:r>
      <w:r>
        <w:rPr>
          <w:rFonts w:ascii="宋体" w:hAnsi="宋体" w:cs="宋体" w:eastAsia="宋体" w:hint="default"/>
        </w:rPr>
        <w:t>1,311,070.34</w:t>
      </w:r>
      <w:r>
        <w:rPr/>
        <w:t>元。</w:t>
      </w:r>
    </w:p>
    <w:p>
      <w:pPr>
        <w:pStyle w:val="BodyText"/>
        <w:spacing w:line="240" w:lineRule="auto" w:before="107"/>
        <w:ind w:left="473" w:right="1002"/>
        <w:jc w:val="left"/>
      </w:pPr>
      <w:r>
        <w:rPr>
          <w:rFonts w:ascii="宋体" w:hAnsi="宋体" w:cs="宋体" w:eastAsia="宋体" w:hint="default"/>
        </w:rPr>
        <w:t>2</w:t>
      </w:r>
      <w:r>
        <w:rPr/>
        <w:t>）子公司安徽佑赛科技股份有限公司期末应付银行承兑汇票金额</w:t>
      </w:r>
      <w:r>
        <w:rPr>
          <w:rFonts w:ascii="宋体" w:hAnsi="宋体" w:cs="宋体" w:eastAsia="宋体" w:hint="default"/>
        </w:rPr>
        <w:t>8,675,127.90</w:t>
      </w:r>
      <w:r>
        <w:rPr/>
        <w:t>元，票据保证金</w:t>
      </w:r>
    </w:p>
    <w:p>
      <w:pPr>
        <w:pStyle w:val="BodyText"/>
        <w:spacing w:line="240" w:lineRule="auto" w:before="128"/>
        <w:ind w:right="1002"/>
        <w:jc w:val="left"/>
      </w:pPr>
      <w:r>
        <w:rPr>
          <w:rFonts w:ascii="宋体" w:hAnsi="宋体" w:cs="宋体" w:eastAsia="宋体" w:hint="default"/>
        </w:rPr>
        <w:t>868,221.60</w:t>
      </w:r>
      <w:r>
        <w:rPr/>
        <w:t>元；期末保函金额</w:t>
      </w:r>
      <w:r>
        <w:rPr>
          <w:rFonts w:ascii="宋体" w:hAnsi="宋体" w:cs="宋体" w:eastAsia="宋体" w:hint="default"/>
        </w:rPr>
        <w:t>607,075.00</w:t>
      </w:r>
      <w:r>
        <w:rPr/>
        <w:t>元，保函保证金</w:t>
      </w:r>
      <w:r>
        <w:rPr>
          <w:rFonts w:ascii="宋体" w:hAnsi="宋体" w:cs="宋体" w:eastAsia="宋体" w:hint="default"/>
        </w:rPr>
        <w:t>607,075.00</w:t>
      </w:r>
      <w:r>
        <w:rPr/>
        <w:t>元。</w:t>
      </w:r>
    </w:p>
    <w:p>
      <w:pPr>
        <w:pStyle w:val="BodyText"/>
        <w:spacing w:line="240" w:lineRule="auto" w:before="123"/>
        <w:ind w:left="473" w:right="1002"/>
        <w:jc w:val="left"/>
      </w:pPr>
      <w:r>
        <w:rPr>
          <w:rFonts w:ascii="宋体" w:hAnsi="宋体" w:cs="宋体" w:eastAsia="宋体" w:hint="default"/>
        </w:rPr>
        <w:t>3</w:t>
      </w:r>
      <w:r>
        <w:rPr/>
        <w:t>）子公司苏州开关二厂有限公司期末应付银行承兑汇票金额</w:t>
      </w:r>
      <w:r>
        <w:rPr>
          <w:rFonts w:ascii="宋体" w:hAnsi="宋体" w:cs="宋体" w:eastAsia="宋体" w:hint="default"/>
        </w:rPr>
        <w:t>27,927,711.36</w:t>
      </w:r>
      <w:r>
        <w:rPr/>
        <w:t>元，票据保证金</w:t>
      </w:r>
    </w:p>
    <w:p>
      <w:pPr>
        <w:pStyle w:val="BodyText"/>
        <w:spacing w:line="240" w:lineRule="auto" w:before="123"/>
        <w:ind w:right="1002"/>
        <w:jc w:val="left"/>
      </w:pPr>
      <w:r>
        <w:rPr>
          <w:rFonts w:ascii="宋体" w:hAnsi="宋体" w:cs="宋体" w:eastAsia="宋体" w:hint="default"/>
        </w:rPr>
        <w:t>10,788,707.20</w:t>
      </w:r>
      <w:r>
        <w:rPr/>
        <w:t>元；保函金额</w:t>
      </w:r>
      <w:r>
        <w:rPr>
          <w:rFonts w:ascii="宋体" w:hAnsi="宋体" w:cs="宋体" w:eastAsia="宋体" w:hint="default"/>
        </w:rPr>
        <w:t>3,264,365.18</w:t>
      </w:r>
      <w:r>
        <w:rPr/>
        <w:t>元，保函保证金</w:t>
      </w:r>
      <w:r>
        <w:rPr>
          <w:rFonts w:ascii="宋体" w:hAnsi="宋体" w:cs="宋体" w:eastAsia="宋体" w:hint="default"/>
        </w:rPr>
        <w:t>2,821,236.52</w:t>
      </w:r>
      <w:r>
        <w:rPr/>
        <w:t>元。</w:t>
      </w:r>
    </w:p>
    <w:p>
      <w:pPr>
        <w:pStyle w:val="BodyText"/>
        <w:spacing w:line="240" w:lineRule="auto" w:before="129"/>
        <w:ind w:left="473" w:right="1002"/>
        <w:jc w:val="left"/>
      </w:pPr>
      <w:r>
        <w:rPr>
          <w:rFonts w:ascii="宋体" w:hAnsi="宋体" w:cs="宋体" w:eastAsia="宋体" w:hint="default"/>
        </w:rPr>
        <w:t>4</w:t>
      </w:r>
      <w:r>
        <w:rPr/>
        <w:t>）子公司安徽北辰能源工程技术有限公司期末保函金额</w:t>
      </w:r>
      <w:r>
        <w:rPr>
          <w:rFonts w:ascii="宋体" w:hAnsi="宋体" w:cs="宋体" w:eastAsia="宋体" w:hint="default"/>
        </w:rPr>
        <w:t>105,259.00</w:t>
      </w:r>
      <w:r>
        <w:rPr/>
        <w:t>元，保函保证金</w:t>
      </w:r>
      <w:r>
        <w:rPr>
          <w:rFonts w:ascii="宋体" w:hAnsi="宋体" w:cs="宋体" w:eastAsia="宋体" w:hint="default"/>
        </w:rPr>
        <w:t>105,259.00</w:t>
      </w:r>
      <w:r>
        <w:rPr/>
        <w:t>元。</w:t>
      </w:r>
    </w:p>
    <w:p>
      <w:pPr>
        <w:pStyle w:val="BodyText"/>
        <w:spacing w:line="240" w:lineRule="auto" w:before="123"/>
        <w:ind w:left="473" w:right="0"/>
        <w:jc w:val="left"/>
      </w:pPr>
      <w:r>
        <w:rPr>
          <w:rFonts w:ascii="宋体" w:hAnsi="宋体" w:cs="宋体" w:eastAsia="宋体" w:hint="default"/>
        </w:rPr>
        <w:t>5</w:t>
      </w:r>
      <w:r>
        <w:rPr/>
        <w:t>）子公司天津市泰达工程设计有限公司期末保函金额</w:t>
      </w:r>
      <w:r>
        <w:rPr>
          <w:rFonts w:ascii="宋体" w:hAnsi="宋体" w:cs="宋体" w:eastAsia="宋体" w:hint="default"/>
        </w:rPr>
        <w:t>14,174,130.00</w:t>
      </w:r>
      <w:r>
        <w:rPr/>
        <w:t>元，保函保证金</w:t>
      </w:r>
      <w:r>
        <w:rPr>
          <w:rFonts w:ascii="宋体" w:hAnsi="宋体" w:cs="宋体" w:eastAsia="宋体" w:hint="default"/>
        </w:rPr>
        <w:t>1,417,413.00</w:t>
      </w:r>
      <w:r>
        <w:rPr/>
        <w:t>元。</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8"/>
          <w:szCs w:val="28"/>
        </w:rPr>
      </w:pPr>
    </w:p>
    <w:p>
      <w:pPr>
        <w:pStyle w:val="BodyText"/>
        <w:spacing w:line="240" w:lineRule="auto"/>
        <w:ind w:left="473" w:right="1002"/>
        <w:jc w:val="left"/>
      </w:pPr>
      <w:r>
        <w:rPr>
          <w:rFonts w:ascii="宋体" w:hAnsi="宋体" w:cs="宋体" w:eastAsia="宋体" w:hint="default"/>
        </w:rPr>
        <w:t>6</w:t>
      </w:r>
      <w:r>
        <w:rPr/>
        <w:t>）子公司北京中电兴发科技有限公司期末保函金额</w:t>
      </w:r>
      <w:r>
        <w:rPr>
          <w:rFonts w:ascii="宋体" w:hAnsi="宋体" w:cs="宋体" w:eastAsia="宋体" w:hint="default"/>
        </w:rPr>
        <w:t>10</w:t>
      </w:r>
      <w:r>
        <w:rPr>
          <w:rFonts w:ascii="Times New Roman" w:hAnsi="Times New Roman" w:cs="Times New Roman" w:eastAsia="Times New Roman" w:hint="default"/>
        </w:rPr>
        <w:t>,</w:t>
      </w:r>
      <w:r>
        <w:rPr>
          <w:rFonts w:ascii="宋体" w:hAnsi="宋体" w:cs="宋体" w:eastAsia="宋体" w:hint="default"/>
        </w:rPr>
        <w:t>284</w:t>
      </w:r>
      <w:r>
        <w:rPr>
          <w:rFonts w:ascii="Times New Roman" w:hAnsi="Times New Roman" w:cs="Times New Roman" w:eastAsia="Times New Roman" w:hint="default"/>
        </w:rPr>
        <w:t>,</w:t>
      </w:r>
      <w:r>
        <w:rPr>
          <w:rFonts w:ascii="宋体" w:hAnsi="宋体" w:cs="宋体" w:eastAsia="宋体" w:hint="default"/>
        </w:rPr>
        <w:t>699</w:t>
      </w:r>
      <w:r>
        <w:rPr>
          <w:rFonts w:ascii="Times New Roman" w:hAnsi="Times New Roman" w:cs="Times New Roman" w:eastAsia="Times New Roman" w:hint="default"/>
        </w:rPr>
        <w:t>.</w:t>
      </w:r>
      <w:r>
        <w:rPr>
          <w:rFonts w:ascii="宋体" w:hAnsi="宋体" w:cs="宋体" w:eastAsia="宋体" w:hint="default"/>
        </w:rPr>
        <w:t>28</w:t>
      </w:r>
      <w:r>
        <w:rPr/>
        <w:t>元，保函保证金</w:t>
      </w:r>
      <w:r>
        <w:rPr>
          <w:rFonts w:ascii="宋体" w:hAnsi="宋体" w:cs="宋体" w:eastAsia="宋体" w:hint="default"/>
        </w:rPr>
        <w:t>4,976,290.13</w:t>
      </w:r>
      <w:r>
        <w:rPr/>
        <w:t>元。</w:t>
      </w:r>
    </w:p>
    <w:p>
      <w:pPr>
        <w:pStyle w:val="BodyText"/>
        <w:spacing w:line="240" w:lineRule="auto" w:before="107"/>
        <w:ind w:left="473" w:right="1002"/>
        <w:jc w:val="left"/>
      </w:pPr>
      <w:r>
        <w:rPr>
          <w:rFonts w:ascii="宋体" w:hAnsi="宋体" w:cs="宋体" w:eastAsia="宋体" w:hint="default"/>
        </w:rPr>
        <w:t>7</w:t>
      </w:r>
      <w:r>
        <w:rPr/>
        <w:t>）子公司安徽森源电器有限公司期末保函保证金</w:t>
      </w:r>
      <w:r>
        <w:rPr>
          <w:rFonts w:ascii="宋体" w:hAnsi="宋体" w:cs="宋体" w:eastAsia="宋体" w:hint="default"/>
        </w:rPr>
        <w:t>0.20</w:t>
      </w:r>
      <w:r>
        <w:rPr/>
        <w:t>元。</w:t>
      </w:r>
    </w:p>
    <w:p>
      <w:pPr>
        <w:pStyle w:val="BodyText"/>
        <w:spacing w:line="348" w:lineRule="auto" w:before="129"/>
        <w:ind w:left="473" w:right="1002"/>
        <w:jc w:val="left"/>
      </w:pPr>
      <w:r>
        <w:rPr>
          <w:rFonts w:ascii="宋体" w:hAnsi="宋体" w:cs="宋体" w:eastAsia="宋体" w:hint="default"/>
          <w:spacing w:val="-1"/>
        </w:rPr>
        <w:t>8</w:t>
      </w:r>
      <w:r>
        <w:rPr>
          <w:spacing w:val="-1"/>
        </w:rPr>
        <w:t>）孙公司苏州天平安装工程有限公司期末保函金额</w:t>
      </w:r>
      <w:r>
        <w:rPr>
          <w:rFonts w:ascii="宋体" w:hAnsi="宋体" w:cs="宋体" w:eastAsia="宋体" w:hint="default"/>
          <w:spacing w:val="-1"/>
        </w:rPr>
        <w:t>10,028,275.08</w:t>
      </w:r>
      <w:r>
        <w:rPr>
          <w:spacing w:val="-1"/>
        </w:rPr>
        <w:t>元，保函保证金</w:t>
      </w:r>
      <w:r>
        <w:rPr>
          <w:rFonts w:ascii="宋体" w:hAnsi="宋体" w:cs="宋体" w:eastAsia="宋体" w:hint="default"/>
          <w:spacing w:val="-1"/>
        </w:rPr>
        <w:t>1,558,934.44</w:t>
      </w:r>
      <w:r>
        <w:rPr>
          <w:spacing w:val="-1"/>
        </w:rPr>
        <w:t>元。</w:t>
      </w:r>
      <w:r>
        <w:rPr>
          <w:spacing w:val="-44"/>
        </w:rPr>
        <w:t> </w:t>
      </w:r>
      <w:r>
        <w:rPr/>
        <w:t>除存在上述或有事项外，截止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日，本公司无其他应披露未披露的重要或有事项。</w:t>
      </w:r>
    </w:p>
    <w:p>
      <w:pPr>
        <w:spacing w:line="240" w:lineRule="auto" w:before="5"/>
        <w:rPr>
          <w:rFonts w:ascii="宋体" w:hAnsi="宋体" w:cs="宋体" w:eastAsia="宋体" w:hint="default"/>
          <w:sz w:val="18"/>
          <w:szCs w:val="18"/>
        </w:rPr>
      </w:pPr>
    </w:p>
    <w:p>
      <w:pPr>
        <w:spacing w:line="511" w:lineRule="auto" w:before="0"/>
        <w:ind w:left="113" w:right="3345" w:firstLine="0"/>
        <w:jc w:val="left"/>
        <w:rPr>
          <w:rFonts w:ascii="宋体" w:hAnsi="宋体" w:cs="宋体" w:eastAsia="宋体" w:hint="default"/>
          <w:sz w:val="21"/>
          <w:szCs w:val="21"/>
        </w:rPr>
      </w:pPr>
      <w:bookmarkStart w:name="（2）公司没有需要披露的重要或有事项，也应予以说明" w:id="508"/>
      <w:bookmarkEnd w:id="508"/>
      <w:r>
        <w:rPr/>
      </w: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）公司没有需要披露的重要或有事项，也应予以说明</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sz w:val="21"/>
          <w:szCs w:val="21"/>
        </w:rPr>
        <w:t>公司不存在需要披露的重要或有事项。</w:t>
      </w:r>
    </w:p>
    <w:p>
      <w:pPr>
        <w:pStyle w:val="Heading5"/>
        <w:spacing w:line="523" w:lineRule="auto" w:before="93"/>
        <w:ind w:right="8221"/>
        <w:jc w:val="left"/>
        <w:rPr>
          <w:b w:val="0"/>
          <w:bCs w:val="0"/>
        </w:rPr>
      </w:pPr>
      <w:bookmarkStart w:name="3、其他" w:id="509"/>
      <w:bookmarkEnd w:id="509"/>
      <w:r>
        <w:rPr>
          <w:b w:val="0"/>
          <w:bCs w:val="0"/>
        </w:rPr>
      </w:r>
      <w:r>
        <w:rPr>
          <w:rFonts w:ascii="Times New Roman" w:hAnsi="Times New Roman" w:cs="Times New Roman" w:eastAsia="Times New Roman" w:hint="default"/>
        </w:rPr>
        <w:t>3</w:t>
      </w:r>
      <w:r>
        <w:rPr/>
        <w:t>、其他</w:t>
      </w:r>
      <w:r>
        <w:rPr>
          <w:w w:val="100"/>
        </w:rPr>
        <w:t> </w:t>
      </w:r>
      <w:bookmarkStart w:name="十五、资产负债表日后事项" w:id="510"/>
      <w:bookmarkEnd w:id="510"/>
      <w:r>
        <w:rPr/>
        <w:t>十五、资产负债表日后事项</w:t>
      </w:r>
      <w:r>
        <w:rPr>
          <w:spacing w:val="-102"/>
        </w:rPr>
        <w:t> </w:t>
      </w:r>
      <w:r>
        <w:rPr>
          <w:spacing w:val="-102"/>
        </w:rPr>
      </w:r>
      <w:bookmarkStart w:name="1、重要的非调整事项" w:id="511"/>
      <w:bookmarkEnd w:id="511"/>
      <w:r>
        <w:rPr>
          <w:spacing w:val="-102"/>
        </w:rPr>
      </w:r>
      <w:r>
        <w:rPr>
          <w:rFonts w:ascii="Times New Roman" w:hAnsi="Times New Roman" w:cs="Times New Roman" w:eastAsia="Times New Roman" w:hint="default"/>
        </w:rPr>
        <w:t>1</w:t>
      </w:r>
      <w:r>
        <w:rPr/>
        <w:t>、重要的非调整事项</w:t>
      </w:r>
      <w:r>
        <w:rPr>
          <w:b w:val="0"/>
          <w:bCs w:val="0"/>
        </w:rPr>
      </w:r>
    </w:p>
    <w:p>
      <w:pPr>
        <w:pStyle w:val="BodyText"/>
        <w:spacing w:line="240" w:lineRule="auto" w:before="49"/>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492"/>
        <w:gridCol w:w="2300"/>
        <w:gridCol w:w="2387"/>
        <w:gridCol w:w="2391"/>
      </w:tblGrid>
      <w:tr>
        <w:trPr>
          <w:trHeight w:val="713"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768" w:right="133" w:hanging="629"/>
              <w:jc w:val="left"/>
              <w:rPr>
                <w:rFonts w:ascii="宋体" w:hAnsi="宋体" w:cs="宋体" w:eastAsia="宋体" w:hint="default"/>
                <w:sz w:val="21"/>
                <w:szCs w:val="21"/>
              </w:rPr>
            </w:pPr>
            <w:r>
              <w:rPr>
                <w:rFonts w:ascii="宋体" w:hAnsi="宋体" w:cs="宋体" w:eastAsia="宋体" w:hint="default"/>
                <w:spacing w:val="-1"/>
                <w:sz w:val="21"/>
                <w:szCs w:val="21"/>
              </w:rPr>
              <w:t>对财务状况和经营成果</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的影响数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无法估计影响数的原因</w:t>
            </w:r>
          </w:p>
        </w:tc>
      </w:tr>
    </w:tbl>
    <w:p>
      <w:pPr>
        <w:spacing w:line="240" w:lineRule="auto" w:before="5"/>
        <w:rPr>
          <w:rFonts w:ascii="宋体" w:hAnsi="宋体" w:cs="宋体" w:eastAsia="宋体" w:hint="default"/>
          <w:sz w:val="19"/>
          <w:szCs w:val="19"/>
        </w:rPr>
      </w:pPr>
    </w:p>
    <w:p>
      <w:pPr>
        <w:pStyle w:val="Heading5"/>
        <w:spacing w:line="240" w:lineRule="auto" w:before="36"/>
        <w:ind w:right="1002"/>
        <w:jc w:val="left"/>
        <w:rPr>
          <w:b w:val="0"/>
          <w:bCs w:val="0"/>
        </w:rPr>
      </w:pPr>
      <w:bookmarkStart w:name="2、利润分配情况" w:id="512"/>
      <w:bookmarkEnd w:id="512"/>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6"/>
        <w:rPr>
          <w:rFonts w:ascii="宋体" w:hAnsi="宋体" w:cs="宋体" w:eastAsia="宋体" w:hint="default"/>
          <w:sz w:val="22"/>
          <w:szCs w:val="22"/>
        </w:rPr>
      </w:pPr>
    </w:p>
    <w:p>
      <w:pPr>
        <w:pStyle w:val="Heading5"/>
        <w:spacing w:line="240" w:lineRule="auto" w:before="36"/>
        <w:ind w:right="1002"/>
        <w:jc w:val="left"/>
        <w:rPr>
          <w:b w:val="0"/>
          <w:bCs w:val="0"/>
        </w:rPr>
      </w:pPr>
      <w:bookmarkStart w:name="3、销售退回" w:id="513"/>
      <w:bookmarkEnd w:id="513"/>
      <w:r>
        <w:rPr>
          <w:b w:val="0"/>
          <w:bCs w:val="0"/>
        </w:rPr>
      </w:r>
      <w:r>
        <w:rPr>
          <w:rFonts w:ascii="Times New Roman" w:hAnsi="Times New Roman" w:cs="Times New Roman" w:eastAsia="Times New Roman" w:hint="default"/>
        </w:rPr>
        <w:t>3</w:t>
      </w:r>
      <w:r>
        <w:rPr/>
        <w:t>、销售退回</w:t>
      </w:r>
      <w:r>
        <w:rPr>
          <w:b w:val="0"/>
          <w:bCs w:val="0"/>
        </w:rPr>
      </w:r>
    </w:p>
    <w:p>
      <w:pPr>
        <w:spacing w:line="600" w:lineRule="atLeast" w:before="15"/>
        <w:ind w:left="473" w:right="1002" w:hanging="360"/>
        <w:jc w:val="left"/>
        <w:rPr>
          <w:rFonts w:ascii="宋体" w:hAnsi="宋体" w:cs="宋体" w:eastAsia="宋体" w:hint="default"/>
          <w:sz w:val="21"/>
          <w:szCs w:val="21"/>
        </w:rPr>
      </w:pPr>
      <w:bookmarkStart w:name="4、其他资产负债表日后事项说明" w:id="514"/>
      <w:bookmarkEnd w:id="514"/>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spacing w:val="-100"/>
          <w:sz w:val="21"/>
          <w:szCs w:val="21"/>
        </w:rPr>
        <w:t> </w:t>
      </w:r>
      <w:r>
        <w:rPr>
          <w:rFonts w:ascii="宋体" w:hAnsi="宋体" w:cs="宋体" w:eastAsia="宋体" w:hint="default"/>
          <w:spacing w:val="-3"/>
          <w:sz w:val="21"/>
          <w:szCs w:val="21"/>
        </w:rPr>
        <w:t>新型冠状病毒感染的肺炎疫情于</w:t>
      </w:r>
      <w:r>
        <w:rPr>
          <w:rFonts w:ascii="宋体" w:hAnsi="宋体" w:cs="宋体" w:eastAsia="宋体" w:hint="default"/>
          <w:spacing w:val="-3"/>
          <w:sz w:val="21"/>
          <w:szCs w:val="21"/>
        </w:rPr>
        <w:t>2020</w:t>
      </w:r>
      <w:r>
        <w:rPr>
          <w:rFonts w:ascii="宋体" w:hAnsi="宋体" w:cs="宋体" w:eastAsia="宋体" w:hint="default"/>
          <w:spacing w:val="-3"/>
          <w:sz w:val="21"/>
          <w:szCs w:val="21"/>
        </w:rPr>
        <w:t>年</w:t>
      </w:r>
      <w:r>
        <w:rPr>
          <w:rFonts w:ascii="宋体" w:hAnsi="宋体" w:cs="宋体" w:eastAsia="宋体" w:hint="default"/>
          <w:spacing w:val="-3"/>
          <w:sz w:val="21"/>
          <w:szCs w:val="21"/>
        </w:rPr>
        <w:t>1</w:t>
      </w:r>
      <w:r>
        <w:rPr>
          <w:rFonts w:ascii="宋体" w:hAnsi="宋体" w:cs="宋体" w:eastAsia="宋体" w:hint="default"/>
          <w:spacing w:val="-3"/>
          <w:sz w:val="21"/>
          <w:szCs w:val="21"/>
        </w:rPr>
        <w:t>月在全国爆发以来，对肺炎疫情的防控工作正在全国范围内持</w:t>
      </w:r>
    </w:p>
    <w:p>
      <w:pPr>
        <w:pStyle w:val="BodyText"/>
        <w:spacing w:line="273" w:lineRule="auto" w:before="37"/>
        <w:ind w:right="1002"/>
        <w:jc w:val="left"/>
      </w:pPr>
      <w:r>
        <w:rPr>
          <w:spacing w:val="-2"/>
        </w:rPr>
        <w:t>续进行。本公司积极响应并严格执行党和国家各级政府对肺炎疫情防控的各项规定和要求。为做到防疫和</w:t>
      </w:r>
      <w:r>
        <w:rPr>
          <w:spacing w:val="-33"/>
        </w:rPr>
        <w:t> </w:t>
      </w:r>
      <w:r>
        <w:rPr>
          <w:spacing w:val="-33"/>
        </w:rPr>
      </w:r>
      <w:r>
        <w:rPr/>
        <w:t>生产两不误，本公司陆续复工，从供应保障、社会责任、内部管理等多方面多管齐下支持国家战疫。</w:t>
      </w:r>
    </w:p>
    <w:p>
      <w:pPr>
        <w:pStyle w:val="BodyText"/>
        <w:spacing w:line="273" w:lineRule="auto" w:before="7"/>
        <w:ind w:right="1002" w:firstLine="360"/>
        <w:jc w:val="left"/>
      </w:pPr>
      <w:r>
        <w:rPr>
          <w:spacing w:val="-1"/>
        </w:rPr>
        <w:t>本公司预计此次肺炎疫情及防控措施将对本公司的生产和经营造成一定的暂时性影响，影响程度将取</w:t>
      </w:r>
      <w:r>
        <w:rPr>
          <w:w w:val="100"/>
        </w:rPr>
        <w:t> </w:t>
      </w:r>
      <w:r>
        <w:rPr/>
        <w:t>决于疫情防控的进展情况、持续时间以及各地防控政策的实施情况。</w:t>
      </w:r>
    </w:p>
    <w:p>
      <w:pPr>
        <w:pStyle w:val="BodyText"/>
        <w:spacing w:line="273" w:lineRule="auto" w:before="7"/>
        <w:ind w:right="1002" w:firstLine="360"/>
        <w:jc w:val="left"/>
      </w:pPr>
      <w:r>
        <w:rPr>
          <w:spacing w:val="-1"/>
        </w:rPr>
        <w:t>本公司将继续密切关注肺炎疫情发展情况，评估和积极应对其对本公司财务状况、经营成果等方面的</w:t>
      </w:r>
      <w:r>
        <w:rPr>
          <w:w w:val="100"/>
        </w:rPr>
        <w:t> </w:t>
      </w:r>
      <w:r>
        <w:rPr/>
        <w:t>影响。截至本报告报出日，该评估工作尚在进行当中。</w:t>
      </w:r>
    </w:p>
    <w:p>
      <w:pPr>
        <w:pStyle w:val="BodyText"/>
        <w:spacing w:line="273" w:lineRule="auto" w:before="8"/>
        <w:ind w:right="1002" w:firstLine="360"/>
        <w:jc w:val="left"/>
      </w:pPr>
      <w:r>
        <w:rPr>
          <w:spacing w:val="-1"/>
        </w:rPr>
        <w:t>除存在上述资产负债表日后事项外，截至财务报告批准报出日止，本公司无其他应披露未披露的重大</w:t>
      </w:r>
      <w:r>
        <w:rPr>
          <w:w w:val="100"/>
        </w:rPr>
        <w:t> </w:t>
      </w:r>
      <w:r>
        <w:rPr/>
        <w:t>资产负债表日后事项。</w:t>
      </w:r>
    </w:p>
    <w:p>
      <w:pPr>
        <w:spacing w:after="0" w:line="273"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5"/>
        <w:spacing w:line="240" w:lineRule="auto" w:before="36"/>
        <w:ind w:right="1002"/>
        <w:jc w:val="left"/>
        <w:rPr>
          <w:b w:val="0"/>
          <w:bCs w:val="0"/>
        </w:rPr>
      </w:pPr>
      <w:bookmarkStart w:name="十六、其他重要事项" w:id="515"/>
      <w:bookmarkEnd w:id="515"/>
      <w:r>
        <w:rPr>
          <w:b w:val="0"/>
          <w:bCs w:val="0"/>
        </w:rPr>
      </w:r>
      <w:r>
        <w:rPr/>
        <w:t>十六、其他重要事项</w:t>
      </w:r>
      <w:r>
        <w:rPr>
          <w:b w:val="0"/>
          <w:bCs w:val="0"/>
        </w:rPr>
      </w:r>
    </w:p>
    <w:p>
      <w:pPr>
        <w:spacing w:line="240" w:lineRule="auto" w:before="8"/>
        <w:rPr>
          <w:rFonts w:ascii="宋体" w:hAnsi="宋体" w:cs="宋体" w:eastAsia="宋体" w:hint="default"/>
          <w:b/>
          <w:bCs/>
          <w:sz w:val="25"/>
          <w:szCs w:val="25"/>
        </w:rPr>
      </w:pPr>
    </w:p>
    <w:p>
      <w:pPr>
        <w:pStyle w:val="Heading5"/>
        <w:spacing w:line="240" w:lineRule="auto"/>
        <w:ind w:right="1002"/>
        <w:jc w:val="left"/>
        <w:rPr>
          <w:b w:val="0"/>
          <w:bCs w:val="0"/>
        </w:rPr>
      </w:pPr>
      <w:bookmarkStart w:name="1、前期会计差错更正" w:id="516"/>
      <w:bookmarkEnd w:id="516"/>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追溯重述法" w:id="517"/>
      <w:bookmarkEnd w:id="517"/>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492"/>
        <w:gridCol w:w="2300"/>
        <w:gridCol w:w="2387"/>
        <w:gridCol w:w="2391"/>
      </w:tblGrid>
      <w:tr>
        <w:trPr>
          <w:trHeight w:val="711" w:hRule="exact"/>
        </w:trPr>
        <w:tc>
          <w:tcPr>
            <w:tcW w:w="2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97"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2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24" w:right="0"/>
              <w:jc w:val="left"/>
              <w:rPr>
                <w:rFonts w:ascii="宋体" w:hAnsi="宋体" w:cs="宋体" w:eastAsia="宋体" w:hint="default"/>
                <w:sz w:val="21"/>
                <w:szCs w:val="21"/>
              </w:rPr>
            </w:pPr>
            <w:r>
              <w:rPr>
                <w:rFonts w:ascii="宋体" w:hAnsi="宋体" w:cs="宋体" w:eastAsia="宋体" w:hint="default"/>
                <w:sz w:val="21"/>
                <w:szCs w:val="21"/>
              </w:rPr>
              <w:t>处理程序</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56" w:right="133" w:hanging="418"/>
              <w:jc w:val="left"/>
              <w:rPr>
                <w:rFonts w:ascii="宋体" w:hAnsi="宋体" w:cs="宋体" w:eastAsia="宋体" w:hint="default"/>
                <w:sz w:val="21"/>
                <w:szCs w:val="21"/>
              </w:rPr>
            </w:pPr>
            <w:r>
              <w:rPr>
                <w:rFonts w:ascii="宋体" w:hAnsi="宋体" w:cs="宋体" w:eastAsia="宋体" w:hint="default"/>
                <w:spacing w:val="-1"/>
                <w:sz w:val="21"/>
                <w:szCs w:val="21"/>
              </w:rPr>
              <w:t>受影响的各个比较期间</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报表项目名称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67" w:right="0"/>
              <w:jc w:val="left"/>
              <w:rPr>
                <w:rFonts w:ascii="宋体" w:hAnsi="宋体" w:cs="宋体" w:eastAsia="宋体" w:hint="default"/>
                <w:sz w:val="21"/>
                <w:szCs w:val="21"/>
              </w:rPr>
            </w:pPr>
            <w:r>
              <w:rPr>
                <w:rFonts w:ascii="宋体" w:hAnsi="宋体" w:cs="宋体" w:eastAsia="宋体" w:hint="default"/>
                <w:sz w:val="21"/>
                <w:szCs w:val="21"/>
              </w:rPr>
              <w:t>累积影响数</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未来适用法" w:id="518"/>
      <w:bookmarkEnd w:id="518"/>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10" w:right="0"/>
              <w:jc w:val="left"/>
              <w:rPr>
                <w:rFonts w:ascii="宋体" w:hAnsi="宋体" w:cs="宋体" w:eastAsia="宋体" w:hint="default"/>
                <w:sz w:val="21"/>
                <w:szCs w:val="21"/>
              </w:rPr>
            </w:pPr>
            <w:r>
              <w:rPr>
                <w:rFonts w:ascii="宋体" w:hAnsi="宋体" w:cs="宋体" w:eastAsia="宋体" w:hint="default"/>
                <w:sz w:val="21"/>
                <w:szCs w:val="21"/>
              </w:rPr>
              <w:t>会计差错更正的内容</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宋体" w:hAnsi="宋体" w:cs="宋体" w:eastAsia="宋体" w:hint="default"/>
                <w:sz w:val="21"/>
                <w:szCs w:val="21"/>
              </w:rPr>
            </w:pPr>
            <w:r>
              <w:rPr>
                <w:rFonts w:ascii="宋体" w:hAnsi="宋体" w:cs="宋体" w:eastAsia="宋体" w:hint="default"/>
                <w:sz w:val="21"/>
                <w:szCs w:val="21"/>
              </w:rPr>
              <w:t>批准程序</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42" w:right="0"/>
              <w:jc w:val="left"/>
              <w:rPr>
                <w:rFonts w:ascii="宋体" w:hAnsi="宋体" w:cs="宋体" w:eastAsia="宋体" w:hint="default"/>
                <w:sz w:val="21"/>
                <w:szCs w:val="21"/>
              </w:rPr>
            </w:pPr>
            <w:r>
              <w:rPr>
                <w:rFonts w:ascii="宋体" w:hAnsi="宋体" w:cs="宋体" w:eastAsia="宋体" w:hint="default"/>
                <w:sz w:val="21"/>
                <w:szCs w:val="21"/>
              </w:rPr>
              <w:t>采用未来适用法的原因</w:t>
            </w:r>
          </w:p>
        </w:tc>
      </w:tr>
    </w:tbl>
    <w:p>
      <w:pPr>
        <w:spacing w:line="240" w:lineRule="auto" w:before="6"/>
        <w:rPr>
          <w:rFonts w:ascii="宋体" w:hAnsi="宋体" w:cs="宋体" w:eastAsia="宋体" w:hint="default"/>
          <w:b/>
          <w:bCs/>
          <w:sz w:val="19"/>
          <w:szCs w:val="19"/>
        </w:rPr>
      </w:pPr>
    </w:p>
    <w:p>
      <w:pPr>
        <w:pStyle w:val="Heading5"/>
        <w:spacing w:line="240" w:lineRule="auto" w:before="36"/>
        <w:ind w:right="1002"/>
        <w:jc w:val="left"/>
        <w:rPr>
          <w:b w:val="0"/>
          <w:bCs w:val="0"/>
        </w:rPr>
      </w:pPr>
      <w:bookmarkStart w:name="2、债务重组" w:id="519"/>
      <w:bookmarkEnd w:id="51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1002"/>
        <w:jc w:val="left"/>
        <w:rPr>
          <w:b w:val="0"/>
          <w:bCs w:val="0"/>
        </w:rPr>
      </w:pPr>
      <w:bookmarkStart w:name="3、资产置换" w:id="520"/>
      <w:bookmarkEnd w:id="52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非货币性资产交换" w:id="521"/>
      <w:bookmarkEnd w:id="521"/>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1002"/>
        <w:jc w:val="left"/>
        <w:rPr>
          <w:b w:val="0"/>
          <w:bCs w:val="0"/>
        </w:rPr>
      </w:pPr>
      <w:bookmarkStart w:name="（2）其他资产置换" w:id="522"/>
      <w:bookmarkEnd w:id="522"/>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4、年金计划" w:id="523"/>
      <w:bookmarkEnd w:id="52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5、终止经营" w:id="524"/>
      <w:bookmarkEnd w:id="52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143"/>
        <w:gridCol w:w="1594"/>
      </w:tblGrid>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5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63" w:right="156"/>
              <w:jc w:val="center"/>
              <w:rPr>
                <w:rFonts w:ascii="宋体" w:hAnsi="宋体" w:cs="宋体" w:eastAsia="宋体" w:hint="default"/>
                <w:sz w:val="21"/>
                <w:szCs w:val="21"/>
              </w:rPr>
            </w:pPr>
            <w:r>
              <w:rPr>
                <w:rFonts w:ascii="宋体" w:hAnsi="宋体" w:cs="宋体" w:eastAsia="宋体" w:hint="default"/>
                <w:spacing w:val="-1"/>
                <w:sz w:val="21"/>
                <w:szCs w:val="21"/>
              </w:rPr>
              <w:t>归属于母公司</w:t>
            </w:r>
            <w:r>
              <w:rPr>
                <w:rFonts w:ascii="宋体" w:hAnsi="宋体" w:cs="宋体" w:eastAsia="宋体" w:hint="default"/>
                <w:w w:val="100"/>
                <w:sz w:val="21"/>
                <w:szCs w:val="21"/>
              </w:rPr>
              <w:t> </w:t>
            </w:r>
            <w:r>
              <w:rPr>
                <w:rFonts w:ascii="宋体" w:hAnsi="宋体" w:cs="宋体" w:eastAsia="宋体" w:hint="default"/>
                <w:spacing w:val="-1"/>
                <w:sz w:val="21"/>
                <w:szCs w:val="21"/>
              </w:rPr>
              <w:t>所有者的终止</w:t>
            </w:r>
            <w:r>
              <w:rPr>
                <w:rFonts w:ascii="宋体" w:hAnsi="宋体" w:cs="宋体" w:eastAsia="宋体" w:hint="default"/>
                <w:w w:val="100"/>
                <w:sz w:val="21"/>
                <w:szCs w:val="21"/>
              </w:rPr>
              <w:t> </w:t>
            </w:r>
            <w:r>
              <w:rPr>
                <w:rFonts w:ascii="宋体" w:hAnsi="宋体" w:cs="宋体" w:eastAsia="宋体" w:hint="default"/>
                <w:sz w:val="21"/>
                <w:szCs w:val="21"/>
              </w:rPr>
              <w:t>经营利润</w:t>
            </w:r>
          </w:p>
        </w:tc>
      </w:tr>
    </w:tbl>
    <w:p>
      <w:pPr>
        <w:pStyle w:val="BodyText"/>
        <w:spacing w:line="240" w:lineRule="auto" w:before="28"/>
        <w:ind w:right="1002"/>
        <w:jc w:val="left"/>
      </w:pPr>
      <w:r>
        <w:rPr/>
        <w:t>其他说明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6、分部信息" w:id="525"/>
      <w:bookmarkEnd w:id="525"/>
      <w:r>
        <w:rPr>
          <w:b w:val="0"/>
          <w:bCs w:val="0"/>
        </w:rPr>
      </w:r>
      <w:r>
        <w:rPr>
          <w:rFonts w:ascii="Times New Roman" w:hAnsi="Times New Roman" w:cs="Times New Roman" w:eastAsia="Times New Roman" w:hint="default"/>
        </w:rPr>
        <w:t>6</w:t>
      </w:r>
      <w:r>
        <w:rPr/>
        <w:t>、分部信息</w:t>
      </w:r>
      <w:r>
        <w:rPr>
          <w:b w:val="0"/>
          <w:bCs w:val="0"/>
        </w:rPr>
      </w:r>
    </w:p>
    <w:p>
      <w:pPr>
        <w:pStyle w:val="Heading5"/>
        <w:spacing w:line="600" w:lineRule="atLeast" w:before="9"/>
        <w:ind w:left="473" w:right="7227" w:hanging="360"/>
        <w:jc w:val="left"/>
        <w:rPr>
          <w:b w:val="0"/>
          <w:bCs w:val="0"/>
        </w:rPr>
      </w:pPr>
      <w:bookmarkStart w:name="（1）报告分部的确定依据与会计政策" w:id="526"/>
      <w:bookmarkEnd w:id="526"/>
      <w:r>
        <w:rPr>
          <w:b w:val="0"/>
          <w:bCs w:val="0"/>
        </w:rPr>
      </w:r>
      <w:r>
        <w:rPr/>
        <w:t>（</w:t>
      </w:r>
      <w:r>
        <w:rPr>
          <w:rFonts w:ascii="Times New Roman" w:hAnsi="Times New Roman" w:cs="Times New Roman" w:eastAsia="Times New Roman" w:hint="default"/>
        </w:rPr>
        <w:t>1</w:t>
      </w:r>
      <w:r>
        <w:rPr/>
        <w:t>）报告分部的确定依据与会计政策</w:t>
      </w:r>
      <w:r>
        <w:rPr>
          <w:w w:val="100"/>
        </w:rPr>
        <w:t> </w:t>
      </w:r>
      <w:r>
        <w:rPr>
          <w:rFonts w:ascii="宋体" w:hAnsi="宋体" w:cs="宋体" w:eastAsia="宋体" w:hint="default"/>
        </w:rPr>
        <w:t>1.</w:t>
      </w:r>
      <w:r>
        <w:rPr/>
        <w:t>报告分部的确定依据与会计政策</w:t>
      </w:r>
      <w:r>
        <w:rPr>
          <w:b w:val="0"/>
          <w:bCs w:val="0"/>
        </w:rPr>
      </w:r>
    </w:p>
    <w:p>
      <w:pPr>
        <w:pStyle w:val="BodyText"/>
        <w:spacing w:line="273" w:lineRule="auto" w:before="37"/>
        <w:ind w:right="1002" w:firstLine="360"/>
        <w:jc w:val="left"/>
      </w:pPr>
      <w:r>
        <w:rPr>
          <w:spacing w:val="-1"/>
        </w:rPr>
        <w:t>本公司以内部组织结构、管理要求、内部报告制度为依据确定经营分部。本公司的经营分部是指同时</w:t>
      </w:r>
      <w:r>
        <w:rPr>
          <w:w w:val="100"/>
        </w:rPr>
        <w:t> </w:t>
      </w:r>
      <w:r>
        <w:rPr/>
        <w:t>满足下列条件的组成部分：</w:t>
      </w:r>
    </w:p>
    <w:p>
      <w:pPr>
        <w:pStyle w:val="BodyText"/>
        <w:spacing w:line="240" w:lineRule="auto" w:before="7"/>
        <w:ind w:left="473" w:right="1002"/>
        <w:jc w:val="left"/>
      </w:pPr>
      <w:r>
        <w:rPr/>
        <w:t>（</w:t>
      </w:r>
      <w:r>
        <w:rPr>
          <w:rFonts w:ascii="宋体" w:hAnsi="宋体" w:cs="宋体" w:eastAsia="宋体" w:hint="default"/>
        </w:rPr>
        <w:t>1</w:t>
      </w:r>
      <w:r>
        <w:rPr/>
        <w:t>）该组成部分能够在日常活动中产生收入、发生费用；</w:t>
      </w:r>
    </w:p>
    <w:p>
      <w:pPr>
        <w:pStyle w:val="BodyText"/>
        <w:spacing w:line="240" w:lineRule="auto" w:before="37"/>
        <w:ind w:left="473" w:right="1002"/>
        <w:jc w:val="left"/>
      </w:pPr>
      <w:r>
        <w:rPr/>
        <w:t>（</w:t>
      </w:r>
      <w:r>
        <w:rPr>
          <w:rFonts w:ascii="宋体" w:hAnsi="宋体" w:cs="宋体" w:eastAsia="宋体" w:hint="default"/>
        </w:rPr>
        <w:t>2</w:t>
      </w:r>
      <w:r>
        <w:rPr/>
        <w:t>）管理层能够定期评价该组成部分的经营成果，以决定向其配置资源、评价其业绩；</w:t>
      </w:r>
    </w:p>
    <w:p>
      <w:pPr>
        <w:pStyle w:val="BodyText"/>
        <w:spacing w:line="273" w:lineRule="auto" w:before="37"/>
        <w:ind w:left="473" w:right="1002"/>
        <w:jc w:val="left"/>
      </w:pPr>
      <w:r>
        <w:rPr/>
        <w:t>（</w:t>
      </w:r>
      <w:r>
        <w:rPr>
          <w:rFonts w:ascii="宋体" w:hAnsi="宋体" w:cs="宋体" w:eastAsia="宋体" w:hint="default"/>
        </w:rPr>
        <w:t>3</w:t>
      </w:r>
      <w:r>
        <w:rPr/>
        <w:t>）能够取得该组成部分的财务状况、经营成果和现金流量等有关会计信息。</w:t>
      </w:r>
      <w:r>
        <w:rPr>
          <w:w w:val="100"/>
        </w:rPr>
        <w:t> </w:t>
      </w:r>
      <w:r>
        <w:rPr>
          <w:spacing w:val="-2"/>
        </w:rPr>
        <w:t>本公司以经营分部为基础确定报告分部，满足下列条件之一的经营分部确定为报告分部：</w:t>
      </w:r>
    </w:p>
    <w:p>
      <w:pPr>
        <w:spacing w:after="0" w:line="273"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40" w:lineRule="auto"/>
        <w:ind w:left="473" w:right="1002"/>
        <w:jc w:val="left"/>
      </w:pPr>
      <w:r>
        <w:rPr/>
        <w:t>（</w:t>
      </w:r>
      <w:r>
        <w:rPr>
          <w:rFonts w:ascii="宋体" w:hAnsi="宋体" w:cs="宋体" w:eastAsia="宋体" w:hint="default"/>
        </w:rPr>
        <w:t>1</w:t>
      </w:r>
      <w:r>
        <w:rPr/>
        <w:t>）该经营分部的分部收入占所有分部收入合计的</w:t>
      </w:r>
      <w:r>
        <w:rPr>
          <w:rFonts w:ascii="宋体" w:hAnsi="宋体" w:cs="宋体" w:eastAsia="宋体" w:hint="default"/>
        </w:rPr>
        <w:t>10%</w:t>
      </w:r>
      <w:r>
        <w:rPr/>
        <w:t>或者以上；</w:t>
      </w:r>
    </w:p>
    <w:p>
      <w:pPr>
        <w:pStyle w:val="BodyText"/>
        <w:spacing w:line="273" w:lineRule="auto" w:before="37"/>
        <w:ind w:right="1002" w:firstLine="360"/>
        <w:jc w:val="left"/>
      </w:pPr>
      <w:r>
        <w:rPr>
          <w:spacing w:val="-3"/>
        </w:rPr>
        <w:t>（</w:t>
      </w:r>
      <w:r>
        <w:rPr>
          <w:rFonts w:ascii="宋体" w:hAnsi="宋体" w:cs="宋体" w:eastAsia="宋体" w:hint="default"/>
          <w:spacing w:val="-3"/>
        </w:rPr>
        <w:t>2</w:t>
      </w:r>
      <w:r>
        <w:rPr>
          <w:spacing w:val="-3"/>
        </w:rPr>
        <w:t>）该分部的分部利润（亏损）的绝对额，占所有盈利分部利润合计额或者所有亏损分部亏损合计额</w:t>
      </w:r>
      <w:r>
        <w:rPr>
          <w:w w:val="100"/>
        </w:rPr>
        <w:t> </w:t>
      </w:r>
      <w:r>
        <w:rPr/>
        <w:t>的绝对额两者中较大者的</w:t>
      </w:r>
      <w:r>
        <w:rPr>
          <w:rFonts w:ascii="宋体" w:hAnsi="宋体" w:cs="宋体" w:eastAsia="宋体" w:hint="default"/>
        </w:rPr>
        <w:t>10%</w:t>
      </w:r>
      <w:r>
        <w:rPr/>
        <w:t>或者以上。</w:t>
      </w:r>
    </w:p>
    <w:p>
      <w:pPr>
        <w:pStyle w:val="BodyText"/>
        <w:spacing w:line="273" w:lineRule="auto" w:before="8"/>
        <w:ind w:right="1002" w:firstLine="360"/>
        <w:jc w:val="left"/>
      </w:pPr>
      <w:r>
        <w:rPr>
          <w:spacing w:val="-1"/>
        </w:rPr>
        <w:t>按上述会计政策确定的报告分部的经营分部的对外交易收入合计额占合并总收入的比重未达到</w:t>
      </w:r>
      <w:r>
        <w:rPr>
          <w:rFonts w:ascii="宋体" w:hAnsi="宋体" w:cs="宋体" w:eastAsia="宋体" w:hint="default"/>
          <w:spacing w:val="-1"/>
        </w:rPr>
        <w:t>75%</w:t>
      </w:r>
      <w:r>
        <w:rPr>
          <w:spacing w:val="-1"/>
        </w:rPr>
        <w:t>时，</w:t>
      </w:r>
      <w:r>
        <w:rPr>
          <w:w w:val="100"/>
        </w:rPr>
        <w:t> </w:t>
      </w:r>
      <w:r>
        <w:rPr>
          <w:spacing w:val="-2"/>
        </w:rPr>
        <w:t>增加报告分部的数量，按下述规定将其他未作为报告分部的经营分部纳入报告分部的范围，直到该比重达</w:t>
      </w:r>
      <w:r>
        <w:rPr>
          <w:spacing w:val="-33"/>
        </w:rPr>
        <w:t> </w:t>
      </w:r>
      <w:r>
        <w:rPr>
          <w:spacing w:val="-33"/>
        </w:rPr>
      </w:r>
      <w:r>
        <w:rPr/>
        <w:t>到</w:t>
      </w:r>
      <w:r>
        <w:rPr>
          <w:rFonts w:ascii="宋体" w:hAnsi="宋体" w:cs="宋体" w:eastAsia="宋体" w:hint="default"/>
        </w:rPr>
        <w:t>75%</w:t>
      </w:r>
      <w:r>
        <w:rPr/>
        <w:t>：</w:t>
      </w:r>
    </w:p>
    <w:p>
      <w:pPr>
        <w:pStyle w:val="BodyText"/>
        <w:spacing w:line="240" w:lineRule="auto" w:before="7"/>
        <w:ind w:left="473" w:right="1002"/>
        <w:jc w:val="left"/>
      </w:pPr>
      <w:r>
        <w:rPr/>
        <w:t>（</w:t>
      </w:r>
      <w:r>
        <w:rPr>
          <w:rFonts w:ascii="宋体" w:hAnsi="宋体" w:cs="宋体" w:eastAsia="宋体" w:hint="default"/>
        </w:rPr>
        <w:t>1</w:t>
      </w:r>
      <w:r>
        <w:rPr/>
        <w:t>）将管理层认为披露该经营分部信息对会计信息使用者有用的经营分部确定为报告分部；</w:t>
      </w:r>
    </w:p>
    <w:p>
      <w:pPr>
        <w:pStyle w:val="BodyText"/>
        <w:spacing w:line="273" w:lineRule="auto" w:before="37"/>
        <w:ind w:right="1002" w:firstLine="360"/>
        <w:jc w:val="left"/>
      </w:pPr>
      <w:r>
        <w:rPr>
          <w:spacing w:val="-3"/>
        </w:rPr>
        <w:t>（</w:t>
      </w:r>
      <w:r>
        <w:rPr>
          <w:rFonts w:ascii="宋体" w:hAnsi="宋体" w:cs="宋体" w:eastAsia="宋体" w:hint="default"/>
          <w:spacing w:val="-3"/>
        </w:rPr>
        <w:t>2</w:t>
      </w:r>
      <w:r>
        <w:rPr>
          <w:spacing w:val="-3"/>
        </w:rPr>
        <w:t>）将该经营分部与一个或一个以上的具有相似经济特征、满足经营分部合并条件的其他经营分部合</w:t>
      </w:r>
      <w:r>
        <w:rPr>
          <w:w w:val="100"/>
        </w:rPr>
        <w:t> </w:t>
      </w:r>
      <w:r>
        <w:rPr/>
        <w:t>并，作为一个报告分部。</w:t>
      </w:r>
    </w:p>
    <w:p>
      <w:pPr>
        <w:pStyle w:val="BodyText"/>
        <w:spacing w:line="273" w:lineRule="auto" w:before="8"/>
        <w:ind w:right="1002" w:firstLine="360"/>
        <w:jc w:val="left"/>
      </w:pPr>
      <w:r>
        <w:rPr>
          <w:spacing w:val="-1"/>
        </w:rPr>
        <w:t>分部间转移价格参照市场价格确定，与各分部共同使用的资产、相关的费用按照收入比例在不同的分</w:t>
      </w:r>
      <w:r>
        <w:rPr>
          <w:w w:val="100"/>
        </w:rPr>
        <w:t> </w:t>
      </w:r>
      <w:r>
        <w:rPr/>
        <w:t>部之间分配。</w:t>
      </w:r>
    </w:p>
    <w:p>
      <w:pPr>
        <w:spacing w:line="273" w:lineRule="auto" w:before="7"/>
        <w:ind w:left="473" w:right="1002"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本公司确定报告分部考虑的因素、报告分部的产品和劳务的类型</w:t>
      </w:r>
      <w:r>
        <w:rPr>
          <w:rFonts w:ascii="宋体" w:hAnsi="宋体" w:cs="宋体" w:eastAsia="宋体" w:hint="default"/>
          <w:b/>
          <w:bCs/>
          <w:w w:val="100"/>
          <w:sz w:val="21"/>
          <w:szCs w:val="21"/>
        </w:rPr>
        <w:t> </w:t>
      </w:r>
      <w:r>
        <w:rPr>
          <w:rFonts w:ascii="宋体" w:hAnsi="宋体" w:cs="宋体" w:eastAsia="宋体" w:hint="default"/>
          <w:spacing w:val="-1"/>
          <w:sz w:val="21"/>
          <w:szCs w:val="21"/>
        </w:rPr>
        <w:t>本公司的报告分部都是提供不同产品和劳务的业务单元。由于各种业务需要不同的技术和市场战略，</w:t>
      </w:r>
    </w:p>
    <w:p>
      <w:pPr>
        <w:pStyle w:val="BodyText"/>
        <w:spacing w:line="273" w:lineRule="auto" w:before="7"/>
        <w:ind w:right="1002"/>
        <w:jc w:val="left"/>
      </w:pPr>
      <w:r>
        <w:rPr>
          <w:spacing w:val="-2"/>
        </w:rPr>
        <w:t>因此本公司分别独立管理各个报告分部的生产经营活动，分别评价其经营成果，以决定向其配置资源、评</w:t>
      </w:r>
      <w:r>
        <w:rPr>
          <w:spacing w:val="-31"/>
        </w:rPr>
        <w:t> </w:t>
      </w:r>
      <w:r>
        <w:rPr>
          <w:spacing w:val="-31"/>
        </w:rPr>
      </w:r>
      <w:r>
        <w:rPr/>
        <w:t>价其业绩。</w:t>
      </w:r>
    </w:p>
    <w:p>
      <w:pPr>
        <w:pStyle w:val="BodyText"/>
        <w:spacing w:line="273" w:lineRule="auto" w:before="7"/>
        <w:ind w:right="1002" w:firstLine="360"/>
        <w:jc w:val="left"/>
      </w:pPr>
      <w:r>
        <w:rPr>
          <w:spacing w:val="-3"/>
        </w:rPr>
        <w:t>本公司有</w:t>
      </w:r>
      <w:r>
        <w:rPr>
          <w:rFonts w:ascii="宋体" w:hAnsi="宋体" w:cs="宋体" w:eastAsia="宋体" w:hint="default"/>
          <w:spacing w:val="-3"/>
        </w:rPr>
        <w:t>3</w:t>
      </w:r>
      <w:r>
        <w:rPr>
          <w:spacing w:val="-3"/>
        </w:rPr>
        <w:t>个报告分部：电气机械和器材制造业分部、专业技术服务业分部和软件和信息技术服务业分</w:t>
      </w:r>
      <w:r>
        <w:rPr>
          <w:w w:val="100"/>
        </w:rPr>
        <w:t> </w:t>
      </w:r>
      <w:r>
        <w:rPr/>
        <w:t>部。</w:t>
      </w:r>
    </w:p>
    <w:p>
      <w:pPr>
        <w:spacing w:line="240" w:lineRule="auto" w:before="9"/>
        <w:rPr>
          <w:rFonts w:ascii="宋体" w:hAnsi="宋体" w:cs="宋体" w:eastAsia="宋体" w:hint="default"/>
          <w:sz w:val="23"/>
          <w:szCs w:val="23"/>
        </w:rPr>
      </w:pPr>
    </w:p>
    <w:p>
      <w:pPr>
        <w:pStyle w:val="Heading5"/>
        <w:spacing w:line="240" w:lineRule="auto"/>
        <w:ind w:right="1002"/>
        <w:jc w:val="left"/>
        <w:rPr>
          <w:b w:val="0"/>
          <w:bCs w:val="0"/>
        </w:rPr>
      </w:pPr>
      <w:bookmarkStart w:name="（2）报告分部的财务信息" w:id="527"/>
      <w:bookmarkEnd w:id="52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63" w:right="156"/>
              <w:jc w:val="left"/>
              <w:rPr>
                <w:rFonts w:ascii="宋体" w:hAnsi="宋体" w:cs="宋体" w:eastAsia="宋体" w:hint="default"/>
                <w:sz w:val="21"/>
                <w:szCs w:val="21"/>
              </w:rPr>
            </w:pPr>
            <w:r>
              <w:rPr>
                <w:rFonts w:ascii="宋体" w:hAnsi="宋体" w:cs="宋体" w:eastAsia="宋体" w:hint="default"/>
                <w:sz w:val="21"/>
                <w:szCs w:val="21"/>
              </w:rPr>
              <w:t>电气机械和器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材制造业分部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480" w:right="156" w:hanging="317"/>
              <w:jc w:val="left"/>
              <w:rPr>
                <w:rFonts w:ascii="宋体" w:hAnsi="宋体" w:cs="宋体" w:eastAsia="宋体" w:hint="default"/>
                <w:sz w:val="21"/>
                <w:szCs w:val="21"/>
              </w:rPr>
            </w:pPr>
            <w:r>
              <w:rPr>
                <w:rFonts w:ascii="宋体" w:hAnsi="宋体" w:cs="宋体" w:eastAsia="宋体" w:hint="default"/>
                <w:sz w:val="21"/>
                <w:szCs w:val="21"/>
              </w:rPr>
              <w:t>专业技术服务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业分部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63" w:right="156"/>
              <w:jc w:val="left"/>
              <w:rPr>
                <w:rFonts w:ascii="宋体" w:hAnsi="宋体" w:cs="宋体" w:eastAsia="宋体" w:hint="default"/>
                <w:sz w:val="21"/>
                <w:szCs w:val="21"/>
              </w:rPr>
            </w:pPr>
            <w:r>
              <w:rPr>
                <w:rFonts w:ascii="宋体" w:hAnsi="宋体" w:cs="宋体" w:eastAsia="宋体" w:hint="default"/>
                <w:sz w:val="21"/>
                <w:szCs w:val="21"/>
              </w:rPr>
              <w:t>软件和信息技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术服务业分部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分部间抵销</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105" w:right="0"/>
              <w:jc w:val="left"/>
              <w:rPr>
                <w:rFonts w:ascii="宋体" w:hAnsi="宋体" w:cs="宋体" w:eastAsia="宋体" w:hint="default"/>
                <w:sz w:val="21"/>
                <w:szCs w:val="21"/>
              </w:rPr>
            </w:pP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营业收入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1,302,421,356.4</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2"/>
                <w:sz w:val="21"/>
              </w:rPr>
              <w:t>116,252,112.18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1,585,528,341.8</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-248,525,398.4</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2,755,676,412.1</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105" w:right="0"/>
              <w:jc w:val="left"/>
              <w:rPr>
                <w:rFonts w:ascii="宋体" w:hAnsi="宋体" w:cs="宋体" w:eastAsia="宋体" w:hint="default"/>
                <w:sz w:val="21"/>
                <w:szCs w:val="21"/>
              </w:rPr>
            </w:pP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营业总成本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1,330,471,835.8</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103,681,118.72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1,246,539,383.8</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-235,087,039.2</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2,445,605,299.1</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三</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利润总额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49,897,603.58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13,337,278.49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342,705,827.49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6" w:right="0"/>
              <w:jc w:val="left"/>
              <w:rPr>
                <w:rFonts w:ascii="Times New Roman" w:hAnsi="Times New Roman" w:cs="Times New Roman" w:eastAsia="Times New Roman" w:hint="default"/>
                <w:sz w:val="21"/>
                <w:szCs w:val="21"/>
              </w:rPr>
            </w:pPr>
            <w:r>
              <w:rPr>
                <w:rFonts w:ascii="Times New Roman"/>
                <w:sz w:val="21"/>
              </w:rPr>
              <w:t>-71,276,423.99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1" w:right="0"/>
              <w:jc w:val="center"/>
              <w:rPr>
                <w:rFonts w:ascii="Times New Roman" w:hAnsi="Times New Roman" w:cs="Times New Roman" w:eastAsia="Times New Roman" w:hint="default"/>
                <w:sz w:val="21"/>
                <w:szCs w:val="21"/>
              </w:rPr>
            </w:pPr>
            <w:r>
              <w:rPr>
                <w:rFonts w:ascii="Times New Roman"/>
                <w:sz w:val="21"/>
              </w:rPr>
              <w:t>334,664,285.57</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四</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净利润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53,015,057.28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11,125,585.77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295,459,474.17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6" w:right="0"/>
              <w:jc w:val="left"/>
              <w:rPr>
                <w:rFonts w:ascii="Times New Roman" w:hAnsi="Times New Roman" w:cs="Times New Roman" w:eastAsia="Times New Roman" w:hint="default"/>
                <w:sz w:val="21"/>
                <w:szCs w:val="21"/>
              </w:rPr>
            </w:pPr>
            <w:r>
              <w:rPr>
                <w:rFonts w:ascii="Times New Roman"/>
                <w:sz w:val="21"/>
              </w:rPr>
              <w:t>-71,276,423.99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1" w:right="0"/>
              <w:jc w:val="center"/>
              <w:rPr>
                <w:rFonts w:ascii="Times New Roman" w:hAnsi="Times New Roman" w:cs="Times New Roman" w:eastAsia="Times New Roman" w:hint="default"/>
                <w:sz w:val="21"/>
                <w:szCs w:val="21"/>
              </w:rPr>
            </w:pPr>
            <w:r>
              <w:rPr>
                <w:rFonts w:ascii="Times New Roman"/>
                <w:sz w:val="21"/>
              </w:rPr>
              <w:t>288,323,693.23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105" w:right="0"/>
              <w:jc w:val="left"/>
              <w:rPr>
                <w:rFonts w:ascii="宋体" w:hAnsi="宋体" w:cs="宋体" w:eastAsia="宋体"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资产总额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6,403,491,995.8</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231,666,061.49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3,491,288,092.1</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-3,000,907,366.</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7,125,538,782.5</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86"/>
              <w:ind w:left="105" w:right="0"/>
              <w:jc w:val="left"/>
              <w:rPr>
                <w:rFonts w:ascii="宋体" w:hAnsi="宋体" w:cs="宋体" w:eastAsia="宋体" w:hint="default"/>
                <w:sz w:val="21"/>
                <w:szCs w:val="21"/>
              </w:rPr>
            </w:pPr>
            <w:r>
              <w:rPr>
                <w:rFonts w:ascii="宋体" w:hAnsi="宋体" w:cs="宋体" w:eastAsia="宋体" w:hint="default"/>
                <w:sz w:val="21"/>
                <w:szCs w:val="21"/>
              </w:rPr>
              <w:t>六</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负债总额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1,909,438,922.9</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65,740,143.53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1,455,403,379.5</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-894,165,947.1</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2,536,416,498.8</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9</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3）公司无报告分部的，或者不能披露各报告分部的资产总额和负债总额的，应说明原因" w:id="528"/>
      <w:bookmarkEnd w:id="52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right="1002"/>
        <w:jc w:val="left"/>
        <w:rPr>
          <w:b w:val="0"/>
          <w:bCs w:val="0"/>
        </w:rPr>
      </w:pPr>
      <w:bookmarkStart w:name="（4）其他说明" w:id="529"/>
      <w:bookmarkEnd w:id="529"/>
      <w:r>
        <w:rPr>
          <w:b w:val="0"/>
          <w:bCs w:val="0"/>
        </w:rPr>
      </w:r>
      <w:r>
        <w:rPr/>
        <w:t>（</w:t>
      </w:r>
      <w:r>
        <w:rPr>
          <w:rFonts w:ascii="Times New Roman" w:hAnsi="Times New Roman" w:cs="Times New Roman" w:eastAsia="Times New Roman" w:hint="default"/>
        </w:rPr>
        <w:t>4</w:t>
      </w:r>
      <w:r>
        <w:rPr/>
        <w:t>）其他说明</w:t>
      </w:r>
      <w:r>
        <w:rPr>
          <w:b w:val="0"/>
          <w:bCs w:val="0"/>
        </w:rPr>
      </w:r>
    </w:p>
    <w:p>
      <w:pPr>
        <w:spacing w:line="600" w:lineRule="atLeast" w:before="14"/>
        <w:ind w:left="473" w:right="1002" w:hanging="360"/>
        <w:jc w:val="left"/>
        <w:rPr>
          <w:rFonts w:ascii="宋体" w:hAnsi="宋体" w:cs="宋体" w:eastAsia="宋体" w:hint="default"/>
          <w:sz w:val="21"/>
          <w:szCs w:val="21"/>
        </w:rPr>
      </w:pPr>
      <w:bookmarkStart w:name="7、其他对投资者决策有影响的重要交易和事项" w:id="530"/>
      <w:bookmarkEnd w:id="53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3"/>
          <w:sz w:val="21"/>
          <w:szCs w:val="21"/>
        </w:rPr>
        <w:t>经公司第八届董事会第九次会议、第八届监事会第七次会议以及</w:t>
      </w:r>
      <w:r>
        <w:rPr>
          <w:rFonts w:ascii="宋体" w:hAnsi="宋体" w:cs="宋体" w:eastAsia="宋体" w:hint="default"/>
          <w:spacing w:val="-3"/>
          <w:sz w:val="21"/>
          <w:szCs w:val="21"/>
        </w:rPr>
        <w:t>2019</w:t>
      </w:r>
      <w:r>
        <w:rPr>
          <w:rFonts w:ascii="宋体" w:hAnsi="宋体" w:cs="宋体" w:eastAsia="宋体" w:hint="default"/>
          <w:spacing w:val="-3"/>
          <w:sz w:val="21"/>
          <w:szCs w:val="21"/>
        </w:rPr>
        <w:t>年第</w:t>
      </w:r>
      <w:r>
        <w:rPr>
          <w:rFonts w:ascii="宋体" w:hAnsi="宋体" w:cs="宋体" w:eastAsia="宋体" w:hint="default"/>
          <w:spacing w:val="-3"/>
          <w:sz w:val="21"/>
          <w:szCs w:val="21"/>
        </w:rPr>
        <w:t>3</w:t>
      </w:r>
      <w:r>
        <w:rPr>
          <w:rFonts w:ascii="宋体" w:hAnsi="宋体" w:cs="宋体" w:eastAsia="宋体" w:hint="default"/>
          <w:spacing w:val="-3"/>
          <w:sz w:val="21"/>
          <w:szCs w:val="21"/>
        </w:rPr>
        <w:t>次临时股东大会决议审议并</w:t>
      </w:r>
    </w:p>
    <w:p>
      <w:pPr>
        <w:pStyle w:val="BodyText"/>
        <w:spacing w:line="240" w:lineRule="auto" w:before="37"/>
        <w:ind w:right="1002"/>
        <w:jc w:val="left"/>
      </w:pPr>
      <w:r>
        <w:rPr>
          <w:w w:val="100"/>
        </w:rPr>
        <w:t>通过了《关于公司符合非</w:t>
      </w:r>
      <w:r>
        <w:rPr>
          <w:spacing w:val="4"/>
          <w:w w:val="100"/>
        </w:rPr>
        <w:t>公</w:t>
      </w:r>
      <w:r>
        <w:rPr>
          <w:w w:val="100"/>
        </w:rPr>
        <w:t>开发</w:t>
      </w:r>
      <w:r>
        <w:rPr>
          <w:spacing w:val="1"/>
          <w:w w:val="100"/>
        </w:rPr>
        <w:t>行</w:t>
      </w:r>
      <w:r>
        <w:rPr>
          <w:rFonts w:ascii="宋体" w:hAnsi="宋体" w:cs="宋体" w:eastAsia="宋体" w:hint="default"/>
          <w:w w:val="100"/>
        </w:rPr>
        <w:t>A</w:t>
      </w:r>
      <w:r>
        <w:rPr>
          <w:w w:val="100"/>
        </w:rPr>
        <w:t>股股</w:t>
      </w:r>
      <w:r>
        <w:rPr>
          <w:spacing w:val="4"/>
          <w:w w:val="100"/>
        </w:rPr>
        <w:t>票</w:t>
      </w:r>
      <w:r>
        <w:rPr>
          <w:w w:val="100"/>
        </w:rPr>
        <w:t>条件的</w:t>
      </w:r>
      <w:r>
        <w:rPr>
          <w:spacing w:val="4"/>
          <w:w w:val="100"/>
        </w:rPr>
        <w:t>议</w:t>
      </w:r>
      <w:r>
        <w:rPr>
          <w:w w:val="100"/>
        </w:rPr>
        <w:t>案</w:t>
      </w:r>
      <w:r>
        <w:rPr>
          <w:spacing w:val="-101"/>
          <w:w w:val="100"/>
        </w:rPr>
        <w:t>》、</w:t>
      </w:r>
      <w:r>
        <w:rPr>
          <w:w w:val="100"/>
        </w:rPr>
        <w:t>《关于公司</w:t>
      </w:r>
      <w:r>
        <w:rPr>
          <w:spacing w:val="1"/>
        </w:rPr>
        <w:t> </w:t>
      </w:r>
      <w:r>
        <w:rPr>
          <w:rFonts w:ascii="宋体" w:hAnsi="宋体" w:cs="宋体" w:eastAsia="宋体" w:hint="default"/>
          <w:w w:val="100"/>
        </w:rPr>
        <w:t>2019</w:t>
      </w:r>
      <w:r>
        <w:rPr>
          <w:w w:val="100"/>
        </w:rPr>
        <w:t>年度非公开发行</w:t>
      </w:r>
      <w:r>
        <w:rPr>
          <w:rFonts w:ascii="宋体" w:hAnsi="宋体" w:cs="宋体" w:eastAsia="宋体" w:hint="default"/>
          <w:w w:val="100"/>
        </w:rPr>
        <w:t>A</w:t>
      </w:r>
      <w:r>
        <w:rPr>
          <w:w w:val="100"/>
        </w:rPr>
        <w:t>股股票发行方</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BodyText"/>
        <w:spacing w:line="273" w:lineRule="auto"/>
        <w:ind w:right="1123"/>
        <w:jc w:val="both"/>
      </w:pPr>
      <w:r>
        <w:rPr>
          <w:spacing w:val="-10"/>
          <w:w w:val="100"/>
        </w:rPr>
        <w:t>案的议案》、《关于公司</w:t>
      </w:r>
      <w:r>
        <w:rPr>
          <w:rFonts w:ascii="宋体" w:hAnsi="宋体" w:cs="宋体" w:eastAsia="宋体" w:hint="default"/>
          <w:spacing w:val="-10"/>
          <w:w w:val="100"/>
        </w:rPr>
        <w:t>2019</w:t>
      </w:r>
      <w:r>
        <w:rPr>
          <w:spacing w:val="-10"/>
          <w:w w:val="100"/>
        </w:rPr>
        <w:t>年度非公开发行</w:t>
      </w:r>
      <w:r>
        <w:rPr>
          <w:rFonts w:ascii="宋体" w:hAnsi="宋体" w:cs="宋体" w:eastAsia="宋体" w:hint="default"/>
          <w:spacing w:val="-10"/>
          <w:w w:val="100"/>
        </w:rPr>
        <w:t>A</w:t>
      </w:r>
      <w:r>
        <w:rPr>
          <w:spacing w:val="-10"/>
          <w:w w:val="100"/>
        </w:rPr>
        <w:t>股股票预案的议案》、《关于公司</w:t>
      </w:r>
      <w:r>
        <w:rPr>
          <w:rFonts w:ascii="宋体" w:hAnsi="宋体" w:cs="宋体" w:eastAsia="宋体" w:hint="default"/>
          <w:spacing w:val="-10"/>
          <w:w w:val="100"/>
        </w:rPr>
        <w:t>2019</w:t>
      </w:r>
      <w:r>
        <w:rPr>
          <w:spacing w:val="-10"/>
          <w:w w:val="100"/>
        </w:rPr>
        <w:t>年度非公开发行</w:t>
      </w:r>
      <w:r>
        <w:rPr>
          <w:rFonts w:ascii="宋体" w:hAnsi="宋体" w:cs="宋体" w:eastAsia="宋体" w:hint="default"/>
          <w:spacing w:val="-10"/>
          <w:w w:val="100"/>
        </w:rPr>
        <w:t>A</w:t>
      </w:r>
      <w:r>
        <w:rPr>
          <w:spacing w:val="-10"/>
          <w:w w:val="100"/>
        </w:rPr>
        <w:t>股股票</w:t>
      </w:r>
      <w:r>
        <w:rPr>
          <w:spacing w:val="-79"/>
          <w:w w:val="100"/>
        </w:rPr>
        <w:t> </w:t>
      </w:r>
      <w:r>
        <w:rPr>
          <w:spacing w:val="-79"/>
          <w:w w:val="100"/>
        </w:rPr>
      </w:r>
      <w:r>
        <w:rPr>
          <w:spacing w:val="-2"/>
        </w:rPr>
        <w:t>募集资金使用可行性分析报告的议案》等相关议案，同意公司向特定对象非公开发行股票。截至本报告披</w:t>
      </w:r>
      <w:r>
        <w:rPr>
          <w:spacing w:val="-33"/>
        </w:rPr>
        <w:t> </w:t>
      </w:r>
      <w:r>
        <w:rPr>
          <w:spacing w:val="-33"/>
        </w:rPr>
      </w:r>
      <w:r>
        <w:rPr>
          <w:spacing w:val="-2"/>
        </w:rPr>
        <w:t>露日，中国证监会发行审核委员会对本公司非公开发行股票的申请进行了审核。根据审核结果，公司本次</w:t>
      </w:r>
      <w:r>
        <w:rPr>
          <w:spacing w:val="-33"/>
        </w:rPr>
        <w:t> </w:t>
      </w:r>
      <w:r>
        <w:rPr>
          <w:spacing w:val="-33"/>
        </w:rPr>
      </w:r>
      <w:r>
        <w:rPr>
          <w:spacing w:val="-2"/>
        </w:rPr>
        <w:t>非公开发行股票申请获得通过，目前公司尚未收到中国证监会的书面核准文件。截至本财务报告日止，上</w:t>
      </w:r>
      <w:r>
        <w:rPr>
          <w:spacing w:val="-31"/>
        </w:rPr>
        <w:t> </w:t>
      </w:r>
      <w:r>
        <w:rPr>
          <w:spacing w:val="-31"/>
        </w:rPr>
      </w:r>
      <w:r>
        <w:rPr/>
        <w:t>述非公开发行工作仍在进行中。</w:t>
      </w:r>
    </w:p>
    <w:p>
      <w:pPr>
        <w:pStyle w:val="BodyText"/>
        <w:spacing w:line="240" w:lineRule="auto" w:before="7"/>
        <w:ind w:left="473" w:right="1002"/>
        <w:jc w:val="left"/>
      </w:pPr>
      <w:r>
        <w:rPr/>
        <w:t>除上述事项外，截至本财务报告日止，无应披露未披露的其他重要事项。</w:t>
      </w:r>
    </w:p>
    <w:p>
      <w:pPr>
        <w:spacing w:line="240" w:lineRule="auto" w:before="12"/>
        <w:rPr>
          <w:rFonts w:ascii="宋体" w:hAnsi="宋体" w:cs="宋体" w:eastAsia="宋体" w:hint="default"/>
          <w:sz w:val="25"/>
          <w:szCs w:val="25"/>
        </w:rPr>
      </w:pPr>
    </w:p>
    <w:p>
      <w:pPr>
        <w:pStyle w:val="Heading5"/>
        <w:spacing w:line="520" w:lineRule="auto"/>
        <w:ind w:right="7377"/>
        <w:jc w:val="left"/>
        <w:rPr>
          <w:b w:val="0"/>
          <w:bCs w:val="0"/>
        </w:rPr>
      </w:pPr>
      <w:bookmarkStart w:name="8、其他" w:id="531"/>
      <w:bookmarkEnd w:id="531"/>
      <w:r>
        <w:rPr>
          <w:b w:val="0"/>
          <w:bCs w:val="0"/>
        </w:rPr>
      </w:r>
      <w:r>
        <w:rPr>
          <w:rFonts w:ascii="Times New Roman" w:hAnsi="Times New Roman" w:cs="Times New Roman" w:eastAsia="Times New Roman" w:hint="default"/>
        </w:rPr>
        <w:t>8</w:t>
      </w:r>
      <w:r>
        <w:rPr/>
        <w:t>、其他</w:t>
      </w:r>
      <w:r>
        <w:rPr>
          <w:w w:val="100"/>
        </w:rPr>
        <w:t> </w:t>
      </w:r>
      <w:bookmarkStart w:name="十七、母公司财务报表主要项目注释" w:id="532"/>
      <w:bookmarkEnd w:id="532"/>
      <w:r>
        <w:rPr/>
        <w:t>十七、母公司财务报表主要项目注释</w:t>
      </w:r>
      <w:r>
        <w:rPr>
          <w:spacing w:val="-100"/>
        </w:rPr>
        <w:t> </w:t>
      </w:r>
      <w:r>
        <w:rPr>
          <w:spacing w:val="-100"/>
        </w:rPr>
      </w:r>
      <w:bookmarkStart w:name="1、应收账款" w:id="533"/>
      <w:bookmarkEnd w:id="533"/>
      <w:r>
        <w:rPr>
          <w:spacing w:val="-100"/>
        </w:rPr>
      </w:r>
      <w:r>
        <w:rPr>
          <w:rFonts w:ascii="Times New Roman" w:hAnsi="Times New Roman" w:cs="Times New Roman" w:eastAsia="Times New Roman" w:hint="default"/>
        </w:rPr>
        <w:t>1</w:t>
      </w:r>
      <w:r>
        <w:rPr/>
        <w:t>、应收账款</w:t>
      </w:r>
      <w:r>
        <w:rPr>
          <w:b w:val="0"/>
          <w:bCs w:val="0"/>
        </w:rPr>
      </w:r>
    </w:p>
    <w:p>
      <w:pPr>
        <w:pStyle w:val="Heading5"/>
        <w:spacing w:line="240" w:lineRule="auto" w:before="51"/>
        <w:ind w:right="1002"/>
        <w:jc w:val="left"/>
        <w:rPr>
          <w:b w:val="0"/>
          <w:bCs w:val="0"/>
        </w:rPr>
      </w:pPr>
      <w:bookmarkStart w:name="（1）应收账款分类披露" w:id="534"/>
      <w:bookmarkEnd w:id="53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8"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3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182" w:right="17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6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73" w:lineRule="auto"/>
              <w:ind w:left="355" w:right="137" w:hanging="207"/>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p>
        </w:tc>
      </w:tr>
      <w:tr>
        <w:trPr>
          <w:trHeight w:val="716"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6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67" w:right="161"/>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82" w:right="177"/>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257"/>
              <w:jc w:val="both"/>
              <w:rPr>
                <w:rFonts w:ascii="宋体" w:hAnsi="宋体" w:cs="宋体" w:eastAsia="宋体" w:hint="default"/>
                <w:sz w:val="21"/>
                <w:szCs w:val="21"/>
              </w:rPr>
            </w:pPr>
            <w:r>
              <w:rPr>
                <w:rFonts w:ascii="宋体" w:hAnsi="宋体" w:cs="宋体" w:eastAsia="宋体" w:hint="default"/>
                <w:sz w:val="21"/>
                <w:szCs w:val="21"/>
              </w:rPr>
              <w:t>按单项计提坏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账准备的应收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3,405,</w:t>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214.3</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0.68%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3,405,</w:t>
            </w:r>
          </w:p>
          <w:p>
            <w:pPr>
              <w:pStyle w:val="TableParagraph"/>
              <w:spacing w:line="240" w:lineRule="auto" w:before="70"/>
              <w:ind w:right="95"/>
              <w:jc w:val="right"/>
              <w:rPr>
                <w:rFonts w:ascii="Times New Roman" w:hAnsi="Times New Roman" w:cs="Times New Roman" w:eastAsia="Times New Roman" w:hint="default"/>
                <w:sz w:val="21"/>
                <w:szCs w:val="21"/>
              </w:rPr>
            </w:pPr>
            <w:r>
              <w:rPr>
                <w:rFonts w:ascii="Times New Roman"/>
                <w:sz w:val="21"/>
              </w:rPr>
              <w:t>214.3</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70"/>
              <w:ind w:left="276" w:right="0"/>
              <w:jc w:val="center"/>
              <w:rPr>
                <w:rFonts w:ascii="Times New Roman" w:hAnsi="Times New Roman" w:cs="Times New Roman" w:eastAsia="Times New Roman" w:hint="default"/>
                <w:sz w:val="21"/>
                <w:szCs w:val="21"/>
              </w:rPr>
            </w:pPr>
            <w:r>
              <w:rPr>
                <w:rFonts w:ascii="Times New Roman"/>
                <w:sz w:val="21"/>
              </w:rPr>
              <w:t>0%</w:t>
            </w: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1" w:right="0"/>
              <w:jc w:val="left"/>
              <w:rPr>
                <w:rFonts w:ascii="Times New Roman" w:hAnsi="Times New Roman" w:cs="Times New Roman" w:eastAsia="Times New Roman" w:hint="default"/>
                <w:sz w:val="21"/>
                <w:szCs w:val="21"/>
              </w:rPr>
            </w:pPr>
            <w:r>
              <w:rPr>
                <w:rFonts w:ascii="Times New Roman"/>
                <w:sz w:val="21"/>
              </w:rPr>
              <w:t>11,82</w:t>
            </w:r>
          </w:p>
          <w:p>
            <w:pPr>
              <w:pStyle w:val="TableParagraph"/>
              <w:spacing w:line="240" w:lineRule="auto" w:before="70"/>
              <w:ind w:left="143" w:right="0"/>
              <w:jc w:val="left"/>
              <w:rPr>
                <w:rFonts w:ascii="Times New Roman" w:hAnsi="Times New Roman" w:cs="Times New Roman" w:eastAsia="Times New Roman" w:hint="default"/>
                <w:sz w:val="21"/>
                <w:szCs w:val="21"/>
              </w:rPr>
            </w:pPr>
            <w:r>
              <w:rPr>
                <w:rFonts w:ascii="Times New Roman"/>
                <w:sz w:val="21"/>
              </w:rPr>
              <w:t>2,826.</w:t>
            </w:r>
          </w:p>
          <w:p>
            <w:pPr>
              <w:pStyle w:val="TableParagraph"/>
              <w:spacing w:line="240" w:lineRule="auto" w:before="75"/>
              <w:ind w:left="456" w:right="0"/>
              <w:jc w:val="left"/>
              <w:rPr>
                <w:rFonts w:ascii="Times New Roman" w:hAnsi="Times New Roman" w:cs="Times New Roman" w:eastAsia="Times New Roman" w:hint="default"/>
                <w:sz w:val="21"/>
                <w:szCs w:val="21"/>
              </w:rPr>
            </w:pPr>
            <w:r>
              <w:rPr>
                <w:rFonts w:ascii="Times New Roman"/>
                <w:sz w:val="21"/>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2.30%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pacing w:val="-2"/>
                <w:sz w:val="21"/>
              </w:rPr>
              <w:t>11,822</w:t>
            </w:r>
          </w:p>
          <w:p>
            <w:pPr>
              <w:pStyle w:val="TableParagraph"/>
              <w:spacing w:line="240" w:lineRule="auto" w:before="70"/>
              <w:ind w:right="95"/>
              <w:jc w:val="right"/>
              <w:rPr>
                <w:rFonts w:ascii="Times New Roman" w:hAnsi="Times New Roman" w:cs="Times New Roman" w:eastAsia="Times New Roman" w:hint="default"/>
                <w:sz w:val="21"/>
                <w:szCs w:val="21"/>
              </w:rPr>
            </w:pPr>
            <w:r>
              <w:rPr>
                <w:rFonts w:ascii="Times New Roman"/>
                <w:sz w:val="21"/>
              </w:rPr>
              <w:t>,826.0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70"/>
              <w:ind w:left="305" w:right="0"/>
              <w:jc w:val="center"/>
              <w:rPr>
                <w:rFonts w:ascii="Times New Roman" w:hAnsi="Times New Roman" w:cs="Times New Roman" w:eastAsia="Times New Roman" w:hint="default"/>
                <w:sz w:val="21"/>
                <w:szCs w:val="21"/>
              </w:rPr>
            </w:pPr>
            <w:r>
              <w:rPr>
                <w:rFonts w:ascii="Times New Roman"/>
                <w:sz w:val="21"/>
              </w:rPr>
              <w:t>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2"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257"/>
              <w:jc w:val="both"/>
              <w:rPr>
                <w:rFonts w:ascii="宋体" w:hAnsi="宋体" w:cs="宋体" w:eastAsia="宋体" w:hint="default"/>
                <w:sz w:val="21"/>
                <w:szCs w:val="21"/>
              </w:rPr>
            </w:pPr>
            <w:r>
              <w:rPr>
                <w:rFonts w:ascii="宋体" w:hAnsi="宋体" w:cs="宋体" w:eastAsia="宋体" w:hint="default"/>
                <w:sz w:val="21"/>
                <w:szCs w:val="21"/>
              </w:rPr>
              <w:t>按组合计提坏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账准备的应收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6" w:right="0"/>
              <w:jc w:val="center"/>
              <w:rPr>
                <w:rFonts w:ascii="Times New Roman" w:hAnsi="Times New Roman" w:cs="Times New Roman" w:eastAsia="Times New Roman" w:hint="default"/>
                <w:sz w:val="21"/>
                <w:szCs w:val="21"/>
              </w:rPr>
            </w:pPr>
            <w:r>
              <w:rPr>
                <w:rFonts w:ascii="Times New Roman"/>
                <w:sz w:val="21"/>
              </w:rPr>
              <w:t>502,4</w:t>
            </w:r>
          </w:p>
          <w:p>
            <w:pPr>
              <w:pStyle w:val="TableParagraph"/>
              <w:spacing w:line="240" w:lineRule="auto" w:before="65"/>
              <w:ind w:left="76" w:right="0"/>
              <w:jc w:val="center"/>
              <w:rPr>
                <w:rFonts w:ascii="Times New Roman" w:hAnsi="Times New Roman" w:cs="Times New Roman" w:eastAsia="Times New Roman" w:hint="default"/>
                <w:sz w:val="21"/>
                <w:szCs w:val="21"/>
              </w:rPr>
            </w:pPr>
            <w:r>
              <w:rPr>
                <w:rFonts w:ascii="Times New Roman"/>
                <w:sz w:val="21"/>
              </w:rPr>
              <w:t>35,75</w:t>
            </w:r>
          </w:p>
          <w:p>
            <w:pPr>
              <w:pStyle w:val="TableParagraph"/>
              <w:spacing w:line="240" w:lineRule="auto" w:before="75"/>
              <w:ind w:left="172" w:right="0"/>
              <w:jc w:val="center"/>
              <w:rPr>
                <w:rFonts w:ascii="Times New Roman" w:hAnsi="Times New Roman" w:cs="Times New Roman" w:eastAsia="Times New Roman" w:hint="default"/>
                <w:sz w:val="21"/>
                <w:szCs w:val="21"/>
              </w:rPr>
            </w:pPr>
            <w:r>
              <w:rPr>
                <w:rFonts w:ascii="Times New Roman"/>
                <w:sz w:val="21"/>
              </w:rPr>
              <w:t>9.50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99.32</w:t>
            </w:r>
          </w:p>
          <w:p>
            <w:pPr>
              <w:pStyle w:val="TableParagraph"/>
              <w:spacing w:line="240" w:lineRule="auto" w:before="75"/>
              <w:ind w:left="475" w:right="0"/>
              <w:jc w:val="left"/>
              <w:rPr>
                <w:rFonts w:ascii="Times New Roman" w:hAnsi="Times New Roman" w:cs="Times New Roman" w:eastAsia="Times New Roman" w:hint="default"/>
                <w:sz w:val="21"/>
                <w:szCs w:val="21"/>
              </w:rPr>
            </w:pPr>
            <w:r>
              <w:rPr>
                <w:rFonts w:ascii="Times New Roman"/>
                <w:w w:val="100"/>
                <w:sz w:val="21"/>
              </w:rPr>
              <w:t>%</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Times New Roman" w:hAnsi="Times New Roman" w:cs="Times New Roman" w:eastAsia="Times New Roman" w:hint="default"/>
                <w:sz w:val="21"/>
                <w:szCs w:val="21"/>
              </w:rPr>
            </w:pPr>
            <w:r>
              <w:rPr>
                <w:rFonts w:ascii="Times New Roman"/>
                <w:sz w:val="21"/>
              </w:rPr>
              <w:t>63,38</w:t>
            </w:r>
          </w:p>
          <w:p>
            <w:pPr>
              <w:pStyle w:val="TableParagraph"/>
              <w:spacing w:line="240" w:lineRule="auto" w:before="65"/>
              <w:ind w:left="130" w:right="0"/>
              <w:jc w:val="left"/>
              <w:rPr>
                <w:rFonts w:ascii="Times New Roman" w:hAnsi="Times New Roman" w:cs="Times New Roman" w:eastAsia="Times New Roman" w:hint="default"/>
                <w:sz w:val="21"/>
                <w:szCs w:val="21"/>
              </w:rPr>
            </w:pPr>
            <w:r>
              <w:rPr>
                <w:rFonts w:ascii="Times New Roman"/>
                <w:sz w:val="21"/>
              </w:rPr>
              <w:t>6,027.</w:t>
            </w:r>
          </w:p>
          <w:p>
            <w:pPr>
              <w:pStyle w:val="TableParagraph"/>
              <w:spacing w:line="240" w:lineRule="auto" w:before="75"/>
              <w:ind w:left="442" w:right="0"/>
              <w:jc w:val="left"/>
              <w:rPr>
                <w:rFonts w:ascii="Times New Roman" w:hAnsi="Times New Roman" w:cs="Times New Roman" w:eastAsia="Times New Roman" w:hint="default"/>
                <w:sz w:val="21"/>
                <w:szCs w:val="21"/>
              </w:rPr>
            </w:pPr>
            <w:r>
              <w:rPr>
                <w:rFonts w:ascii="Times New Roman"/>
                <w:sz w:val="21"/>
              </w:rPr>
              <w:t>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12.62</w:t>
            </w:r>
          </w:p>
          <w:p>
            <w:pPr>
              <w:pStyle w:val="TableParagraph"/>
              <w:spacing w:line="240" w:lineRule="auto" w:before="75"/>
              <w:ind w:left="480" w:right="0"/>
              <w:jc w:val="left"/>
              <w:rPr>
                <w:rFonts w:ascii="Times New Roman" w:hAnsi="Times New Roman" w:cs="Times New Roman" w:eastAsia="Times New Roman" w:hint="default"/>
                <w:sz w:val="21"/>
                <w:szCs w:val="21"/>
              </w:rPr>
            </w:pPr>
            <w:r>
              <w:rPr>
                <w:rFonts w:ascii="Times New Roman"/>
                <w:w w:val="100"/>
                <w:sz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center"/>
              <w:rPr>
                <w:rFonts w:ascii="Times New Roman" w:hAnsi="Times New Roman" w:cs="Times New Roman" w:eastAsia="Times New Roman" w:hint="default"/>
                <w:sz w:val="21"/>
                <w:szCs w:val="21"/>
              </w:rPr>
            </w:pPr>
            <w:r>
              <w:rPr>
                <w:rFonts w:ascii="Times New Roman"/>
                <w:sz w:val="21"/>
              </w:rPr>
              <w:t>439,0</w:t>
            </w:r>
          </w:p>
          <w:p>
            <w:pPr>
              <w:pStyle w:val="TableParagraph"/>
              <w:spacing w:line="240" w:lineRule="auto" w:before="65"/>
              <w:ind w:left="110" w:right="0"/>
              <w:jc w:val="center"/>
              <w:rPr>
                <w:rFonts w:ascii="Times New Roman" w:hAnsi="Times New Roman" w:cs="Times New Roman" w:eastAsia="Times New Roman" w:hint="default"/>
                <w:sz w:val="21"/>
                <w:szCs w:val="21"/>
              </w:rPr>
            </w:pPr>
            <w:r>
              <w:rPr>
                <w:rFonts w:ascii="Times New Roman"/>
                <w:sz w:val="21"/>
              </w:rPr>
              <w:t>49,73</w:t>
            </w:r>
          </w:p>
          <w:p>
            <w:pPr>
              <w:pStyle w:val="TableParagraph"/>
              <w:spacing w:line="240" w:lineRule="auto" w:before="75"/>
              <w:ind w:left="206" w:right="0"/>
              <w:jc w:val="center"/>
              <w:rPr>
                <w:rFonts w:ascii="Times New Roman" w:hAnsi="Times New Roman" w:cs="Times New Roman" w:eastAsia="Times New Roman" w:hint="default"/>
                <w:sz w:val="21"/>
                <w:szCs w:val="21"/>
              </w:rPr>
            </w:pPr>
            <w:r>
              <w:rPr>
                <w:rFonts w:ascii="Times New Roman"/>
                <w:sz w:val="21"/>
              </w:rPr>
              <w:t>2.05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center"/>
              <w:rPr>
                <w:rFonts w:ascii="Times New Roman" w:hAnsi="Times New Roman" w:cs="Times New Roman" w:eastAsia="Times New Roman" w:hint="default"/>
                <w:sz w:val="21"/>
                <w:szCs w:val="21"/>
              </w:rPr>
            </w:pPr>
            <w:r>
              <w:rPr>
                <w:rFonts w:ascii="Times New Roman"/>
                <w:sz w:val="21"/>
              </w:rPr>
              <w:t>501,5</w:t>
            </w:r>
          </w:p>
          <w:p>
            <w:pPr>
              <w:pStyle w:val="TableParagraph"/>
              <w:spacing w:line="240" w:lineRule="auto" w:before="65"/>
              <w:ind w:left="201" w:right="0"/>
              <w:jc w:val="left"/>
              <w:rPr>
                <w:rFonts w:ascii="Times New Roman" w:hAnsi="Times New Roman" w:cs="Times New Roman" w:eastAsia="Times New Roman" w:hint="default"/>
                <w:sz w:val="21"/>
                <w:szCs w:val="21"/>
              </w:rPr>
            </w:pPr>
            <w:r>
              <w:rPr>
                <w:rFonts w:ascii="Times New Roman"/>
                <w:sz w:val="21"/>
              </w:rPr>
              <w:t>94,11</w:t>
            </w:r>
          </w:p>
          <w:p>
            <w:pPr>
              <w:pStyle w:val="TableParagraph"/>
              <w:spacing w:line="240" w:lineRule="auto" w:before="75"/>
              <w:ind w:left="196" w:right="0"/>
              <w:jc w:val="center"/>
              <w:rPr>
                <w:rFonts w:ascii="Times New Roman" w:hAnsi="Times New Roman" w:cs="Times New Roman" w:eastAsia="Times New Roman" w:hint="default"/>
                <w:sz w:val="21"/>
                <w:szCs w:val="21"/>
              </w:rPr>
            </w:pPr>
            <w:r>
              <w:rPr>
                <w:rFonts w:ascii="Times New Roman"/>
                <w:sz w:val="21"/>
              </w:rPr>
              <w:t>4.74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6" w:right="0"/>
              <w:jc w:val="left"/>
              <w:rPr>
                <w:rFonts w:ascii="Times New Roman" w:hAnsi="Times New Roman" w:cs="Times New Roman" w:eastAsia="Times New Roman" w:hint="default"/>
                <w:sz w:val="21"/>
                <w:szCs w:val="21"/>
              </w:rPr>
            </w:pPr>
            <w:r>
              <w:rPr>
                <w:rFonts w:ascii="Times New Roman"/>
                <w:sz w:val="21"/>
              </w:rPr>
              <w:t>97.70</w:t>
            </w:r>
          </w:p>
          <w:p>
            <w:pPr>
              <w:pStyle w:val="TableParagraph"/>
              <w:spacing w:line="240" w:lineRule="auto" w:before="75"/>
              <w:ind w:left="513" w:right="0"/>
              <w:jc w:val="left"/>
              <w:rPr>
                <w:rFonts w:ascii="Times New Roman" w:hAnsi="Times New Roman" w:cs="Times New Roman" w:eastAsia="Times New Roman" w:hint="default"/>
                <w:sz w:val="21"/>
                <w:szCs w:val="21"/>
              </w:rPr>
            </w:pPr>
            <w:r>
              <w:rPr>
                <w:rFonts w:ascii="Times New Roman"/>
                <w:w w:val="100"/>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72,605</w:t>
            </w:r>
          </w:p>
          <w:p>
            <w:pPr>
              <w:pStyle w:val="TableParagraph"/>
              <w:spacing w:line="240" w:lineRule="auto" w:before="65"/>
              <w:ind w:right="95"/>
              <w:jc w:val="right"/>
              <w:rPr>
                <w:rFonts w:ascii="Times New Roman" w:hAnsi="Times New Roman" w:cs="Times New Roman" w:eastAsia="Times New Roman" w:hint="default"/>
                <w:sz w:val="21"/>
                <w:szCs w:val="21"/>
              </w:rPr>
            </w:pPr>
            <w:r>
              <w:rPr>
                <w:rFonts w:ascii="Times New Roman"/>
                <w:sz w:val="21"/>
              </w:rPr>
              <w:t>,682.3</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14.47</w:t>
            </w:r>
          </w:p>
          <w:p>
            <w:pPr>
              <w:pStyle w:val="TableParagraph"/>
              <w:spacing w:line="240" w:lineRule="auto" w:before="75"/>
              <w:ind w:left="509" w:right="0"/>
              <w:jc w:val="left"/>
              <w:rPr>
                <w:rFonts w:ascii="Times New Roman" w:hAnsi="Times New Roman" w:cs="Times New Roman" w:eastAsia="Times New Roman" w:hint="default"/>
                <w:sz w:val="21"/>
                <w:szCs w:val="21"/>
              </w:rPr>
            </w:pPr>
            <w:r>
              <w:rPr>
                <w:rFonts w:ascii="Times New Roman"/>
                <w:w w:val="100"/>
                <w:sz w:val="21"/>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428,988</w:t>
            </w:r>
          </w:p>
          <w:p>
            <w:pPr>
              <w:pStyle w:val="TableParagraph"/>
              <w:spacing w:line="240" w:lineRule="auto" w:before="75"/>
              <w:ind w:left="191" w:right="0"/>
              <w:jc w:val="left"/>
              <w:rPr>
                <w:rFonts w:ascii="Times New Roman" w:hAnsi="Times New Roman" w:cs="Times New Roman" w:eastAsia="Times New Roman" w:hint="default"/>
                <w:sz w:val="21"/>
                <w:szCs w:val="21"/>
              </w:rPr>
            </w:pPr>
            <w:r>
              <w:rPr>
                <w:rFonts w:ascii="Times New Roman"/>
                <w:sz w:val="21"/>
              </w:rPr>
              <w:t>,432.43</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76" w:right="0"/>
              <w:jc w:val="center"/>
              <w:rPr>
                <w:rFonts w:ascii="Times New Roman" w:hAnsi="Times New Roman" w:cs="Times New Roman" w:eastAsia="Times New Roman" w:hint="default"/>
                <w:sz w:val="21"/>
                <w:szCs w:val="21"/>
              </w:rPr>
            </w:pPr>
            <w:r>
              <w:rPr>
                <w:rFonts w:ascii="Times New Roman"/>
                <w:sz w:val="21"/>
              </w:rPr>
              <w:t>487,0</w:t>
            </w:r>
          </w:p>
          <w:p>
            <w:pPr>
              <w:pStyle w:val="TableParagraph"/>
              <w:spacing w:line="240" w:lineRule="auto" w:before="70"/>
              <w:ind w:left="76" w:right="0"/>
              <w:jc w:val="center"/>
              <w:rPr>
                <w:rFonts w:ascii="Times New Roman" w:hAnsi="Times New Roman" w:cs="Times New Roman" w:eastAsia="Times New Roman" w:hint="default"/>
                <w:sz w:val="21"/>
                <w:szCs w:val="21"/>
              </w:rPr>
            </w:pPr>
            <w:r>
              <w:rPr>
                <w:rFonts w:ascii="Times New Roman"/>
                <w:sz w:val="21"/>
              </w:rPr>
              <w:t>47,06</w:t>
            </w:r>
          </w:p>
          <w:p>
            <w:pPr>
              <w:pStyle w:val="TableParagraph"/>
              <w:spacing w:line="240" w:lineRule="auto" w:before="75"/>
              <w:ind w:left="172" w:right="0"/>
              <w:jc w:val="center"/>
              <w:rPr>
                <w:rFonts w:ascii="Times New Roman" w:hAnsi="Times New Roman" w:cs="Times New Roman" w:eastAsia="Times New Roman" w:hint="default"/>
                <w:sz w:val="21"/>
                <w:szCs w:val="21"/>
              </w:rPr>
            </w:pPr>
            <w:r>
              <w:rPr>
                <w:rFonts w:ascii="Times New Roman"/>
                <w:sz w:val="21"/>
              </w:rPr>
              <w:t>7.85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21"/>
                <w:szCs w:val="21"/>
              </w:rPr>
            </w:pPr>
            <w:r>
              <w:rPr>
                <w:rFonts w:ascii="Times New Roman"/>
                <w:sz w:val="21"/>
              </w:rPr>
              <w:t>96.28</w:t>
            </w:r>
          </w:p>
          <w:p>
            <w:pPr>
              <w:pStyle w:val="TableParagraph"/>
              <w:spacing w:line="240" w:lineRule="auto" w:before="70"/>
              <w:ind w:left="475" w:right="0"/>
              <w:jc w:val="left"/>
              <w:rPr>
                <w:rFonts w:ascii="Times New Roman" w:hAnsi="Times New Roman" w:cs="Times New Roman" w:eastAsia="Times New Roman" w:hint="default"/>
                <w:sz w:val="21"/>
                <w:szCs w:val="21"/>
              </w:rPr>
            </w:pPr>
            <w:r>
              <w:rPr>
                <w:rFonts w:ascii="Times New Roman"/>
                <w:w w:val="100"/>
                <w:sz w:val="21"/>
              </w:rPr>
              <w:t>%</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82" w:right="0"/>
              <w:jc w:val="left"/>
              <w:rPr>
                <w:rFonts w:ascii="Times New Roman" w:hAnsi="Times New Roman" w:cs="Times New Roman" w:eastAsia="Times New Roman" w:hint="default"/>
                <w:sz w:val="21"/>
                <w:szCs w:val="21"/>
              </w:rPr>
            </w:pPr>
            <w:r>
              <w:rPr>
                <w:rFonts w:ascii="Times New Roman"/>
                <w:sz w:val="21"/>
              </w:rPr>
              <w:t>63,38</w:t>
            </w:r>
          </w:p>
          <w:p>
            <w:pPr>
              <w:pStyle w:val="TableParagraph"/>
              <w:spacing w:line="240" w:lineRule="auto" w:before="70"/>
              <w:ind w:left="130" w:right="0"/>
              <w:jc w:val="left"/>
              <w:rPr>
                <w:rFonts w:ascii="Times New Roman" w:hAnsi="Times New Roman" w:cs="Times New Roman" w:eastAsia="Times New Roman" w:hint="default"/>
                <w:sz w:val="21"/>
                <w:szCs w:val="21"/>
              </w:rPr>
            </w:pPr>
            <w:r>
              <w:rPr>
                <w:rFonts w:ascii="Times New Roman"/>
                <w:sz w:val="21"/>
              </w:rPr>
              <w:t>6,027.</w:t>
            </w:r>
          </w:p>
          <w:p>
            <w:pPr>
              <w:pStyle w:val="TableParagraph"/>
              <w:spacing w:line="240" w:lineRule="auto" w:before="75"/>
              <w:ind w:left="442" w:right="0"/>
              <w:jc w:val="left"/>
              <w:rPr>
                <w:rFonts w:ascii="Times New Roman" w:hAnsi="Times New Roman" w:cs="Times New Roman" w:eastAsia="Times New Roman" w:hint="default"/>
                <w:sz w:val="21"/>
                <w:szCs w:val="21"/>
              </w:rPr>
            </w:pPr>
            <w:r>
              <w:rPr>
                <w:rFonts w:ascii="Times New Roman"/>
                <w:sz w:val="21"/>
              </w:rPr>
              <w:t>45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13.01</w:t>
            </w:r>
          </w:p>
          <w:p>
            <w:pPr>
              <w:pStyle w:val="TableParagraph"/>
              <w:spacing w:line="240" w:lineRule="auto" w:before="70"/>
              <w:ind w:left="480" w:right="0"/>
              <w:jc w:val="left"/>
              <w:rPr>
                <w:rFonts w:ascii="Times New Roman" w:hAnsi="Times New Roman" w:cs="Times New Roman" w:eastAsia="Times New Roman" w:hint="default"/>
                <w:sz w:val="21"/>
                <w:szCs w:val="21"/>
              </w:rPr>
            </w:pPr>
            <w:r>
              <w:rPr>
                <w:rFonts w:ascii="Times New Roman"/>
                <w:w w:val="100"/>
                <w:sz w:val="21"/>
              </w:rPr>
              <w:t>%</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10" w:right="0"/>
              <w:jc w:val="center"/>
              <w:rPr>
                <w:rFonts w:ascii="Times New Roman" w:hAnsi="Times New Roman" w:cs="Times New Roman" w:eastAsia="Times New Roman" w:hint="default"/>
                <w:sz w:val="21"/>
                <w:szCs w:val="21"/>
              </w:rPr>
            </w:pPr>
            <w:r>
              <w:rPr>
                <w:rFonts w:ascii="Times New Roman"/>
                <w:sz w:val="21"/>
              </w:rPr>
              <w:t>423,6</w:t>
            </w:r>
          </w:p>
          <w:p>
            <w:pPr>
              <w:pStyle w:val="TableParagraph"/>
              <w:spacing w:line="240" w:lineRule="auto" w:before="70"/>
              <w:ind w:left="110" w:right="0"/>
              <w:jc w:val="center"/>
              <w:rPr>
                <w:rFonts w:ascii="Times New Roman" w:hAnsi="Times New Roman" w:cs="Times New Roman" w:eastAsia="Times New Roman" w:hint="default"/>
                <w:sz w:val="21"/>
                <w:szCs w:val="21"/>
              </w:rPr>
            </w:pPr>
            <w:r>
              <w:rPr>
                <w:rFonts w:ascii="Times New Roman"/>
                <w:sz w:val="21"/>
              </w:rPr>
              <w:t>61,04</w:t>
            </w:r>
          </w:p>
          <w:p>
            <w:pPr>
              <w:pStyle w:val="TableParagraph"/>
              <w:spacing w:line="240" w:lineRule="auto" w:before="75"/>
              <w:ind w:left="206" w:right="0"/>
              <w:jc w:val="center"/>
              <w:rPr>
                <w:rFonts w:ascii="Times New Roman" w:hAnsi="Times New Roman" w:cs="Times New Roman" w:eastAsia="Times New Roman" w:hint="default"/>
                <w:sz w:val="21"/>
                <w:szCs w:val="21"/>
              </w:rPr>
            </w:pPr>
            <w:r>
              <w:rPr>
                <w:rFonts w:ascii="Times New Roman"/>
                <w:sz w:val="21"/>
              </w:rPr>
              <w:t>0.40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00" w:right="0"/>
              <w:jc w:val="center"/>
              <w:rPr>
                <w:rFonts w:ascii="Times New Roman" w:hAnsi="Times New Roman" w:cs="Times New Roman" w:eastAsia="Times New Roman" w:hint="default"/>
                <w:sz w:val="21"/>
                <w:szCs w:val="21"/>
              </w:rPr>
            </w:pPr>
            <w:r>
              <w:rPr>
                <w:rFonts w:ascii="Times New Roman"/>
                <w:sz w:val="21"/>
              </w:rPr>
              <w:t>495,3</w:t>
            </w:r>
          </w:p>
          <w:p>
            <w:pPr>
              <w:pStyle w:val="TableParagraph"/>
              <w:spacing w:line="240" w:lineRule="auto" w:before="70"/>
              <w:ind w:left="100" w:right="0"/>
              <w:jc w:val="center"/>
              <w:rPr>
                <w:rFonts w:ascii="Times New Roman" w:hAnsi="Times New Roman" w:cs="Times New Roman" w:eastAsia="Times New Roman" w:hint="default"/>
                <w:sz w:val="21"/>
                <w:szCs w:val="21"/>
              </w:rPr>
            </w:pPr>
            <w:r>
              <w:rPr>
                <w:rFonts w:ascii="Times New Roman"/>
                <w:sz w:val="21"/>
              </w:rPr>
              <w:t>65,92</w:t>
            </w:r>
          </w:p>
          <w:p>
            <w:pPr>
              <w:pStyle w:val="TableParagraph"/>
              <w:spacing w:line="240" w:lineRule="auto" w:before="75"/>
              <w:ind w:left="196" w:right="0"/>
              <w:jc w:val="center"/>
              <w:rPr>
                <w:rFonts w:ascii="Times New Roman" w:hAnsi="Times New Roman" w:cs="Times New Roman" w:eastAsia="Times New Roman" w:hint="default"/>
                <w:sz w:val="21"/>
                <w:szCs w:val="21"/>
              </w:rPr>
            </w:pPr>
            <w:r>
              <w:rPr>
                <w:rFonts w:ascii="Times New Roman"/>
                <w:sz w:val="21"/>
              </w:rPr>
              <w:t>0.48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6" w:right="0"/>
              <w:jc w:val="left"/>
              <w:rPr>
                <w:rFonts w:ascii="Times New Roman" w:hAnsi="Times New Roman" w:cs="Times New Roman" w:eastAsia="Times New Roman" w:hint="default"/>
                <w:sz w:val="21"/>
                <w:szCs w:val="21"/>
              </w:rPr>
            </w:pPr>
            <w:r>
              <w:rPr>
                <w:rFonts w:ascii="Times New Roman"/>
                <w:sz w:val="21"/>
              </w:rPr>
              <w:t>96.49</w:t>
            </w:r>
          </w:p>
          <w:p>
            <w:pPr>
              <w:pStyle w:val="TableParagraph"/>
              <w:spacing w:line="240" w:lineRule="auto" w:before="70"/>
              <w:ind w:left="513" w:right="0"/>
              <w:jc w:val="left"/>
              <w:rPr>
                <w:rFonts w:ascii="Times New Roman" w:hAnsi="Times New Roman" w:cs="Times New Roman" w:eastAsia="Times New Roman" w:hint="default"/>
                <w:sz w:val="21"/>
                <w:szCs w:val="21"/>
              </w:rPr>
            </w:pPr>
            <w:r>
              <w:rPr>
                <w:rFonts w:ascii="Times New Roman"/>
                <w:w w:val="100"/>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72,605</w:t>
            </w:r>
          </w:p>
          <w:p>
            <w:pPr>
              <w:pStyle w:val="TableParagraph"/>
              <w:spacing w:line="240" w:lineRule="auto" w:before="70"/>
              <w:ind w:right="95"/>
              <w:jc w:val="right"/>
              <w:rPr>
                <w:rFonts w:ascii="Times New Roman" w:hAnsi="Times New Roman" w:cs="Times New Roman" w:eastAsia="Times New Roman" w:hint="default"/>
                <w:sz w:val="21"/>
                <w:szCs w:val="21"/>
              </w:rPr>
            </w:pPr>
            <w:r>
              <w:rPr>
                <w:rFonts w:ascii="Times New Roman"/>
                <w:sz w:val="21"/>
              </w:rPr>
              <w:t>,682.3</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1</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21"/>
                <w:szCs w:val="21"/>
              </w:rPr>
            </w:pPr>
            <w:r>
              <w:rPr>
                <w:rFonts w:ascii="Times New Roman"/>
                <w:sz w:val="21"/>
              </w:rPr>
              <w:t>14.66</w:t>
            </w:r>
          </w:p>
          <w:p>
            <w:pPr>
              <w:pStyle w:val="TableParagraph"/>
              <w:spacing w:line="240" w:lineRule="auto" w:before="70"/>
              <w:ind w:left="509" w:right="0"/>
              <w:jc w:val="left"/>
              <w:rPr>
                <w:rFonts w:ascii="Times New Roman" w:hAnsi="Times New Roman" w:cs="Times New Roman" w:eastAsia="Times New Roman" w:hint="default"/>
                <w:sz w:val="21"/>
                <w:szCs w:val="21"/>
              </w:rPr>
            </w:pPr>
            <w:r>
              <w:rPr>
                <w:rFonts w:ascii="Times New Roman"/>
                <w:w w:val="100"/>
                <w:sz w:val="21"/>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422,760</w:t>
            </w:r>
          </w:p>
          <w:p>
            <w:pPr>
              <w:pStyle w:val="TableParagraph"/>
              <w:spacing w:line="240" w:lineRule="auto" w:before="70"/>
              <w:ind w:left="191" w:right="0"/>
              <w:jc w:val="left"/>
              <w:rPr>
                <w:rFonts w:ascii="Times New Roman" w:hAnsi="Times New Roman" w:cs="Times New Roman" w:eastAsia="Times New Roman" w:hint="default"/>
                <w:sz w:val="21"/>
                <w:szCs w:val="21"/>
              </w:rPr>
            </w:pPr>
            <w:r>
              <w:rPr>
                <w:rFonts w:ascii="Times New Roman"/>
                <w:sz w:val="21"/>
              </w:rPr>
              <w:t>,238.17</w:t>
            </w: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6" w:lineRule="auto"/>
              <w:ind w:left="105" w:right="257"/>
              <w:jc w:val="left"/>
              <w:rPr>
                <w:rFonts w:ascii="宋体" w:hAnsi="宋体" w:cs="宋体" w:eastAsia="宋体" w:hint="default"/>
                <w:sz w:val="21"/>
                <w:szCs w:val="21"/>
              </w:rPr>
            </w:pPr>
            <w:r>
              <w:rPr>
                <w:rFonts w:ascii="宋体" w:hAnsi="宋体" w:cs="宋体" w:eastAsia="宋体" w:hint="default"/>
                <w:sz w:val="21"/>
                <w:szCs w:val="21"/>
              </w:rPr>
              <w:t>合并范围内关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联方资金</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7" w:right="0"/>
              <w:jc w:val="left"/>
              <w:rPr>
                <w:rFonts w:ascii="Times New Roman" w:hAnsi="Times New Roman" w:cs="Times New Roman" w:eastAsia="Times New Roman" w:hint="default"/>
                <w:sz w:val="21"/>
                <w:szCs w:val="21"/>
              </w:rPr>
            </w:pPr>
            <w:r>
              <w:rPr>
                <w:rFonts w:ascii="Times New Roman"/>
                <w:sz w:val="21"/>
              </w:rPr>
              <w:t>15,38</w:t>
            </w:r>
          </w:p>
          <w:p>
            <w:pPr>
              <w:pStyle w:val="TableParagraph"/>
              <w:spacing w:line="240" w:lineRule="auto" w:before="65"/>
              <w:ind w:left="124" w:right="0"/>
              <w:jc w:val="left"/>
              <w:rPr>
                <w:rFonts w:ascii="Times New Roman" w:hAnsi="Times New Roman" w:cs="Times New Roman" w:eastAsia="Times New Roman" w:hint="default"/>
                <w:sz w:val="21"/>
                <w:szCs w:val="21"/>
              </w:rPr>
            </w:pPr>
            <w:r>
              <w:rPr>
                <w:rFonts w:ascii="Times New Roman"/>
                <w:sz w:val="21"/>
              </w:rPr>
              <w:t>8,691.</w:t>
            </w:r>
          </w:p>
          <w:p>
            <w:pPr>
              <w:pStyle w:val="TableParagraph"/>
              <w:spacing w:line="240" w:lineRule="auto" w:before="75"/>
              <w:ind w:left="437" w:right="0"/>
              <w:jc w:val="left"/>
              <w:rPr>
                <w:rFonts w:ascii="Times New Roman" w:hAnsi="Times New Roman" w:cs="Times New Roman" w:eastAsia="Times New Roman" w:hint="default"/>
                <w:sz w:val="21"/>
                <w:szCs w:val="21"/>
              </w:rPr>
            </w:pPr>
            <w:r>
              <w:rPr>
                <w:rFonts w:ascii="Times New Roman"/>
                <w:sz w:val="21"/>
              </w:rPr>
              <w:t>65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sz w:val="21"/>
              </w:rPr>
              <w:t>3.04%</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6" w:right="0"/>
              <w:jc w:val="left"/>
              <w:rPr>
                <w:rFonts w:ascii="Times New Roman" w:hAnsi="Times New Roman" w:cs="Times New Roman" w:eastAsia="Times New Roman" w:hint="default"/>
                <w:sz w:val="21"/>
                <w:szCs w:val="21"/>
              </w:rPr>
            </w:pPr>
            <w:r>
              <w:rPr>
                <w:rFonts w:ascii="Times New Roman"/>
                <w:sz w:val="21"/>
              </w:rPr>
              <w:t>15,38</w:t>
            </w:r>
          </w:p>
          <w:p>
            <w:pPr>
              <w:pStyle w:val="TableParagraph"/>
              <w:spacing w:line="240" w:lineRule="auto" w:before="65"/>
              <w:ind w:left="153" w:right="0"/>
              <w:jc w:val="left"/>
              <w:rPr>
                <w:rFonts w:ascii="Times New Roman" w:hAnsi="Times New Roman" w:cs="Times New Roman" w:eastAsia="Times New Roman" w:hint="default"/>
                <w:sz w:val="21"/>
                <w:szCs w:val="21"/>
              </w:rPr>
            </w:pPr>
            <w:r>
              <w:rPr>
                <w:rFonts w:ascii="Times New Roman"/>
                <w:sz w:val="21"/>
              </w:rPr>
              <w:t>8,691.</w:t>
            </w:r>
          </w:p>
          <w:p>
            <w:pPr>
              <w:pStyle w:val="TableParagraph"/>
              <w:spacing w:line="240" w:lineRule="auto" w:before="75"/>
              <w:ind w:left="465" w:right="0"/>
              <w:jc w:val="left"/>
              <w:rPr>
                <w:rFonts w:ascii="Times New Roman" w:hAnsi="Times New Roman" w:cs="Times New Roman" w:eastAsia="Times New Roman" w:hint="default"/>
                <w:sz w:val="21"/>
                <w:szCs w:val="21"/>
              </w:rPr>
            </w:pPr>
            <w:r>
              <w:rPr>
                <w:rFonts w:ascii="Times New Roman"/>
                <w:sz w:val="21"/>
              </w:rPr>
              <w:t>65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6,228,</w:t>
            </w:r>
          </w:p>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sz w:val="21"/>
              </w:rPr>
              <w:t>194.2</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44" w:right="0"/>
              <w:jc w:val="left"/>
              <w:rPr>
                <w:rFonts w:ascii="Times New Roman" w:hAnsi="Times New Roman" w:cs="Times New Roman" w:eastAsia="Times New Roman" w:hint="default"/>
                <w:sz w:val="21"/>
                <w:szCs w:val="21"/>
              </w:rPr>
            </w:pPr>
            <w:r>
              <w:rPr>
                <w:rFonts w:ascii="Times New Roman"/>
                <w:sz w:val="21"/>
              </w:rPr>
              <w:t>1.21%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95" w:right="0"/>
              <w:jc w:val="center"/>
              <w:rPr>
                <w:rFonts w:ascii="Times New Roman" w:hAnsi="Times New Roman" w:cs="Times New Roman" w:eastAsia="Times New Roman" w:hint="default"/>
                <w:sz w:val="21"/>
                <w:szCs w:val="21"/>
              </w:rPr>
            </w:pPr>
            <w:r>
              <w:rPr>
                <w:rFonts w:ascii="Times New Roman"/>
                <w:sz w:val="21"/>
              </w:rPr>
              <w:t>6,228,1</w:t>
            </w:r>
          </w:p>
          <w:p>
            <w:pPr>
              <w:pStyle w:val="TableParagraph"/>
              <w:spacing w:line="240" w:lineRule="auto" w:before="75"/>
              <w:ind w:left="254" w:right="0"/>
              <w:jc w:val="center"/>
              <w:rPr>
                <w:rFonts w:ascii="Times New Roman" w:hAnsi="Times New Roman" w:cs="Times New Roman" w:eastAsia="Times New Roman" w:hint="default"/>
                <w:sz w:val="21"/>
                <w:szCs w:val="21"/>
              </w:rPr>
            </w:pPr>
            <w:r>
              <w:rPr>
                <w:rFonts w:ascii="Times New Roman"/>
                <w:sz w:val="21"/>
              </w:rPr>
              <w:t>94.26</w:t>
            </w:r>
          </w:p>
        </w:tc>
      </w:tr>
      <w:tr>
        <w:trPr>
          <w:trHeight w:val="1022"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6" w:right="0"/>
              <w:jc w:val="center"/>
              <w:rPr>
                <w:rFonts w:ascii="Times New Roman" w:hAnsi="Times New Roman" w:cs="Times New Roman" w:eastAsia="Times New Roman" w:hint="default"/>
                <w:sz w:val="21"/>
                <w:szCs w:val="21"/>
              </w:rPr>
            </w:pPr>
            <w:r>
              <w:rPr>
                <w:rFonts w:ascii="Times New Roman"/>
                <w:sz w:val="21"/>
              </w:rPr>
              <w:t>505,8</w:t>
            </w:r>
          </w:p>
          <w:p>
            <w:pPr>
              <w:pStyle w:val="TableParagraph"/>
              <w:spacing w:line="240" w:lineRule="auto" w:before="65"/>
              <w:ind w:left="76" w:right="0"/>
              <w:jc w:val="center"/>
              <w:rPr>
                <w:rFonts w:ascii="Times New Roman" w:hAnsi="Times New Roman" w:cs="Times New Roman" w:eastAsia="Times New Roman" w:hint="default"/>
                <w:sz w:val="21"/>
                <w:szCs w:val="21"/>
              </w:rPr>
            </w:pPr>
            <w:r>
              <w:rPr>
                <w:rFonts w:ascii="Times New Roman"/>
                <w:sz w:val="21"/>
              </w:rPr>
              <w:t>40,97</w:t>
            </w:r>
          </w:p>
          <w:p>
            <w:pPr>
              <w:pStyle w:val="TableParagraph"/>
              <w:spacing w:line="240" w:lineRule="auto" w:before="75"/>
              <w:ind w:left="172" w:right="0"/>
              <w:jc w:val="center"/>
              <w:rPr>
                <w:rFonts w:ascii="Times New Roman" w:hAnsi="Times New Roman" w:cs="Times New Roman" w:eastAsia="Times New Roman" w:hint="default"/>
                <w:sz w:val="21"/>
                <w:szCs w:val="21"/>
              </w:rPr>
            </w:pPr>
            <w:r>
              <w:rPr>
                <w:rFonts w:ascii="Times New Roman"/>
                <w:sz w:val="21"/>
              </w:rPr>
              <w:t>3.80</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100.0</w:t>
            </w:r>
          </w:p>
          <w:p>
            <w:pPr>
              <w:pStyle w:val="TableParagraph"/>
              <w:spacing w:line="240" w:lineRule="auto" w:before="75"/>
              <w:ind w:left="271" w:right="0"/>
              <w:jc w:val="center"/>
              <w:rPr>
                <w:rFonts w:ascii="Times New Roman" w:hAnsi="Times New Roman" w:cs="Times New Roman" w:eastAsia="Times New Roman" w:hint="default"/>
                <w:sz w:val="21"/>
                <w:szCs w:val="21"/>
              </w:rPr>
            </w:pPr>
            <w:r>
              <w:rPr>
                <w:rFonts w:ascii="Times New Roman"/>
                <w:sz w:val="21"/>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82" w:right="0"/>
              <w:jc w:val="left"/>
              <w:rPr>
                <w:rFonts w:ascii="Times New Roman" w:hAnsi="Times New Roman" w:cs="Times New Roman" w:eastAsia="Times New Roman" w:hint="default"/>
                <w:sz w:val="21"/>
                <w:szCs w:val="21"/>
              </w:rPr>
            </w:pPr>
            <w:r>
              <w:rPr>
                <w:rFonts w:ascii="Times New Roman"/>
                <w:sz w:val="21"/>
              </w:rPr>
              <w:t>66,79</w:t>
            </w:r>
          </w:p>
          <w:p>
            <w:pPr>
              <w:pStyle w:val="TableParagraph"/>
              <w:spacing w:line="240" w:lineRule="auto" w:before="65"/>
              <w:ind w:left="130" w:right="0"/>
              <w:jc w:val="left"/>
              <w:rPr>
                <w:rFonts w:ascii="Times New Roman" w:hAnsi="Times New Roman" w:cs="Times New Roman" w:eastAsia="Times New Roman" w:hint="default"/>
                <w:sz w:val="21"/>
                <w:szCs w:val="21"/>
              </w:rPr>
            </w:pPr>
            <w:r>
              <w:rPr>
                <w:rFonts w:ascii="Times New Roman"/>
                <w:sz w:val="21"/>
              </w:rPr>
              <w:t>1,241.</w:t>
            </w:r>
          </w:p>
          <w:p>
            <w:pPr>
              <w:pStyle w:val="TableParagraph"/>
              <w:spacing w:line="240" w:lineRule="auto" w:before="75"/>
              <w:ind w:left="442" w:right="0"/>
              <w:jc w:val="left"/>
              <w:rPr>
                <w:rFonts w:ascii="Times New Roman" w:hAnsi="Times New Roman" w:cs="Times New Roman" w:eastAsia="Times New Roman" w:hint="default"/>
                <w:sz w:val="21"/>
                <w:szCs w:val="21"/>
              </w:rPr>
            </w:pPr>
            <w:r>
              <w:rPr>
                <w:rFonts w:ascii="Times New Roman"/>
                <w:sz w:val="21"/>
              </w:rPr>
              <w:t>75</w:t>
            </w: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0" w:right="0"/>
              <w:jc w:val="center"/>
              <w:rPr>
                <w:rFonts w:ascii="Times New Roman" w:hAnsi="Times New Roman" w:cs="Times New Roman" w:eastAsia="Times New Roman" w:hint="default"/>
                <w:sz w:val="21"/>
                <w:szCs w:val="21"/>
              </w:rPr>
            </w:pPr>
            <w:r>
              <w:rPr>
                <w:rFonts w:ascii="Times New Roman"/>
                <w:sz w:val="21"/>
              </w:rPr>
              <w:t>439,0</w:t>
            </w:r>
          </w:p>
          <w:p>
            <w:pPr>
              <w:pStyle w:val="TableParagraph"/>
              <w:spacing w:line="240" w:lineRule="auto" w:before="65"/>
              <w:ind w:left="110" w:right="0"/>
              <w:jc w:val="center"/>
              <w:rPr>
                <w:rFonts w:ascii="Times New Roman" w:hAnsi="Times New Roman" w:cs="Times New Roman" w:eastAsia="Times New Roman" w:hint="default"/>
                <w:sz w:val="21"/>
                <w:szCs w:val="21"/>
              </w:rPr>
            </w:pPr>
            <w:r>
              <w:rPr>
                <w:rFonts w:ascii="Times New Roman"/>
                <w:sz w:val="21"/>
              </w:rPr>
              <w:t>49,73</w:t>
            </w:r>
          </w:p>
          <w:p>
            <w:pPr>
              <w:pStyle w:val="TableParagraph"/>
              <w:spacing w:line="240" w:lineRule="auto" w:before="75"/>
              <w:ind w:left="206" w:right="0"/>
              <w:jc w:val="center"/>
              <w:rPr>
                <w:rFonts w:ascii="Times New Roman" w:hAnsi="Times New Roman" w:cs="Times New Roman" w:eastAsia="Times New Roman" w:hint="default"/>
                <w:sz w:val="21"/>
                <w:szCs w:val="21"/>
              </w:rPr>
            </w:pPr>
            <w:r>
              <w:rPr>
                <w:rFonts w:ascii="Times New Roman"/>
                <w:sz w:val="21"/>
              </w:rPr>
              <w:t>2.05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0" w:right="0"/>
              <w:jc w:val="center"/>
              <w:rPr>
                <w:rFonts w:ascii="Times New Roman" w:hAnsi="Times New Roman" w:cs="Times New Roman" w:eastAsia="Times New Roman" w:hint="default"/>
                <w:sz w:val="21"/>
                <w:szCs w:val="21"/>
              </w:rPr>
            </w:pPr>
            <w:r>
              <w:rPr>
                <w:rFonts w:ascii="Times New Roman"/>
                <w:sz w:val="21"/>
              </w:rPr>
              <w:t>513,4</w:t>
            </w:r>
          </w:p>
          <w:p>
            <w:pPr>
              <w:pStyle w:val="TableParagraph"/>
              <w:spacing w:line="240" w:lineRule="auto" w:before="65"/>
              <w:ind w:left="100" w:right="0"/>
              <w:jc w:val="center"/>
              <w:rPr>
                <w:rFonts w:ascii="Times New Roman" w:hAnsi="Times New Roman" w:cs="Times New Roman" w:eastAsia="Times New Roman" w:hint="default"/>
                <w:sz w:val="21"/>
                <w:szCs w:val="21"/>
              </w:rPr>
            </w:pPr>
            <w:r>
              <w:rPr>
                <w:rFonts w:ascii="Times New Roman"/>
                <w:sz w:val="21"/>
              </w:rPr>
              <w:t>16,94</w:t>
            </w:r>
          </w:p>
          <w:p>
            <w:pPr>
              <w:pStyle w:val="TableParagraph"/>
              <w:spacing w:line="240" w:lineRule="auto" w:before="75"/>
              <w:ind w:left="196" w:right="0"/>
              <w:jc w:val="center"/>
              <w:rPr>
                <w:rFonts w:ascii="Times New Roman" w:hAnsi="Times New Roman" w:cs="Times New Roman" w:eastAsia="Times New Roman" w:hint="default"/>
                <w:sz w:val="21"/>
                <w:szCs w:val="21"/>
              </w:rPr>
            </w:pPr>
            <w:r>
              <w:rPr>
                <w:rFonts w:ascii="Times New Roman"/>
                <w:sz w:val="21"/>
              </w:rPr>
              <w:t>0.78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75"/>
              <w:ind w:left="513" w:right="0"/>
              <w:jc w:val="left"/>
              <w:rPr>
                <w:rFonts w:ascii="Times New Roman" w:hAnsi="Times New Roman" w:cs="Times New Roman" w:eastAsia="Times New Roman" w:hint="default"/>
                <w:sz w:val="21"/>
                <w:szCs w:val="21"/>
              </w:rPr>
            </w:pPr>
            <w:r>
              <w:rPr>
                <w:rFonts w:ascii="Times New Roman"/>
                <w:w w:val="100"/>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84,428</w:t>
            </w:r>
          </w:p>
          <w:p>
            <w:pPr>
              <w:pStyle w:val="TableParagraph"/>
              <w:spacing w:line="240" w:lineRule="auto" w:before="65"/>
              <w:ind w:right="95"/>
              <w:jc w:val="right"/>
              <w:rPr>
                <w:rFonts w:ascii="Times New Roman" w:hAnsi="Times New Roman" w:cs="Times New Roman" w:eastAsia="Times New Roman" w:hint="default"/>
                <w:sz w:val="21"/>
                <w:szCs w:val="21"/>
              </w:rPr>
            </w:pPr>
            <w:r>
              <w:rPr>
                <w:rFonts w:ascii="Times New Roman"/>
                <w:sz w:val="21"/>
              </w:rPr>
              <w:t>,508.3</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5</w:t>
            </w: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39" w:right="0"/>
              <w:jc w:val="left"/>
              <w:rPr>
                <w:rFonts w:ascii="Times New Roman" w:hAnsi="Times New Roman" w:cs="Times New Roman" w:eastAsia="Times New Roman" w:hint="default"/>
                <w:sz w:val="21"/>
                <w:szCs w:val="21"/>
              </w:rPr>
            </w:pPr>
            <w:r>
              <w:rPr>
                <w:rFonts w:ascii="Times New Roman"/>
                <w:sz w:val="21"/>
              </w:rPr>
              <w:t>428,988</w:t>
            </w:r>
          </w:p>
          <w:p>
            <w:pPr>
              <w:pStyle w:val="TableParagraph"/>
              <w:spacing w:line="240" w:lineRule="auto" w:before="75"/>
              <w:ind w:left="191" w:right="0"/>
              <w:jc w:val="left"/>
              <w:rPr>
                <w:rFonts w:ascii="Times New Roman" w:hAnsi="Times New Roman" w:cs="Times New Roman" w:eastAsia="Times New Roman" w:hint="default"/>
                <w:sz w:val="21"/>
                <w:szCs w:val="21"/>
              </w:rPr>
            </w:pPr>
            <w:r>
              <w:rPr>
                <w:rFonts w:ascii="Times New Roman"/>
                <w:sz w:val="21"/>
              </w:rPr>
              <w:t>,432.43</w:t>
            </w:r>
          </w:p>
        </w:tc>
      </w:tr>
    </w:tbl>
    <w:p>
      <w:pPr>
        <w:pStyle w:val="BodyText"/>
        <w:spacing w:line="240" w:lineRule="auto" w:before="28"/>
        <w:ind w:right="1002"/>
        <w:jc w:val="left"/>
      </w:pPr>
      <w:r>
        <w:rPr/>
        <w:t>按单项计提坏账准备：</w:t>
      </w:r>
    </w:p>
    <w:p>
      <w:pPr>
        <w:pStyle w:val="BodyText"/>
        <w:spacing w:line="240" w:lineRule="auto" w:before="81"/>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7659"/>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bl>
    <w:p>
      <w:pPr>
        <w:spacing w:after="0" w:line="240" w:lineRule="auto"/>
        <w:jc w:val="center"/>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繁昌县好而优购物</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中心有限公司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1,507,285.00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1,507,285.00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1" w:right="0"/>
              <w:jc w:val="left"/>
              <w:rPr>
                <w:rFonts w:ascii="Times New Roman" w:hAnsi="Times New Roman" w:cs="Times New Roman" w:eastAsia="Times New Roman" w:hint="default"/>
                <w:sz w:val="21"/>
                <w:szCs w:val="21"/>
              </w:rPr>
            </w:pPr>
            <w:r>
              <w:rPr>
                <w:rFonts w:ascii="Times New Roman"/>
                <w:sz w:val="21"/>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13"/>
              <w:jc w:val="left"/>
              <w:rPr>
                <w:rFonts w:ascii="宋体" w:hAnsi="宋体" w:cs="宋体" w:eastAsia="宋体" w:hint="default"/>
                <w:sz w:val="21"/>
                <w:szCs w:val="21"/>
              </w:rPr>
            </w:pPr>
            <w:r>
              <w:rPr>
                <w:rFonts w:ascii="宋体" w:hAnsi="宋体" w:cs="宋体" w:eastAsia="宋体" w:hint="default"/>
                <w:sz w:val="21"/>
                <w:szCs w:val="21"/>
              </w:rPr>
              <w:t>胜诉一年以上未回</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款</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9"/>
              <w:jc w:val="right"/>
              <w:rPr>
                <w:rFonts w:ascii="Times New Roman" w:hAnsi="Times New Roman" w:cs="Times New Roman" w:eastAsia="Times New Roman" w:hint="default"/>
                <w:sz w:val="21"/>
                <w:szCs w:val="21"/>
              </w:rPr>
            </w:pPr>
            <w:r>
              <w:rPr>
                <w:rFonts w:ascii="Times New Roman"/>
                <w:sz w:val="21"/>
              </w:rPr>
              <w:t>1,507,285.00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z w:val="21"/>
              </w:rPr>
              <w:t>1,507,285.00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4" w:right="0"/>
              <w:jc w:val="center"/>
              <w:rPr>
                <w:rFonts w:ascii="Times New Roman" w:hAnsi="Times New Roman" w:cs="Times New Roman" w:eastAsia="Times New Roman" w:hint="default"/>
                <w:sz w:val="21"/>
                <w:szCs w:val="21"/>
              </w:rPr>
            </w:pPr>
            <w:r>
              <w:rPr>
                <w:rFonts w:ascii="Times New Roman"/>
                <w:sz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5"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002"/>
        <w:jc w:val="left"/>
      </w:pPr>
      <w:r>
        <w:rPr/>
        <w:t>按单项计提坏账准备：</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3"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32" w:right="0"/>
              <w:jc w:val="left"/>
              <w:rPr>
                <w:rFonts w:ascii="宋体" w:hAnsi="宋体" w:cs="宋体" w:eastAsia="宋体" w:hint="default"/>
                <w:sz w:val="21"/>
                <w:szCs w:val="21"/>
              </w:rPr>
            </w:pPr>
            <w:r>
              <w:rPr>
                <w:rFonts w:ascii="宋体" w:hAnsi="宋体" w:cs="宋体" w:eastAsia="宋体" w:hint="default"/>
                <w:sz w:val="21"/>
                <w:szCs w:val="21"/>
              </w:rPr>
              <w:t>计提理由</w:t>
            </w:r>
          </w:p>
        </w:tc>
      </w:tr>
    </w:tbl>
    <w:p>
      <w:pPr>
        <w:pStyle w:val="BodyText"/>
        <w:spacing w:line="240" w:lineRule="auto" w:before="28"/>
        <w:ind w:right="1002"/>
        <w:jc w:val="left"/>
      </w:pPr>
      <w:r>
        <w:rPr/>
        <w:t>按组合计提坏账准备：</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99"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7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772" w:right="0"/>
              <w:jc w:val="left"/>
              <w:rPr>
                <w:rFonts w:ascii="宋体" w:hAnsi="宋体" w:cs="宋体" w:eastAsia="宋体" w:hint="default"/>
                <w:sz w:val="21"/>
                <w:szCs w:val="21"/>
              </w:rPr>
            </w:pPr>
            <w:r>
              <w:rPr>
                <w:rFonts w:ascii="宋体" w:hAnsi="宋体" w:cs="宋体" w:eastAsia="宋体" w:hint="default"/>
                <w:sz w:val="21"/>
                <w:szCs w:val="21"/>
              </w:rPr>
              <w:t>计提比例</w:t>
            </w:r>
          </w:p>
        </w:tc>
      </w:tr>
    </w:tbl>
    <w:p>
      <w:pPr>
        <w:pStyle w:val="BodyText"/>
        <w:spacing w:line="290" w:lineRule="auto" w:before="28"/>
        <w:ind w:right="1002"/>
        <w:jc w:val="left"/>
      </w:pPr>
      <w:r>
        <w:rPr/>
        <w:t>确定该组合依据的说明：</w:t>
      </w:r>
      <w:r>
        <w:rPr>
          <w:spacing w:val="-102"/>
        </w:rPr>
        <w:t> </w:t>
      </w:r>
      <w:r>
        <w:rPr>
          <w:spacing w:val="-102"/>
        </w:rPr>
      </w:r>
      <w:r>
        <w:rPr>
          <w:spacing w:val="-2"/>
        </w:rPr>
        <w:t>如是按照预期信用损失一般模型计提应收账款坏账准备，请参照其他应收款的披露方式披露坏账准备的相</w:t>
      </w:r>
      <w:r>
        <w:rPr>
          <w:spacing w:val="-33"/>
        </w:rPr>
        <w:t> </w:t>
      </w:r>
      <w:r>
        <w:rPr>
          <w:spacing w:val="-33"/>
        </w:rPr>
      </w:r>
      <w:r>
        <w:rPr/>
        <w:t>关信息：</w:t>
      </w:r>
    </w:p>
    <w:p>
      <w:pPr>
        <w:pStyle w:val="BodyText"/>
        <w:spacing w:line="309" w:lineRule="auto" w:before="31"/>
        <w:ind w:right="8962"/>
        <w:jc w:val="left"/>
      </w:pPr>
      <w:r>
        <w:rPr/>
        <w:t>√ 适用 □</w:t>
      </w:r>
      <w:r>
        <w:rPr>
          <w:spacing w:val="4"/>
        </w:rPr>
        <w:t> </w:t>
      </w:r>
      <w:r>
        <w:rPr/>
        <w:t>不适用</w:t>
      </w:r>
      <w:r>
        <w:rPr>
          <w:w w:val="100"/>
        </w:rPr>
        <w:t> </w:t>
      </w:r>
      <w:r>
        <w:rPr/>
        <w:t>按账龄披露</w:t>
      </w:r>
    </w:p>
    <w:p>
      <w:pPr>
        <w:pStyle w:val="BodyText"/>
        <w:spacing w:line="240" w:lineRule="auto" w:before="14"/>
        <w:ind w:left="0" w:right="1122"/>
        <w:jc w:val="right"/>
      </w:pPr>
      <w:r>
        <w:rPr/>
        <w:t>单位：</w:t>
      </w:r>
      <w:r>
        <w:rPr>
          <w:spacing w:val="4"/>
        </w:rPr>
        <w:t> </w:t>
      </w:r>
      <w:r>
        <w:rPr/>
        <w:t>元</w:t>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310,478,275.41</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75,962,740.44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54,039,095.82</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z w:val="21"/>
              </w:rPr>
              <w:t>65,360,862.13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20,450,683.34</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9,955,251.29</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34,954,927.50</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505,840,973.80</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本期计提、收回或转回的坏账准备情况" w:id="535"/>
      <w:bookmarkEnd w:id="53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right="1002"/>
        <w:jc w:val="left"/>
      </w:pPr>
      <w:r>
        <w:rPr/>
        <w:t>本期计提坏账准备情况：</w:t>
      </w:r>
    </w:p>
    <w:p>
      <w:pPr>
        <w:pStyle w:val="BodyText"/>
        <w:spacing w:line="240" w:lineRule="auto" w:before="75"/>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27"/>
        <w:gridCol w:w="1210"/>
        <w:gridCol w:w="1369"/>
        <w:gridCol w:w="1368"/>
        <w:gridCol w:w="1364"/>
        <w:gridCol w:w="1369"/>
        <w:gridCol w:w="1369"/>
      </w:tblGrid>
      <w:tr>
        <w:trPr>
          <w:trHeight w:val="403" w:hRule="exact"/>
        </w:trPr>
        <w:tc>
          <w:tcPr>
            <w:tcW w:w="15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2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527"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105" w:right="147"/>
              <w:jc w:val="both"/>
              <w:rPr>
                <w:rFonts w:ascii="宋体" w:hAnsi="宋体" w:cs="宋体" w:eastAsia="宋体" w:hint="default"/>
                <w:sz w:val="21"/>
                <w:szCs w:val="21"/>
              </w:rPr>
            </w:pPr>
            <w:r>
              <w:rPr>
                <w:rFonts w:ascii="宋体" w:hAnsi="宋体" w:cs="宋体" w:eastAsia="宋体" w:hint="default"/>
                <w:sz w:val="21"/>
                <w:szCs w:val="21"/>
              </w:rPr>
              <w:t>单项计提预期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信用损失的应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收账款</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11,822,826.</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2,430,304.80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57" w:right="0"/>
              <w:jc w:val="center"/>
              <w:rPr>
                <w:rFonts w:ascii="Times New Roman" w:hAnsi="Times New Roman" w:cs="Times New Roman" w:eastAsia="Times New Roman" w:hint="default"/>
                <w:sz w:val="21"/>
                <w:szCs w:val="21"/>
              </w:rPr>
            </w:pPr>
            <w:r>
              <w:rPr>
                <w:rFonts w:ascii="Times New Roman"/>
                <w:sz w:val="21"/>
              </w:rPr>
              <w:t>2,305,735.00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52" w:right="0"/>
              <w:jc w:val="center"/>
              <w:rPr>
                <w:rFonts w:ascii="Times New Roman" w:hAnsi="Times New Roman" w:cs="Times New Roman" w:eastAsia="Times New Roman" w:hint="default"/>
                <w:sz w:val="21"/>
                <w:szCs w:val="21"/>
              </w:rPr>
            </w:pPr>
            <w:r>
              <w:rPr>
                <w:rFonts w:ascii="Times New Roman"/>
                <w:sz w:val="21"/>
              </w:rPr>
              <w:t>8,542,181.54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3,405,214.30</w:t>
            </w:r>
          </w:p>
        </w:tc>
      </w:tr>
    </w:tbl>
    <w:p>
      <w:pPr>
        <w:spacing w:after="0" w:line="240" w:lineRule="auto"/>
        <w:jc w:val="lef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27"/>
        <w:gridCol w:w="1210"/>
        <w:gridCol w:w="1369"/>
        <w:gridCol w:w="1368"/>
        <w:gridCol w:w="1364"/>
        <w:gridCol w:w="1369"/>
        <w:gridCol w:w="1369"/>
      </w:tblGrid>
      <w:tr>
        <w:trPr>
          <w:trHeight w:val="102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47"/>
              <w:jc w:val="both"/>
              <w:rPr>
                <w:rFonts w:ascii="宋体" w:hAnsi="宋体" w:cs="宋体" w:eastAsia="宋体" w:hint="default"/>
                <w:sz w:val="21"/>
                <w:szCs w:val="21"/>
              </w:rPr>
            </w:pPr>
            <w:r>
              <w:rPr>
                <w:rFonts w:ascii="宋体" w:hAnsi="宋体" w:cs="宋体" w:eastAsia="宋体" w:hint="default"/>
                <w:sz w:val="21"/>
                <w:szCs w:val="21"/>
              </w:rPr>
              <w:t>按组合计提预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期信用损失的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应收账款</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72,605,682</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9,204,963.21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14,691.65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63,386,027.4</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5</w:t>
            </w:r>
          </w:p>
        </w:tc>
      </w:tr>
      <w:tr>
        <w:trPr>
          <w:trHeight w:val="716"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84,428,508</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sz w:val="21"/>
              </w:rPr>
              <w:t>.35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2,430,304.80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11,510,698.2</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8,556,873.19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66,791,241.7</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5</w:t>
            </w:r>
          </w:p>
        </w:tc>
      </w:tr>
    </w:tbl>
    <w:p>
      <w:pPr>
        <w:pStyle w:val="BodyText"/>
        <w:spacing w:line="240" w:lineRule="auto" w:before="28"/>
        <w:ind w:right="1002"/>
        <w:jc w:val="left"/>
      </w:pPr>
      <w:r>
        <w:rPr/>
        <w:t>其中本期坏账准备收回或转回金额重要的：</w:t>
      </w:r>
    </w:p>
    <w:p>
      <w:pPr>
        <w:pStyle w:val="BodyText"/>
        <w:spacing w:line="240" w:lineRule="auto" w:before="75"/>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371"/>
        <w:gridCol w:w="3102"/>
        <w:gridCol w:w="3097"/>
      </w:tblGrid>
      <w:tr>
        <w:trPr>
          <w:trHeight w:val="399" w:hRule="exact"/>
        </w:trPr>
        <w:tc>
          <w:tcPr>
            <w:tcW w:w="3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06" w:right="0"/>
              <w:jc w:val="left"/>
              <w:rPr>
                <w:rFonts w:ascii="宋体" w:hAnsi="宋体" w:cs="宋体" w:eastAsia="宋体" w:hint="default"/>
                <w:sz w:val="21"/>
                <w:szCs w:val="21"/>
              </w:rPr>
            </w:pPr>
            <w:r>
              <w:rPr>
                <w:rFonts w:ascii="宋体" w:hAnsi="宋体" w:cs="宋体" w:eastAsia="宋体" w:hint="default"/>
                <w:sz w:val="21"/>
                <w:szCs w:val="21"/>
              </w:rPr>
              <w:t>收回或转回金额</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3）本期实际核销的应收账款情况" w:id="536"/>
      <w:bookmarkEnd w:id="53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984"/>
        <w:gridCol w:w="4585"/>
      </w:tblGrid>
      <w:tr>
        <w:trPr>
          <w:trHeight w:val="40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8,556,873.19</w:t>
            </w:r>
          </w:p>
        </w:tc>
      </w:tr>
    </w:tbl>
    <w:p>
      <w:pPr>
        <w:pStyle w:val="BodyText"/>
        <w:spacing w:line="240" w:lineRule="auto" w:before="28"/>
        <w:ind w:right="1002"/>
        <w:jc w:val="left"/>
      </w:pPr>
      <w:r>
        <w:rPr/>
        <w:t>其中重要的应收账款核销情况：</w:t>
      </w:r>
    </w:p>
    <w:p>
      <w:pPr>
        <w:pStyle w:val="BodyText"/>
        <w:spacing w:line="240" w:lineRule="auto" w:before="75"/>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691" w:right="171" w:hanging="524"/>
              <w:jc w:val="left"/>
              <w:rPr>
                <w:rFonts w:ascii="宋体" w:hAnsi="宋体" w:cs="宋体" w:eastAsia="宋体" w:hint="default"/>
                <w:sz w:val="21"/>
                <w:szCs w:val="21"/>
              </w:rPr>
            </w:pPr>
            <w:r>
              <w:rPr>
                <w:rFonts w:ascii="宋体" w:hAnsi="宋体" w:cs="宋体" w:eastAsia="宋体" w:hint="default"/>
                <w:sz w:val="21"/>
                <w:szCs w:val="21"/>
              </w:rPr>
              <w:t>履行的核销程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278" w:right="171" w:hanging="106"/>
              <w:jc w:val="left"/>
              <w:rPr>
                <w:rFonts w:ascii="宋体" w:hAnsi="宋体" w:cs="宋体" w:eastAsia="宋体" w:hint="default"/>
                <w:sz w:val="21"/>
                <w:szCs w:val="21"/>
              </w:rPr>
            </w:pPr>
            <w:r>
              <w:rPr>
                <w:rFonts w:ascii="宋体" w:hAnsi="宋体" w:cs="宋体" w:eastAsia="宋体" w:hint="default"/>
                <w:sz w:val="21"/>
                <w:szCs w:val="21"/>
              </w:rPr>
              <w:t>款项是否由关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联交易产生</w:t>
            </w:r>
          </w:p>
        </w:tc>
      </w:tr>
    </w:tbl>
    <w:p>
      <w:pPr>
        <w:pStyle w:val="BodyText"/>
        <w:spacing w:line="240" w:lineRule="auto" w:before="28"/>
        <w:ind w:right="1002"/>
        <w:jc w:val="left"/>
      </w:pPr>
      <w:r>
        <w:rPr/>
        <w:t>应收账款核销说明：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4）按欠款方归集的期末余额前五名的应收账款情况" w:id="537"/>
      <w:bookmarkEnd w:id="53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7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662" w:right="138" w:hanging="524"/>
              <w:jc w:val="left"/>
              <w:rPr>
                <w:rFonts w:ascii="宋体" w:hAnsi="宋体" w:cs="宋体" w:eastAsia="宋体" w:hint="default"/>
                <w:sz w:val="21"/>
                <w:szCs w:val="21"/>
              </w:rPr>
            </w:pPr>
            <w:r>
              <w:rPr>
                <w:rFonts w:ascii="宋体" w:hAnsi="宋体" w:cs="宋体" w:eastAsia="宋体" w:hint="default"/>
                <w:spacing w:val="-1"/>
                <w:sz w:val="21"/>
                <w:szCs w:val="21"/>
              </w:rPr>
              <w:t>占应收账款期末余额合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计数的比例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坏账准备期末余额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第一名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23,375,355.00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4.62%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362,318.00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第二名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20,100,284.74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3.97%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3"/>
              <w:jc w:val="right"/>
              <w:rPr>
                <w:rFonts w:ascii="Times New Roman" w:hAnsi="Times New Roman" w:cs="Times New Roman" w:eastAsia="Times New Roman" w:hint="default"/>
                <w:sz w:val="21"/>
                <w:szCs w:val="21"/>
              </w:rPr>
            </w:pPr>
            <w:r>
              <w:rPr>
                <w:rFonts w:ascii="Times New Roman"/>
                <w:spacing w:val="-1"/>
                <w:sz w:val="21"/>
              </w:rPr>
              <w:t>311,554.41</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第三名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11,998,918.56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2.37%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185,983.24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第四名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11,121,669.86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2.20%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1,044,596.27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第五名</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10,926,739.20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2.16%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169,364.46</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77,522,967.36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Times New Roman" w:hAnsi="Times New Roman" w:cs="Times New Roman" w:eastAsia="Times New Roman" w:hint="default"/>
                <w:sz w:val="21"/>
                <w:szCs w:val="21"/>
              </w:rPr>
            </w:pPr>
            <w:r>
              <w:rPr>
                <w:rFonts w:ascii="Times New Roman"/>
                <w:sz w:val="21"/>
              </w:rPr>
              <w:t>15.32%</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5）因金融资产转移而终止确认的应收账款" w:id="538"/>
      <w:bookmarkEnd w:id="53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4"/>
          <w:szCs w:val="24"/>
        </w:rPr>
      </w:pPr>
    </w:p>
    <w:p>
      <w:pPr>
        <w:pStyle w:val="Heading5"/>
        <w:spacing w:line="511" w:lineRule="auto"/>
        <w:ind w:right="5730"/>
        <w:jc w:val="left"/>
        <w:rPr>
          <w:rFonts w:ascii="宋体" w:hAnsi="宋体" w:cs="宋体" w:eastAsia="宋体" w:hint="default"/>
          <w:b w:val="0"/>
          <w:bCs w:val="0"/>
        </w:rPr>
      </w:pPr>
      <w:bookmarkStart w:name="（6）转移应收账款且继续涉入形成的资产、负债金额" w:id="539"/>
      <w:bookmarkEnd w:id="539"/>
      <w:r>
        <w:rPr>
          <w:b w:val="0"/>
          <w:bCs w:val="0"/>
        </w:rPr>
      </w:r>
      <w:r>
        <w:rPr>
          <w:spacing w:val="-1"/>
        </w:rPr>
        <w:t>（</w:t>
      </w:r>
      <w:r>
        <w:rPr>
          <w:rFonts w:ascii="Times New Roman" w:hAnsi="Times New Roman" w:cs="Times New Roman" w:eastAsia="Times New Roman" w:hint="default"/>
          <w:spacing w:val="-1"/>
        </w:rPr>
        <w:t>6</w:t>
      </w:r>
      <w:r>
        <w:rPr>
          <w:spacing w:val="-1"/>
        </w:rPr>
        <w:t>）转移应收账款且继续涉入形成的资产、负债金额</w:t>
      </w:r>
      <w:r>
        <w:rPr>
          <w:spacing w:val="-84"/>
        </w:rPr>
        <w:t> </w:t>
      </w:r>
      <w:r>
        <w:rPr>
          <w:spacing w:val="-84"/>
        </w:rPr>
      </w:r>
      <w:r>
        <w:rPr>
          <w:rFonts w:ascii="宋体" w:hAnsi="宋体" w:cs="宋体" w:eastAsia="宋体" w:hint="default"/>
          <w:b w:val="0"/>
          <w:bCs w:val="0"/>
        </w:rPr>
        <w:t>其他说明：</w:t>
      </w:r>
    </w:p>
    <w:p>
      <w:pPr>
        <w:spacing w:after="0" w:line="511" w:lineRule="auto"/>
        <w:jc w:val="left"/>
        <w:rPr>
          <w:rFonts w:ascii="宋体" w:hAnsi="宋体" w:cs="宋体" w:eastAsia="宋体" w:hint="default"/>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2、其他应收款" w:id="540"/>
      <w:bookmarkEnd w:id="54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247,746,650.68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32,919,277.81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247,746,650.68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32,919,277.81</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1）应收利息" w:id="541"/>
      <w:bookmarkEnd w:id="54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应收利息分类" w:id="542"/>
      <w:bookmarkEnd w:id="542"/>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重要逾期利息" w:id="543"/>
      <w:bookmarkEnd w:id="543"/>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sz w:val="21"/>
                <w:szCs w:val="21"/>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33" w:right="0"/>
              <w:jc w:val="left"/>
              <w:rPr>
                <w:rFonts w:ascii="宋体" w:hAnsi="宋体" w:cs="宋体" w:eastAsia="宋体" w:hint="default"/>
                <w:sz w:val="21"/>
                <w:szCs w:val="21"/>
              </w:rPr>
            </w:pPr>
            <w:r>
              <w:rPr>
                <w:rFonts w:ascii="宋体" w:hAnsi="宋体" w:cs="宋体" w:eastAsia="宋体" w:hint="default"/>
                <w:sz w:val="21"/>
                <w:szCs w:val="21"/>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532" w:right="104" w:hanging="418"/>
              <w:jc w:val="left"/>
              <w:rPr>
                <w:rFonts w:ascii="宋体" w:hAnsi="宋体" w:cs="宋体" w:eastAsia="宋体" w:hint="default"/>
                <w:sz w:val="21"/>
                <w:szCs w:val="21"/>
              </w:rPr>
            </w:pPr>
            <w:r>
              <w:rPr>
                <w:rFonts w:ascii="宋体" w:hAnsi="宋体" w:cs="宋体" w:eastAsia="宋体" w:hint="default"/>
                <w:sz w:val="21"/>
                <w:szCs w:val="21"/>
              </w:rPr>
              <w:t>是否发生减值及其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判断依据</w:t>
            </w:r>
          </w:p>
        </w:tc>
      </w:tr>
    </w:tbl>
    <w:p>
      <w:pPr>
        <w:pStyle w:val="BodyText"/>
        <w:spacing w:line="240" w:lineRule="auto" w:before="28"/>
        <w:ind w:right="1002"/>
        <w:jc w:val="left"/>
      </w:pPr>
      <w:r>
        <w:rPr/>
        <w:t>其他说明：</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3）坏账准备计提情况" w:id="544"/>
      <w:bookmarkEnd w:id="544"/>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5"/>
          <w:szCs w:val="25"/>
        </w:rPr>
      </w:pPr>
    </w:p>
    <w:p>
      <w:pPr>
        <w:pStyle w:val="BodyText"/>
        <w:spacing w:line="240" w:lineRule="auto" w:before="0"/>
        <w:ind w:right="1002"/>
        <w:jc w:val="left"/>
      </w:pPr>
      <w:r>
        <w:rPr/>
        <w:t>□ 适用 √</w:t>
      </w:r>
      <w:r>
        <w:rPr>
          <w:spacing w:val="4"/>
        </w:rPr>
        <w:t> </w:t>
      </w:r>
      <w:r>
        <w:rPr/>
        <w:t>不适用</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2）应收股利" w:id="545"/>
      <w:bookmarkEnd w:id="54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应收股利分类" w:id="546"/>
      <w:bookmarkEnd w:id="546"/>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3"/>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8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或被投资单位</w:t>
            </w:r>
            <w:r>
              <w:rPr>
                <w:rFonts w:ascii="Times New Roman" w:hAnsi="Times New Roman" w:cs="Times New Roman" w:eastAsia="Times New Roman" w:hint="default"/>
                <w:sz w:val="21"/>
                <w:szCs w:val="21"/>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期初余额</w:t>
            </w:r>
          </w:p>
        </w:tc>
      </w:tr>
    </w:tbl>
    <w:p>
      <w:pPr>
        <w:spacing w:line="240" w:lineRule="auto" w:before="5"/>
        <w:rPr>
          <w:rFonts w:ascii="宋体" w:hAnsi="宋体" w:cs="宋体" w:eastAsia="宋体" w:hint="default"/>
          <w:sz w:val="19"/>
          <w:szCs w:val="19"/>
        </w:rPr>
      </w:pPr>
    </w:p>
    <w:p>
      <w:pPr>
        <w:pStyle w:val="Heading5"/>
        <w:spacing w:line="240" w:lineRule="auto" w:before="36"/>
        <w:ind w:right="1002"/>
        <w:jc w:val="left"/>
        <w:rPr>
          <w:b w:val="0"/>
          <w:bCs w:val="0"/>
        </w:rPr>
      </w:pPr>
      <w:bookmarkStart w:name="2）重要的账龄超过1年的应收股利" w:id="547"/>
      <w:bookmarkEnd w:id="547"/>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816" w:right="176" w:hanging="635"/>
              <w:jc w:val="left"/>
              <w:rPr>
                <w:rFonts w:ascii="Times New Roman" w:hAnsi="Times New Roman" w:cs="Times New Roman" w:eastAsia="Times New Roman" w:hint="default"/>
                <w:sz w:val="21"/>
                <w:szCs w:val="21"/>
              </w:rPr>
            </w:pPr>
            <w:r>
              <w:rPr>
                <w:rFonts w:ascii="宋体" w:hAnsi="宋体" w:cs="宋体" w:eastAsia="宋体" w:hint="default"/>
                <w:sz w:val="21"/>
                <w:szCs w:val="21"/>
              </w:rPr>
              <w:t>项目</w:t>
            </w:r>
            <w:r>
              <w:rPr>
                <w:rFonts w:ascii="Times New Roman" w:hAnsi="Times New Roman" w:cs="Times New Roman" w:eastAsia="Times New Roman" w:hint="default"/>
                <w:sz w:val="21"/>
                <w:szCs w:val="21"/>
              </w:rPr>
              <w:t>(</w:t>
            </w:r>
            <w:r>
              <w:rPr>
                <w:rFonts w:ascii="宋体" w:hAnsi="宋体" w:cs="宋体" w:eastAsia="宋体" w:hint="default"/>
                <w:sz w:val="21"/>
                <w:szCs w:val="21"/>
              </w:rPr>
              <w:t>或被投资单</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位</w:t>
            </w:r>
            <w:r>
              <w:rPr>
                <w:rFonts w:ascii="Times New Roman" w:hAnsi="Times New Roman" w:cs="Times New Roman" w:eastAsia="Times New Roman" w:hint="default"/>
                <w:sz w:val="21"/>
                <w:szCs w:val="21"/>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532" w:right="103" w:hanging="418"/>
              <w:jc w:val="left"/>
              <w:rPr>
                <w:rFonts w:ascii="宋体" w:hAnsi="宋体" w:cs="宋体" w:eastAsia="宋体" w:hint="default"/>
                <w:sz w:val="21"/>
                <w:szCs w:val="21"/>
              </w:rPr>
            </w:pPr>
            <w:r>
              <w:rPr>
                <w:rFonts w:ascii="宋体" w:hAnsi="宋体" w:cs="宋体" w:eastAsia="宋体" w:hint="default"/>
                <w:sz w:val="21"/>
                <w:szCs w:val="21"/>
              </w:rPr>
              <w:t>是否发生减值及其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判断依据</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3）坏账准备计提情况" w:id="548"/>
      <w:bookmarkEnd w:id="54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0"/>
        <w:rPr>
          <w:rFonts w:ascii="宋体" w:hAnsi="宋体" w:cs="宋体" w:eastAsia="宋体" w:hint="default"/>
          <w:b/>
          <w:bCs/>
          <w:sz w:val="24"/>
          <w:szCs w:val="24"/>
        </w:rPr>
      </w:pPr>
    </w:p>
    <w:p>
      <w:pPr>
        <w:pStyle w:val="BodyText"/>
        <w:spacing w:line="309" w:lineRule="auto" w:before="0"/>
        <w:ind w:right="8962"/>
        <w:jc w:val="left"/>
      </w:pPr>
      <w:r>
        <w:rPr/>
        <w:t>□ 适用 √</w:t>
      </w:r>
      <w:r>
        <w:rPr>
          <w:spacing w:val="4"/>
        </w:rPr>
        <w:t> </w:t>
      </w:r>
      <w:r>
        <w:rPr/>
        <w:t>不适用</w:t>
      </w:r>
      <w:r>
        <w:rPr>
          <w:w w:val="100"/>
        </w:rPr>
        <w:t> </w:t>
      </w:r>
      <w:r>
        <w:rPr/>
        <w:t>其他说明：</w:t>
      </w:r>
    </w:p>
    <w:p>
      <w:pPr>
        <w:spacing w:after="0" w:line="309"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5"/>
        <w:spacing w:line="240" w:lineRule="auto" w:before="36"/>
        <w:ind w:right="1002"/>
        <w:jc w:val="left"/>
        <w:rPr>
          <w:b w:val="0"/>
          <w:bCs w:val="0"/>
        </w:rPr>
      </w:pPr>
      <w:bookmarkStart w:name="（3）其他应收款" w:id="549"/>
      <w:bookmarkEnd w:id="54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其他应收款按款项性质分类情况" w:id="550"/>
      <w:bookmarkEnd w:id="550"/>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60"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38,040,185.55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21,390,178.43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土地回收款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4,612,050.00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5,609,700.00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10,544,244.19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10,047,689.64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关联方资金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201,998,319.69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2,832,789.08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1,450,578.82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574,815.27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256,645,378.25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40,455,172.42</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2）坏账准备计提情况" w:id="551"/>
      <w:bookmarkEnd w:id="551"/>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03" w:right="0"/>
              <w:jc w:val="left"/>
              <w:rPr>
                <w:rFonts w:ascii="宋体" w:hAnsi="宋体" w:cs="宋体" w:eastAsia="宋体" w:hint="default"/>
                <w:sz w:val="21"/>
                <w:szCs w:val="21"/>
              </w:rPr>
            </w:pPr>
            <w:r>
              <w:rPr>
                <w:rFonts w:ascii="宋体" w:hAnsi="宋体" w:cs="宋体" w:eastAsia="宋体" w:hint="default"/>
                <w:sz w:val="21"/>
                <w:szCs w:val="21"/>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24" w:right="0"/>
              <w:jc w:val="left"/>
              <w:rPr>
                <w:rFonts w:ascii="宋体" w:hAnsi="宋体" w:cs="宋体" w:eastAsia="宋体" w:hint="default"/>
                <w:sz w:val="21"/>
                <w:szCs w:val="21"/>
              </w:rPr>
            </w:pPr>
            <w:r>
              <w:rPr>
                <w:rFonts w:ascii="宋体" w:hAnsi="宋体" w:cs="宋体" w:eastAsia="宋体" w:hint="default"/>
                <w:sz w:val="21"/>
                <w:szCs w:val="21"/>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102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98" w:right="133" w:hanging="159"/>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168" w:right="161" w:firstLine="4"/>
              <w:jc w:val="center"/>
              <w:rPr>
                <w:rFonts w:ascii="Times New Roman" w:hAnsi="Times New Roman" w:cs="Times New Roman" w:eastAsia="Times New Roman" w:hint="default"/>
                <w:sz w:val="21"/>
                <w:szCs w:val="21"/>
              </w:rPr>
            </w:pPr>
            <w:r>
              <w:rPr>
                <w:rFonts w:ascii="宋体" w:hAnsi="宋体" w:cs="宋体" w:eastAsia="宋体" w:hint="default"/>
                <w:sz w:val="21"/>
                <w:szCs w:val="21"/>
              </w:rPr>
              <w:t>整个存续期预期信</w:t>
            </w:r>
            <w:r>
              <w:rPr>
                <w:rFonts w:ascii="宋体" w:hAnsi="宋体" w:cs="宋体" w:eastAsia="宋体" w:hint="default"/>
                <w:w w:val="100"/>
                <w:sz w:val="21"/>
                <w:szCs w:val="21"/>
              </w:rPr>
              <w:t> </w:t>
            </w:r>
            <w:r>
              <w:rPr>
                <w:rFonts w:ascii="宋体" w:hAnsi="宋体" w:cs="宋体" w:eastAsia="宋体" w:hint="default"/>
                <w:sz w:val="21"/>
                <w:szCs w:val="21"/>
              </w:rPr>
              <w:t>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未发生信用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Times New Roman" w:hAnsi="Times New Roman" w:cs="Times New Roman" w:eastAsia="Times New Roman" w:hint="default"/>
                <w:sz w:val="21"/>
                <w:szCs w:val="21"/>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28"/>
              <w:ind w:left="168" w:right="166" w:firstLine="4"/>
              <w:jc w:val="center"/>
              <w:rPr>
                <w:rFonts w:ascii="Times New Roman" w:hAnsi="Times New Roman" w:cs="Times New Roman" w:eastAsia="Times New Roman" w:hint="default"/>
                <w:sz w:val="21"/>
                <w:szCs w:val="21"/>
              </w:rPr>
            </w:pPr>
            <w:r>
              <w:rPr>
                <w:rFonts w:ascii="宋体" w:hAnsi="宋体" w:cs="宋体" w:eastAsia="宋体" w:hint="default"/>
                <w:sz w:val="21"/>
                <w:szCs w:val="21"/>
              </w:rPr>
              <w:t>整个存续期预期信</w:t>
            </w:r>
            <w:r>
              <w:rPr>
                <w:rFonts w:ascii="宋体" w:hAnsi="宋体" w:cs="宋体" w:eastAsia="宋体" w:hint="default"/>
                <w:w w:val="100"/>
                <w:sz w:val="21"/>
                <w:szCs w:val="21"/>
              </w:rPr>
              <w:t> </w:t>
            </w:r>
            <w:r>
              <w:rPr>
                <w:rFonts w:ascii="宋体" w:hAnsi="宋体" w:cs="宋体" w:eastAsia="宋体" w:hint="default"/>
                <w:sz w:val="21"/>
                <w:szCs w:val="21"/>
              </w:rPr>
              <w:t>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已发生信用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Times New Roman" w:hAnsi="Times New Roman" w:cs="Times New Roman" w:eastAsia="Times New Roman" w:hint="default"/>
                <w:sz w:val="21"/>
                <w:szCs w:val="21"/>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auto" w:before="28"/>
              <w:ind w:left="105"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日余</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7,096,910.61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438,984.00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7,535,894.61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105" w:right="95"/>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日余</w:t>
            </w:r>
            <w:r>
              <w:rPr>
                <w:rFonts w:ascii="宋体" w:hAnsi="宋体" w:cs="宋体" w:eastAsia="宋体" w:hint="default"/>
                <w:w w:val="100"/>
                <w:sz w:val="21"/>
                <w:szCs w:val="21"/>
              </w:rPr>
              <w:t> </w:t>
            </w:r>
            <w:r>
              <w:rPr>
                <w:rFonts w:ascii="宋体" w:hAnsi="宋体" w:cs="宋体" w:eastAsia="宋体" w:hint="default"/>
                <w:sz w:val="21"/>
                <w:szCs w:val="21"/>
              </w:rPr>
              <w:t>额在本期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 w:right="0"/>
              <w:jc w:val="center"/>
              <w:rPr>
                <w:rFonts w:ascii="宋体" w:hAnsi="宋体" w:cs="宋体" w:eastAsia="宋体" w:hint="default"/>
                <w:sz w:val="21"/>
                <w:szCs w:val="21"/>
              </w:rPr>
            </w:pPr>
            <w:r>
              <w:rPr>
                <w:rFonts w:ascii="宋体" w:hAnsi="宋体" w:cs="宋体" w:eastAsia="宋体" w:hint="default"/>
                <w:sz w:val="21"/>
                <w:szCs w:val="21"/>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1,492,883.02</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1,492,883.02</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130,050.06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130,050.06</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3"/>
                <w:sz w:val="21"/>
                <w:szCs w:val="21"/>
              </w:rPr>
              <w:t>31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p>
            <w:pPr>
              <w:pStyle w:val="TableParagraph"/>
              <w:spacing w:line="240" w:lineRule="auto" w:before="26"/>
              <w:ind w:left="105"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8,459,743.57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438,984.00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8,898,727.57</w:t>
            </w:r>
          </w:p>
        </w:tc>
      </w:tr>
    </w:tbl>
    <w:p>
      <w:pPr>
        <w:spacing w:after="0" w:line="240" w:lineRule="auto"/>
        <w:jc w:val="right"/>
        <w:rPr>
          <w:rFonts w:ascii="Times New Roman" w:hAnsi="Times New Roman" w:cs="Times New Roman" w:eastAsia="Times New Roman" w:hint="default"/>
          <w:sz w:val="21"/>
          <w:szCs w:val="21"/>
        </w:rPr>
        <w:sectPr>
          <w:headerReference w:type="default" r:id="rId27"/>
          <w:pgSz w:w="11910" w:h="16840"/>
          <w:pgMar w:header="906" w:footer="1022" w:top="1100" w:bottom="1220" w:left="1020" w:right="0"/>
        </w:sectPr>
      </w:pPr>
    </w:p>
    <w:p>
      <w:pPr>
        <w:pStyle w:val="BodyText"/>
        <w:spacing w:line="240" w:lineRule="auto" w:before="28"/>
        <w:ind w:right="0"/>
        <w:jc w:val="left"/>
      </w:pPr>
      <w:r>
        <w:rPr>
          <w:spacing w:val="-1"/>
        </w:rPr>
        <w:t>损失准备本期变动金额重大的账面余额变动情况</w:t>
      </w:r>
    </w:p>
    <w:p>
      <w:pPr>
        <w:pStyle w:val="BodyText"/>
        <w:spacing w:line="307" w:lineRule="auto" w:before="80"/>
        <w:ind w:right="2607"/>
        <w:jc w:val="left"/>
      </w:pPr>
      <w:r>
        <w:rPr/>
        <w:t>□ 适用 √</w:t>
      </w:r>
      <w:r>
        <w:rPr>
          <w:spacing w:val="4"/>
        </w:rPr>
        <w:t> </w:t>
      </w:r>
      <w:r>
        <w:rPr/>
        <w:t>不适用</w:t>
      </w:r>
      <w:r>
        <w:rPr>
          <w:w w:val="100"/>
        </w:rPr>
        <w:t> </w:t>
      </w:r>
      <w:r>
        <w:rPr/>
        <w:t>按账龄披露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0"/>
        <w:ind w:right="0"/>
        <w:jc w:val="left"/>
      </w:pPr>
      <w:r>
        <w:rPr/>
        <w:t>单位：</w:t>
      </w:r>
      <w:r>
        <w:rPr>
          <w:spacing w:val="4"/>
        </w:rPr>
        <w:t> </w:t>
      </w:r>
      <w:r>
        <w:rPr/>
        <w:t>元</w:t>
      </w:r>
    </w:p>
    <w:p>
      <w:pPr>
        <w:spacing w:after="0" w:line="240" w:lineRule="auto"/>
        <w:jc w:val="left"/>
        <w:sectPr>
          <w:type w:val="continuous"/>
          <w:pgSz w:w="11910" w:h="16840"/>
          <w:pgMar w:top="1100" w:bottom="1220" w:left="1020" w:right="0"/>
          <w:cols w:num="2" w:equalWidth="0">
            <w:col w:w="4530" w:space="4167"/>
            <w:col w:w="2193"/>
          </w:cols>
        </w:sectPr>
      </w:pP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4"/>
              <w:jc w:val="right"/>
              <w:rPr>
                <w:rFonts w:ascii="Times New Roman" w:hAnsi="Times New Roman" w:cs="Times New Roman" w:eastAsia="Times New Roman" w:hint="default"/>
                <w:sz w:val="21"/>
                <w:szCs w:val="21"/>
              </w:rPr>
            </w:pPr>
            <w:r>
              <w:rPr>
                <w:rFonts w:ascii="Times New Roman"/>
                <w:spacing w:val="-1"/>
                <w:sz w:val="21"/>
              </w:rPr>
              <w:t>238,872,929.22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9,771,276.60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5"/>
              <w:jc w:val="right"/>
              <w:rPr>
                <w:rFonts w:ascii="Times New Roman" w:hAnsi="Times New Roman" w:cs="Times New Roman" w:eastAsia="Times New Roman" w:hint="default"/>
                <w:sz w:val="21"/>
                <w:szCs w:val="21"/>
              </w:rPr>
            </w:pPr>
            <w:r>
              <w:rPr>
                <w:rFonts w:ascii="Times New Roman"/>
                <w:sz w:val="21"/>
              </w:rPr>
              <w:t>1,592,706.09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6,408,466.34</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597,124.40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666"/>
              <w:jc w:val="righ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430,125.78</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666"/>
              <w:jc w:val="righ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5,381,216.16</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4"/>
              <w:jc w:val="right"/>
              <w:rPr>
                <w:rFonts w:ascii="Times New Roman" w:hAnsi="Times New Roman" w:cs="Times New Roman" w:eastAsia="Times New Roman" w:hint="default"/>
                <w:sz w:val="21"/>
                <w:szCs w:val="21"/>
              </w:rPr>
            </w:pPr>
            <w:r>
              <w:rPr>
                <w:rFonts w:ascii="Times New Roman"/>
                <w:spacing w:val="-1"/>
                <w:sz w:val="21"/>
              </w:rPr>
              <w:t>256,645,378.25</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3）本期计提、收回或转回的坏账准备情况" w:id="552"/>
      <w:bookmarkEnd w:id="552"/>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right="1002"/>
        <w:jc w:val="left"/>
      </w:pPr>
      <w:r>
        <w:rPr/>
        <w:t>本期计提坏账准备情况：</w:t>
      </w:r>
    </w:p>
    <w:p>
      <w:pPr>
        <w:pStyle w:val="BodyText"/>
        <w:spacing w:line="240" w:lineRule="auto" w:before="75"/>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80"/>
        <w:gridCol w:w="1085"/>
        <w:gridCol w:w="1335"/>
        <w:gridCol w:w="1330"/>
        <w:gridCol w:w="1090"/>
        <w:gridCol w:w="1575"/>
        <w:gridCol w:w="1580"/>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宋体" w:hAnsi="宋体" w:cs="宋体" w:eastAsia="宋体" w:hint="default"/>
                <w:sz w:val="21"/>
                <w:szCs w:val="21"/>
              </w:rPr>
            </w:pPr>
            <w:r>
              <w:rPr>
                <w:rFonts w:ascii="宋体" w:hAnsi="宋体" w:cs="宋体" w:eastAsia="宋体" w:hint="default"/>
                <w:sz w:val="21"/>
                <w:szCs w:val="21"/>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4" w:right="0"/>
              <w:jc w:val="left"/>
              <w:rPr>
                <w:rFonts w:ascii="宋体" w:hAnsi="宋体" w:cs="宋体" w:eastAsia="宋体" w:hint="default"/>
                <w:sz w:val="21"/>
                <w:szCs w:val="21"/>
              </w:rPr>
            </w:pPr>
            <w:r>
              <w:rPr>
                <w:rFonts w:ascii="宋体" w:hAnsi="宋体" w:cs="宋体" w:eastAsia="宋体" w:hint="default"/>
                <w:sz w:val="21"/>
                <w:szCs w:val="21"/>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31" w:right="0"/>
              <w:jc w:val="left"/>
              <w:rPr>
                <w:rFonts w:ascii="宋体" w:hAnsi="宋体" w:cs="宋体" w:eastAsia="宋体" w:hint="default"/>
                <w:sz w:val="21"/>
                <w:szCs w:val="21"/>
              </w:rPr>
            </w:pPr>
            <w:r>
              <w:rPr>
                <w:rFonts w:ascii="宋体" w:hAnsi="宋体" w:cs="宋体" w:eastAsia="宋体" w:hint="default"/>
                <w:sz w:val="21"/>
                <w:szCs w:val="21"/>
              </w:rPr>
              <w:t>核销</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28"/>
        <w:ind w:right="1002"/>
        <w:jc w:val="left"/>
      </w:pPr>
      <w:r>
        <w:rPr/>
        <w:t>其中本期坏账准备转回或收回金额重要的：</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59"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
              <w:jc w:val="center"/>
              <w:rPr>
                <w:rFonts w:ascii="宋体" w:hAnsi="宋体" w:cs="宋体" w:eastAsia="宋体" w:hint="default"/>
                <w:sz w:val="21"/>
                <w:szCs w:val="21"/>
              </w:rPr>
            </w:pPr>
            <w:r>
              <w:rPr>
                <w:rFonts w:ascii="宋体" w:hAnsi="宋体" w:cs="宋体" w:eastAsia="宋体" w:hint="default"/>
                <w:sz w:val="21"/>
                <w:szCs w:val="21"/>
              </w:rPr>
              <w:t>收回方式</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4）本期实际核销的其他应收款情况" w:id="553"/>
      <w:bookmarkEnd w:id="553"/>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3" w:right="0"/>
              <w:jc w:val="center"/>
              <w:rPr>
                <w:rFonts w:ascii="宋体" w:hAnsi="宋体" w:cs="宋体" w:eastAsia="宋体" w:hint="default"/>
                <w:sz w:val="21"/>
                <w:szCs w:val="21"/>
              </w:rPr>
            </w:pPr>
            <w:r>
              <w:rPr>
                <w:rFonts w:ascii="宋体" w:hAnsi="宋体" w:cs="宋体" w:eastAsia="宋体" w:hint="default"/>
                <w:sz w:val="21"/>
                <w:szCs w:val="21"/>
              </w:rPr>
              <w:t>核销金额</w:t>
            </w:r>
          </w:p>
        </w:tc>
      </w:tr>
    </w:tbl>
    <w:p>
      <w:pPr>
        <w:pStyle w:val="BodyText"/>
        <w:spacing w:line="240" w:lineRule="auto" w:before="28"/>
        <w:ind w:right="1002"/>
        <w:jc w:val="left"/>
      </w:pPr>
      <w:r>
        <w:rPr/>
        <w:t>其中重要的其他应收款核销情况：</w:t>
      </w:r>
    </w:p>
    <w:p>
      <w:pPr>
        <w:pStyle w:val="BodyText"/>
        <w:spacing w:line="240" w:lineRule="auto" w:before="80"/>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667" w:right="132" w:hanging="524"/>
              <w:jc w:val="left"/>
              <w:rPr>
                <w:rFonts w:ascii="宋体" w:hAnsi="宋体" w:cs="宋体" w:eastAsia="宋体" w:hint="default"/>
                <w:sz w:val="21"/>
                <w:szCs w:val="21"/>
              </w:rPr>
            </w:pPr>
            <w:r>
              <w:rPr>
                <w:rFonts w:ascii="宋体" w:hAnsi="宋体" w:cs="宋体" w:eastAsia="宋体" w:hint="default"/>
                <w:sz w:val="21"/>
                <w:szCs w:val="21"/>
              </w:rPr>
              <w:t>其他应收款性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691" w:right="171" w:hanging="524"/>
              <w:jc w:val="left"/>
              <w:rPr>
                <w:rFonts w:ascii="宋体" w:hAnsi="宋体" w:cs="宋体" w:eastAsia="宋体" w:hint="default"/>
                <w:sz w:val="21"/>
                <w:szCs w:val="21"/>
              </w:rPr>
            </w:pPr>
            <w:r>
              <w:rPr>
                <w:rFonts w:ascii="宋体" w:hAnsi="宋体" w:cs="宋体" w:eastAsia="宋体" w:hint="default"/>
                <w:sz w:val="21"/>
                <w:szCs w:val="21"/>
              </w:rPr>
              <w:t>履行的核销程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序</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278" w:right="171" w:hanging="106"/>
              <w:jc w:val="left"/>
              <w:rPr>
                <w:rFonts w:ascii="宋体" w:hAnsi="宋体" w:cs="宋体" w:eastAsia="宋体" w:hint="default"/>
                <w:sz w:val="21"/>
                <w:szCs w:val="21"/>
              </w:rPr>
            </w:pPr>
            <w:r>
              <w:rPr>
                <w:rFonts w:ascii="宋体" w:hAnsi="宋体" w:cs="宋体" w:eastAsia="宋体" w:hint="default"/>
                <w:sz w:val="21"/>
                <w:szCs w:val="21"/>
              </w:rPr>
              <w:t>款项是否由关</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联交易产生</w:t>
            </w:r>
          </w:p>
        </w:tc>
      </w:tr>
    </w:tbl>
    <w:p>
      <w:pPr>
        <w:pStyle w:val="BodyText"/>
        <w:spacing w:line="240" w:lineRule="auto" w:before="28"/>
        <w:ind w:right="1002"/>
        <w:jc w:val="left"/>
      </w:pPr>
      <w:r>
        <w:rPr/>
        <w:t>其他应收款核销说明：</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5）按欠款方归集的期末余额前五名的其他应收款情况" w:id="554"/>
      <w:bookmarkEnd w:id="554"/>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954"/>
        <w:gridCol w:w="1277"/>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29" w:right="128"/>
              <w:jc w:val="left"/>
              <w:rPr>
                <w:rFonts w:ascii="宋体" w:hAnsi="宋体" w:cs="宋体" w:eastAsia="宋体" w:hint="default"/>
                <w:sz w:val="21"/>
                <w:szCs w:val="21"/>
              </w:rPr>
            </w:pPr>
            <w:r>
              <w:rPr>
                <w:rFonts w:ascii="宋体" w:hAnsi="宋体" w:cs="宋体" w:eastAsia="宋体" w:hint="default"/>
                <w:sz w:val="21"/>
                <w:szCs w:val="21"/>
              </w:rPr>
              <w:t>占其他应收款期末</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余额合计数的比例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17" w:right="103" w:hanging="212"/>
              <w:jc w:val="left"/>
              <w:rPr>
                <w:rFonts w:ascii="宋体" w:hAnsi="宋体" w:cs="宋体" w:eastAsia="宋体" w:hint="default"/>
                <w:sz w:val="21"/>
                <w:szCs w:val="21"/>
              </w:rPr>
            </w:pPr>
            <w:r>
              <w:rPr>
                <w:rFonts w:ascii="宋体" w:hAnsi="宋体" w:cs="宋体" w:eastAsia="宋体" w:hint="default"/>
                <w:sz w:val="21"/>
                <w:szCs w:val="21"/>
              </w:rPr>
              <w:t>坏账准备期</w:t>
            </w:r>
            <w:r>
              <w:rPr>
                <w:rFonts w:ascii="宋体" w:hAnsi="宋体" w:cs="宋体" w:eastAsia="宋体" w:hint="default"/>
                <w:spacing w:val="-99"/>
                <w:sz w:val="21"/>
                <w:szCs w:val="21"/>
              </w:rPr>
              <w:t> </w:t>
            </w:r>
            <w:r>
              <w:rPr>
                <w:rFonts w:ascii="宋体" w:hAnsi="宋体" w:cs="宋体" w:eastAsia="宋体" w:hint="default"/>
                <w:sz w:val="21"/>
                <w:szCs w:val="21"/>
              </w:rPr>
              <w:t>末余额</w:t>
            </w:r>
          </w:p>
        </w:tc>
      </w:tr>
      <w:tr>
        <w:trPr>
          <w:trHeight w:val="71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305"/>
              <w:jc w:val="left"/>
              <w:rPr>
                <w:rFonts w:ascii="宋体" w:hAnsi="宋体" w:cs="宋体" w:eastAsia="宋体" w:hint="default"/>
                <w:sz w:val="21"/>
                <w:szCs w:val="21"/>
              </w:rPr>
            </w:pPr>
            <w:r>
              <w:rPr>
                <w:rFonts w:ascii="宋体" w:hAnsi="宋体" w:cs="宋体" w:eastAsia="宋体" w:hint="default"/>
                <w:sz w:val="21"/>
                <w:szCs w:val="21"/>
              </w:rPr>
              <w:t>北京中电兴发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199,199,182.40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77.62%</w:t>
            </w: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305"/>
              <w:jc w:val="both"/>
              <w:rPr>
                <w:rFonts w:ascii="宋体" w:hAnsi="宋体" w:cs="宋体" w:eastAsia="宋体" w:hint="default"/>
                <w:sz w:val="21"/>
                <w:szCs w:val="21"/>
              </w:rPr>
            </w:pPr>
            <w:r>
              <w:rPr>
                <w:rFonts w:ascii="宋体" w:hAnsi="宋体" w:cs="宋体" w:eastAsia="宋体" w:hint="default"/>
                <w:sz w:val="21"/>
                <w:szCs w:val="21"/>
              </w:rPr>
              <w:t>中国联合网络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通信有限公司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广西壮族自治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区分公司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20,000,000.00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598,000.00</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8"/>
              <w:ind w:left="105" w:right="305"/>
              <w:jc w:val="left"/>
              <w:rPr>
                <w:rFonts w:ascii="宋体" w:hAnsi="宋体" w:cs="宋体" w:eastAsia="宋体" w:hint="default"/>
                <w:sz w:val="21"/>
                <w:szCs w:val="21"/>
              </w:rPr>
            </w:pPr>
            <w:r>
              <w:rPr>
                <w:rFonts w:ascii="宋体" w:hAnsi="宋体" w:cs="宋体" w:eastAsia="宋体" w:hint="default"/>
                <w:sz w:val="21"/>
                <w:szCs w:val="21"/>
              </w:rPr>
              <w:t>鸠江区湾里街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道办事处</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土地款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4,612,050.00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年（含）</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503,635.86</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305"/>
              <w:jc w:val="left"/>
              <w:rPr>
                <w:rFonts w:ascii="宋体" w:hAnsi="宋体" w:cs="宋体" w:eastAsia="宋体" w:hint="default"/>
                <w:sz w:val="21"/>
                <w:szCs w:val="21"/>
              </w:rPr>
            </w:pPr>
            <w:r>
              <w:rPr>
                <w:rFonts w:ascii="宋体" w:hAnsi="宋体" w:cs="宋体" w:eastAsia="宋体" w:hint="default"/>
                <w:sz w:val="21"/>
                <w:szCs w:val="21"/>
              </w:rPr>
              <w:t>芜湖市鸠江区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财政局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土地保证金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2,576,600.00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1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年以上</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2,576,600.0</w:t>
            </w:r>
          </w:p>
          <w:p>
            <w:pPr>
              <w:pStyle w:val="TableParagraph"/>
              <w:spacing w:line="240" w:lineRule="auto" w:before="70"/>
              <w:ind w:right="103"/>
              <w:jc w:val="righ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954"/>
        <w:gridCol w:w="1277"/>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305"/>
              <w:jc w:val="left"/>
              <w:rPr>
                <w:rFonts w:ascii="宋体" w:hAnsi="宋体" w:cs="宋体" w:eastAsia="宋体" w:hint="default"/>
                <w:sz w:val="21"/>
                <w:szCs w:val="21"/>
              </w:rPr>
            </w:pPr>
            <w:r>
              <w:rPr>
                <w:rFonts w:ascii="宋体" w:hAnsi="宋体" w:cs="宋体" w:eastAsia="宋体" w:hint="default"/>
                <w:sz w:val="21"/>
                <w:szCs w:val="21"/>
              </w:rPr>
              <w:t>中国电子进出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口有限公司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1,500,000.00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6"/>
              <w:ind w:right="646"/>
              <w:jc w:val="righ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年以内</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0.58%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321" w:right="0"/>
              <w:jc w:val="left"/>
              <w:rPr>
                <w:rFonts w:ascii="Times New Roman" w:hAnsi="Times New Roman" w:cs="Times New Roman" w:eastAsia="Times New Roman" w:hint="default"/>
                <w:sz w:val="21"/>
                <w:szCs w:val="21"/>
              </w:rPr>
            </w:pPr>
            <w:r>
              <w:rPr>
                <w:rFonts w:ascii="Times New Roman"/>
                <w:sz w:val="21"/>
              </w:rPr>
              <w:t>44,850.00</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 w:right="0"/>
              <w:jc w:val="center"/>
              <w:rPr>
                <w:rFonts w:ascii="Times New Roman" w:hAnsi="Times New Roman" w:cs="Times New Roman" w:eastAsia="Times New Roman" w:hint="default"/>
                <w:sz w:val="21"/>
                <w:szCs w:val="21"/>
              </w:rPr>
            </w:pPr>
            <w:r>
              <w:rPr>
                <w:rFonts w:ascii="Times New Roman"/>
                <w:sz w:val="21"/>
              </w:rPr>
              <w:t>--</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pacing w:val="-1"/>
                <w:sz w:val="21"/>
              </w:rPr>
              <w:t>227,887,832.40</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699"/>
              <w:jc w:val="right"/>
              <w:rPr>
                <w:rFonts w:ascii="Times New Roman" w:hAnsi="Times New Roman" w:cs="Times New Roman" w:eastAsia="Times New Roman" w:hint="default"/>
                <w:sz w:val="21"/>
                <w:szCs w:val="21"/>
              </w:rPr>
            </w:pPr>
            <w:r>
              <w:rPr>
                <w:rFonts w:ascii="Times New Roman"/>
                <w:sz w:val="21"/>
              </w:rPr>
              <w:t>--</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88.79%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3,723,085.8</w:t>
            </w:r>
          </w:p>
          <w:p>
            <w:pPr>
              <w:pStyle w:val="TableParagraph"/>
              <w:spacing w:line="240" w:lineRule="auto" w:before="71"/>
              <w:ind w:right="103"/>
              <w:jc w:val="right"/>
              <w:rPr>
                <w:rFonts w:ascii="Times New Roman" w:hAnsi="Times New Roman" w:cs="Times New Roman" w:eastAsia="Times New Roman" w:hint="default"/>
                <w:sz w:val="21"/>
                <w:szCs w:val="21"/>
              </w:rPr>
            </w:pPr>
            <w:r>
              <w:rPr>
                <w:rFonts w:ascii="Times New Roman"/>
                <w:w w:val="100"/>
                <w:sz w:val="21"/>
              </w:rPr>
              <w:t>6</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6）涉及政府补助的应收款项" w:id="555"/>
      <w:bookmarkEnd w:id="555"/>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027"/>
        <w:gridCol w:w="1868"/>
        <w:gridCol w:w="1868"/>
        <w:gridCol w:w="1868"/>
        <w:gridCol w:w="1945"/>
      </w:tblGrid>
      <w:tr>
        <w:trPr>
          <w:trHeight w:val="716" w:hRule="exact"/>
        </w:trPr>
        <w:tc>
          <w:tcPr>
            <w:tcW w:w="2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825" w:right="185" w:hanging="629"/>
              <w:jc w:val="left"/>
              <w:rPr>
                <w:rFonts w:ascii="宋体" w:hAnsi="宋体" w:cs="宋体" w:eastAsia="宋体" w:hint="default"/>
                <w:sz w:val="21"/>
                <w:szCs w:val="21"/>
              </w:rPr>
            </w:pPr>
            <w:r>
              <w:rPr>
                <w:rFonts w:ascii="宋体" w:hAnsi="宋体" w:cs="宋体" w:eastAsia="宋体" w:hint="default"/>
                <w:sz w:val="21"/>
                <w:szCs w:val="21"/>
              </w:rPr>
              <w:t>政府补助项目名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04" w:right="0"/>
              <w:jc w:val="left"/>
              <w:rPr>
                <w:rFonts w:ascii="宋体" w:hAnsi="宋体" w:cs="宋体" w:eastAsia="宋体" w:hint="default"/>
                <w:sz w:val="21"/>
                <w:szCs w:val="21"/>
              </w:rPr>
            </w:pPr>
            <w:r>
              <w:rPr>
                <w:rFonts w:ascii="宋体" w:hAnsi="宋体" w:cs="宋体" w:eastAsia="宋体" w:hint="default"/>
                <w:sz w:val="21"/>
                <w:szCs w:val="21"/>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436" w:right="123" w:hanging="312"/>
              <w:jc w:val="left"/>
              <w:rPr>
                <w:rFonts w:ascii="宋体" w:hAnsi="宋体" w:cs="宋体" w:eastAsia="宋体" w:hint="default"/>
                <w:sz w:val="21"/>
                <w:szCs w:val="21"/>
              </w:rPr>
            </w:pPr>
            <w:r>
              <w:rPr>
                <w:rFonts w:ascii="宋体" w:hAnsi="宋体" w:cs="宋体" w:eastAsia="宋体" w:hint="default"/>
                <w:sz w:val="21"/>
                <w:szCs w:val="21"/>
              </w:rPr>
              <w:t>预计收取的时间、</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金额及依据</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7）因金融资产转移而终止确认的其他应收款" w:id="556"/>
      <w:bookmarkEnd w:id="556"/>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4"/>
          <w:szCs w:val="24"/>
        </w:rPr>
      </w:pPr>
    </w:p>
    <w:p>
      <w:pPr>
        <w:pStyle w:val="Heading5"/>
        <w:spacing w:line="511" w:lineRule="auto"/>
        <w:ind w:right="5730"/>
        <w:jc w:val="left"/>
        <w:rPr>
          <w:rFonts w:ascii="宋体" w:hAnsi="宋体" w:cs="宋体" w:eastAsia="宋体" w:hint="default"/>
          <w:b w:val="0"/>
          <w:bCs w:val="0"/>
        </w:rPr>
      </w:pPr>
      <w:bookmarkStart w:name="8）转移其他应收款且继续涉入形成的资产、负债金额" w:id="557"/>
      <w:bookmarkEnd w:id="557"/>
      <w:r>
        <w:rPr>
          <w:b w:val="0"/>
          <w:bCs w:val="0"/>
        </w:rPr>
      </w:r>
      <w:r>
        <w:rPr>
          <w:rFonts w:ascii="Times New Roman" w:hAnsi="Times New Roman" w:cs="Times New Roman" w:eastAsia="Times New Roman" w:hint="default"/>
          <w:spacing w:val="-1"/>
        </w:rPr>
        <w:t>8</w:t>
      </w:r>
      <w:r>
        <w:rPr>
          <w:spacing w:val="-1"/>
        </w:rPr>
        <w:t>）转移其他应收款且继续涉入形成的资产、负债金额</w:t>
      </w:r>
      <w:r>
        <w:rPr>
          <w:spacing w:val="-83"/>
        </w:rPr>
        <w:t> </w:t>
      </w:r>
      <w:r>
        <w:rPr>
          <w:spacing w:val="-83"/>
        </w:rPr>
      </w:r>
      <w:r>
        <w:rPr>
          <w:rFonts w:ascii="宋体" w:hAnsi="宋体" w:cs="宋体" w:eastAsia="宋体" w:hint="default"/>
          <w:b w:val="0"/>
          <w:bCs w:val="0"/>
        </w:rPr>
        <w:t>其他说明：</w:t>
      </w:r>
    </w:p>
    <w:p>
      <w:pPr>
        <w:pStyle w:val="Heading5"/>
        <w:spacing w:line="240" w:lineRule="auto" w:before="92"/>
        <w:ind w:right="1002"/>
        <w:jc w:val="left"/>
        <w:rPr>
          <w:b w:val="0"/>
          <w:bCs w:val="0"/>
        </w:rPr>
      </w:pPr>
      <w:bookmarkStart w:name="3、长期股权投资" w:id="558"/>
      <w:bookmarkEnd w:id="558"/>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5"/>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98"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59"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6" w:lineRule="auto" w:before="28"/>
              <w:ind w:left="105" w:right="195"/>
              <w:jc w:val="left"/>
              <w:rPr>
                <w:rFonts w:ascii="宋体" w:hAnsi="宋体" w:cs="宋体" w:eastAsia="宋体" w:hint="default"/>
                <w:sz w:val="21"/>
                <w:szCs w:val="21"/>
              </w:rPr>
            </w:pPr>
            <w:r>
              <w:rPr>
                <w:rFonts w:ascii="宋体" w:hAnsi="宋体" w:cs="宋体" w:eastAsia="宋体" w:hint="default"/>
                <w:sz w:val="21"/>
                <w:szCs w:val="21"/>
              </w:rPr>
              <w:t>对子公司投</w:t>
            </w:r>
            <w:r>
              <w:rPr>
                <w:rFonts w:ascii="宋体" w:hAnsi="宋体" w:cs="宋体" w:eastAsia="宋体" w:hint="default"/>
                <w:spacing w:val="-99"/>
                <w:sz w:val="21"/>
                <w:szCs w:val="21"/>
              </w:rPr>
              <w:t> </w:t>
            </w:r>
            <w:r>
              <w:rPr>
                <w:rFonts w:ascii="宋体" w:hAnsi="宋体" w:cs="宋体" w:eastAsia="宋体" w:hint="default"/>
                <w:sz w:val="21"/>
                <w:szCs w:val="21"/>
              </w:rPr>
              <w:t>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3,558,127,27</w:t>
            </w:r>
          </w:p>
          <w:p>
            <w:pPr>
              <w:pStyle w:val="TableParagraph"/>
              <w:spacing w:line="240" w:lineRule="auto" w:before="75"/>
              <w:ind w:left="888" w:right="0"/>
              <w:jc w:val="left"/>
              <w:rPr>
                <w:rFonts w:ascii="Times New Roman" w:hAnsi="Times New Roman" w:cs="Times New Roman" w:eastAsia="Times New Roman" w:hint="default"/>
                <w:sz w:val="21"/>
                <w:szCs w:val="21"/>
              </w:rPr>
            </w:pPr>
            <w:r>
              <w:rPr>
                <w:rFonts w:ascii="Times New Roman"/>
                <w:sz w:val="21"/>
              </w:rPr>
              <w:t>2.38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3,558,127,27</w:t>
            </w:r>
          </w:p>
          <w:p>
            <w:pPr>
              <w:pStyle w:val="TableParagraph"/>
              <w:spacing w:line="240" w:lineRule="auto" w:before="75"/>
              <w:ind w:left="888" w:right="0"/>
              <w:jc w:val="left"/>
              <w:rPr>
                <w:rFonts w:ascii="Times New Roman" w:hAnsi="Times New Roman" w:cs="Times New Roman" w:eastAsia="Times New Roman" w:hint="default"/>
                <w:sz w:val="21"/>
                <w:szCs w:val="21"/>
              </w:rPr>
            </w:pPr>
            <w:r>
              <w:rPr>
                <w:rFonts w:ascii="Times New Roman"/>
                <w:sz w:val="21"/>
              </w:rPr>
              <w:t>2.38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8" w:right="0"/>
              <w:jc w:val="left"/>
              <w:rPr>
                <w:rFonts w:ascii="Times New Roman" w:hAnsi="Times New Roman" w:cs="Times New Roman" w:eastAsia="Times New Roman" w:hint="default"/>
                <w:sz w:val="21"/>
                <w:szCs w:val="21"/>
              </w:rPr>
            </w:pPr>
            <w:r>
              <w:rPr>
                <w:rFonts w:ascii="Times New Roman"/>
                <w:sz w:val="21"/>
              </w:rPr>
              <w:t>3,617,127,27</w:t>
            </w:r>
          </w:p>
          <w:p>
            <w:pPr>
              <w:pStyle w:val="TableParagraph"/>
              <w:spacing w:line="240" w:lineRule="auto" w:before="75"/>
              <w:ind w:left="883" w:right="0"/>
              <w:jc w:val="left"/>
              <w:rPr>
                <w:rFonts w:ascii="Times New Roman" w:hAnsi="Times New Roman" w:cs="Times New Roman" w:eastAsia="Times New Roman" w:hint="default"/>
                <w:sz w:val="21"/>
                <w:szCs w:val="21"/>
              </w:rPr>
            </w:pPr>
            <w:r>
              <w:rPr>
                <w:rFonts w:ascii="Times New Roman"/>
                <w:sz w:val="21"/>
              </w:rPr>
              <w:t>2.38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3,617,127,27</w:t>
            </w:r>
          </w:p>
          <w:p>
            <w:pPr>
              <w:pStyle w:val="TableParagraph"/>
              <w:spacing w:line="240" w:lineRule="auto" w:before="75"/>
              <w:ind w:left="888" w:right="0"/>
              <w:jc w:val="left"/>
              <w:rPr>
                <w:rFonts w:ascii="Times New Roman" w:hAnsi="Times New Roman" w:cs="Times New Roman" w:eastAsia="Times New Roman" w:hint="default"/>
                <w:sz w:val="21"/>
                <w:szCs w:val="21"/>
              </w:rPr>
            </w:pPr>
            <w:r>
              <w:rPr>
                <w:rFonts w:ascii="Times New Roman"/>
                <w:sz w:val="21"/>
              </w:rPr>
              <w:t>2.38</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95"/>
              <w:jc w:val="left"/>
              <w:rPr>
                <w:rFonts w:ascii="宋体" w:hAnsi="宋体" w:cs="宋体" w:eastAsia="宋体" w:hint="default"/>
                <w:sz w:val="21"/>
                <w:szCs w:val="21"/>
              </w:rPr>
            </w:pPr>
            <w:r>
              <w:rPr>
                <w:rFonts w:ascii="宋体" w:hAnsi="宋体" w:cs="宋体" w:eastAsia="宋体" w:hint="default"/>
                <w:sz w:val="21"/>
                <w:szCs w:val="21"/>
              </w:rPr>
              <w:t>对联营、合</w:t>
            </w:r>
            <w:r>
              <w:rPr>
                <w:rFonts w:ascii="宋体" w:hAnsi="宋体" w:cs="宋体" w:eastAsia="宋体" w:hint="default"/>
                <w:spacing w:val="-99"/>
                <w:sz w:val="21"/>
                <w:szCs w:val="21"/>
              </w:rPr>
              <w:t> </w:t>
            </w:r>
            <w:r>
              <w:rPr>
                <w:rFonts w:ascii="宋体" w:hAnsi="宋体" w:cs="宋体" w:eastAsia="宋体" w:hint="default"/>
                <w:sz w:val="21"/>
                <w:szCs w:val="21"/>
              </w:rPr>
              <w:t>营企业投资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11,034,376.6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11,034,376.6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10,327,725.6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10,327,725.6</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2</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3,569,161,64</w:t>
            </w:r>
          </w:p>
          <w:p>
            <w:pPr>
              <w:pStyle w:val="TableParagraph"/>
              <w:spacing w:line="240" w:lineRule="auto" w:before="70"/>
              <w:ind w:left="888" w:right="0"/>
              <w:jc w:val="left"/>
              <w:rPr>
                <w:rFonts w:ascii="Times New Roman" w:hAnsi="Times New Roman" w:cs="Times New Roman" w:eastAsia="Times New Roman" w:hint="default"/>
                <w:sz w:val="21"/>
                <w:szCs w:val="21"/>
              </w:rPr>
            </w:pPr>
            <w:r>
              <w:rPr>
                <w:rFonts w:ascii="Times New Roman"/>
                <w:sz w:val="21"/>
              </w:rPr>
              <w:t>9.00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3,569,161,64</w:t>
            </w:r>
          </w:p>
          <w:p>
            <w:pPr>
              <w:pStyle w:val="TableParagraph"/>
              <w:spacing w:line="240" w:lineRule="auto" w:before="70"/>
              <w:ind w:left="888" w:right="0"/>
              <w:jc w:val="left"/>
              <w:rPr>
                <w:rFonts w:ascii="Times New Roman" w:hAnsi="Times New Roman" w:cs="Times New Roman" w:eastAsia="Times New Roman" w:hint="default"/>
                <w:sz w:val="21"/>
                <w:szCs w:val="21"/>
              </w:rPr>
            </w:pPr>
            <w:r>
              <w:rPr>
                <w:rFonts w:ascii="Times New Roman"/>
                <w:sz w:val="21"/>
              </w:rPr>
              <w:t>9.00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8" w:right="0"/>
              <w:jc w:val="left"/>
              <w:rPr>
                <w:rFonts w:ascii="Times New Roman" w:hAnsi="Times New Roman" w:cs="Times New Roman" w:eastAsia="Times New Roman" w:hint="default"/>
                <w:sz w:val="21"/>
                <w:szCs w:val="21"/>
              </w:rPr>
            </w:pPr>
            <w:r>
              <w:rPr>
                <w:rFonts w:ascii="Times New Roman"/>
                <w:sz w:val="21"/>
              </w:rPr>
              <w:t>3,627,454,99</w:t>
            </w:r>
          </w:p>
          <w:p>
            <w:pPr>
              <w:pStyle w:val="TableParagraph"/>
              <w:spacing w:line="240" w:lineRule="auto" w:before="70"/>
              <w:ind w:left="883" w:right="0"/>
              <w:jc w:val="left"/>
              <w:rPr>
                <w:rFonts w:ascii="Times New Roman" w:hAnsi="Times New Roman" w:cs="Times New Roman" w:eastAsia="Times New Roman" w:hint="default"/>
                <w:sz w:val="21"/>
                <w:szCs w:val="21"/>
              </w:rPr>
            </w:pPr>
            <w:r>
              <w:rPr>
                <w:rFonts w:ascii="Times New Roman"/>
                <w:sz w:val="21"/>
              </w:rPr>
              <w:t>8.00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Times New Roman" w:hAnsi="Times New Roman" w:cs="Times New Roman" w:eastAsia="Times New Roman" w:hint="default"/>
                <w:sz w:val="21"/>
                <w:szCs w:val="21"/>
              </w:rPr>
            </w:pPr>
            <w:r>
              <w:rPr>
                <w:rFonts w:ascii="Times New Roman"/>
                <w:sz w:val="21"/>
              </w:rPr>
              <w:t>3,627,454,99</w:t>
            </w:r>
          </w:p>
          <w:p>
            <w:pPr>
              <w:pStyle w:val="TableParagraph"/>
              <w:spacing w:line="240" w:lineRule="auto" w:before="70"/>
              <w:ind w:left="888" w:right="0"/>
              <w:jc w:val="left"/>
              <w:rPr>
                <w:rFonts w:ascii="Times New Roman" w:hAnsi="Times New Roman" w:cs="Times New Roman" w:eastAsia="Times New Roman" w:hint="default"/>
                <w:sz w:val="21"/>
                <w:szCs w:val="21"/>
              </w:rPr>
            </w:pPr>
            <w:r>
              <w:rPr>
                <w:rFonts w:ascii="Times New Roman"/>
                <w:sz w:val="21"/>
              </w:rPr>
              <w:t>8.00</w:t>
            </w:r>
          </w:p>
        </w:tc>
      </w:tr>
    </w:tbl>
    <w:p>
      <w:pPr>
        <w:spacing w:line="240" w:lineRule="auto" w:before="3"/>
        <w:rPr>
          <w:rFonts w:ascii="宋体" w:hAnsi="宋体" w:cs="宋体" w:eastAsia="宋体" w:hint="default"/>
          <w:sz w:val="19"/>
          <w:szCs w:val="19"/>
        </w:rPr>
      </w:pPr>
    </w:p>
    <w:p>
      <w:pPr>
        <w:pStyle w:val="Heading5"/>
        <w:spacing w:line="240" w:lineRule="auto" w:before="36"/>
        <w:ind w:right="1002"/>
        <w:jc w:val="left"/>
        <w:rPr>
          <w:b w:val="0"/>
          <w:bCs w:val="0"/>
        </w:rPr>
      </w:pPr>
      <w:bookmarkStart w:name="（1）对子公司投资" w:id="559"/>
      <w:bookmarkEnd w:id="559"/>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1527"/>
        <w:gridCol w:w="1095"/>
        <w:gridCol w:w="1157"/>
        <w:gridCol w:w="1200"/>
        <w:gridCol w:w="1157"/>
        <w:gridCol w:w="1009"/>
        <w:gridCol w:w="1215"/>
        <w:gridCol w:w="1215"/>
      </w:tblGrid>
      <w:tr>
        <w:trPr>
          <w:trHeight w:val="403" w:hRule="exact"/>
        </w:trPr>
        <w:tc>
          <w:tcPr>
            <w:tcW w:w="15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095"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auto" w:before="76"/>
              <w:ind w:left="124" w:right="113"/>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期初余额</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账面价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Times New Roman" w:hAnsi="Times New Roman" w:cs="Times New Roman" w:eastAsia="Times New Roman" w:hint="default"/>
                <w:sz w:val="21"/>
                <w:szCs w:val="21"/>
              </w:rPr>
              <w:t>)</w:t>
            </w:r>
          </w:p>
        </w:tc>
        <w:tc>
          <w:tcPr>
            <w:tcW w:w="452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3"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82" w:right="0"/>
              <w:jc w:val="left"/>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37"/>
              <w:ind w:left="11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账面价值</w:t>
            </w:r>
            <w:r>
              <w:rPr>
                <w:rFonts w:ascii="Times New Roman" w:hAnsi="Times New Roman" w:cs="Times New Roman" w:eastAsia="Times New Roman" w:hint="default"/>
                <w:sz w:val="21"/>
                <w:szCs w:val="21"/>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73" w:lineRule="auto"/>
              <w:ind w:left="182" w:right="175"/>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pacing w:val="-101"/>
                <w:sz w:val="21"/>
                <w:szCs w:val="21"/>
              </w:rPr>
              <w:t> </w:t>
            </w:r>
            <w:r>
              <w:rPr>
                <w:rFonts w:ascii="宋体" w:hAnsi="宋体" w:cs="宋体" w:eastAsia="宋体" w:hint="default"/>
                <w:sz w:val="21"/>
                <w:szCs w:val="21"/>
              </w:rPr>
              <w:t>期末余额</w:t>
            </w:r>
          </w:p>
        </w:tc>
      </w:tr>
      <w:tr>
        <w:trPr>
          <w:trHeight w:val="716" w:hRule="exact"/>
        </w:trPr>
        <w:tc>
          <w:tcPr>
            <w:tcW w:w="1527" w:type="dxa"/>
            <w:vMerge/>
            <w:tcBorders>
              <w:left w:val="single" w:sz="4" w:space="0" w:color="000000"/>
              <w:bottom w:val="single" w:sz="4" w:space="0" w:color="000000"/>
              <w:right w:val="single" w:sz="4" w:space="0" w:color="000000"/>
            </w:tcBorders>
            <w:shd w:val="clear" w:color="auto" w:fill="D2D2D2"/>
          </w:tcPr>
          <w:p>
            <w:pPr/>
          </w:p>
        </w:tc>
        <w:tc>
          <w:tcPr>
            <w:tcW w:w="1095" w:type="dxa"/>
            <w:vMerge/>
            <w:tcBorders>
              <w:left w:val="single" w:sz="4" w:space="0" w:color="000000"/>
              <w:bottom w:val="single" w:sz="4" w:space="0" w:color="000000"/>
              <w:right w:val="single" w:sz="4" w:space="0" w:color="000000"/>
            </w:tcBorders>
            <w:shd w:val="clear" w:color="auto" w:fill="D2D2D2"/>
          </w:tcPr>
          <w:p>
            <w:pP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追加投资</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减少投资</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364" w:right="147" w:hanging="212"/>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spacing w:val="-101"/>
                <w:sz w:val="21"/>
                <w:szCs w:val="21"/>
              </w:rPr>
              <w:t> </w:t>
            </w:r>
            <w:r>
              <w:rPr>
                <w:rFonts w:ascii="宋体" w:hAnsi="宋体" w:cs="宋体" w:eastAsia="宋体" w:hint="default"/>
                <w:sz w:val="21"/>
                <w:szCs w:val="21"/>
              </w:rPr>
              <w:t>准备</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47"/>
              <w:jc w:val="left"/>
              <w:rPr>
                <w:rFonts w:ascii="宋体" w:hAnsi="宋体" w:cs="宋体" w:eastAsia="宋体" w:hint="default"/>
                <w:sz w:val="21"/>
                <w:szCs w:val="21"/>
              </w:rPr>
            </w:pPr>
            <w:r>
              <w:rPr>
                <w:rFonts w:ascii="宋体" w:hAnsi="宋体" w:cs="宋体" w:eastAsia="宋体" w:hint="default"/>
                <w:sz w:val="21"/>
                <w:szCs w:val="21"/>
              </w:rPr>
              <w:t>安徽森源电器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296,850,1</w:t>
            </w:r>
          </w:p>
          <w:p>
            <w:pPr>
              <w:pStyle w:val="TableParagraph"/>
              <w:spacing w:line="240" w:lineRule="auto" w:before="70"/>
              <w:ind w:left="513" w:right="0"/>
              <w:jc w:val="left"/>
              <w:rPr>
                <w:rFonts w:ascii="Times New Roman" w:hAnsi="Times New Roman" w:cs="Times New Roman" w:eastAsia="Times New Roman" w:hint="default"/>
                <w:sz w:val="21"/>
                <w:szCs w:val="21"/>
              </w:rPr>
            </w:pPr>
            <w:r>
              <w:rPr>
                <w:rFonts w:ascii="Times New Roman"/>
                <w:sz w:val="21"/>
              </w:rPr>
              <w:t>78.48</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8" w:right="0"/>
              <w:jc w:val="left"/>
              <w:rPr>
                <w:rFonts w:ascii="Times New Roman" w:hAnsi="Times New Roman" w:cs="Times New Roman" w:eastAsia="Times New Roman" w:hint="default"/>
                <w:sz w:val="21"/>
                <w:szCs w:val="21"/>
              </w:rPr>
            </w:pPr>
            <w:r>
              <w:rPr>
                <w:rFonts w:ascii="Times New Roman"/>
                <w:sz w:val="21"/>
              </w:rPr>
              <w:t>296,850,17</w:t>
            </w:r>
          </w:p>
          <w:p>
            <w:pPr>
              <w:pStyle w:val="TableParagraph"/>
              <w:spacing w:line="240" w:lineRule="auto" w:before="70"/>
              <w:ind w:left="734" w:right="0"/>
              <w:jc w:val="left"/>
              <w:rPr>
                <w:rFonts w:ascii="Times New Roman" w:hAnsi="Times New Roman" w:cs="Times New Roman" w:eastAsia="Times New Roman" w:hint="default"/>
                <w:sz w:val="21"/>
                <w:szCs w:val="21"/>
              </w:rPr>
            </w:pPr>
            <w:r>
              <w:rPr>
                <w:rFonts w:ascii="Times New Roman"/>
                <w:sz w:val="21"/>
              </w:rPr>
              <w:t>8.48</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8"/>
              <w:ind w:left="105" w:right="147"/>
              <w:jc w:val="left"/>
              <w:rPr>
                <w:rFonts w:ascii="宋体" w:hAnsi="宋体" w:cs="宋体" w:eastAsia="宋体" w:hint="default"/>
                <w:sz w:val="21"/>
                <w:szCs w:val="21"/>
              </w:rPr>
            </w:pPr>
            <w:r>
              <w:rPr>
                <w:rFonts w:ascii="宋体" w:hAnsi="宋体" w:cs="宋体" w:eastAsia="宋体" w:hint="default"/>
                <w:sz w:val="21"/>
                <w:szCs w:val="21"/>
              </w:rPr>
              <w:t>安徽鑫龙低压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电器有限公司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100,514,4</w:t>
            </w:r>
          </w:p>
          <w:p>
            <w:pPr>
              <w:pStyle w:val="TableParagraph"/>
              <w:spacing w:line="240" w:lineRule="auto" w:before="76"/>
              <w:ind w:left="513" w:right="0"/>
              <w:jc w:val="left"/>
              <w:rPr>
                <w:rFonts w:ascii="Times New Roman" w:hAnsi="Times New Roman" w:cs="Times New Roman" w:eastAsia="Times New Roman" w:hint="default"/>
                <w:sz w:val="21"/>
                <w:szCs w:val="21"/>
              </w:rPr>
            </w:pPr>
            <w:r>
              <w:rPr>
                <w:rFonts w:ascii="Times New Roman"/>
                <w:sz w:val="21"/>
              </w:rPr>
              <w:t>52.25</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8" w:right="0"/>
              <w:jc w:val="left"/>
              <w:rPr>
                <w:rFonts w:ascii="Times New Roman" w:hAnsi="Times New Roman" w:cs="Times New Roman" w:eastAsia="Times New Roman" w:hint="default"/>
                <w:sz w:val="21"/>
                <w:szCs w:val="21"/>
              </w:rPr>
            </w:pPr>
            <w:r>
              <w:rPr>
                <w:rFonts w:ascii="Times New Roman"/>
                <w:sz w:val="21"/>
              </w:rPr>
              <w:t>100,514,45</w:t>
            </w:r>
          </w:p>
          <w:p>
            <w:pPr>
              <w:pStyle w:val="TableParagraph"/>
              <w:spacing w:line="240" w:lineRule="auto" w:before="76"/>
              <w:ind w:left="734" w:right="0"/>
              <w:jc w:val="left"/>
              <w:rPr>
                <w:rFonts w:ascii="Times New Roman" w:hAnsi="Times New Roman" w:cs="Times New Roman" w:eastAsia="Times New Roman" w:hint="default"/>
                <w:sz w:val="21"/>
                <w:szCs w:val="21"/>
              </w:rPr>
            </w:pPr>
            <w:r>
              <w:rPr>
                <w:rFonts w:ascii="Times New Roman"/>
                <w:sz w:val="21"/>
              </w:rPr>
              <w:t>2.25</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5" w:right="0"/>
              <w:jc w:val="left"/>
              <w:rPr>
                <w:rFonts w:ascii="宋体" w:hAnsi="宋体" w:cs="宋体" w:eastAsia="宋体" w:hint="default"/>
                <w:sz w:val="21"/>
                <w:szCs w:val="21"/>
              </w:rPr>
            </w:pPr>
            <w:r>
              <w:rPr>
                <w:rFonts w:ascii="宋体" w:hAnsi="宋体" w:cs="宋体" w:eastAsia="宋体" w:hint="default"/>
                <w:sz w:val="21"/>
                <w:szCs w:val="21"/>
              </w:rPr>
              <w:t>安徽鑫龙自动</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left"/>
              <w:rPr>
                <w:rFonts w:ascii="Times New Roman" w:hAnsi="Times New Roman" w:cs="Times New Roman" w:eastAsia="Times New Roman" w:hint="default"/>
                <w:sz w:val="21"/>
                <w:szCs w:val="21"/>
              </w:rPr>
            </w:pPr>
            <w:r>
              <w:rPr>
                <w:rFonts w:ascii="Times New Roman"/>
                <w:sz w:val="21"/>
              </w:rPr>
              <w:t>30,764,47</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21"/>
                <w:szCs w:val="21"/>
              </w:rPr>
            </w:pPr>
            <w:r>
              <w:rPr>
                <w:rFonts w:ascii="Times New Roman"/>
                <w:sz w:val="21"/>
              </w:rPr>
              <w:t>30,764,472</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388" w:type="dxa"/>
        <w:tblLayout w:type="fixed"/>
        <w:tblCellMar>
          <w:top w:w="0" w:type="dxa"/>
          <w:left w:w="0" w:type="dxa"/>
          <w:bottom w:w="0" w:type="dxa"/>
          <w:right w:w="0" w:type="dxa"/>
        </w:tblCellMar>
        <w:tblLook w:val="01E0"/>
      </w:tblPr>
      <w:tblGrid>
        <w:gridCol w:w="1527"/>
        <w:gridCol w:w="1095"/>
        <w:gridCol w:w="1157"/>
        <w:gridCol w:w="1200"/>
        <w:gridCol w:w="1157"/>
        <w:gridCol w:w="1009"/>
        <w:gridCol w:w="1215"/>
        <w:gridCol w:w="1215"/>
      </w:tblGrid>
      <w:tr>
        <w:trPr>
          <w:trHeight w:val="36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5" w:right="0"/>
              <w:jc w:val="left"/>
              <w:rPr>
                <w:rFonts w:ascii="宋体" w:hAnsi="宋体" w:cs="宋体" w:eastAsia="宋体" w:hint="default"/>
                <w:sz w:val="21"/>
                <w:szCs w:val="21"/>
              </w:rPr>
            </w:pPr>
            <w:r>
              <w:rPr>
                <w:rFonts w:ascii="宋体" w:hAnsi="宋体" w:cs="宋体" w:eastAsia="宋体" w:hint="default"/>
                <w:sz w:val="21"/>
                <w:szCs w:val="21"/>
              </w:rPr>
              <w:t>化有限公司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614" w:right="0"/>
              <w:jc w:val="left"/>
              <w:rPr>
                <w:rFonts w:ascii="Times New Roman" w:hAnsi="Times New Roman" w:cs="Times New Roman" w:eastAsia="Times New Roman" w:hint="default"/>
                <w:sz w:val="21"/>
                <w:szCs w:val="21"/>
              </w:rPr>
            </w:pPr>
            <w:r>
              <w:rPr>
                <w:rFonts w:ascii="Times New Roman"/>
                <w:sz w:val="21"/>
              </w:rPr>
              <w:t>2.08</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z w:val="21"/>
              </w:rPr>
              <w:t>.08</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47"/>
              <w:jc w:val="left"/>
              <w:rPr>
                <w:rFonts w:ascii="宋体" w:hAnsi="宋体" w:cs="宋体" w:eastAsia="宋体" w:hint="default"/>
                <w:sz w:val="21"/>
                <w:szCs w:val="21"/>
              </w:rPr>
            </w:pPr>
            <w:r>
              <w:rPr>
                <w:rFonts w:ascii="宋体" w:hAnsi="宋体" w:cs="宋体" w:eastAsia="宋体" w:hint="default"/>
                <w:sz w:val="21"/>
                <w:szCs w:val="21"/>
              </w:rPr>
              <w:t>安徽鑫龙变压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器有限公司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3,154,784</w:t>
            </w:r>
          </w:p>
          <w:p>
            <w:pPr>
              <w:pStyle w:val="TableParagraph"/>
              <w:spacing w:line="240" w:lineRule="auto" w:before="75"/>
              <w:ind w:left="720" w:right="0"/>
              <w:jc w:val="left"/>
              <w:rPr>
                <w:rFonts w:ascii="Times New Roman" w:hAnsi="Times New Roman" w:cs="Times New Roman" w:eastAsia="Times New Roman" w:hint="default"/>
                <w:sz w:val="21"/>
                <w:szCs w:val="21"/>
              </w:rPr>
            </w:pPr>
            <w:r>
              <w:rPr>
                <w:rFonts w:ascii="Times New Roman"/>
                <w:sz w:val="21"/>
              </w:rPr>
              <w:t>.31</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3,154,784.</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31</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47"/>
              <w:jc w:val="both"/>
              <w:rPr>
                <w:rFonts w:ascii="宋体" w:hAnsi="宋体" w:cs="宋体" w:eastAsia="宋体" w:hint="default"/>
                <w:sz w:val="21"/>
                <w:szCs w:val="21"/>
              </w:rPr>
            </w:pPr>
            <w:r>
              <w:rPr>
                <w:rFonts w:ascii="宋体" w:hAnsi="宋体" w:cs="宋体" w:eastAsia="宋体" w:hint="default"/>
                <w:sz w:val="21"/>
                <w:szCs w:val="21"/>
              </w:rPr>
              <w:t>安徽鑫龙电器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元件销售有限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4,479,262</w:t>
            </w:r>
          </w:p>
          <w:p>
            <w:pPr>
              <w:pStyle w:val="TableParagraph"/>
              <w:spacing w:line="240" w:lineRule="auto" w:before="70"/>
              <w:ind w:left="720" w:right="0"/>
              <w:jc w:val="left"/>
              <w:rPr>
                <w:rFonts w:ascii="Times New Roman" w:hAnsi="Times New Roman" w:cs="Times New Roman" w:eastAsia="Times New Roman" w:hint="default"/>
                <w:sz w:val="21"/>
                <w:szCs w:val="21"/>
              </w:rPr>
            </w:pPr>
            <w:r>
              <w:rPr>
                <w:rFonts w:ascii="Times New Roman"/>
                <w:sz w:val="21"/>
              </w:rPr>
              <w:t>.50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4,479,262.</w:t>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50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47"/>
              <w:jc w:val="both"/>
              <w:rPr>
                <w:rFonts w:ascii="宋体" w:hAnsi="宋体" w:cs="宋体" w:eastAsia="宋体" w:hint="default"/>
                <w:sz w:val="21"/>
                <w:szCs w:val="21"/>
              </w:rPr>
            </w:pPr>
            <w:r>
              <w:rPr>
                <w:rFonts w:ascii="宋体" w:hAnsi="宋体" w:cs="宋体" w:eastAsia="宋体" w:hint="default"/>
                <w:sz w:val="21"/>
                <w:szCs w:val="21"/>
              </w:rPr>
              <w:t>安徽北辰能源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工程技术有限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30,146,42</w:t>
            </w:r>
          </w:p>
          <w:p>
            <w:pPr>
              <w:pStyle w:val="TableParagraph"/>
              <w:spacing w:line="240" w:lineRule="auto" w:before="75"/>
              <w:ind w:left="614" w:right="0"/>
              <w:jc w:val="left"/>
              <w:rPr>
                <w:rFonts w:ascii="Times New Roman" w:hAnsi="Times New Roman" w:cs="Times New Roman" w:eastAsia="Times New Roman" w:hint="default"/>
                <w:sz w:val="21"/>
                <w:szCs w:val="21"/>
              </w:rPr>
            </w:pPr>
            <w:r>
              <w:rPr>
                <w:rFonts w:ascii="Times New Roman"/>
                <w:sz w:val="21"/>
              </w:rPr>
              <w:t>0.03</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30,146,420</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.03</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47"/>
              <w:jc w:val="left"/>
              <w:rPr>
                <w:rFonts w:ascii="宋体" w:hAnsi="宋体" w:cs="宋体" w:eastAsia="宋体" w:hint="default"/>
                <w:sz w:val="21"/>
                <w:szCs w:val="21"/>
              </w:rPr>
            </w:pPr>
            <w:r>
              <w:rPr>
                <w:rFonts w:ascii="宋体" w:hAnsi="宋体" w:cs="宋体" w:eastAsia="宋体" w:hint="default"/>
                <w:sz w:val="21"/>
                <w:szCs w:val="21"/>
              </w:rPr>
              <w:t>安徽佑赛科技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23,400,00</w:t>
            </w:r>
          </w:p>
          <w:p>
            <w:pPr>
              <w:pStyle w:val="TableParagraph"/>
              <w:spacing w:line="240" w:lineRule="auto" w:before="70"/>
              <w:ind w:left="614" w:right="0"/>
              <w:jc w:val="left"/>
              <w:rPr>
                <w:rFonts w:ascii="Times New Roman" w:hAnsi="Times New Roman" w:cs="Times New Roman" w:eastAsia="Times New Roman" w:hint="default"/>
                <w:sz w:val="21"/>
                <w:szCs w:val="21"/>
              </w:rPr>
            </w:pPr>
            <w:r>
              <w:rPr>
                <w:rFonts w:ascii="Times New Roman"/>
                <w:sz w:val="21"/>
              </w:rPr>
              <w:t>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23,400,000</w:t>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47"/>
              <w:jc w:val="left"/>
              <w:rPr>
                <w:rFonts w:ascii="宋体" w:hAnsi="宋体" w:cs="宋体" w:eastAsia="宋体" w:hint="default"/>
                <w:sz w:val="21"/>
                <w:szCs w:val="21"/>
              </w:rPr>
            </w:pPr>
            <w:r>
              <w:rPr>
                <w:rFonts w:ascii="宋体" w:hAnsi="宋体" w:cs="宋体" w:eastAsia="宋体" w:hint="default"/>
                <w:sz w:val="21"/>
                <w:szCs w:val="21"/>
              </w:rPr>
              <w:t>安徽鑫东投资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36,000,00</w:t>
            </w:r>
          </w:p>
          <w:p>
            <w:pPr>
              <w:pStyle w:val="TableParagraph"/>
              <w:spacing w:line="240" w:lineRule="auto" w:before="75"/>
              <w:ind w:left="614" w:right="0"/>
              <w:jc w:val="left"/>
              <w:rPr>
                <w:rFonts w:ascii="Times New Roman" w:hAnsi="Times New Roman" w:cs="Times New Roman" w:eastAsia="Times New Roman" w:hint="default"/>
                <w:sz w:val="21"/>
                <w:szCs w:val="21"/>
              </w:rPr>
            </w:pPr>
            <w:r>
              <w:rPr>
                <w:rFonts w:ascii="Times New Roman"/>
                <w:sz w:val="21"/>
              </w:rPr>
              <w:t>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36,000,000</w:t>
            </w:r>
          </w:p>
          <w:p>
            <w:pPr>
              <w:pStyle w:val="TableParagraph"/>
              <w:spacing w:line="240" w:lineRule="auto" w:before="75"/>
              <w:ind w:right="99"/>
              <w:jc w:val="right"/>
              <w:rPr>
                <w:rFonts w:ascii="Times New Roman" w:hAnsi="Times New Roman" w:cs="Times New Roman" w:eastAsia="Times New Roman" w:hint="default"/>
                <w:sz w:val="21"/>
                <w:szCs w:val="21"/>
              </w:rPr>
            </w:pPr>
            <w:r>
              <w:rPr>
                <w:rFonts w:ascii="Times New Roman"/>
                <w:sz w:val="21"/>
              </w:rPr>
              <w:t>.00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47"/>
              <w:jc w:val="left"/>
              <w:rPr>
                <w:rFonts w:ascii="宋体" w:hAnsi="宋体" w:cs="宋体" w:eastAsia="宋体" w:hint="default"/>
                <w:sz w:val="21"/>
                <w:szCs w:val="21"/>
              </w:rPr>
            </w:pPr>
            <w:r>
              <w:rPr>
                <w:rFonts w:ascii="宋体" w:hAnsi="宋体" w:cs="宋体" w:eastAsia="宋体" w:hint="default"/>
                <w:sz w:val="21"/>
                <w:szCs w:val="21"/>
              </w:rPr>
              <w:t>亳州鑫龙电气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50,000,00</w:t>
            </w:r>
          </w:p>
          <w:p>
            <w:pPr>
              <w:pStyle w:val="TableParagraph"/>
              <w:spacing w:line="240" w:lineRule="auto" w:before="75"/>
              <w:ind w:left="614" w:right="0"/>
              <w:jc w:val="left"/>
              <w:rPr>
                <w:rFonts w:ascii="Times New Roman" w:hAnsi="Times New Roman" w:cs="Times New Roman" w:eastAsia="Times New Roman" w:hint="default"/>
                <w:sz w:val="21"/>
                <w:szCs w:val="21"/>
              </w:rPr>
            </w:pPr>
            <w:r>
              <w:rPr>
                <w:rFonts w:ascii="Times New Roman"/>
                <w:sz w:val="21"/>
              </w:rPr>
              <w:t>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50,000,000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47"/>
              <w:jc w:val="both"/>
              <w:rPr>
                <w:rFonts w:ascii="宋体" w:hAnsi="宋体" w:cs="宋体" w:eastAsia="宋体" w:hint="default"/>
                <w:sz w:val="21"/>
                <w:szCs w:val="21"/>
              </w:rPr>
            </w:pPr>
            <w:r>
              <w:rPr>
                <w:rFonts w:ascii="宋体" w:hAnsi="宋体" w:cs="宋体" w:eastAsia="宋体" w:hint="default"/>
                <w:sz w:val="21"/>
                <w:szCs w:val="21"/>
              </w:rPr>
              <w:t>天津市泰达工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程设计有限公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3" w:right="0"/>
              <w:jc w:val="left"/>
              <w:rPr>
                <w:rFonts w:ascii="Times New Roman" w:hAnsi="Times New Roman" w:cs="Times New Roman" w:eastAsia="Times New Roman" w:hint="default"/>
                <w:sz w:val="21"/>
                <w:szCs w:val="21"/>
              </w:rPr>
            </w:pPr>
            <w:r>
              <w:rPr>
                <w:rFonts w:ascii="Times New Roman"/>
                <w:sz w:val="21"/>
              </w:rPr>
              <w:t>112,860,0</w:t>
            </w:r>
          </w:p>
          <w:p>
            <w:pPr>
              <w:pStyle w:val="TableParagraph"/>
              <w:spacing w:line="240" w:lineRule="auto" w:before="75"/>
              <w:ind w:left="513" w:right="0"/>
              <w:jc w:val="left"/>
              <w:rPr>
                <w:rFonts w:ascii="Times New Roman" w:hAnsi="Times New Roman" w:cs="Times New Roman" w:eastAsia="Times New Roman" w:hint="default"/>
                <w:sz w:val="21"/>
                <w:szCs w:val="21"/>
              </w:rPr>
            </w:pPr>
            <w:r>
              <w:rPr>
                <w:rFonts w:ascii="Times New Roman"/>
                <w:sz w:val="21"/>
              </w:rPr>
              <w:t>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112,860,00</w:t>
            </w:r>
          </w:p>
          <w:p>
            <w:pPr>
              <w:pStyle w:val="TableParagraph"/>
              <w:spacing w:line="240" w:lineRule="auto" w:before="75"/>
              <w:ind w:left="734" w:right="0"/>
              <w:jc w:val="left"/>
              <w:rPr>
                <w:rFonts w:ascii="Times New Roman" w:hAnsi="Times New Roman" w:cs="Times New Roman" w:eastAsia="Times New Roman" w:hint="default"/>
                <w:sz w:val="21"/>
                <w:szCs w:val="21"/>
              </w:rPr>
            </w:pPr>
            <w:r>
              <w:rPr>
                <w:rFonts w:ascii="Times New Roman"/>
                <w:sz w:val="21"/>
              </w:rPr>
              <w:t>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47"/>
              <w:jc w:val="both"/>
              <w:rPr>
                <w:rFonts w:ascii="宋体" w:hAnsi="宋体" w:cs="宋体" w:eastAsia="宋体" w:hint="default"/>
                <w:sz w:val="21"/>
                <w:szCs w:val="21"/>
              </w:rPr>
            </w:pPr>
            <w:r>
              <w:rPr>
                <w:rFonts w:ascii="宋体" w:hAnsi="宋体" w:cs="宋体" w:eastAsia="宋体" w:hint="default"/>
                <w:sz w:val="21"/>
                <w:szCs w:val="21"/>
              </w:rPr>
              <w:t>安徽杰偌新材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料技术有限公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43" w:right="0"/>
              <w:jc w:val="left"/>
              <w:rPr>
                <w:rFonts w:ascii="Times New Roman" w:hAnsi="Times New Roman" w:cs="Times New Roman" w:eastAsia="Times New Roman" w:hint="default"/>
                <w:sz w:val="21"/>
                <w:szCs w:val="21"/>
              </w:rPr>
            </w:pPr>
            <w:r>
              <w:rPr>
                <w:rFonts w:ascii="Times New Roman"/>
                <w:sz w:val="21"/>
              </w:rPr>
              <w:t>9,000,000</w:t>
            </w:r>
          </w:p>
          <w:p>
            <w:pPr>
              <w:pStyle w:val="TableParagraph"/>
              <w:spacing w:line="240" w:lineRule="auto" w:before="75"/>
              <w:ind w:left="720" w:right="0"/>
              <w:jc w:val="left"/>
              <w:rPr>
                <w:rFonts w:ascii="Times New Roman" w:hAnsi="Times New Roman" w:cs="Times New Roman" w:eastAsia="Times New Roman" w:hint="default"/>
                <w:sz w:val="21"/>
                <w:szCs w:val="21"/>
              </w:rPr>
            </w:pPr>
            <w:r>
              <w:rPr>
                <w:rFonts w:ascii="Times New Roman"/>
                <w:sz w:val="21"/>
              </w:rPr>
              <w:t>.00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9,000,000.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47"/>
              <w:jc w:val="left"/>
              <w:rPr>
                <w:rFonts w:ascii="宋体" w:hAnsi="宋体" w:cs="宋体" w:eastAsia="宋体" w:hint="default"/>
                <w:sz w:val="21"/>
                <w:szCs w:val="21"/>
              </w:rPr>
            </w:pPr>
            <w:r>
              <w:rPr>
                <w:rFonts w:ascii="宋体" w:hAnsi="宋体" w:cs="宋体" w:eastAsia="宋体" w:hint="default"/>
                <w:sz w:val="21"/>
                <w:szCs w:val="21"/>
              </w:rPr>
              <w:t>苏州开关二厂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294,000,0</w:t>
            </w:r>
          </w:p>
          <w:p>
            <w:pPr>
              <w:pStyle w:val="TableParagraph"/>
              <w:spacing w:line="240" w:lineRule="auto" w:before="75"/>
              <w:ind w:left="513" w:right="0"/>
              <w:jc w:val="left"/>
              <w:rPr>
                <w:rFonts w:ascii="Times New Roman" w:hAnsi="Times New Roman" w:cs="Times New Roman" w:eastAsia="Times New Roman" w:hint="default"/>
                <w:sz w:val="21"/>
                <w:szCs w:val="21"/>
              </w:rPr>
            </w:pPr>
            <w:r>
              <w:rPr>
                <w:rFonts w:ascii="Times New Roman"/>
                <w:sz w:val="21"/>
              </w:rPr>
              <w:t>00.00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8" w:right="0"/>
              <w:jc w:val="left"/>
              <w:rPr>
                <w:rFonts w:ascii="Times New Roman" w:hAnsi="Times New Roman" w:cs="Times New Roman" w:eastAsia="Times New Roman" w:hint="default"/>
                <w:sz w:val="21"/>
                <w:szCs w:val="21"/>
              </w:rPr>
            </w:pPr>
            <w:r>
              <w:rPr>
                <w:rFonts w:ascii="Times New Roman"/>
                <w:sz w:val="21"/>
              </w:rPr>
              <w:t>294,000,00</w:t>
            </w:r>
          </w:p>
          <w:p>
            <w:pPr>
              <w:pStyle w:val="TableParagraph"/>
              <w:spacing w:line="240" w:lineRule="auto" w:before="75"/>
              <w:ind w:left="734" w:right="0"/>
              <w:jc w:val="left"/>
              <w:rPr>
                <w:rFonts w:ascii="Times New Roman" w:hAnsi="Times New Roman" w:cs="Times New Roman" w:eastAsia="Times New Roman" w:hint="default"/>
                <w:sz w:val="21"/>
                <w:szCs w:val="21"/>
              </w:rPr>
            </w:pPr>
            <w:r>
              <w:rPr>
                <w:rFonts w:ascii="Times New Roman"/>
                <w:sz w:val="21"/>
              </w:rPr>
              <w:t>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28"/>
              <w:ind w:left="105" w:right="147"/>
              <w:jc w:val="left"/>
              <w:rPr>
                <w:rFonts w:ascii="宋体" w:hAnsi="宋体" w:cs="宋体" w:eastAsia="宋体" w:hint="default"/>
                <w:sz w:val="21"/>
                <w:szCs w:val="21"/>
              </w:rPr>
            </w:pPr>
            <w:r>
              <w:rPr>
                <w:rFonts w:ascii="宋体" w:hAnsi="宋体" w:cs="宋体" w:eastAsia="宋体" w:hint="default"/>
                <w:sz w:val="21"/>
                <w:szCs w:val="21"/>
              </w:rPr>
              <w:t>北京中电兴发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科技有限公司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2,605,957</w:t>
            </w:r>
          </w:p>
          <w:p>
            <w:pPr>
              <w:pStyle w:val="TableParagraph"/>
              <w:spacing w:line="240" w:lineRule="auto" w:before="75"/>
              <w:ind w:left="355" w:right="0"/>
              <w:jc w:val="left"/>
              <w:rPr>
                <w:rFonts w:ascii="Times New Roman" w:hAnsi="Times New Roman" w:cs="Times New Roman" w:eastAsia="Times New Roman" w:hint="default"/>
                <w:sz w:val="21"/>
                <w:szCs w:val="21"/>
              </w:rPr>
            </w:pPr>
            <w:r>
              <w:rPr>
                <w:rFonts w:ascii="Times New Roman"/>
                <w:sz w:val="21"/>
              </w:rPr>
              <w:t>,702.73</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1" w:right="0"/>
              <w:jc w:val="left"/>
              <w:rPr>
                <w:rFonts w:ascii="Times New Roman" w:hAnsi="Times New Roman" w:cs="Times New Roman" w:eastAsia="Times New Roman" w:hint="default"/>
                <w:sz w:val="21"/>
                <w:szCs w:val="21"/>
              </w:rPr>
            </w:pPr>
            <w:r>
              <w:rPr>
                <w:rFonts w:ascii="Times New Roman"/>
                <w:sz w:val="21"/>
              </w:rPr>
              <w:t>2,605,957,</w:t>
            </w:r>
          </w:p>
          <w:p>
            <w:pPr>
              <w:pStyle w:val="TableParagraph"/>
              <w:spacing w:line="240" w:lineRule="auto" w:before="75"/>
              <w:ind w:left="528" w:right="0"/>
              <w:jc w:val="left"/>
              <w:rPr>
                <w:rFonts w:ascii="Times New Roman" w:hAnsi="Times New Roman" w:cs="Times New Roman" w:eastAsia="Times New Roman" w:hint="default"/>
                <w:sz w:val="21"/>
                <w:szCs w:val="21"/>
              </w:rPr>
            </w:pPr>
            <w:r>
              <w:rPr>
                <w:rFonts w:ascii="Times New Roman"/>
                <w:sz w:val="21"/>
              </w:rPr>
              <w:t>702.73</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47"/>
              <w:jc w:val="left"/>
              <w:rPr>
                <w:rFonts w:ascii="宋体" w:hAnsi="宋体" w:cs="宋体" w:eastAsia="宋体" w:hint="default"/>
                <w:sz w:val="21"/>
                <w:szCs w:val="21"/>
              </w:rPr>
            </w:pPr>
            <w:r>
              <w:rPr>
                <w:rFonts w:ascii="宋体" w:hAnsi="宋体" w:cs="宋体" w:eastAsia="宋体" w:hint="default"/>
                <w:sz w:val="21"/>
                <w:szCs w:val="21"/>
              </w:rPr>
              <w:t>安徽鑫龙售电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100,000.0</w:t>
            </w:r>
          </w:p>
          <w:p>
            <w:pPr>
              <w:pStyle w:val="TableParagraph"/>
              <w:spacing w:line="240" w:lineRule="auto" w:before="70"/>
              <w:ind w:right="98"/>
              <w:jc w:val="right"/>
              <w:rPr>
                <w:rFonts w:ascii="Times New Roman" w:hAnsi="Times New Roman" w:cs="Times New Roman" w:eastAsia="Times New Roman" w:hint="default"/>
                <w:sz w:val="21"/>
                <w:szCs w:val="21"/>
              </w:rPr>
            </w:pPr>
            <w:r>
              <w:rPr>
                <w:rFonts w:ascii="Times New Roman"/>
                <w:w w:val="100"/>
                <w:sz w:val="21"/>
              </w:rPr>
              <w:t>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9"/>
              <w:ind w:left="105" w:right="147"/>
              <w:jc w:val="left"/>
              <w:rPr>
                <w:rFonts w:ascii="宋体" w:hAnsi="宋体" w:cs="宋体" w:eastAsia="宋体" w:hint="default"/>
                <w:sz w:val="21"/>
                <w:szCs w:val="21"/>
              </w:rPr>
            </w:pPr>
            <w:r>
              <w:rPr>
                <w:rFonts w:ascii="宋体" w:hAnsi="宋体" w:cs="宋体" w:eastAsia="宋体" w:hint="default"/>
                <w:sz w:val="21"/>
                <w:szCs w:val="21"/>
              </w:rPr>
              <w:t>安徽鑫龙电器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股份有限公司</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43" w:right="0"/>
              <w:jc w:val="left"/>
              <w:rPr>
                <w:rFonts w:ascii="Times New Roman" w:hAnsi="Times New Roman" w:cs="Times New Roman" w:eastAsia="Times New Roman" w:hint="default"/>
                <w:sz w:val="21"/>
                <w:szCs w:val="21"/>
              </w:rPr>
            </w:pPr>
            <w:r>
              <w:rPr>
                <w:rFonts w:ascii="Times New Roman"/>
                <w:sz w:val="21"/>
              </w:rPr>
              <w:t>19,900,00</w:t>
            </w:r>
          </w:p>
          <w:p>
            <w:pPr>
              <w:pStyle w:val="TableParagraph"/>
              <w:spacing w:line="240" w:lineRule="auto" w:before="70"/>
              <w:ind w:left="614" w:right="0"/>
              <w:jc w:val="left"/>
              <w:rPr>
                <w:rFonts w:ascii="Times New Roman" w:hAnsi="Times New Roman" w:cs="Times New Roman" w:eastAsia="Times New Roman" w:hint="default"/>
                <w:sz w:val="21"/>
                <w:szCs w:val="21"/>
              </w:rPr>
            </w:pPr>
            <w:r>
              <w:rPr>
                <w:rFonts w:ascii="Times New Roman"/>
                <w:sz w:val="21"/>
              </w:rPr>
              <w:t>0.00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z w:val="21"/>
              </w:rPr>
              <w:t>19,900,000</w:t>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43" w:right="0"/>
              <w:jc w:val="left"/>
              <w:rPr>
                <w:rFonts w:ascii="Times New Roman" w:hAnsi="Times New Roman" w:cs="Times New Roman" w:eastAsia="Times New Roman" w:hint="default"/>
                <w:sz w:val="21"/>
                <w:szCs w:val="21"/>
              </w:rPr>
            </w:pPr>
            <w:r>
              <w:rPr>
                <w:rFonts w:ascii="Times New Roman"/>
                <w:sz w:val="21"/>
              </w:rPr>
              <w:t>3,617,127</w:t>
            </w:r>
          </w:p>
          <w:p>
            <w:pPr>
              <w:pStyle w:val="TableParagraph"/>
              <w:spacing w:line="240" w:lineRule="auto" w:before="75"/>
              <w:ind w:left="355" w:right="0"/>
              <w:jc w:val="left"/>
              <w:rPr>
                <w:rFonts w:ascii="Times New Roman" w:hAnsi="Times New Roman" w:cs="Times New Roman" w:eastAsia="Times New Roman" w:hint="default"/>
                <w:sz w:val="21"/>
                <w:szCs w:val="21"/>
              </w:rPr>
            </w:pPr>
            <w:r>
              <w:rPr>
                <w:rFonts w:ascii="Times New Roman"/>
                <w:sz w:val="21"/>
              </w:rPr>
              <w:t>,272.38</w:t>
            </w:r>
          </w:p>
        </w:tc>
        <w:tc>
          <w:tcPr>
            <w:tcW w:w="1157"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59,000,000</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sz w:val="21"/>
              </w:rPr>
              <w:t>.00</w:t>
            </w:r>
          </w:p>
        </w:tc>
        <w:tc>
          <w:tcPr>
            <w:tcW w:w="1157"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1" w:right="0"/>
              <w:jc w:val="left"/>
              <w:rPr>
                <w:rFonts w:ascii="Times New Roman" w:hAnsi="Times New Roman" w:cs="Times New Roman" w:eastAsia="Times New Roman" w:hint="default"/>
                <w:sz w:val="21"/>
                <w:szCs w:val="21"/>
              </w:rPr>
            </w:pPr>
            <w:r>
              <w:rPr>
                <w:rFonts w:ascii="Times New Roman"/>
                <w:sz w:val="21"/>
              </w:rPr>
              <w:t>3,558,127,</w:t>
            </w:r>
          </w:p>
          <w:p>
            <w:pPr>
              <w:pStyle w:val="TableParagraph"/>
              <w:spacing w:line="240" w:lineRule="auto" w:before="75"/>
              <w:ind w:left="528" w:right="0"/>
              <w:jc w:val="left"/>
              <w:rPr>
                <w:rFonts w:ascii="Times New Roman" w:hAnsi="Times New Roman" w:cs="Times New Roman" w:eastAsia="Times New Roman" w:hint="default"/>
                <w:sz w:val="21"/>
                <w:szCs w:val="21"/>
              </w:rPr>
            </w:pPr>
            <w:r>
              <w:rPr>
                <w:rFonts w:ascii="Times New Roman"/>
                <w:sz w:val="21"/>
              </w:rPr>
              <w:t>272.38</w:t>
            </w:r>
          </w:p>
        </w:tc>
        <w:tc>
          <w:tcPr>
            <w:tcW w:w="12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left="393" w:right="0"/>
        <w:jc w:val="left"/>
        <w:rPr>
          <w:b w:val="0"/>
          <w:bCs w:val="0"/>
        </w:rPr>
      </w:pPr>
      <w:bookmarkStart w:name="（2）对联营、合营企业投资" w:id="560"/>
      <w:bookmarkEnd w:id="560"/>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114" w:type="dxa"/>
        <w:tblLayout w:type="fixed"/>
        <w:tblCellMar>
          <w:top w:w="0" w:type="dxa"/>
          <w:left w:w="0" w:type="dxa"/>
          <w:bottom w:w="0" w:type="dxa"/>
          <w:right w:w="0" w:type="dxa"/>
        </w:tblCellMar>
        <w:tblLook w:val="01E0"/>
      </w:tblPr>
      <w:tblGrid>
        <w:gridCol w:w="1071"/>
        <w:gridCol w:w="797"/>
        <w:gridCol w:w="797"/>
        <w:gridCol w:w="797"/>
        <w:gridCol w:w="797"/>
        <w:gridCol w:w="802"/>
        <w:gridCol w:w="797"/>
        <w:gridCol w:w="797"/>
        <w:gridCol w:w="797"/>
        <w:gridCol w:w="802"/>
        <w:gridCol w:w="797"/>
        <w:gridCol w:w="797"/>
      </w:tblGrid>
      <w:tr>
        <w:trPr>
          <w:trHeight w:val="403" w:hRule="exact"/>
        </w:trPr>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2"/>
              <w:ind w:left="110" w:right="0"/>
              <w:jc w:val="left"/>
              <w:rPr>
                <w:rFonts w:ascii="宋体" w:hAnsi="宋体" w:cs="宋体" w:eastAsia="宋体" w:hint="default"/>
                <w:sz w:val="21"/>
                <w:szCs w:val="21"/>
              </w:rPr>
            </w:pPr>
            <w:r>
              <w:rPr>
                <w:rFonts w:ascii="宋体" w:hAnsi="宋体" w:cs="宋体" w:eastAsia="宋体" w:hint="default"/>
                <w:sz w:val="21"/>
                <w:szCs w:val="21"/>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71" w:lineRule="auto"/>
              <w:ind w:left="148" w:right="143" w:firstLine="38"/>
              <w:jc w:val="both"/>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账面</w:t>
            </w:r>
          </w:p>
          <w:p>
            <w:pPr>
              <w:pStyle w:val="TableParagraph"/>
              <w:spacing w:line="286" w:lineRule="exact"/>
              <w:ind w:left="148"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价值</w:t>
            </w:r>
            <w:r>
              <w:rPr>
                <w:rFonts w:ascii="Times New Roman" w:hAnsi="Times New Roman" w:cs="Times New Roman" w:eastAsia="Times New Roman" w:hint="default"/>
                <w:sz w:val="21"/>
                <w:szCs w:val="21"/>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71" w:lineRule="auto"/>
              <w:ind w:left="143" w:right="147" w:firstLine="38"/>
              <w:jc w:val="both"/>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pacing w:val="-103"/>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账面</w:t>
            </w:r>
          </w:p>
          <w:p>
            <w:pPr>
              <w:pStyle w:val="TableParagraph"/>
              <w:spacing w:line="286" w:lineRule="exact"/>
              <w:ind w:left="143" w:right="0"/>
              <w:jc w:val="both"/>
              <w:rPr>
                <w:rFonts w:ascii="Times New Roman" w:hAnsi="Times New Roman" w:cs="Times New Roman" w:eastAsia="Times New Roman" w:hint="default"/>
                <w:sz w:val="21"/>
                <w:szCs w:val="21"/>
              </w:rPr>
            </w:pPr>
            <w:r>
              <w:rPr>
                <w:rFonts w:ascii="宋体" w:hAnsi="宋体" w:cs="宋体" w:eastAsia="宋体" w:hint="default"/>
                <w:sz w:val="21"/>
                <w:szCs w:val="21"/>
              </w:rPr>
              <w:t>价值</w:t>
            </w:r>
            <w:r>
              <w:rPr>
                <w:rFonts w:ascii="Times New Roman" w:hAnsi="Times New Roman" w:cs="Times New Roman" w:eastAsia="Times New Roman" w:hint="default"/>
                <w:sz w:val="21"/>
                <w:szCs w:val="21"/>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187" w:right="175"/>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335" w:hRule="exact"/>
        </w:trPr>
        <w:tc>
          <w:tcPr>
            <w:tcW w:w="107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187" w:right="177"/>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6"/>
                <w:szCs w:val="26"/>
              </w:rPr>
            </w:pPr>
          </w:p>
          <w:p>
            <w:pPr>
              <w:pStyle w:val="TableParagraph"/>
              <w:spacing w:line="273" w:lineRule="auto"/>
              <w:ind w:left="187" w:right="175"/>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48"/>
              <w:ind w:left="187" w:right="175"/>
              <w:jc w:val="both"/>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87" w:right="180"/>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82" w:right="180"/>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before="48"/>
              <w:ind w:left="187" w:right="177"/>
              <w:jc w:val="both"/>
              <w:rPr>
                <w:rFonts w:ascii="宋体" w:hAnsi="宋体" w:cs="宋体" w:eastAsia="宋体" w:hint="default"/>
                <w:sz w:val="21"/>
                <w:szCs w:val="21"/>
              </w:rPr>
            </w:pPr>
            <w:r>
              <w:rPr>
                <w:rFonts w:ascii="宋体" w:hAnsi="宋体" w:cs="宋体" w:eastAsia="宋体" w:hint="default"/>
                <w:sz w:val="21"/>
                <w:szCs w:val="21"/>
              </w:rPr>
              <w:t>宣告</w:t>
            </w:r>
            <w:r>
              <w:rPr>
                <w:rFonts w:ascii="宋体" w:hAnsi="宋体" w:cs="宋体" w:eastAsia="宋体" w:hint="default"/>
                <w:spacing w:val="-103"/>
                <w:sz w:val="21"/>
                <w:szCs w:val="21"/>
              </w:rPr>
              <w:t> </w:t>
            </w: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87" w:right="176"/>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740" w:right="0"/>
        </w:sectPr>
      </w:pPr>
    </w:p>
    <w:p>
      <w:pPr>
        <w:spacing w:line="240" w:lineRule="auto" w:before="7"/>
        <w:rPr>
          <w:rFonts w:ascii="宋体" w:hAnsi="宋体" w:cs="宋体" w:eastAsia="宋体" w:hint="default"/>
          <w:sz w:val="25"/>
          <w:szCs w:val="25"/>
        </w:rPr>
      </w:pPr>
    </w:p>
    <w:tbl>
      <w:tblPr>
        <w:tblW w:w="0" w:type="auto"/>
        <w:jc w:val="left"/>
        <w:tblInd w:w="114" w:type="dxa"/>
        <w:tblLayout w:type="fixed"/>
        <w:tblCellMar>
          <w:top w:w="0" w:type="dxa"/>
          <w:left w:w="0" w:type="dxa"/>
          <w:bottom w:w="0" w:type="dxa"/>
          <w:right w:w="0" w:type="dxa"/>
        </w:tblCellMar>
        <w:tblLook w:val="01E0"/>
      </w:tblPr>
      <w:tblGrid>
        <w:gridCol w:w="1071"/>
        <w:gridCol w:w="797"/>
        <w:gridCol w:w="797"/>
        <w:gridCol w:w="797"/>
        <w:gridCol w:w="797"/>
        <w:gridCol w:w="802"/>
        <w:gridCol w:w="797"/>
        <w:gridCol w:w="797"/>
        <w:gridCol w:w="797"/>
        <w:gridCol w:w="802"/>
        <w:gridCol w:w="797"/>
        <w:gridCol w:w="797"/>
      </w:tblGrid>
      <w:tr>
        <w:trPr>
          <w:trHeight w:val="672" w:hRule="exact"/>
        </w:trPr>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 w:right="0"/>
              <w:jc w:val="center"/>
              <w:rPr>
                <w:rFonts w:ascii="宋体" w:hAnsi="宋体" w:cs="宋体" w:eastAsia="宋体" w:hint="default"/>
                <w:sz w:val="21"/>
                <w:szCs w:val="21"/>
              </w:rPr>
            </w:pPr>
            <w:r>
              <w:rPr>
                <w:rFonts w:ascii="宋体" w:hAnsi="宋体" w:cs="宋体" w:eastAsia="宋体" w:hint="default"/>
                <w:sz w:val="21"/>
                <w:szCs w:val="21"/>
              </w:rPr>
              <w:t>资损</w:t>
            </w:r>
          </w:p>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9" w:right="0"/>
              <w:jc w:val="center"/>
              <w:rPr>
                <w:rFonts w:ascii="宋体" w:hAnsi="宋体" w:cs="宋体" w:eastAsia="宋体" w:hint="default"/>
                <w:sz w:val="21"/>
                <w:szCs w:val="21"/>
              </w:rPr>
            </w:pPr>
            <w:r>
              <w:rPr>
                <w:rFonts w:ascii="宋体" w:hAnsi="宋体" w:cs="宋体" w:eastAsia="宋体" w:hint="default"/>
                <w:sz w:val="21"/>
                <w:szCs w:val="21"/>
              </w:rPr>
              <w:t>或利</w:t>
            </w:r>
          </w:p>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984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3" w:hRule="exact"/>
        </w:trPr>
        <w:tc>
          <w:tcPr>
            <w:tcW w:w="984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027"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08"/>
              <w:jc w:val="both"/>
              <w:rPr>
                <w:rFonts w:ascii="宋体" w:hAnsi="宋体" w:cs="宋体" w:eastAsia="宋体" w:hint="default"/>
                <w:sz w:val="21"/>
                <w:szCs w:val="21"/>
              </w:rPr>
            </w:pPr>
            <w:r>
              <w:rPr>
                <w:rFonts w:ascii="宋体" w:hAnsi="宋体" w:cs="宋体" w:eastAsia="宋体" w:hint="default"/>
                <w:sz w:val="21"/>
                <w:szCs w:val="21"/>
              </w:rPr>
              <w:t>惠国征信</w:t>
            </w:r>
            <w:r>
              <w:rPr>
                <w:rFonts w:ascii="宋体" w:hAnsi="宋体" w:cs="宋体" w:eastAsia="宋体" w:hint="default"/>
                <w:spacing w:val="-101"/>
                <w:sz w:val="21"/>
                <w:szCs w:val="21"/>
              </w:rPr>
              <w:t> </w:t>
            </w:r>
            <w:r>
              <w:rPr>
                <w:rFonts w:ascii="宋体" w:hAnsi="宋体" w:cs="宋体" w:eastAsia="宋体" w:hint="default"/>
                <w:sz w:val="21"/>
                <w:szCs w:val="21"/>
              </w:rPr>
              <w:t>服务股份</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3" w:right="0"/>
              <w:jc w:val="left"/>
              <w:rPr>
                <w:rFonts w:ascii="Times New Roman" w:hAnsi="Times New Roman" w:cs="Times New Roman" w:eastAsia="Times New Roman" w:hint="default"/>
                <w:sz w:val="21"/>
                <w:szCs w:val="21"/>
              </w:rPr>
            </w:pPr>
            <w:r>
              <w:rPr>
                <w:rFonts w:ascii="Times New Roman"/>
                <w:sz w:val="21"/>
              </w:rPr>
              <w:t>4,741,</w:t>
            </w:r>
          </w:p>
          <w:p>
            <w:pPr>
              <w:pStyle w:val="TableParagraph"/>
              <w:spacing w:line="240" w:lineRule="auto" w:before="75"/>
              <w:ind w:left="110" w:right="0"/>
              <w:jc w:val="left"/>
              <w:rPr>
                <w:rFonts w:ascii="Times New Roman" w:hAnsi="Times New Roman" w:cs="Times New Roman" w:eastAsia="Times New Roman" w:hint="default"/>
                <w:sz w:val="21"/>
                <w:szCs w:val="21"/>
              </w:rPr>
            </w:pPr>
            <w:r>
              <w:rPr>
                <w:rFonts w:ascii="Times New Roman"/>
                <w:sz w:val="21"/>
              </w:rPr>
              <w:t>132.07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1" w:right="0"/>
              <w:jc w:val="left"/>
              <w:rPr>
                <w:rFonts w:ascii="Times New Roman" w:hAnsi="Times New Roman" w:cs="Times New Roman" w:eastAsia="Times New Roman" w:hint="default"/>
                <w:sz w:val="21"/>
                <w:szCs w:val="21"/>
              </w:rPr>
            </w:pPr>
            <w:r>
              <w:rPr>
                <w:rFonts w:ascii="Times New Roman"/>
                <w:sz w:val="21"/>
              </w:rPr>
              <w:t>162,99</w:t>
            </w:r>
          </w:p>
          <w:p>
            <w:pPr>
              <w:pStyle w:val="TableParagraph"/>
              <w:spacing w:line="240" w:lineRule="auto" w:before="75"/>
              <w:ind w:left="317" w:right="0"/>
              <w:jc w:val="left"/>
              <w:rPr>
                <w:rFonts w:ascii="Times New Roman" w:hAnsi="Times New Roman" w:cs="Times New Roman" w:eastAsia="Times New Roman" w:hint="default"/>
                <w:sz w:val="21"/>
                <w:szCs w:val="21"/>
              </w:rPr>
            </w:pPr>
            <w:r>
              <w:rPr>
                <w:rFonts w:ascii="Times New Roman"/>
                <w:sz w:val="21"/>
              </w:rPr>
              <w:t>5.69</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4,904,</w:t>
            </w:r>
          </w:p>
          <w:p>
            <w:pPr>
              <w:pStyle w:val="TableParagraph"/>
              <w:spacing w:line="240" w:lineRule="auto" w:before="75"/>
              <w:ind w:left="105" w:right="0"/>
              <w:jc w:val="left"/>
              <w:rPr>
                <w:rFonts w:ascii="Times New Roman" w:hAnsi="Times New Roman" w:cs="Times New Roman" w:eastAsia="Times New Roman" w:hint="default"/>
                <w:sz w:val="21"/>
                <w:szCs w:val="21"/>
              </w:rPr>
            </w:pPr>
            <w:r>
              <w:rPr>
                <w:rFonts w:ascii="Times New Roman"/>
                <w:sz w:val="21"/>
              </w:rPr>
              <w:t>127.76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8"/>
              <w:ind w:left="105" w:right="108"/>
              <w:jc w:val="both"/>
              <w:rPr>
                <w:rFonts w:ascii="宋体" w:hAnsi="宋体" w:cs="宋体" w:eastAsia="宋体" w:hint="default"/>
                <w:sz w:val="21"/>
                <w:szCs w:val="21"/>
              </w:rPr>
            </w:pPr>
            <w:r>
              <w:rPr>
                <w:rFonts w:ascii="宋体" w:hAnsi="宋体" w:cs="宋体" w:eastAsia="宋体" w:hint="default"/>
                <w:sz w:val="21"/>
                <w:szCs w:val="21"/>
              </w:rPr>
              <w:t>芜湖中电</w:t>
            </w:r>
            <w:r>
              <w:rPr>
                <w:rFonts w:ascii="宋体" w:hAnsi="宋体" w:cs="宋体" w:eastAsia="宋体" w:hint="default"/>
                <w:spacing w:val="-101"/>
                <w:sz w:val="21"/>
                <w:szCs w:val="21"/>
              </w:rPr>
              <w:t> </w:t>
            </w:r>
            <w:r>
              <w:rPr>
                <w:rFonts w:ascii="宋体" w:hAnsi="宋体" w:cs="宋体" w:eastAsia="宋体" w:hint="default"/>
                <w:sz w:val="21"/>
                <w:szCs w:val="21"/>
              </w:rPr>
              <w:t>兆威电子</w:t>
            </w:r>
            <w:r>
              <w:rPr>
                <w:rFonts w:ascii="宋体" w:hAnsi="宋体" w:cs="宋体" w:eastAsia="宋体" w:hint="default"/>
                <w:spacing w:val="-101"/>
                <w:sz w:val="21"/>
                <w:szCs w:val="21"/>
              </w:rPr>
              <w:t> </w:t>
            </w:r>
            <w:r>
              <w:rPr>
                <w:rFonts w:ascii="宋体" w:hAnsi="宋体" w:cs="宋体" w:eastAsia="宋体" w:hint="default"/>
                <w:sz w:val="21"/>
                <w:szCs w:val="21"/>
              </w:rPr>
              <w:t>股份有限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63" w:right="0"/>
              <w:jc w:val="left"/>
              <w:rPr>
                <w:rFonts w:ascii="Times New Roman" w:hAnsi="Times New Roman" w:cs="Times New Roman" w:eastAsia="Times New Roman" w:hint="default"/>
                <w:sz w:val="21"/>
                <w:szCs w:val="21"/>
              </w:rPr>
            </w:pPr>
            <w:r>
              <w:rPr>
                <w:rFonts w:ascii="Times New Roman"/>
                <w:sz w:val="21"/>
              </w:rPr>
              <w:t>5,586,</w:t>
            </w:r>
          </w:p>
          <w:p>
            <w:pPr>
              <w:pStyle w:val="TableParagraph"/>
              <w:spacing w:line="240" w:lineRule="auto" w:before="70"/>
              <w:ind w:left="110" w:right="0"/>
              <w:jc w:val="left"/>
              <w:rPr>
                <w:rFonts w:ascii="Times New Roman" w:hAnsi="Times New Roman" w:cs="Times New Roman" w:eastAsia="Times New Roman" w:hint="default"/>
                <w:sz w:val="21"/>
                <w:szCs w:val="21"/>
              </w:rPr>
            </w:pPr>
            <w:r>
              <w:rPr>
                <w:rFonts w:ascii="Times New Roman"/>
                <w:sz w:val="21"/>
              </w:rPr>
              <w:t>593.55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11" w:right="0"/>
              <w:jc w:val="left"/>
              <w:rPr>
                <w:rFonts w:ascii="Times New Roman" w:hAnsi="Times New Roman" w:cs="Times New Roman" w:eastAsia="Times New Roman" w:hint="default"/>
                <w:sz w:val="21"/>
                <w:szCs w:val="21"/>
              </w:rPr>
            </w:pPr>
            <w:r>
              <w:rPr>
                <w:rFonts w:ascii="Times New Roman"/>
                <w:sz w:val="21"/>
              </w:rPr>
              <w:t>543,65</w:t>
            </w:r>
          </w:p>
          <w:p>
            <w:pPr>
              <w:pStyle w:val="TableParagraph"/>
              <w:spacing w:line="240" w:lineRule="auto" w:before="70"/>
              <w:ind w:left="317" w:right="0"/>
              <w:jc w:val="left"/>
              <w:rPr>
                <w:rFonts w:ascii="Times New Roman" w:hAnsi="Times New Roman" w:cs="Times New Roman" w:eastAsia="Times New Roman" w:hint="default"/>
                <w:sz w:val="21"/>
                <w:szCs w:val="21"/>
              </w:rPr>
            </w:pPr>
            <w:r>
              <w:rPr>
                <w:rFonts w:ascii="Times New Roman"/>
                <w:sz w:val="21"/>
              </w:rPr>
              <w:t>5.31</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58" w:right="0"/>
              <w:jc w:val="left"/>
              <w:rPr>
                <w:rFonts w:ascii="Times New Roman" w:hAnsi="Times New Roman" w:cs="Times New Roman" w:eastAsia="Times New Roman" w:hint="default"/>
                <w:sz w:val="21"/>
                <w:szCs w:val="21"/>
              </w:rPr>
            </w:pPr>
            <w:r>
              <w:rPr>
                <w:rFonts w:ascii="Times New Roman"/>
                <w:sz w:val="21"/>
              </w:rPr>
              <w:t>6,130,</w:t>
            </w:r>
          </w:p>
          <w:p>
            <w:pPr>
              <w:pStyle w:val="TableParagraph"/>
              <w:spacing w:line="240" w:lineRule="auto" w:before="70"/>
              <w:ind w:left="105" w:right="0"/>
              <w:jc w:val="left"/>
              <w:rPr>
                <w:rFonts w:ascii="Times New Roman" w:hAnsi="Times New Roman" w:cs="Times New Roman" w:eastAsia="Times New Roman" w:hint="default"/>
                <w:sz w:val="21"/>
                <w:szCs w:val="21"/>
              </w:rPr>
            </w:pPr>
            <w:r>
              <w:rPr>
                <w:rFonts w:ascii="Times New Roman"/>
                <w:sz w:val="21"/>
              </w:rPr>
              <w:t>248.86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10,327</w:t>
            </w:r>
          </w:p>
          <w:p>
            <w:pPr>
              <w:pStyle w:val="TableParagraph"/>
              <w:spacing w:line="240" w:lineRule="auto" w:before="70"/>
              <w:ind w:right="95"/>
              <w:jc w:val="right"/>
              <w:rPr>
                <w:rFonts w:ascii="Times New Roman" w:hAnsi="Times New Roman" w:cs="Times New Roman" w:eastAsia="Times New Roman" w:hint="default"/>
                <w:sz w:val="21"/>
                <w:szCs w:val="21"/>
              </w:rPr>
            </w:pPr>
            <w:r>
              <w:rPr>
                <w:rFonts w:ascii="Times New Roman"/>
                <w:sz w:val="21"/>
              </w:rPr>
              <w:t>,725.6</w:t>
            </w:r>
          </w:p>
          <w:p>
            <w:pPr>
              <w:pStyle w:val="TableParagraph"/>
              <w:spacing w:line="240" w:lineRule="auto" w:before="76"/>
              <w:ind w:right="98"/>
              <w:jc w:val="right"/>
              <w:rPr>
                <w:rFonts w:ascii="Times New Roman" w:hAnsi="Times New Roman" w:cs="Times New Roman" w:eastAsia="Times New Roman" w:hint="default"/>
                <w:sz w:val="21"/>
                <w:szCs w:val="21"/>
              </w:rPr>
            </w:pPr>
            <w:r>
              <w:rPr>
                <w:rFonts w:ascii="Times New Roman"/>
                <w:w w:val="100"/>
                <w:sz w:val="21"/>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21"/>
                <w:szCs w:val="21"/>
              </w:rPr>
            </w:pPr>
            <w:r>
              <w:rPr>
                <w:rFonts w:ascii="Times New Roman"/>
                <w:sz w:val="21"/>
              </w:rPr>
              <w:t>706,65</w:t>
            </w:r>
          </w:p>
          <w:p>
            <w:pPr>
              <w:pStyle w:val="TableParagraph"/>
              <w:spacing w:line="240" w:lineRule="auto" w:before="71"/>
              <w:ind w:left="317" w:right="0"/>
              <w:jc w:val="left"/>
              <w:rPr>
                <w:rFonts w:ascii="Times New Roman" w:hAnsi="Times New Roman" w:cs="Times New Roman" w:eastAsia="Times New Roman" w:hint="default"/>
                <w:sz w:val="21"/>
                <w:szCs w:val="21"/>
              </w:rPr>
            </w:pPr>
            <w:r>
              <w:rPr>
                <w:rFonts w:ascii="Times New Roman"/>
                <w:sz w:val="21"/>
              </w:rPr>
              <w:t>1.00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pacing w:val="-2"/>
                <w:sz w:val="21"/>
              </w:rPr>
              <w:t>11,034</w:t>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,376.6</w:t>
            </w:r>
          </w:p>
          <w:p>
            <w:pPr>
              <w:pStyle w:val="TableParagraph"/>
              <w:spacing w:line="240" w:lineRule="auto" w:before="76"/>
              <w:ind w:right="103"/>
              <w:jc w:val="right"/>
              <w:rPr>
                <w:rFonts w:ascii="Times New Roman" w:hAnsi="Times New Roman" w:cs="Times New Roman" w:eastAsia="Times New Roman" w:hint="default"/>
                <w:sz w:val="21"/>
                <w:szCs w:val="21"/>
              </w:rPr>
            </w:pPr>
            <w:r>
              <w:rPr>
                <w:rFonts w:ascii="Times New Roman"/>
                <w:w w:val="100"/>
                <w:sz w:val="21"/>
              </w:rPr>
              <w:t>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10,327</w:t>
            </w:r>
          </w:p>
          <w:p>
            <w:pPr>
              <w:pStyle w:val="TableParagraph"/>
              <w:spacing w:line="240" w:lineRule="auto" w:before="70"/>
              <w:ind w:right="95"/>
              <w:jc w:val="right"/>
              <w:rPr>
                <w:rFonts w:ascii="Times New Roman" w:hAnsi="Times New Roman" w:cs="Times New Roman" w:eastAsia="Times New Roman" w:hint="default"/>
                <w:sz w:val="21"/>
                <w:szCs w:val="21"/>
              </w:rPr>
            </w:pPr>
            <w:r>
              <w:rPr>
                <w:rFonts w:ascii="Times New Roman"/>
                <w:sz w:val="21"/>
              </w:rPr>
              <w:t>,725.6</w:t>
            </w:r>
          </w:p>
          <w:p>
            <w:pPr>
              <w:pStyle w:val="TableParagraph"/>
              <w:spacing w:line="240" w:lineRule="auto" w:before="75"/>
              <w:ind w:right="98"/>
              <w:jc w:val="right"/>
              <w:rPr>
                <w:rFonts w:ascii="Times New Roman" w:hAnsi="Times New Roman" w:cs="Times New Roman" w:eastAsia="Times New Roman" w:hint="default"/>
                <w:sz w:val="21"/>
                <w:szCs w:val="21"/>
              </w:rPr>
            </w:pPr>
            <w:r>
              <w:rPr>
                <w:rFonts w:ascii="Times New Roman"/>
                <w:w w:val="100"/>
                <w:sz w:val="21"/>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21"/>
                <w:szCs w:val="21"/>
              </w:rPr>
            </w:pPr>
            <w:r>
              <w:rPr>
                <w:rFonts w:ascii="Times New Roman"/>
                <w:sz w:val="21"/>
              </w:rPr>
              <w:t>706,65</w:t>
            </w:r>
          </w:p>
          <w:p>
            <w:pPr>
              <w:pStyle w:val="TableParagraph"/>
              <w:spacing w:line="240" w:lineRule="auto" w:before="70"/>
              <w:ind w:left="317" w:right="0"/>
              <w:jc w:val="left"/>
              <w:rPr>
                <w:rFonts w:ascii="Times New Roman" w:hAnsi="Times New Roman" w:cs="Times New Roman" w:eastAsia="Times New Roman" w:hint="default"/>
                <w:sz w:val="21"/>
                <w:szCs w:val="21"/>
              </w:rPr>
            </w:pPr>
            <w:r>
              <w:rPr>
                <w:rFonts w:ascii="Times New Roman"/>
                <w:sz w:val="21"/>
              </w:rPr>
              <w:t>1.00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3"/>
              <w:jc w:val="right"/>
              <w:rPr>
                <w:rFonts w:ascii="Times New Roman" w:hAnsi="Times New Roman" w:cs="Times New Roman" w:eastAsia="Times New Roman" w:hint="default"/>
                <w:sz w:val="21"/>
                <w:szCs w:val="21"/>
              </w:rPr>
            </w:pPr>
            <w:r>
              <w:rPr>
                <w:rFonts w:ascii="Times New Roman"/>
                <w:spacing w:val="-2"/>
                <w:sz w:val="21"/>
              </w:rPr>
              <w:t>11,034</w:t>
            </w:r>
          </w:p>
          <w:p>
            <w:pPr>
              <w:pStyle w:val="TableParagraph"/>
              <w:spacing w:line="240" w:lineRule="auto" w:before="70"/>
              <w:ind w:right="99"/>
              <w:jc w:val="right"/>
              <w:rPr>
                <w:rFonts w:ascii="Times New Roman" w:hAnsi="Times New Roman" w:cs="Times New Roman" w:eastAsia="Times New Roman" w:hint="default"/>
                <w:sz w:val="21"/>
                <w:szCs w:val="21"/>
              </w:rPr>
            </w:pPr>
            <w:r>
              <w:rPr>
                <w:rFonts w:ascii="Times New Roman"/>
                <w:sz w:val="21"/>
              </w:rPr>
              <w:t>,376.6</w:t>
            </w:r>
          </w:p>
          <w:p>
            <w:pPr>
              <w:pStyle w:val="TableParagraph"/>
              <w:spacing w:line="240" w:lineRule="auto" w:before="75"/>
              <w:ind w:right="103"/>
              <w:jc w:val="right"/>
              <w:rPr>
                <w:rFonts w:ascii="Times New Roman" w:hAnsi="Times New Roman" w:cs="Times New Roman" w:eastAsia="Times New Roman" w:hint="default"/>
                <w:sz w:val="21"/>
                <w:szCs w:val="21"/>
              </w:rPr>
            </w:pPr>
            <w:r>
              <w:rPr>
                <w:rFonts w:ascii="Times New Roman"/>
                <w:w w:val="100"/>
                <w:sz w:val="21"/>
              </w:rPr>
              <w:t>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left="393" w:right="0"/>
        <w:jc w:val="left"/>
        <w:rPr>
          <w:b w:val="0"/>
          <w:bCs w:val="0"/>
        </w:rPr>
      </w:pPr>
      <w:bookmarkStart w:name="（3）其他说明" w:id="561"/>
      <w:bookmarkEnd w:id="561"/>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4"/>
          <w:szCs w:val="24"/>
        </w:rPr>
      </w:pPr>
    </w:p>
    <w:p>
      <w:pPr>
        <w:pStyle w:val="Heading5"/>
        <w:spacing w:line="240" w:lineRule="auto"/>
        <w:ind w:left="393" w:right="0"/>
        <w:jc w:val="left"/>
        <w:rPr>
          <w:b w:val="0"/>
          <w:bCs w:val="0"/>
        </w:rPr>
      </w:pPr>
      <w:bookmarkStart w:name="4、营业收入和营业成本" w:id="562"/>
      <w:bookmarkEnd w:id="56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left="0" w:right="1122"/>
        <w:jc w:val="right"/>
      </w:pPr>
      <w:r>
        <w:rPr/>
        <w:t>单位：</w:t>
      </w:r>
      <w:r>
        <w:rPr>
          <w:spacing w:val="4"/>
        </w:rPr>
        <w:t> </w:t>
      </w:r>
      <w:r>
        <w:rPr/>
        <w:t>元</w:t>
      </w:r>
    </w:p>
    <w:p>
      <w:pPr>
        <w:spacing w:line="240" w:lineRule="auto" w:before="7"/>
        <w:rPr>
          <w:rFonts w:ascii="宋体" w:hAnsi="宋体" w:cs="宋体" w:eastAsia="宋体" w:hint="default"/>
          <w:sz w:val="6"/>
          <w:szCs w:val="6"/>
        </w:rPr>
      </w:pPr>
    </w:p>
    <w:tbl>
      <w:tblPr>
        <w:tblW w:w="0" w:type="auto"/>
        <w:jc w:val="left"/>
        <w:tblInd w:w="38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4"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3"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663,576,077.07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548,172,213.13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543,797,969.50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pacing w:val="-1"/>
                <w:sz w:val="21"/>
              </w:rPr>
              <w:t>464,227,327.74</w:t>
            </w:r>
          </w:p>
        </w:tc>
      </w:tr>
      <w:tr>
        <w:trPr>
          <w:trHeight w:val="398"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16,998,856.90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9,904,520.57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14,182,047.10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8,627,172.53</w:t>
            </w:r>
          </w:p>
        </w:tc>
      </w:tr>
      <w:tr>
        <w:trPr>
          <w:trHeight w:val="404"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680,574,933.97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558,076,733.70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557,980,016.60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4"/>
              <w:jc w:val="right"/>
              <w:rPr>
                <w:rFonts w:ascii="Times New Roman" w:hAnsi="Times New Roman" w:cs="Times New Roman" w:eastAsia="Times New Roman" w:hint="default"/>
                <w:sz w:val="21"/>
                <w:szCs w:val="21"/>
              </w:rPr>
            </w:pPr>
            <w:r>
              <w:rPr>
                <w:rFonts w:ascii="Times New Roman"/>
                <w:spacing w:val="-1"/>
                <w:sz w:val="21"/>
              </w:rPr>
              <w:t>472,854,500.27</w:t>
            </w:r>
          </w:p>
        </w:tc>
      </w:tr>
    </w:tbl>
    <w:p>
      <w:pPr>
        <w:pStyle w:val="BodyText"/>
        <w:spacing w:line="240" w:lineRule="auto" w:before="28"/>
        <w:ind w:left="393" w:right="0"/>
        <w:jc w:val="left"/>
      </w:pPr>
      <w:r>
        <w:rPr/>
        <w:t>是否已执行新收入准则</w:t>
      </w:r>
    </w:p>
    <w:p>
      <w:pPr>
        <w:pStyle w:val="BodyText"/>
        <w:spacing w:line="307" w:lineRule="auto" w:before="80"/>
        <w:ind w:left="393" w:right="9591"/>
        <w:jc w:val="left"/>
      </w:pPr>
      <w:r>
        <w:rPr/>
        <w:t>□ 是 √</w:t>
      </w:r>
      <w:r>
        <w:rPr>
          <w:spacing w:val="5"/>
        </w:rPr>
        <w:t> </w:t>
      </w:r>
      <w:r>
        <w:rPr/>
        <w:t>否</w:t>
      </w:r>
      <w:r>
        <w:rPr>
          <w:w w:val="100"/>
        </w:rPr>
        <w:t> </w:t>
      </w:r>
      <w:r>
        <w:rPr/>
        <w:t>其他说明：</w:t>
      </w:r>
    </w:p>
    <w:p>
      <w:pPr>
        <w:spacing w:line="240" w:lineRule="auto" w:before="2"/>
        <w:rPr>
          <w:rFonts w:ascii="宋体" w:hAnsi="宋体" w:cs="宋体" w:eastAsia="宋体" w:hint="default"/>
          <w:sz w:val="21"/>
          <w:szCs w:val="21"/>
        </w:rPr>
      </w:pPr>
    </w:p>
    <w:p>
      <w:pPr>
        <w:pStyle w:val="Heading5"/>
        <w:spacing w:line="240" w:lineRule="auto"/>
        <w:ind w:left="393" w:right="0"/>
        <w:jc w:val="left"/>
        <w:rPr>
          <w:b w:val="0"/>
          <w:bCs w:val="0"/>
        </w:rPr>
      </w:pPr>
      <w:bookmarkStart w:name="5、投资收益" w:id="563"/>
      <w:bookmarkEnd w:id="56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3"/>
        <w:rPr>
          <w:rFonts w:ascii="宋体" w:hAnsi="宋体" w:cs="宋体" w:eastAsia="宋体" w:hint="default"/>
          <w:b/>
          <w:bCs/>
          <w:sz w:val="21"/>
          <w:szCs w:val="21"/>
        </w:rPr>
      </w:pPr>
    </w:p>
    <w:p>
      <w:pPr>
        <w:pStyle w:val="BodyText"/>
        <w:spacing w:line="240" w:lineRule="auto"/>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388" w:type="dxa"/>
        <w:tblLayout w:type="fixed"/>
        <w:tblCellMar>
          <w:top w:w="0" w:type="dxa"/>
          <w:left w:w="0" w:type="dxa"/>
          <w:bottom w:w="0" w:type="dxa"/>
          <w:right w:w="0" w:type="dxa"/>
        </w:tblCellMar>
        <w:tblLook w:val="01E0"/>
      </w:tblPr>
      <w:tblGrid>
        <w:gridCol w:w="3630"/>
        <w:gridCol w:w="3106"/>
        <w:gridCol w:w="2838"/>
      </w:tblGrid>
      <w:tr>
        <w:trPr>
          <w:trHeight w:val="403"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8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99"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60,730,004.68</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90,168,279.31</w:t>
            </w:r>
          </w:p>
        </w:tc>
      </w:tr>
      <w:tr>
        <w:trPr>
          <w:trHeight w:val="403"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706,651.00</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8"/>
              <w:jc w:val="right"/>
              <w:rPr>
                <w:rFonts w:ascii="Times New Roman" w:hAnsi="Times New Roman" w:cs="Times New Roman" w:eastAsia="Times New Roman" w:hint="default"/>
                <w:sz w:val="21"/>
                <w:szCs w:val="21"/>
              </w:rPr>
            </w:pPr>
            <w:r>
              <w:rPr>
                <w:rFonts w:ascii="Times New Roman"/>
                <w:sz w:val="21"/>
              </w:rPr>
              <w:t>1,485,333.98</w:t>
            </w:r>
          </w:p>
        </w:tc>
      </w:tr>
      <w:tr>
        <w:trPr>
          <w:trHeight w:val="403"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-2,891,939.86</w:t>
            </w:r>
          </w:p>
        </w:tc>
        <w:tc>
          <w:tcPr>
            <w:tcW w:w="283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74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630"/>
        <w:gridCol w:w="3106"/>
        <w:gridCol w:w="2838"/>
      </w:tblGrid>
      <w:tr>
        <w:trPr>
          <w:trHeight w:val="715"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48"/>
              <w:jc w:val="left"/>
              <w:rPr>
                <w:rFonts w:ascii="宋体" w:hAnsi="宋体" w:cs="宋体" w:eastAsia="宋体" w:hint="default"/>
                <w:sz w:val="21"/>
                <w:szCs w:val="21"/>
              </w:rPr>
            </w:pPr>
            <w:r>
              <w:rPr>
                <w:rFonts w:ascii="宋体" w:hAnsi="宋体" w:cs="宋体" w:eastAsia="宋体" w:hint="default"/>
                <w:spacing w:val="-1"/>
                <w:sz w:val="21"/>
                <w:szCs w:val="21"/>
              </w:rPr>
              <w:t>可供出售金融资产在持有期间的投资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收益</w:t>
            </w:r>
          </w:p>
        </w:tc>
        <w:tc>
          <w:tcPr>
            <w:tcW w:w="3106"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146,000.00</w:t>
            </w:r>
          </w:p>
        </w:tc>
      </w:tr>
      <w:tr>
        <w:trPr>
          <w:trHeight w:val="399"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其他非流动资产持有期间的投资收益</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pacing w:val="-1"/>
                <w:sz w:val="21"/>
              </w:rPr>
              <w:t>116,800.00</w:t>
            </w:r>
          </w:p>
        </w:tc>
        <w:tc>
          <w:tcPr>
            <w:tcW w:w="283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其他投资收益</w:t>
            </w:r>
          </w:p>
        </w:tc>
        <w:tc>
          <w:tcPr>
            <w:tcW w:w="3106" w:type="dxa"/>
            <w:tcBorders>
              <w:top w:val="single" w:sz="4" w:space="0" w:color="000000"/>
              <w:left w:val="single" w:sz="4" w:space="0" w:color="000000"/>
              <w:bottom w:val="single" w:sz="4" w:space="0" w:color="000000"/>
              <w:right w:val="single" w:sz="4" w:space="0" w:color="000000"/>
            </w:tcBorders>
          </w:tcPr>
          <w:p>
            <w:pP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z w:val="21"/>
              </w:rPr>
              <w:t>2,136,534.67</w:t>
            </w:r>
          </w:p>
        </w:tc>
      </w:tr>
      <w:tr>
        <w:trPr>
          <w:trHeight w:val="403" w:hRule="exact"/>
        </w:trPr>
        <w:tc>
          <w:tcPr>
            <w:tcW w:w="3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58,661,515.82</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21"/>
                <w:szCs w:val="21"/>
              </w:rPr>
            </w:pPr>
            <w:r>
              <w:rPr>
                <w:rFonts w:ascii="Times New Roman"/>
                <w:sz w:val="21"/>
              </w:rPr>
              <w:t>93,936,147.96</w:t>
            </w:r>
          </w:p>
        </w:tc>
      </w:tr>
    </w:tbl>
    <w:p>
      <w:pPr>
        <w:spacing w:line="240" w:lineRule="auto" w:before="3"/>
        <w:rPr>
          <w:rFonts w:ascii="宋体" w:hAnsi="宋体" w:cs="宋体" w:eastAsia="宋体" w:hint="default"/>
          <w:sz w:val="19"/>
          <w:szCs w:val="19"/>
        </w:rPr>
      </w:pPr>
    </w:p>
    <w:p>
      <w:pPr>
        <w:pStyle w:val="Heading5"/>
        <w:spacing w:line="504" w:lineRule="auto" w:before="36"/>
        <w:ind w:right="9275"/>
        <w:jc w:val="left"/>
        <w:rPr>
          <w:b w:val="0"/>
          <w:bCs w:val="0"/>
        </w:rPr>
      </w:pPr>
      <w:bookmarkStart w:name="6、其他" w:id="564"/>
      <w:bookmarkEnd w:id="564"/>
      <w:r>
        <w:rPr>
          <w:b w:val="0"/>
          <w:bCs w:val="0"/>
        </w:rPr>
      </w:r>
      <w:r>
        <w:rPr>
          <w:rFonts w:ascii="Times New Roman" w:hAnsi="Times New Roman" w:cs="Times New Roman" w:eastAsia="Times New Roman" w:hint="default"/>
        </w:rPr>
        <w:t>6</w:t>
      </w:r>
      <w:r>
        <w:rPr/>
        <w:t>、其他</w:t>
      </w:r>
      <w:r>
        <w:rPr>
          <w:w w:val="100"/>
        </w:rPr>
        <w:t> </w:t>
      </w:r>
      <w:bookmarkStart w:name="十八、补充资料" w:id="565"/>
      <w:bookmarkEnd w:id="565"/>
      <w:r>
        <w:rPr/>
        <w:t>十八、补充资料</w:t>
      </w:r>
      <w:r>
        <w:rPr>
          <w:b w:val="0"/>
          <w:bCs w:val="0"/>
        </w:rPr>
      </w:r>
    </w:p>
    <w:p>
      <w:pPr>
        <w:pStyle w:val="Heading5"/>
        <w:spacing w:line="240" w:lineRule="auto" w:before="108"/>
        <w:ind w:right="1002"/>
        <w:jc w:val="left"/>
        <w:rPr>
          <w:b w:val="0"/>
          <w:bCs w:val="0"/>
        </w:rPr>
      </w:pPr>
      <w:bookmarkStart w:name="1、当期非经常性损益明细表" w:id="566"/>
      <w:bookmarkEnd w:id="566"/>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2"/>
          <w:szCs w:val="22"/>
        </w:rPr>
      </w:pPr>
    </w:p>
    <w:p>
      <w:pPr>
        <w:pStyle w:val="BodyText"/>
        <w:spacing w:line="240" w:lineRule="auto"/>
        <w:ind w:right="1002"/>
        <w:jc w:val="left"/>
      </w:pPr>
      <w:r>
        <w:rPr/>
        <w:t>√ 适用 □</w:t>
      </w:r>
      <w:r>
        <w:rPr>
          <w:spacing w:val="4"/>
        </w:rPr>
        <w:t> </w:t>
      </w:r>
      <w:r>
        <w:rPr/>
        <w:t>不适用</w:t>
      </w:r>
    </w:p>
    <w:p>
      <w:pPr>
        <w:pStyle w:val="BodyText"/>
        <w:spacing w:line="240" w:lineRule="auto" w:before="76"/>
        <w:ind w:left="0" w:right="1122"/>
        <w:jc w:val="right"/>
      </w:pPr>
      <w:r>
        <w:rPr/>
        <w:t>单位：</w:t>
      </w:r>
      <w:r>
        <w:rPr>
          <w:spacing w:val="4"/>
        </w:rPr>
        <w:t> </w:t>
      </w:r>
      <w:r>
        <w:rPr/>
        <w:t>元</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4576"/>
        <w:gridCol w:w="2472"/>
        <w:gridCol w:w="2526"/>
      </w:tblGrid>
      <w:tr>
        <w:trPr>
          <w:trHeight w:val="394" w:hRule="exact"/>
        </w:trPr>
        <w:tc>
          <w:tcPr>
            <w:tcW w:w="4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4"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408" w:hRule="exact"/>
        </w:trPr>
        <w:tc>
          <w:tcPr>
            <w:tcW w:w="4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sz w:val="21"/>
              </w:rPr>
              <w:t>1,612,321.13</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4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01"/>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关，按照国家统一标准定额或定量享受的政府补</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助除外）</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15,335,524.85</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1,606,227.97</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1959" w:hRule="exact"/>
        </w:trPr>
        <w:tc>
          <w:tcPr>
            <w:tcW w:w="4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8"/>
              <w:ind w:left="105" w:right="100"/>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务外，持有交易性金融资产、衍生金融资产、交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4"/>
                <w:sz w:val="21"/>
                <w:szCs w:val="21"/>
              </w:rPr>
              <w:t>易性金融负债、衍生金融负债产生的公允价值变</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动损益，以及处置交易性金融资产、衍生金融资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4"/>
                <w:sz w:val="21"/>
                <w:szCs w:val="21"/>
              </w:rPr>
              <w:t>产、交易性金融负债、衍生金融负债和其他债权</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投资取得的投资收益</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545,498.43</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4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auto" w:before="28"/>
              <w:ind w:left="105" w:right="101"/>
              <w:jc w:val="left"/>
              <w:rPr>
                <w:rFonts w:ascii="宋体" w:hAnsi="宋体" w:cs="宋体" w:eastAsia="宋体" w:hint="default"/>
                <w:sz w:val="21"/>
                <w:szCs w:val="21"/>
              </w:rPr>
            </w:pPr>
            <w:r>
              <w:rPr>
                <w:rFonts w:ascii="宋体" w:hAnsi="宋体" w:cs="宋体" w:eastAsia="宋体" w:hint="default"/>
                <w:spacing w:val="-4"/>
                <w:sz w:val="21"/>
                <w:szCs w:val="21"/>
              </w:rPr>
              <w:t>单独进行减值测试的应收款项、合同资产减值准</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备转回</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3,742,512.03</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590,773.79</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3,555,425.01</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28"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1,063,420.80</w:t>
            </w:r>
          </w:p>
        </w:tc>
        <w:tc>
          <w:tcPr>
            <w:tcW w:w="25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18,814,012.39</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8"/>
        <w:ind w:right="1002"/>
        <w:jc w:val="left"/>
      </w:pPr>
      <w:r>
        <w:rPr>
          <w:spacing w:val="-2"/>
        </w:rPr>
        <w:t>对公司根据《公开发行证券的公司信息披露解释性公告第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spacing w:val="-2"/>
        </w:rPr>
        <w:t>号——非经常性损益》定义界定的非经常性损</w:t>
      </w:r>
    </w:p>
    <w:p>
      <w:pPr>
        <w:pStyle w:val="BodyText"/>
        <w:spacing w:line="261" w:lineRule="auto" w:before="16"/>
        <w:ind w:right="1109"/>
        <w:jc w:val="left"/>
      </w:pPr>
      <w:r>
        <w:rPr/>
        <w:t>益项目，以及把《公开发行证券的公司信息披露解释性公告第</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号——非经常性损益》中列举的非经常性</w:t>
      </w:r>
      <w:r>
        <w:rPr>
          <w:w w:val="100"/>
        </w:rPr>
        <w:t> </w:t>
      </w:r>
      <w:r>
        <w:rPr/>
        <w:t>损益项目界定为经常性损益的项目，应说明原因。</w:t>
      </w:r>
    </w:p>
    <w:p>
      <w:pPr>
        <w:pStyle w:val="BodyText"/>
        <w:spacing w:line="240" w:lineRule="auto" w:before="61"/>
        <w:ind w:right="1002"/>
        <w:jc w:val="left"/>
      </w:pPr>
      <w:r>
        <w:rPr/>
        <w:t>□ 适用 √</w:t>
      </w:r>
      <w:r>
        <w:rPr>
          <w:spacing w:val="4"/>
        </w:rPr>
        <w:t> </w:t>
      </w:r>
      <w:r>
        <w:rPr/>
        <w:t>不适用</w:t>
      </w:r>
    </w:p>
    <w:p>
      <w:pPr>
        <w:spacing w:line="240" w:lineRule="auto" w:before="3"/>
        <w:rPr>
          <w:rFonts w:ascii="宋体" w:hAnsi="宋体" w:cs="宋体" w:eastAsia="宋体" w:hint="default"/>
          <w:sz w:val="25"/>
          <w:szCs w:val="25"/>
        </w:rPr>
      </w:pPr>
    </w:p>
    <w:p>
      <w:pPr>
        <w:pStyle w:val="Heading5"/>
        <w:spacing w:line="240" w:lineRule="auto"/>
        <w:ind w:right="1002"/>
        <w:jc w:val="left"/>
        <w:rPr>
          <w:b w:val="0"/>
          <w:bCs w:val="0"/>
        </w:rPr>
      </w:pPr>
      <w:bookmarkStart w:name="2、净资产收益率及每股收益" w:id="567"/>
      <w:bookmarkEnd w:id="567"/>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207"/>
        <w:gridCol w:w="2535"/>
        <w:gridCol w:w="3827"/>
      </w:tblGrid>
      <w:tr>
        <w:trPr>
          <w:trHeight w:val="403"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宋体" w:hAnsi="宋体" w:cs="宋体" w:eastAsia="宋体" w:hint="default"/>
                <w:sz w:val="21"/>
                <w:szCs w:val="21"/>
              </w:rPr>
            </w:pPr>
            <w:r>
              <w:rPr>
                <w:rFonts w:ascii="宋体" w:hAnsi="宋体" w:cs="宋体" w:eastAsia="宋体" w:hint="default"/>
                <w:sz w:val="21"/>
                <w:szCs w:val="21"/>
              </w:rPr>
              <w:t>报告期利润</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6"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5" w:right="0"/>
              <w:jc w:val="center"/>
              <w:rPr>
                <w:rFonts w:ascii="宋体" w:hAnsi="宋体" w:cs="宋体" w:eastAsia="宋体" w:hint="default"/>
                <w:sz w:val="21"/>
                <w:szCs w:val="21"/>
              </w:rPr>
            </w:pPr>
            <w:r>
              <w:rPr>
                <w:rFonts w:ascii="宋体" w:hAnsi="宋体" w:cs="宋体" w:eastAsia="宋体" w:hint="default"/>
                <w:sz w:val="21"/>
                <w:szCs w:val="21"/>
              </w:rPr>
              <w:t>每股收益</w:t>
            </w:r>
          </w:p>
        </w:tc>
      </w:tr>
    </w:tbl>
    <w:p>
      <w:pPr>
        <w:spacing w:after="0" w:line="240" w:lineRule="auto"/>
        <w:jc w:val="center"/>
        <w:rPr>
          <w:rFonts w:ascii="宋体" w:hAnsi="宋体" w:cs="宋体" w:eastAsia="宋体" w:hint="default"/>
          <w:sz w:val="21"/>
          <w:szCs w:val="21"/>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207"/>
        <w:gridCol w:w="2535"/>
        <w:gridCol w:w="1916"/>
        <w:gridCol w:w="1911"/>
      </w:tblGrid>
      <w:tr>
        <w:trPr>
          <w:trHeight w:val="715"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744" w:right="97" w:hanging="639"/>
              <w:jc w:val="left"/>
              <w:rPr>
                <w:rFonts w:ascii="宋体" w:hAnsi="宋体" w:cs="宋体" w:eastAsia="宋体" w:hint="default"/>
                <w:sz w:val="21"/>
                <w:szCs w:val="21"/>
              </w:rPr>
            </w:pPr>
            <w:r>
              <w:rPr>
                <w:rFonts w:ascii="宋体" w:hAnsi="宋体" w:cs="宋体" w:eastAsia="宋体" w:hint="default"/>
                <w:spacing w:val="-6"/>
                <w:sz w:val="21"/>
                <w:szCs w:val="21"/>
              </w:rPr>
              <w:t>基本每股收益（元</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股）</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before="28"/>
              <w:ind w:left="744" w:right="92" w:hanging="639"/>
              <w:jc w:val="left"/>
              <w:rPr>
                <w:rFonts w:ascii="宋体" w:hAnsi="宋体" w:cs="宋体" w:eastAsia="宋体" w:hint="default"/>
                <w:sz w:val="21"/>
                <w:szCs w:val="21"/>
              </w:rPr>
            </w:pPr>
            <w:r>
              <w:rPr>
                <w:rFonts w:ascii="宋体" w:hAnsi="宋体" w:cs="宋体" w:eastAsia="宋体" w:hint="default"/>
                <w:spacing w:val="-6"/>
                <w:sz w:val="21"/>
                <w:szCs w:val="21"/>
              </w:rPr>
              <w:t>稀释每股收益（元</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38"/>
                <w:sz w:val="21"/>
                <w:szCs w:val="21"/>
              </w:rPr>
              <w:t> </w:t>
            </w:r>
            <w:r>
              <w:rPr>
                <w:rFonts w:ascii="宋体" w:hAnsi="宋体" w:cs="宋体" w:eastAsia="宋体" w:hint="default"/>
                <w:sz w:val="21"/>
                <w:szCs w:val="21"/>
              </w:rPr>
              <w:t>股）</w:t>
            </w:r>
          </w:p>
        </w:tc>
      </w:tr>
      <w:tr>
        <w:trPr>
          <w:trHeight w:val="399"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21"/>
                <w:szCs w:val="21"/>
              </w:rPr>
            </w:pPr>
            <w:r>
              <w:rPr>
                <w:rFonts w:ascii="Times New Roman"/>
                <w:sz w:val="21"/>
              </w:rPr>
              <w:t>6.70%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4"/>
              <w:jc w:val="right"/>
              <w:rPr>
                <w:rFonts w:ascii="Times New Roman" w:hAnsi="Times New Roman" w:cs="Times New Roman" w:eastAsia="Times New Roman" w:hint="default"/>
                <w:sz w:val="21"/>
                <w:szCs w:val="21"/>
              </w:rPr>
            </w:pPr>
            <w:r>
              <w:rPr>
                <w:rFonts w:ascii="Times New Roman"/>
                <w:sz w:val="21"/>
              </w:rPr>
              <w:t>0.4258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89"/>
              <w:jc w:val="right"/>
              <w:rPr>
                <w:rFonts w:ascii="Times New Roman" w:hAnsi="Times New Roman" w:cs="Times New Roman" w:eastAsia="Times New Roman" w:hint="default"/>
                <w:sz w:val="21"/>
                <w:szCs w:val="21"/>
              </w:rPr>
            </w:pPr>
            <w:r>
              <w:rPr>
                <w:rFonts w:ascii="Times New Roman"/>
                <w:sz w:val="21"/>
              </w:rPr>
              <w:t>0.4258</w:t>
            </w:r>
          </w:p>
        </w:tc>
      </w:tr>
      <w:tr>
        <w:trPr>
          <w:trHeight w:val="715"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33"/>
              <w:ind w:left="105" w:right="147"/>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普通股股东的净利润</w:t>
            </w:r>
          </w:p>
        </w:tc>
        <w:tc>
          <w:tcPr>
            <w:tcW w:w="2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6.26%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0.3976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z w:val="21"/>
              </w:rPr>
              <w:t>0.3976</w:t>
            </w:r>
          </w:p>
        </w:tc>
      </w:tr>
    </w:tbl>
    <w:p>
      <w:pPr>
        <w:spacing w:line="240" w:lineRule="auto" w:before="3"/>
        <w:rPr>
          <w:rFonts w:ascii="宋体" w:hAnsi="宋体" w:cs="宋体" w:eastAsia="宋体" w:hint="default"/>
          <w:b/>
          <w:bCs/>
          <w:sz w:val="19"/>
          <w:szCs w:val="19"/>
        </w:rPr>
      </w:pPr>
    </w:p>
    <w:p>
      <w:pPr>
        <w:pStyle w:val="Heading5"/>
        <w:spacing w:line="240" w:lineRule="auto" w:before="36"/>
        <w:ind w:right="1002"/>
        <w:jc w:val="left"/>
        <w:rPr>
          <w:b w:val="0"/>
          <w:bCs w:val="0"/>
        </w:rPr>
      </w:pPr>
      <w:bookmarkStart w:name="3、境内外会计准则下会计数据差异" w:id="568"/>
      <w:bookmarkEnd w:id="568"/>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02"/>
        <w:jc w:val="left"/>
        <w:rPr>
          <w:b w:val="0"/>
          <w:bCs w:val="0"/>
        </w:rPr>
      </w:pPr>
      <w:bookmarkStart w:name="（1）同时按照国际会计准则与按中国会计准则披露的财务报告中净利润和净资产差异情况" w:id="569"/>
      <w:bookmarkEnd w:id="569"/>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1002"/>
        <w:jc w:val="left"/>
      </w:pPr>
      <w:r>
        <w:rPr/>
        <w:t>□ 适用 √</w:t>
      </w:r>
      <w:r>
        <w:rPr>
          <w:spacing w:val="4"/>
        </w:rPr>
        <w:t> </w:t>
      </w:r>
      <w:r>
        <w:rPr/>
        <w:t>不适用</w:t>
      </w:r>
    </w:p>
    <w:p>
      <w:pPr>
        <w:spacing w:line="240" w:lineRule="auto" w:before="8"/>
        <w:rPr>
          <w:rFonts w:ascii="宋体" w:hAnsi="宋体" w:cs="宋体" w:eastAsia="宋体" w:hint="default"/>
          <w:sz w:val="25"/>
          <w:szCs w:val="25"/>
        </w:rPr>
      </w:pPr>
    </w:p>
    <w:p>
      <w:pPr>
        <w:pStyle w:val="Heading5"/>
        <w:spacing w:line="240" w:lineRule="auto"/>
        <w:ind w:right="1002"/>
        <w:jc w:val="left"/>
        <w:rPr>
          <w:b w:val="0"/>
          <w:bCs w:val="0"/>
        </w:rPr>
      </w:pPr>
      <w:bookmarkStart w:name="（2）同时按照境外会计准则与按中国会计准则披露的财务报告中净利润和净资产差异情况" w:id="570"/>
      <w:bookmarkEnd w:id="570"/>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right="1002"/>
        <w:jc w:val="left"/>
      </w:pPr>
      <w:r>
        <w:rPr/>
        <w:t>□ 适用 √</w:t>
      </w:r>
      <w:r>
        <w:rPr>
          <w:spacing w:val="4"/>
        </w:rPr>
        <w:t> </w:t>
      </w:r>
      <w:r>
        <w:rPr/>
        <w:t>不适用</w:t>
      </w:r>
    </w:p>
    <w:p>
      <w:pPr>
        <w:spacing w:line="240" w:lineRule="auto" w:before="8"/>
        <w:rPr>
          <w:rFonts w:ascii="宋体" w:hAnsi="宋体" w:cs="宋体" w:eastAsia="宋体" w:hint="default"/>
          <w:sz w:val="25"/>
          <w:szCs w:val="25"/>
        </w:rPr>
      </w:pPr>
    </w:p>
    <w:p>
      <w:pPr>
        <w:pStyle w:val="Heading5"/>
        <w:spacing w:line="254" w:lineRule="auto"/>
        <w:ind w:right="1002"/>
        <w:jc w:val="left"/>
        <w:rPr>
          <w:b w:val="0"/>
          <w:bCs w:val="0"/>
        </w:rPr>
      </w:pPr>
      <w:bookmarkStart w:name="（3）境内外会计准则下会计数据差异原因说明，对已经境外审计机构审计的数据进行差异" w:id="571"/>
      <w:bookmarkEnd w:id="571"/>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line="240" w:lineRule="auto" w:before="0"/>
        <w:rPr>
          <w:rFonts w:ascii="宋体" w:hAnsi="宋体" w:cs="宋体" w:eastAsia="宋体" w:hint="default"/>
          <w:b/>
          <w:bCs/>
          <w:sz w:val="25"/>
          <w:szCs w:val="25"/>
        </w:rPr>
      </w:pPr>
    </w:p>
    <w:p>
      <w:pPr>
        <w:pStyle w:val="Heading5"/>
        <w:spacing w:line="240" w:lineRule="auto"/>
        <w:ind w:right="1002"/>
        <w:jc w:val="left"/>
        <w:rPr>
          <w:b w:val="0"/>
          <w:bCs w:val="0"/>
        </w:rPr>
      </w:pPr>
      <w:bookmarkStart w:name="4、其他" w:id="572"/>
      <w:bookmarkEnd w:id="572"/>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6"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1"/>
        <w:spacing w:line="240" w:lineRule="auto"/>
        <w:ind w:left="3243" w:right="1002"/>
        <w:jc w:val="left"/>
        <w:rPr>
          <w:b w:val="0"/>
          <w:bCs w:val="0"/>
        </w:rPr>
      </w:pPr>
      <w:bookmarkStart w:name="第十三节 备查文件目录" w:id="573"/>
      <w:bookmarkEnd w:id="573"/>
      <w:r>
        <w:rPr>
          <w:b w:val="0"/>
          <w:bCs w:val="0"/>
        </w:rPr>
      </w:r>
      <w:r>
        <w:rPr/>
        <w:t>第十三节</w:t>
      </w:r>
      <w:r>
        <w:rPr>
          <w:spacing w:val="1"/>
        </w:rPr>
        <w:t> </w:t>
      </w:r>
      <w:r>
        <w:rPr/>
        <w:t>备查文件目录</w:t>
      </w:r>
      <w:r>
        <w:rPr>
          <w:b w:val="0"/>
          <w:bCs w:val="0"/>
        </w:rPr>
      </w:r>
    </w:p>
    <w:p>
      <w:pPr>
        <w:spacing w:line="240" w:lineRule="auto" w:before="7"/>
        <w:rPr>
          <w:rFonts w:ascii="宋体" w:hAnsi="宋体" w:cs="宋体" w:eastAsia="宋体" w:hint="default"/>
          <w:b/>
          <w:bCs/>
          <w:sz w:val="47"/>
          <w:szCs w:val="47"/>
        </w:rPr>
      </w:pPr>
    </w:p>
    <w:p>
      <w:pPr>
        <w:pStyle w:val="BodyText"/>
        <w:spacing w:line="350" w:lineRule="auto" w:before="0"/>
        <w:ind w:right="1002"/>
        <w:jc w:val="left"/>
      </w:pPr>
      <w:r>
        <w:rPr/>
        <w:t>一、载有公司法定代表人、主管财务负责人及会计机构负责人签名并盖章的会计报表。</w:t>
      </w:r>
      <w:r>
        <w:rPr>
          <w:w w:val="100"/>
        </w:rPr>
        <w:t> </w:t>
      </w:r>
      <w:r>
        <w:rPr/>
        <w:t>二、载有会计师事务所盖章、注册会计师签名并盖章的审计报告原件。</w:t>
      </w:r>
      <w:r>
        <w:rPr>
          <w:spacing w:val="-101"/>
        </w:rPr>
        <w:t> </w:t>
      </w:r>
      <w:r>
        <w:rPr>
          <w:spacing w:val="-101"/>
        </w:rPr>
      </w:r>
      <w:r>
        <w:rPr>
          <w:spacing w:val="-2"/>
        </w:rPr>
        <w:t>三、报告期内在中国证监会指定报纸上公开披露过的所有公司文件的正本及公告的原稿。</w:t>
      </w:r>
      <w:r>
        <w:rPr>
          <w:spacing w:val="-26"/>
        </w:rPr>
        <w:t> </w:t>
      </w:r>
      <w:r>
        <w:rPr>
          <w:spacing w:val="-26"/>
        </w:rPr>
      </w:r>
      <w:r>
        <w:rPr/>
        <w:t>四、备查文件备置地点：董事会办公室。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4"/>
        <w:spacing w:line="240" w:lineRule="auto"/>
        <w:ind w:right="1002"/>
        <w:jc w:val="left"/>
      </w:pPr>
      <w:r>
        <w:rPr/>
        <w:t>安徽中电兴发与鑫龙科技股份有限公司</w:t>
      </w:r>
    </w:p>
    <w:p>
      <w:pPr>
        <w:spacing w:line="240" w:lineRule="auto" w:before="9"/>
        <w:rPr>
          <w:rFonts w:ascii="宋体" w:hAnsi="宋体" w:cs="宋体" w:eastAsia="宋体" w:hint="default"/>
          <w:sz w:val="25"/>
          <w:szCs w:val="25"/>
        </w:rPr>
      </w:pPr>
    </w:p>
    <w:p>
      <w:pPr>
        <w:pStyle w:val="Heading4"/>
        <w:spacing w:line="520" w:lineRule="auto"/>
        <w:ind w:left="6936" w:right="2388"/>
        <w:jc w:val="left"/>
      </w:pPr>
      <w:r>
        <w:rPr/>
        <w:t>董事长：瞿洪桂</w:t>
      </w:r>
      <w:r>
        <w:rPr>
          <w:spacing w:val="-105"/>
        </w:rPr>
        <w:t> </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28</w:t>
      </w:r>
      <w:r>
        <w:rPr/>
        <w:t>日</w:t>
      </w:r>
    </w:p>
    <w:sectPr>
      <w:pgSz w:w="11910" w:h="16840"/>
      <w:pgMar w:header="906" w:footer="1022" w:top="1100" w:bottom="122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5776" type="#_x0000_t75" stroked="false">
          <v:imagedata r:id="rId1" o:title=""/>
        </v:shape>
      </w:pict>
    </w:r>
    <w:r>
      <w:rPr/>
      <w:pict>
        <v:shape style="position:absolute;margin-left:55.664001pt;margin-top:793.501343pt;width:6.6pt;height:11.15pt;mso-position-horizontal-relative:page;mso-position-vertical-relative:page;z-index:-1175752"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5728" type="#_x0000_t75" stroked="false">
          <v:imagedata r:id="rId1" o:title=""/>
        </v:shape>
      </w:pict>
    </w:r>
    <w:r>
      <w:rPr/>
      <w:pict>
        <v:shape style="position:absolute;margin-left:54.664001pt;margin-top:779.797363pt;width:13.15pt;height:11.15pt;mso-position-horizontal-relative:page;mso-position-vertical-relative:page;z-index:-1175704"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5560" type="#_x0000_t75" stroked="false">
          <v:imagedata r:id="rId1" o:title=""/>
        </v:shape>
      </w:pict>
    </w:r>
    <w:r>
      <w:rPr/>
      <w:pict>
        <v:shape style="position:absolute;margin-left:55.664001pt;margin-top:779.797363pt;width:15.7pt;height:11.15pt;mso-position-horizontal-relative:page;mso-position-vertical-relative:page;z-index:-1175536"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5512" type="#_x0000_t75" stroked="false">
          <v:imagedata r:id="rId1" o:title=""/>
        </v:shape>
      </w:pict>
    </w:r>
    <w:r>
      <w:rPr/>
      <w:pict>
        <v:shape style="position:absolute;margin-left:54.664001pt;margin-top:779.797363pt;width:17.7pt;height:11.15pt;mso-position-horizontal-relative:page;mso-position-vertical-relative:page;z-index:-1175488"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5464" type="#_x0000_t75" stroked="false">
          <v:imagedata r:id="rId1" o:title=""/>
        </v:shape>
      </w:pict>
    </w:r>
    <w:r>
      <w:rPr/>
      <w:pict>
        <v:shape style="position:absolute;margin-left:54.664001pt;margin-top:779.797363pt;width:17.7pt;height:11.15pt;mso-position-horizontal-relative:page;mso-position-vertical-relative:page;z-index:-1175440"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171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5368" type="#_x0000_t75" stroked="false">
          <v:imagedata r:id="rId1" o:title=""/>
        </v:shape>
      </w:pict>
    </w:r>
    <w:r>
      <w:rPr/>
      <w:pict>
        <v:shape style="position:absolute;margin-left:55.664001pt;margin-top:779.797363pt;width:15.7pt;height:11.15pt;mso-position-horizontal-relative:page;mso-position-vertical-relative:page;z-index:-1175344" type="#_x0000_t202" filled="false" stroked="false">
          <v:textbox inset="0,0,0,0">
            <w:txbxContent>
              <w:p>
                <w:pPr>
                  <w:spacing w:line="206"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75320" type="#_x0000_t75" stroked="false">
          <v:imagedata r:id="rId1" o:title=""/>
        </v:shape>
      </w:pict>
    </w:r>
    <w:r>
      <w:rPr/>
      <w:pict>
        <v:shape style="position:absolute;margin-left:54.664001pt;margin-top:779.797363pt;width:17.7pt;height:11.15pt;mso-position-horizontal-relative:page;mso-position-vertical-relative:page;z-index:-117529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64001pt;margin-top:38.222485pt;width:483.9pt;height:11.65pt;mso-position-horizontal-relative:page;mso-position-vertical-relative:page;z-index:-1175800" type="#_x0000_t202" filled="false" stroked="false">
          <v:textbox inset="0,0,0,0">
            <w:txbxContent>
              <w:p>
                <w:pPr>
                  <w:tabs>
                    <w:tab w:pos="5239" w:val="left" w:leader="none"/>
                  </w:tabs>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中电兴发与鑫龙科技股份有限公司 </w:t>
                </w:r>
                <w:r>
                  <w:rPr>
                    <w:rFonts w:ascii="Times New Roman" w:hAnsi="Times New Roman" w:cs="Times New Roman" w:eastAsia="Times New Roman" w:hint="default"/>
                    <w:sz w:val="18"/>
                    <w:szCs w:val="18"/>
                    <w:u w:val="single" w:color="000000"/>
                  </w:rPr>
                  <w:t>2019</w:t>
                </w:r>
                <w:r>
                  <w:rPr>
                    <w:rFonts w:ascii="Times New Roman" w:hAnsi="Times New Roman" w:cs="Times New Roman" w:eastAsia="Times New Roman" w:hint="default"/>
                    <w:spacing w:val="-21"/>
                    <w:sz w:val="18"/>
                    <w:szCs w:val="18"/>
                    <w:u w:val="single" w:color="000000"/>
                  </w:rPr>
                  <w:t> </w:t>
                </w:r>
                <w:r>
                  <w:rPr>
                    <w:rFonts w:ascii="宋体" w:hAnsi="宋体" w:cs="宋体" w:eastAsia="宋体" w:hint="default"/>
                    <w:spacing w:val="-3"/>
                    <w:sz w:val="18"/>
                    <w:szCs w:val="18"/>
                    <w:u w:val="single" w:color="000000"/>
                  </w:rPr>
                  <w:t>年年度报告全文</w:t>
                </w:r>
                <w:r>
                  <w:rPr>
                    <w:rFonts w:ascii="宋体" w:hAnsi="宋体" w:cs="宋体" w:eastAsia="宋体" w:hint="default"/>
                    <w:spacing w:val="-3"/>
                    <w:sz w:val="18"/>
                    <w:szCs w:val="1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483.9pt;height:11.65pt;mso-position-horizontal-relative:page;mso-position-vertical-relative:page;z-index:-1175248" type="#_x0000_t202" filled="false" stroked="false">
          <v:textbox inset="0,0,0,0">
            <w:txbxContent>
              <w:p>
                <w:pPr>
                  <w:tabs>
                    <w:tab w:pos="5239" w:val="left" w:leader="none"/>
                  </w:tabs>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中电兴发与鑫龙科技股份有限公司 </w:t>
                </w:r>
                <w:r>
                  <w:rPr>
                    <w:rFonts w:ascii="Times New Roman" w:hAnsi="Times New Roman" w:cs="Times New Roman" w:eastAsia="Times New Roman" w:hint="default"/>
                    <w:sz w:val="18"/>
                    <w:szCs w:val="18"/>
                    <w:u w:val="single" w:color="000000"/>
                  </w:rPr>
                  <w:t>2019</w:t>
                </w:r>
                <w:r>
                  <w:rPr>
                    <w:rFonts w:ascii="Times New Roman" w:hAnsi="Times New Roman" w:cs="Times New Roman" w:eastAsia="Times New Roman" w:hint="default"/>
                    <w:spacing w:val="-21"/>
                    <w:sz w:val="18"/>
                    <w:szCs w:val="18"/>
                    <w:u w:val="single" w:color="000000"/>
                  </w:rPr>
                  <w:t> </w:t>
                </w:r>
                <w:r>
                  <w:rPr>
                    <w:rFonts w:ascii="宋体" w:hAnsi="宋体" w:cs="宋体" w:eastAsia="宋体" w:hint="default"/>
                    <w:spacing w:val="-3"/>
                    <w:sz w:val="18"/>
                    <w:szCs w:val="18"/>
                    <w:u w:val="single" w:color="000000"/>
                  </w:rPr>
                  <w:t>年年度报告全文</w:t>
                </w:r>
                <w:r>
                  <w:rPr>
                    <w:rFonts w:ascii="宋体" w:hAnsi="宋体" w:cs="宋体" w:eastAsia="宋体" w:hint="default"/>
                    <w:spacing w:val="-3"/>
                    <w:sz w:val="18"/>
                    <w:szCs w:val="18"/>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483.9pt;height:11.65pt;mso-position-horizontal-relative:page;mso-position-vertical-relative:page;z-index:-1175224" type="#_x0000_t202" filled="false" stroked="false">
          <v:textbox inset="0,0,0,0">
            <w:txbxContent>
              <w:p>
                <w:pPr>
                  <w:tabs>
                    <w:tab w:pos="5239" w:val="left" w:leader="none"/>
                  </w:tabs>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中电兴发与鑫龙科技股份有限公司 </w:t>
                </w:r>
                <w:r>
                  <w:rPr>
                    <w:rFonts w:ascii="Times New Roman" w:hAnsi="Times New Roman" w:cs="Times New Roman" w:eastAsia="Times New Roman" w:hint="default"/>
                    <w:sz w:val="18"/>
                    <w:szCs w:val="18"/>
                    <w:u w:val="single" w:color="000000"/>
                  </w:rPr>
                  <w:t>2019</w:t>
                </w:r>
                <w:r>
                  <w:rPr>
                    <w:rFonts w:ascii="Times New Roman" w:hAnsi="Times New Roman" w:cs="Times New Roman" w:eastAsia="Times New Roman" w:hint="default"/>
                    <w:spacing w:val="-21"/>
                    <w:sz w:val="18"/>
                    <w:szCs w:val="18"/>
                    <w:u w:val="single" w:color="000000"/>
                  </w:rPr>
                  <w:t> </w:t>
                </w:r>
                <w:r>
                  <w:rPr>
                    <w:rFonts w:ascii="宋体" w:hAnsi="宋体" w:cs="宋体" w:eastAsia="宋体" w:hint="default"/>
                    <w:spacing w:val="-3"/>
                    <w:sz w:val="18"/>
                    <w:szCs w:val="18"/>
                    <w:u w:val="single" w:color="000000"/>
                  </w:rPr>
                  <w:t>年年度报告全文</w:t>
                </w:r>
                <w:r>
                  <w:rPr>
                    <w:rFonts w:ascii="宋体" w:hAnsi="宋体" w:cs="宋体" w:eastAsia="宋体" w:hint="default"/>
                    <w:spacing w:val="-3"/>
                    <w:sz w:val="18"/>
                    <w:szCs w:val="18"/>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483.9pt;height:11.65pt;mso-position-horizontal-relative:page;mso-position-vertical-relative:page;z-index:-1175680" type="#_x0000_t202" filled="false" stroked="false">
          <v:textbox inset="0,0,0,0">
            <w:txbxContent>
              <w:p>
                <w:pPr>
                  <w:tabs>
                    <w:tab w:pos="5239" w:val="left" w:leader="none"/>
                  </w:tabs>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中电兴发与鑫龙科技股份有限公司 </w:t>
                </w:r>
                <w:r>
                  <w:rPr>
                    <w:rFonts w:ascii="Times New Roman" w:hAnsi="Times New Roman" w:cs="Times New Roman" w:eastAsia="Times New Roman" w:hint="default"/>
                    <w:sz w:val="18"/>
                    <w:szCs w:val="18"/>
                    <w:u w:val="single" w:color="000000"/>
                  </w:rPr>
                  <w:t>2019</w:t>
                </w:r>
                <w:r>
                  <w:rPr>
                    <w:rFonts w:ascii="Times New Roman" w:hAnsi="Times New Roman" w:cs="Times New Roman" w:eastAsia="Times New Roman" w:hint="default"/>
                    <w:spacing w:val="-21"/>
                    <w:sz w:val="18"/>
                    <w:szCs w:val="18"/>
                    <w:u w:val="single" w:color="000000"/>
                  </w:rPr>
                  <w:t> </w:t>
                </w:r>
                <w:r>
                  <w:rPr>
                    <w:rFonts w:ascii="宋体" w:hAnsi="宋体" w:cs="宋体" w:eastAsia="宋体" w:hint="default"/>
                    <w:spacing w:val="-3"/>
                    <w:sz w:val="18"/>
                    <w:szCs w:val="18"/>
                    <w:u w:val="single" w:color="000000"/>
                  </w:rPr>
                  <w:t>年年度报告全文</w:t>
                </w:r>
                <w:r>
                  <w:rPr>
                    <w:rFonts w:ascii="宋体" w:hAnsi="宋体" w:cs="宋体" w:eastAsia="宋体" w:hint="default"/>
                    <w:spacing w:val="-3"/>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483.9pt;height:11.65pt;mso-position-horizontal-relative:page;mso-position-vertical-relative:page;z-index:-1175656" type="#_x0000_t202" filled="false" stroked="false">
          <v:textbox inset="0,0,0,0">
            <w:txbxContent>
              <w:p>
                <w:pPr>
                  <w:tabs>
                    <w:tab w:pos="5239" w:val="left" w:leader="none"/>
                  </w:tabs>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中电兴发与鑫龙科技股份有限公司 </w:t>
                </w:r>
                <w:r>
                  <w:rPr>
                    <w:rFonts w:ascii="Times New Roman" w:hAnsi="Times New Roman" w:cs="Times New Roman" w:eastAsia="Times New Roman" w:hint="default"/>
                    <w:sz w:val="18"/>
                    <w:szCs w:val="18"/>
                    <w:u w:val="single" w:color="000000"/>
                  </w:rPr>
                  <w:t>2019</w:t>
                </w:r>
                <w:r>
                  <w:rPr>
                    <w:rFonts w:ascii="Times New Roman" w:hAnsi="Times New Roman" w:cs="Times New Roman" w:eastAsia="Times New Roman" w:hint="default"/>
                    <w:spacing w:val="-21"/>
                    <w:sz w:val="18"/>
                    <w:szCs w:val="18"/>
                    <w:u w:val="single" w:color="000000"/>
                  </w:rPr>
                  <w:t> </w:t>
                </w:r>
                <w:r>
                  <w:rPr>
                    <w:rFonts w:ascii="宋体" w:hAnsi="宋体" w:cs="宋体" w:eastAsia="宋体" w:hint="default"/>
                    <w:spacing w:val="-3"/>
                    <w:sz w:val="18"/>
                    <w:szCs w:val="18"/>
                    <w:u w:val="single" w:color="000000"/>
                  </w:rPr>
                  <w:t>年年度报告全文</w:t>
                </w:r>
                <w:r>
                  <w:rPr>
                    <w:rFonts w:ascii="宋体" w:hAnsi="宋体" w:cs="宋体" w:eastAsia="宋体" w:hint="default"/>
                    <w:spacing w:val="-3"/>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483.9pt;height:11.65pt;mso-position-horizontal-relative:page;mso-position-vertical-relative:page;z-index:-1175632" type="#_x0000_t202" filled="false" stroked="false">
          <v:textbox inset="0,0,0,0">
            <w:txbxContent>
              <w:p>
                <w:pPr>
                  <w:tabs>
                    <w:tab w:pos="5239" w:val="left" w:leader="none"/>
                  </w:tabs>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中电兴发与鑫龙科技股份有限公司 </w:t>
                </w:r>
                <w:r>
                  <w:rPr>
                    <w:rFonts w:ascii="Times New Roman" w:hAnsi="Times New Roman" w:cs="Times New Roman" w:eastAsia="Times New Roman" w:hint="default"/>
                    <w:sz w:val="18"/>
                    <w:szCs w:val="18"/>
                    <w:u w:val="single" w:color="000000"/>
                  </w:rPr>
                  <w:t>2019</w:t>
                </w:r>
                <w:r>
                  <w:rPr>
                    <w:rFonts w:ascii="Times New Roman" w:hAnsi="Times New Roman" w:cs="Times New Roman" w:eastAsia="Times New Roman" w:hint="default"/>
                    <w:spacing w:val="-21"/>
                    <w:sz w:val="18"/>
                    <w:szCs w:val="18"/>
                    <w:u w:val="single" w:color="000000"/>
                  </w:rPr>
                  <w:t> </w:t>
                </w:r>
                <w:r>
                  <w:rPr>
                    <w:rFonts w:ascii="宋体" w:hAnsi="宋体" w:cs="宋体" w:eastAsia="宋体" w:hint="default"/>
                    <w:spacing w:val="-3"/>
                    <w:sz w:val="18"/>
                    <w:szCs w:val="18"/>
                    <w:u w:val="single" w:color="000000"/>
                  </w:rPr>
                  <w:t>年年度报告全文</w:t>
                </w:r>
                <w:r>
                  <w:rPr>
                    <w:rFonts w:ascii="宋体" w:hAnsi="宋体" w:cs="宋体" w:eastAsia="宋体" w:hint="default"/>
                    <w:spacing w:val="-3"/>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483.9pt;height:11.65pt;mso-position-horizontal-relative:page;mso-position-vertical-relative:page;z-index:-1175608" type="#_x0000_t202" filled="false" stroked="false">
          <v:textbox inset="0,0,0,0">
            <w:txbxContent>
              <w:p>
                <w:pPr>
                  <w:tabs>
                    <w:tab w:pos="5239" w:val="left" w:leader="none"/>
                  </w:tabs>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中电兴发与鑫龙科技股份有限公司 </w:t>
                </w:r>
                <w:r>
                  <w:rPr>
                    <w:rFonts w:ascii="Times New Roman" w:hAnsi="Times New Roman" w:cs="Times New Roman" w:eastAsia="Times New Roman" w:hint="default"/>
                    <w:sz w:val="18"/>
                    <w:szCs w:val="18"/>
                    <w:u w:val="single" w:color="000000"/>
                  </w:rPr>
                  <w:t>2019</w:t>
                </w:r>
                <w:r>
                  <w:rPr>
                    <w:rFonts w:ascii="Times New Roman" w:hAnsi="Times New Roman" w:cs="Times New Roman" w:eastAsia="Times New Roman" w:hint="default"/>
                    <w:spacing w:val="-21"/>
                    <w:sz w:val="18"/>
                    <w:szCs w:val="18"/>
                    <w:u w:val="single" w:color="000000"/>
                  </w:rPr>
                  <w:t> </w:t>
                </w:r>
                <w:r>
                  <w:rPr>
                    <w:rFonts w:ascii="宋体" w:hAnsi="宋体" w:cs="宋体" w:eastAsia="宋体" w:hint="default"/>
                    <w:spacing w:val="-3"/>
                    <w:sz w:val="18"/>
                    <w:szCs w:val="18"/>
                    <w:u w:val="single" w:color="000000"/>
                  </w:rPr>
                  <w:t>年年度报告全文</w:t>
                </w:r>
                <w:r>
                  <w:rPr>
                    <w:rFonts w:ascii="宋体" w:hAnsi="宋体" w:cs="宋体" w:eastAsia="宋体" w:hint="default"/>
                    <w:spacing w:val="-3"/>
                    <w:sz w:val="18"/>
                    <w:szCs w:val="18"/>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483.9pt;height:11.65pt;mso-position-horizontal-relative:page;mso-position-vertical-relative:page;z-index:-1175584" type="#_x0000_t202" filled="false" stroked="false">
          <v:textbox inset="0,0,0,0">
            <w:txbxContent>
              <w:p>
                <w:pPr>
                  <w:tabs>
                    <w:tab w:pos="5239" w:val="left" w:leader="none"/>
                  </w:tabs>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中电兴发与鑫龙科技股份有限公司 </w:t>
                </w:r>
                <w:r>
                  <w:rPr>
                    <w:rFonts w:ascii="Times New Roman" w:hAnsi="Times New Roman" w:cs="Times New Roman" w:eastAsia="Times New Roman" w:hint="default"/>
                    <w:sz w:val="18"/>
                    <w:szCs w:val="18"/>
                    <w:u w:val="single" w:color="000000"/>
                  </w:rPr>
                  <w:t>2019</w:t>
                </w:r>
                <w:r>
                  <w:rPr>
                    <w:rFonts w:ascii="Times New Roman" w:hAnsi="Times New Roman" w:cs="Times New Roman" w:eastAsia="Times New Roman" w:hint="default"/>
                    <w:spacing w:val="-21"/>
                    <w:sz w:val="18"/>
                    <w:szCs w:val="18"/>
                    <w:u w:val="single" w:color="000000"/>
                  </w:rPr>
                  <w:t> </w:t>
                </w:r>
                <w:r>
                  <w:rPr>
                    <w:rFonts w:ascii="宋体" w:hAnsi="宋体" w:cs="宋体" w:eastAsia="宋体" w:hint="default"/>
                    <w:spacing w:val="-3"/>
                    <w:sz w:val="18"/>
                    <w:szCs w:val="18"/>
                    <w:u w:val="single" w:color="000000"/>
                  </w:rPr>
                  <w:t>年年度报告全文</w:t>
                </w:r>
                <w:r>
                  <w:rPr>
                    <w:rFonts w:ascii="宋体" w:hAnsi="宋体" w:cs="宋体" w:eastAsia="宋体" w:hint="default"/>
                    <w:spacing w:val="-3"/>
                    <w:sz w:val="18"/>
                    <w:szCs w:val="18"/>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483.9pt;height:11.65pt;mso-position-horizontal-relative:page;mso-position-vertical-relative:page;z-index:-1175416" type="#_x0000_t202" filled="false" stroked="false">
          <v:textbox inset="0,0,0,0">
            <w:txbxContent>
              <w:p>
                <w:pPr>
                  <w:tabs>
                    <w:tab w:pos="5239" w:val="left" w:leader="none"/>
                  </w:tabs>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中电兴发与鑫龙科技股份有限公司 </w:t>
                </w:r>
                <w:r>
                  <w:rPr>
                    <w:rFonts w:ascii="Times New Roman" w:hAnsi="Times New Roman" w:cs="Times New Roman" w:eastAsia="Times New Roman" w:hint="default"/>
                    <w:sz w:val="18"/>
                    <w:szCs w:val="18"/>
                    <w:u w:val="single" w:color="000000"/>
                  </w:rPr>
                  <w:t>2019</w:t>
                </w:r>
                <w:r>
                  <w:rPr>
                    <w:rFonts w:ascii="Times New Roman" w:hAnsi="Times New Roman" w:cs="Times New Roman" w:eastAsia="Times New Roman" w:hint="default"/>
                    <w:spacing w:val="-21"/>
                    <w:sz w:val="18"/>
                    <w:szCs w:val="18"/>
                    <w:u w:val="single" w:color="000000"/>
                  </w:rPr>
                  <w:t> </w:t>
                </w:r>
                <w:r>
                  <w:rPr>
                    <w:rFonts w:ascii="宋体" w:hAnsi="宋体" w:cs="宋体" w:eastAsia="宋体" w:hint="default"/>
                    <w:spacing w:val="-3"/>
                    <w:sz w:val="18"/>
                    <w:szCs w:val="18"/>
                    <w:u w:val="single" w:color="000000"/>
                  </w:rPr>
                  <w:t>年年度报告全文</w:t>
                </w:r>
                <w:r>
                  <w:rPr>
                    <w:rFonts w:ascii="宋体" w:hAnsi="宋体" w:cs="宋体" w:eastAsia="宋体" w:hint="default"/>
                    <w:spacing w:val="-3"/>
                    <w:sz w:val="18"/>
                    <w:szCs w:val="1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483.9pt;height:11.65pt;mso-position-horizontal-relative:page;mso-position-vertical-relative:page;z-index:-1175392" type="#_x0000_t202" filled="false" stroked="false">
          <v:textbox inset="0,0,0,0">
            <w:txbxContent>
              <w:p>
                <w:pPr>
                  <w:tabs>
                    <w:tab w:pos="5239" w:val="left" w:leader="none"/>
                  </w:tabs>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中电兴发与鑫龙科技股份有限公司 </w:t>
                </w:r>
                <w:r>
                  <w:rPr>
                    <w:rFonts w:ascii="Times New Roman" w:hAnsi="Times New Roman" w:cs="Times New Roman" w:eastAsia="Times New Roman" w:hint="default"/>
                    <w:sz w:val="18"/>
                    <w:szCs w:val="18"/>
                    <w:u w:val="single" w:color="000000"/>
                  </w:rPr>
                  <w:t>2019</w:t>
                </w:r>
                <w:r>
                  <w:rPr>
                    <w:rFonts w:ascii="Times New Roman" w:hAnsi="Times New Roman" w:cs="Times New Roman" w:eastAsia="Times New Roman" w:hint="default"/>
                    <w:spacing w:val="-21"/>
                    <w:sz w:val="18"/>
                    <w:szCs w:val="18"/>
                    <w:u w:val="single" w:color="000000"/>
                  </w:rPr>
                  <w:t> </w:t>
                </w:r>
                <w:r>
                  <w:rPr>
                    <w:rFonts w:ascii="宋体" w:hAnsi="宋体" w:cs="宋体" w:eastAsia="宋体" w:hint="default"/>
                    <w:spacing w:val="-3"/>
                    <w:sz w:val="18"/>
                    <w:szCs w:val="18"/>
                    <w:u w:val="single" w:color="000000"/>
                  </w:rPr>
                  <w:t>年年度报告全文</w:t>
                </w:r>
                <w:r>
                  <w:rPr>
                    <w:rFonts w:ascii="宋体" w:hAnsi="宋体" w:cs="宋体" w:eastAsia="宋体" w:hint="default"/>
                    <w:spacing w:val="-3"/>
                    <w:sz w:val="18"/>
                    <w:szCs w:val="18"/>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483.9pt;height:11.65pt;mso-position-horizontal-relative:page;mso-position-vertical-relative:page;z-index:-1175272" type="#_x0000_t202" filled="false" stroked="false">
          <v:textbox inset="0,0,0,0">
            <w:txbxContent>
              <w:p>
                <w:pPr>
                  <w:tabs>
                    <w:tab w:pos="5239" w:val="left" w:leader="none"/>
                  </w:tabs>
                  <w:spacing w:line="216"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w w:val="101"/>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中电兴发与鑫龙科技股份有限公司 </w:t>
                </w:r>
                <w:r>
                  <w:rPr>
                    <w:rFonts w:ascii="Times New Roman" w:hAnsi="Times New Roman" w:cs="Times New Roman" w:eastAsia="Times New Roman" w:hint="default"/>
                    <w:sz w:val="18"/>
                    <w:szCs w:val="18"/>
                    <w:u w:val="single" w:color="000000"/>
                  </w:rPr>
                  <w:t>2019</w:t>
                </w:r>
                <w:r>
                  <w:rPr>
                    <w:rFonts w:ascii="Times New Roman" w:hAnsi="Times New Roman" w:cs="Times New Roman" w:eastAsia="Times New Roman" w:hint="default"/>
                    <w:spacing w:val="-21"/>
                    <w:sz w:val="18"/>
                    <w:szCs w:val="18"/>
                    <w:u w:val="single" w:color="000000"/>
                  </w:rPr>
                  <w:t> </w:t>
                </w:r>
                <w:r>
                  <w:rPr>
                    <w:rFonts w:ascii="宋体" w:hAnsi="宋体" w:cs="宋体" w:eastAsia="宋体" w:hint="default"/>
                    <w:spacing w:val="-3"/>
                    <w:sz w:val="18"/>
                    <w:szCs w:val="18"/>
                    <w:u w:val="single" w:color="000000"/>
                  </w:rPr>
                  <w:t>年年度报告全文</w:t>
                </w:r>
                <w:r>
                  <w:rPr>
                    <w:rFonts w:ascii="宋体" w:hAnsi="宋体" w:cs="宋体" w:eastAsia="宋体" w:hint="default"/>
                    <w:spacing w:val="-3"/>
                    <w:sz w:val="18"/>
                    <w:szCs w:val="18"/>
                  </w:rPr>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129" w:hanging="121"/>
      </w:pPr>
      <w:rPr>
        <w:rFonts w:hint="default" w:ascii="Times New Roman" w:hAnsi="Times New Roman" w:eastAsia="Times New Roman"/>
        <w:w w:val="100"/>
        <w:sz w:val="21"/>
        <w:szCs w:val="21"/>
      </w:rPr>
    </w:lvl>
    <w:lvl w:ilvl="1">
      <w:start w:val="1"/>
      <w:numFmt w:val="bullet"/>
      <w:lvlText w:val="•"/>
      <w:lvlJc w:val="left"/>
      <w:pPr>
        <w:ind w:left="578" w:hanging="121"/>
      </w:pPr>
      <w:rPr>
        <w:rFonts w:hint="default"/>
      </w:rPr>
    </w:lvl>
    <w:lvl w:ilvl="2">
      <w:start w:val="1"/>
      <w:numFmt w:val="bullet"/>
      <w:lvlText w:val="•"/>
      <w:lvlJc w:val="left"/>
      <w:pPr>
        <w:ind w:left="1036" w:hanging="121"/>
      </w:pPr>
      <w:rPr>
        <w:rFonts w:hint="default"/>
      </w:rPr>
    </w:lvl>
    <w:lvl w:ilvl="3">
      <w:start w:val="1"/>
      <w:numFmt w:val="bullet"/>
      <w:lvlText w:val="•"/>
      <w:lvlJc w:val="left"/>
      <w:pPr>
        <w:ind w:left="1494" w:hanging="121"/>
      </w:pPr>
      <w:rPr>
        <w:rFonts w:hint="default"/>
      </w:rPr>
    </w:lvl>
    <w:lvl w:ilvl="4">
      <w:start w:val="1"/>
      <w:numFmt w:val="bullet"/>
      <w:lvlText w:val="•"/>
      <w:lvlJc w:val="left"/>
      <w:pPr>
        <w:ind w:left="1952" w:hanging="121"/>
      </w:pPr>
      <w:rPr>
        <w:rFonts w:hint="default"/>
      </w:rPr>
    </w:lvl>
    <w:lvl w:ilvl="5">
      <w:start w:val="1"/>
      <w:numFmt w:val="bullet"/>
      <w:lvlText w:val="•"/>
      <w:lvlJc w:val="left"/>
      <w:pPr>
        <w:ind w:left="2410" w:hanging="121"/>
      </w:pPr>
      <w:rPr>
        <w:rFonts w:hint="default"/>
      </w:rPr>
    </w:lvl>
    <w:lvl w:ilvl="6">
      <w:start w:val="1"/>
      <w:numFmt w:val="bullet"/>
      <w:lvlText w:val="•"/>
      <w:lvlJc w:val="left"/>
      <w:pPr>
        <w:ind w:left="2868" w:hanging="121"/>
      </w:pPr>
      <w:rPr>
        <w:rFonts w:hint="default"/>
      </w:rPr>
    </w:lvl>
    <w:lvl w:ilvl="7">
      <w:start w:val="1"/>
      <w:numFmt w:val="bullet"/>
      <w:lvlText w:val="•"/>
      <w:lvlJc w:val="left"/>
      <w:pPr>
        <w:ind w:left="3326" w:hanging="121"/>
      </w:pPr>
      <w:rPr>
        <w:rFonts w:hint="default"/>
      </w:rPr>
    </w:lvl>
    <w:lvl w:ilvl="8">
      <w:start w:val="1"/>
      <w:numFmt w:val="bullet"/>
      <w:lvlText w:val="•"/>
      <w:lvlJc w:val="left"/>
      <w:pPr>
        <w:ind w:left="3784" w:hanging="1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13"/>
    </w:pPr>
    <w:rPr>
      <w:rFonts w:ascii="宋体" w:hAnsi="宋体" w:eastAsia="宋体"/>
      <w:b/>
      <w:bCs/>
      <w:sz w:val="24"/>
      <w:szCs w:val="24"/>
    </w:rPr>
  </w:style>
  <w:style w:styleId="BodyText" w:type="paragraph">
    <w:name w:val="Body Text"/>
    <w:basedOn w:val="Normal"/>
    <w:uiPriority w:val="1"/>
    <w:qFormat/>
    <w:pPr>
      <w:spacing w:before="36"/>
      <w:ind w:left="113"/>
    </w:pPr>
    <w:rPr>
      <w:rFonts w:ascii="宋体" w:hAnsi="宋体" w:eastAsia="宋体"/>
      <w:sz w:val="21"/>
      <w:szCs w:val="21"/>
    </w:rPr>
  </w:style>
  <w:style w:styleId="Heading1" w:type="paragraph">
    <w:name w:val="Heading 1"/>
    <w:basedOn w:val="Normal"/>
    <w:uiPriority w:val="1"/>
    <w:qFormat/>
    <w:pPr>
      <w:spacing w:before="2"/>
      <w:ind w:left="455"/>
      <w:outlineLvl w:val="1"/>
    </w:pPr>
    <w:rPr>
      <w:rFonts w:ascii="宋体" w:hAnsi="宋体" w:eastAsia="宋体"/>
      <w:b/>
      <w:bCs/>
      <w:sz w:val="32"/>
      <w:szCs w:val="32"/>
    </w:rPr>
  </w:style>
  <w:style w:styleId="Heading2" w:type="paragraph">
    <w:name w:val="Heading 2"/>
    <w:basedOn w:val="Normal"/>
    <w:uiPriority w:val="1"/>
    <w:qFormat/>
    <w:pPr>
      <w:ind w:left="113"/>
      <w:outlineLvl w:val="2"/>
    </w:pPr>
    <w:rPr>
      <w:rFonts w:ascii="宋体" w:hAnsi="宋体" w:eastAsia="宋体"/>
      <w:b/>
      <w:bCs/>
      <w:sz w:val="24"/>
      <w:szCs w:val="24"/>
    </w:rPr>
  </w:style>
  <w:style w:styleId="Heading3" w:type="paragraph">
    <w:name w:val="Heading 3"/>
    <w:basedOn w:val="Normal"/>
    <w:uiPriority w:val="1"/>
    <w:qFormat/>
    <w:pPr>
      <w:ind w:left="113"/>
      <w:outlineLvl w:val="3"/>
    </w:pPr>
    <w:rPr>
      <w:rFonts w:ascii="宋体" w:hAnsi="宋体" w:eastAsia="宋体"/>
      <w:sz w:val="24"/>
      <w:szCs w:val="24"/>
    </w:rPr>
  </w:style>
  <w:style w:styleId="Heading4" w:type="paragraph">
    <w:name w:val="Heading 4"/>
    <w:basedOn w:val="Normal"/>
    <w:uiPriority w:val="1"/>
    <w:qFormat/>
    <w:pPr>
      <w:ind w:left="5577"/>
      <w:outlineLvl w:val="4"/>
    </w:pPr>
    <w:rPr>
      <w:rFonts w:ascii="宋体" w:hAnsi="宋体" w:eastAsia="宋体"/>
      <w:sz w:val="22"/>
      <w:szCs w:val="22"/>
    </w:rPr>
  </w:style>
  <w:style w:styleId="Heading5" w:type="paragraph">
    <w:name w:val="Heading 5"/>
    <w:basedOn w:val="Normal"/>
    <w:uiPriority w:val="1"/>
    <w:qFormat/>
    <w:pPr>
      <w:ind w:left="113"/>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cninfo.com.cn/" TargetMode="External"/><Relationship Id="rId9" Type="http://schemas.openxmlformats.org/officeDocument/2006/relationships/header" Target="header2.xml"/><Relationship Id="rId10" Type="http://schemas.openxmlformats.org/officeDocument/2006/relationships/hyperlink" Target="http://www.ah-zdxl.com/" TargetMode="External"/><Relationship Id="rId11" Type="http://schemas.openxmlformats.org/officeDocument/2006/relationships/hyperlink" Target="mailto:xinlongdsb@126.com" TargetMode="External"/><Relationship Id="rId12" Type="http://schemas.openxmlformats.org/officeDocument/2006/relationships/hyperlink" Target="mailto:ganhongliang@163.com"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image" Target="media/image2.jpe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2020-05-19T22:20:56Z</dcterms:created>
  <dcterms:modified xsi:type="dcterms:W3CDTF">2020-05-19T22:20:56Z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Office Word 2007</vt:lpwstr>
  </property>
  <property fmtid="{D5CDD505-2E9C-101B-9397-08002B2CF9AE}" pid="4" name="LastSaved">
    <vt:filetime>2020-05-19T00:00:00Z</vt:filetime>
  </property>
</Properties>
</file>