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spacing w:line="540" w:lineRule="exact" w:before="0"/>
        <w:ind w:left="1223" w:right="2199" w:firstLine="0"/>
        <w:jc w:val="center"/>
        <w:rPr>
          <w:rFonts w:ascii="宋体" w:hAnsi="宋体" w:cs="宋体" w:eastAsia="宋体" w:hint="default"/>
          <w:sz w:val="44"/>
          <w:szCs w:val="44"/>
        </w:rPr>
      </w:pPr>
      <w:r>
        <w:rPr>
          <w:rFonts w:ascii="宋体" w:hAnsi="宋体" w:cs="宋体" w:eastAsia="宋体" w:hint="default"/>
          <w:b/>
          <w:bCs/>
          <w:sz w:val="44"/>
          <w:szCs w:val="44"/>
        </w:rPr>
        <w:t>深圳市美盈森环保科技股份有限公司</w:t>
      </w:r>
      <w:r>
        <w:rPr>
          <w:rFonts w:ascii="宋体" w:hAnsi="宋体" w:cs="宋体" w:eastAsia="宋体" w:hint="default"/>
          <w:sz w:val="44"/>
          <w:szCs w:val="44"/>
        </w:rPr>
      </w:r>
    </w:p>
    <w:p>
      <w:pPr>
        <w:pStyle w:val="Heading2"/>
        <w:spacing w:line="240" w:lineRule="auto" w:before="228"/>
        <w:ind w:left="1223" w:right="2213"/>
        <w:jc w:val="center"/>
        <w:rPr>
          <w:rFonts w:ascii="宋体" w:hAnsi="宋体" w:cs="宋体" w:eastAsia="宋体" w:hint="default"/>
          <w:b w:val="0"/>
          <w:bCs w:val="0"/>
        </w:rPr>
      </w:pPr>
      <w:r>
        <w:rPr>
          <w:rFonts w:ascii="宋体"/>
        </w:rPr>
        <w:t>Shenzhen MYS Environmental Protection &amp; Technology Company</w:t>
      </w:r>
      <w:r>
        <w:rPr>
          <w:rFonts w:ascii="宋体"/>
          <w:spacing w:val="-48"/>
        </w:rPr>
        <w:t> </w:t>
      </w:r>
      <w:r>
        <w:rPr>
          <w:rFonts w:ascii="宋体"/>
        </w:rPr>
        <w:t>Ltd</w:t>
      </w:r>
      <w:r>
        <w:rPr>
          <w:rFonts w:ascii="宋体"/>
          <w:b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18"/>
          <w:szCs w:val="18"/>
        </w:rPr>
      </w:pPr>
    </w:p>
    <w:p>
      <w:pPr>
        <w:spacing w:before="0"/>
        <w:ind w:left="1223" w:right="2201" w:firstLine="0"/>
        <w:jc w:val="center"/>
        <w:rPr>
          <w:rFonts w:ascii="宋体" w:hAnsi="宋体" w:cs="宋体" w:eastAsia="宋体" w:hint="default"/>
          <w:sz w:val="44"/>
          <w:szCs w:val="44"/>
        </w:rPr>
      </w:pPr>
      <w:r>
        <w:rPr>
          <w:rFonts w:ascii="宋体" w:hAnsi="宋体" w:cs="宋体" w:eastAsia="宋体" w:hint="default"/>
          <w:b/>
          <w:bCs/>
          <w:sz w:val="44"/>
          <w:szCs w:val="44"/>
        </w:rPr>
        <w:t>2014</w:t>
      </w:r>
      <w:r>
        <w:rPr>
          <w:rFonts w:ascii="宋体" w:hAnsi="宋体" w:cs="宋体" w:eastAsia="宋体" w:hint="default"/>
          <w:b/>
          <w:bCs/>
          <w:spacing w:val="-115"/>
          <w:sz w:val="44"/>
          <w:szCs w:val="44"/>
        </w:rPr>
        <w:t> </w:t>
      </w:r>
      <w:r>
        <w:rPr>
          <w:rFonts w:ascii="宋体" w:hAnsi="宋体" w:cs="宋体" w:eastAsia="宋体" w:hint="default"/>
          <w:b/>
          <w:bCs/>
          <w:sz w:val="44"/>
          <w:szCs w:val="44"/>
        </w:rPr>
        <w:t>年度报告</w:t>
      </w:r>
      <w:r>
        <w:rPr>
          <w:rFonts w:ascii="宋体" w:hAnsi="宋体" w:cs="宋体" w:eastAsia="宋体" w:hint="default"/>
          <w:sz w:val="44"/>
          <w:szCs w:val="44"/>
        </w:rPr>
      </w:r>
    </w:p>
    <w:p>
      <w:pPr>
        <w:spacing w:line="240" w:lineRule="auto" w:before="1"/>
        <w:rPr>
          <w:rFonts w:ascii="宋体" w:hAnsi="宋体" w:cs="宋体" w:eastAsia="宋体" w:hint="default"/>
          <w:b/>
          <w:bCs/>
          <w:sz w:val="32"/>
          <w:szCs w:val="32"/>
        </w:rPr>
      </w:pPr>
    </w:p>
    <w:p>
      <w:pPr>
        <w:spacing w:before="0"/>
        <w:ind w:left="1223" w:right="2199" w:firstLine="0"/>
        <w:jc w:val="center"/>
        <w:rPr>
          <w:rFonts w:ascii="宋体" w:hAnsi="宋体" w:cs="宋体" w:eastAsia="宋体" w:hint="default"/>
          <w:sz w:val="28"/>
          <w:szCs w:val="28"/>
        </w:rPr>
      </w:pPr>
      <w:r>
        <w:rPr>
          <w:rFonts w:ascii="宋体"/>
          <w:b/>
          <w:sz w:val="28"/>
        </w:rPr>
        <w:t>2015-024</w:t>
      </w:r>
      <w:r>
        <w:rPr>
          <w:rFonts w:ascii="宋体"/>
          <w:sz w:val="2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p>
      <w:pPr>
        <w:spacing w:line="1166" w:lineRule="exact"/>
        <w:ind w:left="3892" w:right="0" w:firstLine="0"/>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1365046" cy="740663"/>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365046" cy="740663"/>
                    </a:xfrm>
                    <a:prstGeom prst="rect">
                      <a:avLst/>
                    </a:prstGeom>
                  </pic:spPr>
                </pic:pic>
              </a:graphicData>
            </a:graphic>
          </wp:inline>
        </w:drawing>
      </w:r>
      <w:r>
        <w:rPr>
          <w:rFonts w:ascii="宋体" w:hAnsi="宋体" w:cs="宋体" w:eastAsia="宋体" w:hint="default"/>
          <w:position w:val="-22"/>
          <w:sz w:val="20"/>
          <w:szCs w:val="2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7"/>
          <w:szCs w:val="37"/>
        </w:rPr>
      </w:pPr>
    </w:p>
    <w:p>
      <w:pPr>
        <w:spacing w:before="0"/>
        <w:ind w:left="1223" w:right="2199" w:firstLine="0"/>
        <w:jc w:val="center"/>
        <w:rPr>
          <w:rFonts w:ascii="宋体" w:hAnsi="宋体" w:cs="宋体" w:eastAsia="宋体" w:hint="default"/>
          <w:sz w:val="32"/>
          <w:szCs w:val="32"/>
        </w:rPr>
      </w:pPr>
      <w:r>
        <w:rPr>
          <w:rFonts w:ascii="宋体" w:hAnsi="宋体" w:cs="宋体" w:eastAsia="宋体" w:hint="default"/>
          <w:b/>
          <w:bCs/>
          <w:sz w:val="32"/>
          <w:szCs w:val="32"/>
        </w:rPr>
        <w:t>2015</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宋体" w:hAnsi="宋体" w:cs="宋体" w:eastAsia="宋体" w:hint="default"/>
          <w:b/>
          <w:bCs/>
          <w:sz w:val="32"/>
          <w:szCs w:val="32"/>
        </w:rPr>
        <w:t>04</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5"/>
          <w:w w:val="95"/>
          <w:sz w:val="28"/>
          <w:szCs w:val="28"/>
        </w:rPr>
        <w:t> </w:t>
      </w:r>
      <w:r>
        <w:rPr>
          <w:rFonts w:ascii="宋体" w:hAnsi="宋体" w:cs="宋体" w:eastAsia="宋体" w:hint="default"/>
          <w:b/>
          <w:bCs/>
          <w:spacing w:val="25"/>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0"/>
          <w:sz w:val="28"/>
          <w:szCs w:val="28"/>
        </w:rPr>
        <w:t> </w:t>
      </w:r>
      <w:r>
        <w:rPr>
          <w:rFonts w:ascii="Times New Roman" w:hAnsi="Times New Roman" w:cs="Times New Roman" w:eastAsia="Times New Roman" w:hint="default"/>
          <w:b/>
          <w:bCs/>
          <w:sz w:val="28"/>
          <w:szCs w:val="28"/>
        </w:rPr>
        <w:t>715,200,000</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line="323" w:lineRule="exact" w:before="0"/>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0.75</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3</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w:t>
      </w:r>
      <w:r>
        <w:rPr>
          <w:rFonts w:ascii="宋体" w:hAnsi="宋体" w:cs="宋体" w:eastAsia="宋体" w:hint="default"/>
          <w:sz w:val="28"/>
          <w:szCs w:val="28"/>
        </w:rPr>
      </w:r>
    </w:p>
    <w:p>
      <w:pPr>
        <w:spacing w:line="446" w:lineRule="auto" w:before="237"/>
        <w:ind w:left="715" w:right="0" w:hanging="562"/>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7 </w:t>
      </w:r>
      <w:r>
        <w:rPr>
          <w:rFonts w:ascii="宋体" w:hAnsi="宋体" w:cs="宋体" w:eastAsia="宋体" w:hint="default"/>
          <w:b/>
          <w:bCs/>
          <w:sz w:val="28"/>
          <w:szCs w:val="28"/>
        </w:rPr>
        <w:t>股。</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公司负责人王海鹏、主管会计工作负责人袁宏贵及会计机构负责人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59"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袁宏贵声明：保证年度报告中财务报告的真实、准确、完整。</w:t>
      </w:r>
      <w:r>
        <w:rPr>
          <w:rFonts w:ascii="宋体" w:hAnsi="宋体" w:cs="宋体" w:eastAsia="宋体" w:hint="default"/>
          <w:sz w:val="28"/>
          <w:szCs w:val="28"/>
        </w:rPr>
      </w:r>
    </w:p>
    <w:p>
      <w:pPr>
        <w:spacing w:line="240" w:lineRule="auto" w:before="9"/>
        <w:rPr>
          <w:rFonts w:ascii="宋体" w:hAnsi="宋体" w:cs="宋体" w:eastAsia="宋体" w:hint="default"/>
          <w:b/>
          <w:bCs/>
          <w:sz w:val="25"/>
          <w:szCs w:val="25"/>
        </w:rPr>
      </w:pPr>
    </w:p>
    <w:p>
      <w:pPr>
        <w:spacing w:line="410" w:lineRule="auto" w:before="0"/>
        <w:ind w:left="153" w:right="0" w:firstLine="562"/>
        <w:jc w:val="left"/>
        <w:rPr>
          <w:rFonts w:ascii="宋体" w:hAnsi="宋体" w:cs="宋体" w:eastAsia="宋体" w:hint="default"/>
          <w:sz w:val="28"/>
          <w:szCs w:val="28"/>
        </w:rPr>
      </w:pPr>
      <w:r>
        <w:rPr>
          <w:rFonts w:ascii="宋体" w:hAnsi="宋体" w:cs="宋体" w:eastAsia="宋体" w:hint="default"/>
          <w:b/>
          <w:bCs/>
          <w:spacing w:val="-2"/>
          <w:w w:val="95"/>
          <w:sz w:val="28"/>
          <w:szCs w:val="28"/>
        </w:rPr>
        <w:t>本年度报告涉及未来计划等前瞻性陈述，不构成公司对投资者的实质承诺，</w:t>
      </w:r>
      <w:r>
        <w:rPr>
          <w:rFonts w:ascii="宋体" w:hAnsi="宋体" w:cs="宋体" w:eastAsia="宋体" w:hint="default"/>
          <w:b/>
          <w:bCs/>
          <w:w w:val="99"/>
          <w:sz w:val="28"/>
          <w:szCs w:val="28"/>
        </w:rPr>
        <w:t> </w:t>
      </w:r>
      <w:r>
        <w:rPr>
          <w:rFonts w:ascii="宋体" w:hAnsi="宋体" w:cs="宋体" w:eastAsia="宋体" w:hint="default"/>
          <w:b/>
          <w:bCs/>
          <w:sz w:val="28"/>
          <w:szCs w:val="28"/>
        </w:rPr>
        <w:t>请投资者注意投资风险。</w:t>
      </w:r>
      <w:r>
        <w:rPr>
          <w:rFonts w:ascii="宋体" w:hAnsi="宋体" w:cs="宋体" w:eastAsia="宋体" w:hint="default"/>
          <w:sz w:val="28"/>
          <w:szCs w:val="28"/>
        </w:rPr>
      </w:r>
    </w:p>
    <w:p>
      <w:pPr>
        <w:spacing w:after="0" w:line="410"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223" w:right="219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w:t>
            </w:r>
            <w:r>
              <w:rPr>
                <w:rFonts w:ascii="宋体" w:hAnsi="宋体" w:cs="宋体" w:eastAsia="宋体" w:hint="default"/>
              </w:rPr>
              <w:tab/>
              <w:t>6</w:t>
            </w:r>
            <w:r>
              <w:rPr>
                <w:rFonts w:ascii="宋体" w:hAnsi="宋体" w:cs="宋体" w:eastAsia="宋体" w:hint="default"/>
                <w:b w:val="0"/>
                <w:bCs w:val="0"/>
              </w:rPr>
            </w:r>
          </w:hyperlink>
        </w:p>
        <w:p>
          <w:pPr>
            <w:pStyle w:val="TOC1"/>
            <w:tabs>
              <w:tab w:pos="9781" w:val="right" w:leader="dot"/>
            </w:tabs>
            <w:spacing w:line="240" w:lineRule="auto" w:before="194"/>
            <w:ind w:right="0"/>
            <w:jc w:val="left"/>
            <w:rPr>
              <w:rFonts w:ascii="宋体" w:hAnsi="宋体" w:cs="宋体" w:eastAsia="宋体" w:hint="default"/>
              <w:b w:val="0"/>
              <w:bCs w:val="0"/>
            </w:rPr>
          </w:pPr>
          <w:hyperlink w:history="true" w:anchor="_bookmark2">
            <w:r>
              <w:rPr/>
              <w:t>第三节</w:t>
            </w:r>
            <w:r>
              <w:rPr>
                <w:spacing w:val="-1"/>
              </w:rPr>
              <w:t> </w:t>
            </w:r>
            <w:r>
              <w:rPr/>
              <w:t>会计数据和财务指标摘要</w:t>
            </w:r>
            <w:r>
              <w:rPr>
                <w:rFonts w:ascii="宋体" w:hAnsi="宋体" w:cs="宋体" w:eastAsia="宋体" w:hint="default"/>
              </w:rPr>
              <w:tab/>
              <w:t>8</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董事会报告</w:t>
            </w:r>
            <w:r>
              <w:rPr>
                <w:rFonts w:ascii="宋体" w:hAnsi="宋体" w:cs="宋体" w:eastAsia="宋体" w:hint="default"/>
              </w:rPr>
              <w:tab/>
              <w:t>10</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32</w:t>
            </w:r>
            <w:r>
              <w:rPr>
                <w:rFonts w:ascii="宋体" w:hAnsi="宋体" w:cs="宋体" w:eastAsia="宋体" w:hint="default"/>
                <w:b w:val="0"/>
                <w:bCs w:val="0"/>
              </w:rPr>
            </w:r>
          </w:hyperlink>
        </w:p>
        <w:p>
          <w:pPr>
            <w:pStyle w:val="TOC1"/>
            <w:tabs>
              <w:tab w:pos="9782" w:val="right" w:leader="dot"/>
            </w:tabs>
            <w:spacing w:line="240" w:lineRule="auto" w:before="194"/>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41</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46</w:t>
            </w:r>
            <w:r>
              <w:rPr>
                <w:rFonts w:ascii="宋体" w:hAnsi="宋体" w:cs="宋体" w:eastAsia="宋体" w:hint="default"/>
                <w:b w:val="0"/>
                <w:bCs w:val="0"/>
              </w:rPr>
            </w:r>
          </w:hyperlink>
        </w:p>
        <w:p>
          <w:pPr>
            <w:pStyle w:val="TOC1"/>
            <w:tabs>
              <w:tab w:pos="9782" w:val="right" w:leader="dot"/>
            </w:tabs>
            <w:spacing w:line="240" w:lineRule="auto" w:before="194"/>
            <w:ind w:right="0"/>
            <w:jc w:val="left"/>
            <w:rPr>
              <w:rFonts w:ascii="宋体" w:hAnsi="宋体" w:cs="宋体" w:eastAsia="宋体" w:hint="default"/>
              <w:b w:val="0"/>
              <w:bCs w:val="0"/>
            </w:rPr>
          </w:pPr>
          <w:hyperlink w:history="true" w:anchor="_bookmark7">
            <w:r>
              <w:rPr/>
              <w:t>第八节</w:t>
            </w:r>
            <w:r>
              <w:rPr>
                <w:spacing w:val="-1"/>
              </w:rPr>
              <w:t> </w:t>
            </w:r>
            <w:r>
              <w:rPr/>
              <w:t>董事、监事、高级管理人员和员工情况</w:t>
            </w:r>
            <w:r>
              <w:rPr>
                <w:rFonts w:ascii="宋体" w:hAnsi="宋体" w:cs="宋体" w:eastAsia="宋体" w:hint="default"/>
              </w:rPr>
              <w:tab/>
              <w:t>47</w:t>
            </w:r>
            <w:r>
              <w:rPr>
                <w:rFonts w:ascii="宋体" w:hAnsi="宋体" w:cs="宋体" w:eastAsia="宋体" w:hint="default"/>
                <w:b w:val="0"/>
                <w:bCs w:val="0"/>
              </w:rPr>
            </w:r>
          </w:hyperlink>
        </w:p>
        <w:p>
          <w:pPr>
            <w:pStyle w:val="TOC1"/>
            <w:tabs>
              <w:tab w:pos="9782" w:val="right" w:leader="dot"/>
            </w:tabs>
            <w:spacing w:line="240" w:lineRule="auto" w:before="194"/>
            <w:ind w:right="0"/>
            <w:jc w:val="left"/>
            <w:rPr>
              <w:rFonts w:ascii="宋体" w:hAnsi="宋体" w:cs="宋体" w:eastAsia="宋体" w:hint="default"/>
              <w:b w:val="0"/>
              <w:bCs w:val="0"/>
            </w:rPr>
          </w:pPr>
          <w:hyperlink w:history="true" w:anchor="_bookmark8">
            <w:r>
              <w:rPr/>
              <w:t>第九节</w:t>
            </w:r>
            <w:r>
              <w:rPr>
                <w:spacing w:val="-1"/>
              </w:rPr>
              <w:t> </w:t>
            </w:r>
            <w:r>
              <w:rPr/>
              <w:t>公司治理</w:t>
            </w:r>
            <w:r>
              <w:rPr>
                <w:rFonts w:ascii="宋体" w:hAnsi="宋体" w:cs="宋体" w:eastAsia="宋体" w:hint="default"/>
              </w:rPr>
              <w:tab/>
              <w:t>53</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1"/>
              </w:rPr>
              <w:t> </w:t>
            </w:r>
            <w:r>
              <w:rPr/>
              <w:t>内部控制</w:t>
            </w:r>
            <w:r>
              <w:rPr>
                <w:rFonts w:ascii="宋体" w:hAnsi="宋体" w:cs="宋体" w:eastAsia="宋体" w:hint="default"/>
              </w:rPr>
              <w:tab/>
              <w:t>59</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1"/>
              </w:rPr>
              <w:t> </w:t>
            </w:r>
            <w:r>
              <w:rPr/>
              <w:t>财务报告</w:t>
            </w:r>
            <w:r>
              <w:rPr>
                <w:rFonts w:ascii="宋体" w:hAnsi="宋体" w:cs="宋体" w:eastAsia="宋体" w:hint="default"/>
              </w:rPr>
              <w:tab/>
              <w:t>62</w:t>
            </w:r>
            <w:r>
              <w:rPr>
                <w:rFonts w:ascii="宋体" w:hAnsi="宋体" w:cs="宋体" w:eastAsia="宋体" w:hint="default"/>
                <w:b w:val="0"/>
                <w:bCs w:val="0"/>
              </w:rPr>
            </w:r>
          </w:hyperlink>
        </w:p>
        <w:p>
          <w:pPr>
            <w:pStyle w:val="TOC1"/>
            <w:tabs>
              <w:tab w:pos="9783" w:val="right" w:leader="dot"/>
            </w:tabs>
            <w:spacing w:line="240" w:lineRule="auto" w:before="194"/>
            <w:ind w:right="0"/>
            <w:jc w:val="left"/>
            <w:rPr>
              <w:rFonts w:ascii="宋体" w:hAnsi="宋体" w:cs="宋体" w:eastAsia="宋体" w:hint="default"/>
              <w:b w:val="0"/>
              <w:bCs w:val="0"/>
            </w:rPr>
          </w:pPr>
          <w:hyperlink w:history="true" w:anchor="_bookmark11">
            <w:r>
              <w:rPr/>
              <w:t>第十二节</w:t>
            </w:r>
            <w:r>
              <w:rPr>
                <w:spacing w:val="-2"/>
              </w:rPr>
              <w:t> </w:t>
            </w:r>
            <w:r>
              <w:rPr/>
              <w:t>备查文件目录</w:t>
            </w:r>
            <w:r>
              <w:rPr>
                <w:rFonts w:ascii="宋体" w:hAnsi="宋体" w:cs="宋体" w:eastAsia="宋体" w:hint="default"/>
              </w:rPr>
              <w:tab/>
              <w:t>157</w:t>
            </w:r>
            <w:r>
              <w:rPr>
                <w:rFonts w:ascii="宋体" w:hAnsi="宋体" w:cs="宋体" w:eastAsia="宋体"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1223" w:right="219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公司、本公司、美盈森、深圳美盈森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深圳市美盈森环保科技股份有限公司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东莞美盈森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东莞市美盈森环保科技有限公司，系公司全资子公司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苏州美盈森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苏州美盈森环保科技有限公司，系公司全资子公司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重庆美盈森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重庆市美盈森环保包装工程有限公司，系公司全资子公司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东莞美芯龙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东莞市美芯龙物联网科技有限公司，系公司全资子公司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金之彩</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深圳市金之彩文化创意有限公司，系公司控股子公司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泸美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四川泸美供应链管理有限公司，系公司控股子公司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汇天云网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汇天云网集团有限公司，系公司控股子公司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1223" w:right="2200"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00" w:lineRule="auto" w:before="0"/>
        <w:ind w:left="153" w:right="0" w:firstLine="562"/>
        <w:jc w:val="left"/>
        <w:rPr>
          <w:rFonts w:ascii="宋体" w:hAnsi="宋体" w:cs="宋体" w:eastAsia="宋体" w:hint="default"/>
          <w:sz w:val="28"/>
          <w:szCs w:val="28"/>
        </w:rPr>
      </w:pPr>
      <w:r>
        <w:rPr>
          <w:rFonts w:ascii="宋体" w:hAnsi="宋体" w:cs="宋体" w:eastAsia="宋体" w:hint="default"/>
          <w:b/>
          <w:bCs/>
          <w:spacing w:val="3"/>
          <w:sz w:val="28"/>
          <w:szCs w:val="28"/>
        </w:rPr>
        <w:t>本公司不存在对公司生产经营状况、财务状况和持续盈利能力具有不利影</w:t>
      </w:r>
      <w:r>
        <w:rPr>
          <w:rFonts w:ascii="宋体" w:hAnsi="宋体" w:cs="宋体" w:eastAsia="宋体" w:hint="default"/>
          <w:b/>
          <w:bCs/>
          <w:w w:val="99"/>
          <w:sz w:val="28"/>
          <w:szCs w:val="28"/>
        </w:rPr>
        <w:t> </w:t>
      </w:r>
      <w:r>
        <w:rPr>
          <w:rFonts w:ascii="宋体" w:hAnsi="宋体" w:cs="宋体" w:eastAsia="宋体" w:hint="default"/>
          <w:b/>
          <w:bCs/>
          <w:spacing w:val="3"/>
          <w:sz w:val="28"/>
          <w:szCs w:val="28"/>
        </w:rPr>
        <w:t>响的重大风险因素。本公司请投资者认真阅读本年度报告全文，并特别注意公</w:t>
      </w:r>
      <w:r>
        <w:rPr>
          <w:rFonts w:ascii="宋体" w:hAnsi="宋体" w:cs="宋体" w:eastAsia="宋体" w:hint="default"/>
          <w:b/>
          <w:bCs/>
          <w:w w:val="99"/>
          <w:sz w:val="28"/>
          <w:szCs w:val="28"/>
        </w:rPr>
        <w:t> </w:t>
      </w:r>
      <w:r>
        <w:rPr>
          <w:rFonts w:ascii="宋体" w:hAnsi="宋体" w:cs="宋体" w:eastAsia="宋体" w:hint="default"/>
          <w:b/>
          <w:bCs/>
          <w:spacing w:val="-5"/>
          <w:w w:val="95"/>
          <w:sz w:val="28"/>
          <w:szCs w:val="28"/>
        </w:rPr>
        <w:t>司可能面临的包括行业竞争、市场等风险因素。详细内容见本报告</w:t>
      </w:r>
      <w:r>
        <w:rPr>
          <w:rFonts w:ascii="Times New Roman" w:hAnsi="Times New Roman" w:cs="Times New Roman" w:eastAsia="Times New Roman" w:hint="default"/>
          <w:b/>
          <w:bCs/>
          <w:spacing w:val="-5"/>
          <w:w w:val="95"/>
          <w:sz w:val="28"/>
          <w:szCs w:val="28"/>
        </w:rPr>
        <w:t>“</w:t>
      </w:r>
      <w:r>
        <w:rPr>
          <w:rFonts w:ascii="宋体" w:hAnsi="宋体" w:cs="宋体" w:eastAsia="宋体" w:hint="default"/>
          <w:b/>
          <w:bCs/>
          <w:spacing w:val="-5"/>
          <w:w w:val="95"/>
          <w:sz w:val="28"/>
          <w:szCs w:val="28"/>
        </w:rPr>
        <w:t>第四节（八）</w:t>
      </w:r>
      <w:r>
        <w:rPr>
          <w:rFonts w:ascii="宋体" w:hAnsi="宋体" w:cs="宋体" w:eastAsia="宋体" w:hint="default"/>
          <w:b/>
          <w:bCs/>
          <w:spacing w:val="61"/>
          <w:w w:val="95"/>
          <w:sz w:val="28"/>
          <w:szCs w:val="28"/>
        </w:rPr>
        <w:t> </w:t>
      </w:r>
      <w:r>
        <w:rPr>
          <w:rFonts w:ascii="宋体" w:hAnsi="宋体" w:cs="宋体" w:eastAsia="宋体" w:hint="default"/>
          <w:b/>
          <w:bCs/>
          <w:spacing w:val="61"/>
          <w:w w:val="95"/>
          <w:sz w:val="28"/>
          <w:szCs w:val="28"/>
        </w:rPr>
      </w:r>
      <w:r>
        <w:rPr>
          <w:rFonts w:ascii="宋体" w:hAnsi="宋体" w:cs="宋体" w:eastAsia="宋体" w:hint="default"/>
          <w:b/>
          <w:bCs/>
          <w:sz w:val="28"/>
          <w:szCs w:val="28"/>
        </w:rPr>
        <w:t>发展面临挑战及其他可能存在的风险及应对措施分析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after="0" w:line="400" w:lineRule="auto"/>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69.779968pt;width:361.5pt;height:19.6pt;mso-position-horizontal-relative:page;mso-position-vertical-relative:page;z-index:-842128" coordorigin="3447,5396" coordsize="7230,392">
            <v:shape style="position:absolute;left:3447;top:5396;width:7230;height:392" coordorigin="3447,5396" coordsize="7230,392" path="m3447,5787l10676,5787,10676,5396,3447,5396,3447,578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2201"/>
        <w:jc w:val="center"/>
        <w:rPr>
          <w:b w:val="0"/>
          <w:bCs w:val="0"/>
        </w:rPr>
      </w:pPr>
      <w:bookmarkStart w:name="第二节 公司简介" w:id="3"/>
      <w:bookmarkEnd w:id="3"/>
      <w:r>
        <w:rPr>
          <w:b w:val="0"/>
          <w:bCs w:val="0"/>
        </w:rPr>
      </w:r>
      <w:bookmarkStart w:name="_bookmark1" w:id="4"/>
      <w:bookmarkEnd w:id="4"/>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美盈森</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002303</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深圳市美盈森环保科技股份有限公司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美盈森</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MYS Environmental Protection &amp; Technology Company</w:t>
            </w:r>
            <w:r>
              <w:rPr>
                <w:rFonts w:ascii="Times New Roman"/>
                <w:spacing w:val="-32"/>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MYS</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王海鹏</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深圳市光明新区光明新陂头村美盈森厂区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栋</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518107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深圳市光明新区光明新陂头村美盈森厂区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栋</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518107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www.szmys.com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mys.stock@szmys.com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刘会丰</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深圳市光明新区光明新陂头村美盈森厂 区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栋</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深圳市光明新区光明新陂头村美盈森厂 区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栋</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0755-29751666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0755-29751666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0755-28234302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0755-28234302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mys.stock@szmys.com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mys.stock@szmys.com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6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440306102876659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9"/>
              <w:jc w:val="right"/>
              <w:rPr>
                <w:rFonts w:ascii="Times New Roman" w:hAnsi="Times New Roman" w:cs="Times New Roman" w:eastAsia="Times New Roman" w:hint="default"/>
                <w:sz w:val="18"/>
                <w:szCs w:val="18"/>
              </w:rPr>
            </w:pPr>
            <w:r>
              <w:rPr>
                <w:rFonts w:ascii="Times New Roman"/>
                <w:sz w:val="18"/>
              </w:rPr>
              <w:t>440301723000100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72300010-0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6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440306102876659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9"/>
              <w:jc w:val="right"/>
              <w:rPr>
                <w:rFonts w:ascii="Times New Roman" w:hAnsi="Times New Roman" w:cs="Times New Roman" w:eastAsia="Times New Roman" w:hint="default"/>
                <w:sz w:val="18"/>
                <w:szCs w:val="18"/>
              </w:rPr>
            </w:pPr>
            <w:r>
              <w:rPr>
                <w:rFonts w:ascii="Times New Roman"/>
                <w:sz w:val="18"/>
              </w:rPr>
              <w:t>440301723000100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72300010-0</w:t>
            </w:r>
          </w:p>
        </w:tc>
      </w:tr>
      <w:tr>
        <w:trPr>
          <w:trHeight w:val="714" w:hRule="exact"/>
        </w:trPr>
        <w:tc>
          <w:tcPr>
            <w:tcW w:w="31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北京市海淀区知春路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号学院国际大厦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1504  </w:t>
            </w:r>
            <w:r>
              <w:rPr>
                <w:rFonts w:ascii="宋体" w:hAnsi="宋体" w:cs="宋体" w:eastAsia="宋体" w:hint="default"/>
                <w:sz w:val="18"/>
                <w:szCs w:val="18"/>
              </w:rPr>
              <w:t>室</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陈菁佩 、陈鹏</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三节 会计数据和财务指标摘要" w:id="10"/>
      <w:bookmarkEnd w:id="10"/>
      <w:r>
        <w:rPr>
          <w:b w:val="0"/>
          <w:bCs w:val="0"/>
        </w:rPr>
      </w:r>
      <w:bookmarkStart w:name="_bookmark2" w:id="11"/>
      <w:bookmarkEnd w:id="11"/>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1,563,222,281.96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1,305,636,964.84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1,033,500,559.99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261,540,481.25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174,070,348.95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107,191,947.89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249,588,508.58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164,256,102.89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107,152,521.76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292,618,451.84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269,107,118.25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163,472,168.96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0.1499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0.1499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2,925,621,742.82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2,647,652,964.46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2,163,615,636.49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2,196,706,155.08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1,963,741,620.63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1,808,594,438.20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境内外会计准则下会计数据差异" w:id="13"/>
      <w:bookmarkEnd w:id="13"/>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同时按照国际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21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同时按照境外会计准则与按照中国会计准则披露的财务报告中净利润和净资产差异情况" w:id="15"/>
      <w:bookmarkEnd w:id="15"/>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三、非经常性损益项目及金额" w:id="16"/>
      <w:bookmarkEnd w:id="16"/>
      <w:r>
        <w:rPr>
          <w:b w:val="0"/>
          <w:bCs w:val="0"/>
        </w:rPr>
      </w:r>
      <w:r>
        <w:rPr/>
        <w:t>三、非经常性损益项目及金额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39,696.42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50,022.46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-2,087,742.77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17,398,325.48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12,990,319.68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2,198,796.00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-213,394.78</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146,339.21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105,065.55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2,962,754.73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2,867,178.39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176,692.65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2,309,899.72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505,256.90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11,951,972.67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9,814,246.06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39,426.13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19"/>
      <w:bookmarkEnd w:id="19"/>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4"/>
        </w:rPr>
        <w:t>报告期内，公司实现研发能力的持续增强、产品附加值的不断提升、新客户开发卓有成效，创新商业模式得以顺利实施。</w:t>
      </w:r>
      <w:r>
        <w:rPr/>
        <w:t> </w:t>
      </w:r>
      <w:r>
        <w:rPr>
          <w:spacing w:val="-2"/>
        </w:rPr>
        <w:t>凭借突出的包装一体化整体服务能力，公司获得更多新合作客户的认可，新客户订单逐步释放。同比上年，公司销售收入实</w:t>
      </w:r>
      <w:r>
        <w:rPr>
          <w:spacing w:val="-66"/>
        </w:rPr>
        <w:t> </w:t>
      </w:r>
      <w:r>
        <w:rPr>
          <w:spacing w:val="-66"/>
        </w:rPr>
      </w:r>
      <w:r>
        <w:rPr/>
        <w:t>现一定程度增长，净利润同比实现大幅提升，公司发展势头良好。</w:t>
      </w:r>
    </w:p>
    <w:p>
      <w:pPr>
        <w:pStyle w:val="BodyText"/>
        <w:spacing w:line="300" w:lineRule="auto" w:before="139"/>
        <w:ind w:left="154" w:right="1197" w:firstLine="360"/>
        <w:jc w:val="left"/>
      </w:pPr>
      <w:r>
        <w:rPr>
          <w:rFonts w:ascii="Times New Roman" w:hAnsi="Times New Roman" w:cs="Times New Roman" w:eastAsia="Times New Roman" w:hint="default"/>
        </w:rPr>
        <w:t>2014</w:t>
      </w:r>
      <w:r>
        <w:rPr/>
        <w:t>年度，公司实现营业收入</w:t>
      </w:r>
      <w:r>
        <w:rPr>
          <w:rFonts w:ascii="Times New Roman" w:hAnsi="Times New Roman" w:cs="Times New Roman" w:eastAsia="Times New Roman" w:hint="default"/>
        </w:rPr>
        <w:t>15.63</w:t>
      </w:r>
      <w:r>
        <w:rPr/>
        <w:t>亿元，比上年同期增长</w:t>
      </w:r>
      <w:r>
        <w:rPr>
          <w:rFonts w:ascii="Times New Roman" w:hAnsi="Times New Roman" w:cs="Times New Roman" w:eastAsia="Times New Roman" w:hint="default"/>
        </w:rPr>
        <w:t>19.73%</w:t>
      </w:r>
      <w:r>
        <w:rPr/>
        <w:t>；实现归属于上市公司股东的净利润</w:t>
      </w:r>
      <w:r>
        <w:rPr>
          <w:rFonts w:ascii="Times New Roman" w:hAnsi="Times New Roman" w:cs="Times New Roman" w:eastAsia="Times New Roman" w:hint="default"/>
        </w:rPr>
        <w:t>2.62</w:t>
      </w:r>
      <w:r>
        <w:rPr/>
        <w:t>亿元，比上 年同期上升</w:t>
      </w:r>
      <w:r>
        <w:rPr>
          <w:rFonts w:ascii="Times New Roman" w:hAnsi="Times New Roman" w:cs="Times New Roman" w:eastAsia="Times New Roman" w:hint="default"/>
        </w:rPr>
        <w:t>50.25%</w:t>
      </w:r>
      <w:r>
        <w:rPr/>
        <w:t>。</w:t>
      </w:r>
    </w:p>
    <w:p>
      <w:pPr>
        <w:pStyle w:val="BodyText"/>
        <w:spacing w:line="316" w:lineRule="auto" w:before="133"/>
        <w:ind w:right="0" w:firstLine="360"/>
        <w:jc w:val="left"/>
      </w:pPr>
      <w:r>
        <w:rPr>
          <w:spacing w:val="-2"/>
        </w:rPr>
        <w:t>报告期内，公司持续推进新客户开发，不断提升研发能力，积极创新客户服务模式，开启将包装印刷和纸制品产业通过</w:t>
      </w:r>
      <w:r>
        <w:rPr/>
        <w:t> 互联网和定制化运营的道路，推动公司持续稳健增长，并逐步形成新的业务增长点。具体如下：</w:t>
      </w:r>
    </w:p>
    <w:p>
      <w:pPr>
        <w:pStyle w:val="BodyText"/>
        <w:spacing w:line="302" w:lineRule="auto" w:before="139"/>
        <w:ind w:right="1036" w:firstLine="360"/>
        <w:jc w:val="left"/>
      </w:pPr>
      <w:r>
        <w:rPr/>
        <w:t>新客户开发方面，公司继续实施</w:t>
      </w:r>
      <w:r>
        <w:rPr>
          <w:rFonts w:ascii="Times New Roman" w:hAnsi="Times New Roman" w:cs="Times New Roman" w:eastAsia="Times New Roman" w:hint="default"/>
        </w:rPr>
        <w:t>“</w:t>
      </w:r>
      <w:r>
        <w:rPr/>
        <w:t>积极开发多领域高端客户，包括智能终端（平板电脑、智能手机等）、可穿戴智能设 备、电子通讯、化妆品、食品饮料保健品等品牌消费品类以及其他类高端客户</w:t>
      </w:r>
      <w:r>
        <w:rPr>
          <w:rFonts w:ascii="Times New Roman" w:hAnsi="Times New Roman" w:cs="Times New Roman" w:eastAsia="Times New Roman" w:hint="default"/>
        </w:rPr>
        <w:t>”</w:t>
      </w:r>
      <w:r>
        <w:rPr/>
        <w:t>的市场开发战略，先后获得了深圳市中兴移 动通信有限公司、惠州市吉瑞科技有限公司、</w:t>
      </w:r>
      <w:r>
        <w:rPr>
          <w:rFonts w:ascii="Times New Roman" w:hAnsi="Times New Roman" w:cs="Times New Roman" w:eastAsia="Times New Roman" w:hint="default"/>
        </w:rPr>
        <w:t>Tempe</w:t>
      </w:r>
      <w:r>
        <w:rPr>
          <w:rFonts w:ascii="Times New Roman" w:hAnsi="Times New Roman" w:cs="Times New Roman" w:eastAsia="Times New Roman" w:hint="default"/>
          <w:spacing w:val="-12"/>
        </w:rPr>
        <w:t> </w:t>
      </w:r>
      <w:r>
        <w:rPr>
          <w:rFonts w:ascii="Times New Roman" w:hAnsi="Times New Roman" w:cs="Times New Roman" w:eastAsia="Times New Roman" w:hint="default"/>
        </w:rPr>
        <w:t>Trading</w:t>
      </w:r>
      <w:r>
        <w:rPr>
          <w:rFonts w:ascii="Times New Roman" w:hAnsi="Times New Roman" w:cs="Times New Roman" w:eastAsia="Times New Roman" w:hint="default"/>
          <w:spacing w:val="-11"/>
        </w:rPr>
        <w:t> </w:t>
      </w:r>
      <w:r>
        <w:rPr>
          <w:rFonts w:ascii="Times New Roman" w:hAnsi="Times New Roman" w:cs="Times New Roman" w:eastAsia="Times New Roman" w:hint="default"/>
        </w:rPr>
        <w:t>S.A.</w:t>
      </w:r>
      <w:r>
        <w:rPr>
          <w:rFonts w:ascii="Times New Roman" w:hAnsi="Times New Roman" w:cs="Times New Roman" w:eastAsia="Times New Roman" w:hint="default"/>
          <w:spacing w:val="-11"/>
        </w:rPr>
        <w:t> </w:t>
      </w:r>
      <w:r>
        <w:rPr>
          <w:rFonts w:ascii="Times New Roman" w:hAnsi="Times New Roman" w:cs="Times New Roman" w:eastAsia="Times New Roman" w:hint="default"/>
        </w:rPr>
        <w:t>Grupo</w:t>
      </w:r>
      <w:r>
        <w:rPr>
          <w:rFonts w:ascii="Times New Roman" w:hAnsi="Times New Roman" w:cs="Times New Roman" w:eastAsia="Times New Roman" w:hint="default"/>
          <w:spacing w:val="-14"/>
        </w:rPr>
        <w:t> </w:t>
      </w:r>
      <w:r>
        <w:rPr>
          <w:rFonts w:ascii="Times New Roman" w:hAnsi="Times New Roman" w:cs="Times New Roman" w:eastAsia="Times New Roman" w:hint="default"/>
        </w:rPr>
        <w:t>Inditex</w:t>
      </w:r>
      <w:r>
        <w:rPr/>
        <w:t>、</w:t>
      </w:r>
      <w:r>
        <w:rPr>
          <w:rFonts w:ascii="Times New Roman" w:hAnsi="Times New Roman" w:cs="Times New Roman" w:eastAsia="Times New Roman" w:hint="default"/>
        </w:rPr>
        <w:t>Harman</w:t>
      </w:r>
      <w:r>
        <w:rPr>
          <w:rFonts w:ascii="Times New Roman" w:hAnsi="Times New Roman" w:cs="Times New Roman" w:eastAsia="Times New Roman" w:hint="default"/>
          <w:spacing w:val="-11"/>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12"/>
        </w:rPr>
        <w:t> </w:t>
      </w:r>
      <w:r>
        <w:rPr>
          <w:rFonts w:ascii="Times New Roman" w:hAnsi="Times New Roman" w:cs="Times New Roman" w:eastAsia="Times New Roman" w:hint="default"/>
        </w:rPr>
        <w:t>Industries</w:t>
      </w:r>
      <w:r>
        <w:rPr/>
        <w:t>、艾默生环境 </w:t>
      </w:r>
      <w:r>
        <w:rPr>
          <w:spacing w:val="-3"/>
        </w:rPr>
        <w:t>优化技术（苏州）有限公司、</w:t>
      </w:r>
      <w:r>
        <w:rPr>
          <w:rFonts w:ascii="Times New Roman" w:hAnsi="Times New Roman" w:cs="Times New Roman" w:eastAsia="Times New Roman" w:hint="default"/>
          <w:spacing w:val="-3"/>
        </w:rPr>
        <w:t>Scotts</w:t>
      </w:r>
      <w:r>
        <w:rPr>
          <w:rFonts w:ascii="Times New Roman" w:hAnsi="Times New Roman" w:cs="Times New Roman" w:eastAsia="Times New Roman" w:hint="default"/>
          <w:spacing w:val="-19"/>
        </w:rPr>
        <w:t> </w:t>
      </w:r>
      <w:r>
        <w:rPr>
          <w:rFonts w:ascii="Times New Roman" w:hAnsi="Times New Roman" w:cs="Times New Roman" w:eastAsia="Times New Roman" w:hint="default"/>
        </w:rPr>
        <w:t>Australia</w:t>
      </w:r>
      <w:r>
        <w:rPr>
          <w:rFonts w:ascii="Times New Roman" w:hAnsi="Times New Roman" w:cs="Times New Roman" w:eastAsia="Times New Roman" w:hint="default"/>
          <w:spacing w:val="-17"/>
        </w:rPr>
        <w:t> </w:t>
      </w:r>
      <w:r>
        <w:rPr>
          <w:rFonts w:ascii="Times New Roman" w:hAnsi="Times New Roman" w:cs="Times New Roman" w:eastAsia="Times New Roman" w:hint="default"/>
        </w:rPr>
        <w:t>Pty</w:t>
      </w:r>
      <w:r>
        <w:rPr>
          <w:rFonts w:ascii="Times New Roman" w:hAnsi="Times New Roman" w:cs="Times New Roman" w:eastAsia="Times New Roman" w:hint="default"/>
          <w:spacing w:val="-17"/>
        </w:rPr>
        <w:t> </w:t>
      </w:r>
      <w:r>
        <w:rPr>
          <w:rFonts w:ascii="Times New Roman" w:hAnsi="Times New Roman" w:cs="Times New Roman" w:eastAsia="Times New Roman" w:hint="default"/>
        </w:rPr>
        <w:t>Ltd</w:t>
      </w:r>
      <w:r>
        <w:rPr/>
        <w:t>、</w:t>
      </w:r>
      <w:r>
        <w:rPr>
          <w:rFonts w:ascii="Times New Roman" w:hAnsi="Times New Roman" w:cs="Times New Roman" w:eastAsia="Times New Roman" w:hint="default"/>
        </w:rPr>
        <w:t>Lowe‟s</w:t>
      </w:r>
      <w:r>
        <w:rPr>
          <w:rFonts w:ascii="Times New Roman" w:hAnsi="Times New Roman" w:cs="Times New Roman" w:eastAsia="Times New Roman" w:hint="default"/>
          <w:spacing w:val="-18"/>
        </w:rPr>
        <w:t> </w:t>
      </w:r>
      <w:r>
        <w:rPr>
          <w:rFonts w:ascii="Times New Roman" w:hAnsi="Times New Roman" w:cs="Times New Roman" w:eastAsia="Times New Roman" w:hint="default"/>
        </w:rPr>
        <w:t>Companies,</w:t>
      </w:r>
      <w:r>
        <w:rPr>
          <w:rFonts w:ascii="Times New Roman" w:hAnsi="Times New Roman" w:cs="Times New Roman" w:eastAsia="Times New Roman" w:hint="default"/>
          <w:spacing w:val="-18"/>
        </w:rPr>
        <w:t> </w:t>
      </w:r>
      <w:r>
        <w:rPr>
          <w:rFonts w:ascii="Times New Roman" w:hAnsi="Times New Roman" w:cs="Times New Roman" w:eastAsia="Times New Roman" w:hint="default"/>
        </w:rPr>
        <w:t>Inc</w:t>
      </w:r>
      <w:r>
        <w:rPr/>
        <w:t>、</w:t>
      </w:r>
      <w:r>
        <w:rPr>
          <w:rFonts w:ascii="Times New Roman" w:hAnsi="Times New Roman" w:cs="Times New Roman" w:eastAsia="Times New Roman" w:hint="default"/>
        </w:rPr>
        <w:t>Shell</w:t>
      </w:r>
      <w:r>
        <w:rPr>
          <w:rFonts w:ascii="Times New Roman" w:hAnsi="Times New Roman" w:cs="Times New Roman" w:eastAsia="Times New Roman" w:hint="default"/>
          <w:spacing w:val="-18"/>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18"/>
        </w:rPr>
        <w:t> </w:t>
      </w:r>
      <w:r>
        <w:rPr>
          <w:rFonts w:ascii="Times New Roman" w:hAnsi="Times New Roman" w:cs="Times New Roman" w:eastAsia="Times New Roman" w:hint="default"/>
        </w:rPr>
        <w:t>Limited</w:t>
      </w:r>
      <w:r>
        <w:rPr/>
        <w:t>、中国移动通信有限公司、 </w:t>
      </w:r>
      <w:r>
        <w:rPr>
          <w:rFonts w:ascii="Times New Roman" w:hAnsi="Times New Roman" w:cs="Times New Roman" w:eastAsia="Times New Roman" w:hint="default"/>
        </w:rPr>
        <w:t>Diageo</w:t>
      </w:r>
      <w:r>
        <w:rPr>
          <w:rFonts w:ascii="Times New Roman" w:hAnsi="Times New Roman" w:cs="Times New Roman" w:eastAsia="Times New Roman" w:hint="default"/>
          <w:spacing w:val="-2"/>
        </w:rPr>
        <w:t> </w:t>
      </w:r>
      <w:r>
        <w:rPr>
          <w:rFonts w:ascii="Times New Roman" w:hAnsi="Times New Roman" w:cs="Times New Roman" w:eastAsia="Times New Roman" w:hint="default"/>
        </w:rPr>
        <w:t>plc</w:t>
      </w:r>
      <w:r>
        <w:rPr/>
        <w:t>、</w:t>
      </w:r>
      <w:r>
        <w:rPr>
          <w:rFonts w:ascii="Times New Roman" w:hAnsi="Times New Roman" w:cs="Times New Roman" w:eastAsia="Times New Roman" w:hint="default"/>
        </w:rPr>
        <w:t>Sonos,Incorporated</w:t>
      </w:r>
      <w:r>
        <w:rPr/>
        <w:t>等在内的众多优质客户的包装产品供应资质。新客户的不断开发，进一步丰富了公司高端客</w:t>
      </w:r>
      <w:r>
        <w:rPr>
          <w:w w:val="99"/>
        </w:rPr>
        <w:t> </w:t>
      </w:r>
      <w:r>
        <w:rPr>
          <w:spacing w:val="-2"/>
        </w:rPr>
        <w:t>户资源，为公司未来的持续快速增长奠定坚实的基础；同时，公司新开发高端客户分布不同领域，形成示范效应，进一步打</w:t>
      </w:r>
      <w:r>
        <w:rPr>
          <w:spacing w:val="-67"/>
        </w:rPr>
        <w:t> </w:t>
      </w:r>
      <w:r>
        <w:rPr>
          <w:spacing w:val="-67"/>
        </w:rPr>
      </w:r>
      <w:r>
        <w:rPr/>
        <w:t>开市场空间。</w:t>
      </w:r>
    </w:p>
    <w:p>
      <w:pPr>
        <w:pStyle w:val="BodyText"/>
        <w:spacing w:line="316" w:lineRule="auto" w:before="150"/>
        <w:ind w:right="0" w:firstLine="360"/>
        <w:jc w:val="left"/>
      </w:pPr>
      <w:r>
        <w:rPr>
          <w:spacing w:val="-2"/>
        </w:rPr>
        <w:t>研发方面，公司持续加强在包装产品外观创意设计、结构创新设计、包装方案优化、生产工艺等包装整体解决方案方面</w:t>
      </w:r>
      <w:r>
        <w:rPr/>
        <w:t> 的研发工作，产品附加值、客户美誉度不断提升，毛利水平相应提高。</w:t>
      </w:r>
    </w:p>
    <w:p>
      <w:pPr>
        <w:pStyle w:val="BodyText"/>
        <w:spacing w:line="316" w:lineRule="auto" w:before="139"/>
        <w:ind w:right="1131" w:firstLine="360"/>
        <w:jc w:val="both"/>
      </w:pPr>
      <w:r>
        <w:rPr>
          <w:spacing w:val="-2"/>
        </w:rPr>
        <w:t>创新客户服务模式方面，公司进一步深化包装一体化服务模式，通过与客户、供应商三方深度合作的方式，创新性的建</w:t>
      </w:r>
      <w:r>
        <w:rPr/>
        <w:t> </w:t>
      </w:r>
      <w:r>
        <w:rPr>
          <w:spacing w:val="-2"/>
        </w:rPr>
        <w:t>立了包材整装供应平台，有效提高客户包材供应链的整体竞争实力和一体化服务水平，降低综合成本从而获得良好的经济效</w:t>
      </w:r>
      <w:r>
        <w:rPr>
          <w:spacing w:val="-64"/>
        </w:rPr>
        <w:t> </w:t>
      </w:r>
      <w:r>
        <w:rPr>
          <w:spacing w:val="-64"/>
        </w:rPr>
      </w:r>
      <w:r>
        <w:rPr>
          <w:spacing w:val="-2"/>
        </w:rPr>
        <w:t>益和社会效益，实现多方共赢。公司通过创新性的服务模式，进一步增强公司客户服务能力和客户合作黏性，未来可通过向</w:t>
      </w:r>
      <w:r>
        <w:rPr>
          <w:spacing w:val="-66"/>
        </w:rPr>
        <w:t> </w:t>
      </w:r>
      <w:r>
        <w:rPr>
          <w:spacing w:val="-66"/>
        </w:rPr>
      </w:r>
      <w:r>
        <w:rPr/>
        <w:t>更多的客户进行推广和复制，以轻资产运营方式，进一步打开包装市场空间。</w:t>
      </w:r>
    </w:p>
    <w:p>
      <w:pPr>
        <w:pStyle w:val="BodyText"/>
        <w:spacing w:line="316" w:lineRule="auto" w:before="139"/>
        <w:ind w:right="1131" w:firstLine="360"/>
        <w:jc w:val="both"/>
      </w:pPr>
      <w:r>
        <w:rPr>
          <w:spacing w:val="-2"/>
        </w:rPr>
        <w:t>报告期内，公司顺应包装印刷产业互联网化、定制化新业态，通过外延扩张的方式进入产业互联网领域。公司已经开始</w:t>
      </w:r>
      <w:r>
        <w:rPr/>
        <w:t> </w:t>
      </w:r>
      <w:r>
        <w:rPr>
          <w:spacing w:val="-2"/>
        </w:rPr>
        <w:t>对汇天云网成熟的互联网商业模式逐步进行优化和升级，以形成公司新的业务增长极。具体业务方向为：一方面，通过建立</w:t>
      </w:r>
      <w:r>
        <w:rPr>
          <w:spacing w:val="-66"/>
        </w:rPr>
        <w:t> </w:t>
      </w:r>
      <w:r>
        <w:rPr>
          <w:spacing w:val="-66"/>
        </w:rPr>
      </w:r>
      <w:r>
        <w:rPr>
          <w:spacing w:val="-2"/>
        </w:rPr>
        <w:t>互联网平台和电子商务业务模式，并在电子商务平台增加入口，拉近公司开发的各类创意创新产品与直接消费者的距离，有</w:t>
      </w:r>
      <w:r>
        <w:rPr>
          <w:spacing w:val="-66"/>
        </w:rPr>
        <w:t> </w:t>
      </w:r>
      <w:r>
        <w:rPr>
          <w:spacing w:val="-66"/>
        </w:rPr>
      </w:r>
      <w:r>
        <w:rPr>
          <w:spacing w:val="-2"/>
        </w:rPr>
        <w:t>利于公司创意产品的市场拓展，通过设计创意和产品创新创造了新的消费需求，有利于提升公司品牌知名度和公司业务规模</w:t>
      </w:r>
      <w:r>
        <w:rPr>
          <w:spacing w:val="-64"/>
        </w:rPr>
        <w:t> </w:t>
      </w:r>
      <w:r>
        <w:rPr>
          <w:spacing w:val="-64"/>
        </w:rPr>
      </w:r>
      <w:r>
        <w:rPr>
          <w:spacing w:val="-2"/>
        </w:rPr>
        <w:t>的快速增长。另一方面，通过建立包装印刷业务互联网平台，能够将公司现有的包材整装供应平台服务模式向更广泛的区域</w:t>
      </w:r>
      <w:r>
        <w:rPr>
          <w:spacing w:val="-66"/>
        </w:rPr>
        <w:t> </w:t>
      </w:r>
      <w:r>
        <w:rPr>
          <w:spacing w:val="-66"/>
        </w:rPr>
      </w:r>
      <w:r>
        <w:rPr>
          <w:spacing w:val="-2"/>
        </w:rPr>
        <w:t>推广，并能够有效突破向全国其他区域扩张需要新建产能的传统发展模式，通过与同行企业形成联盟、合作伙伴的方式，输</w:t>
      </w:r>
      <w:r>
        <w:rPr>
          <w:spacing w:val="-66"/>
        </w:rPr>
        <w:t> </w:t>
      </w:r>
      <w:r>
        <w:rPr>
          <w:spacing w:val="-66"/>
        </w:rPr>
      </w:r>
      <w:r>
        <w:rPr>
          <w:spacing w:val="-2"/>
        </w:rPr>
        <w:t>出技术、输出管理、输出人才，将自身优势和同行资源进行有效整合，突破增长瓶颈，从而分享包装印刷行业庞大的市场需</w:t>
      </w:r>
      <w:r>
        <w:rPr>
          <w:spacing w:val="-66"/>
        </w:rPr>
        <w:t> </w:t>
      </w:r>
      <w:r>
        <w:rPr>
          <w:spacing w:val="-66"/>
        </w:rPr>
      </w:r>
      <w:r>
        <w:rPr/>
        <w:t>求。</w:t>
      </w:r>
    </w:p>
    <w:p>
      <w:pPr>
        <w:spacing w:line="240" w:lineRule="auto" w:before="10"/>
        <w:rPr>
          <w:rFonts w:ascii="宋体" w:hAnsi="宋体" w:cs="宋体" w:eastAsia="宋体" w:hint="default"/>
          <w:sz w:val="20"/>
          <w:szCs w:val="20"/>
        </w:rPr>
      </w:pPr>
    </w:p>
    <w:p>
      <w:pPr>
        <w:pStyle w:val="Heading2"/>
        <w:spacing w:line="240" w:lineRule="auto"/>
        <w:ind w:left="154" w:right="0"/>
        <w:jc w:val="left"/>
        <w:rPr>
          <w:b w:val="0"/>
          <w:bCs w:val="0"/>
        </w:rPr>
      </w:pPr>
      <w:bookmarkStart w:name="二、主营业务分析" w:id="20"/>
      <w:bookmarkEnd w:id="20"/>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概述" w:id="21"/>
      <w:bookmarkEnd w:id="21"/>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18" w:firstLine="506"/>
        <w:jc w:val="left"/>
      </w:pPr>
      <w:r>
        <w:rPr/>
        <w:t>公司主营业务是从事轻型包装产品、重型包装产品、电子标签及</w:t>
      </w:r>
      <w:r>
        <w:rPr>
          <w:rFonts w:ascii="Times New Roman" w:hAnsi="Times New Roman" w:cs="Times New Roman" w:eastAsia="Times New Roman" w:hint="default"/>
        </w:rPr>
        <w:t>RFID</w:t>
      </w:r>
      <w:r>
        <w:rPr/>
        <w:t>产品的研发、生产与销售，并为客户提供包装 </w:t>
      </w:r>
      <w:r>
        <w:rPr>
          <w:spacing w:val="-2"/>
        </w:rPr>
        <w:t>产品设计、包装方案优化、包装材料第三方采购与包装产品物流配送、供应商库存管理以及现场辅助包装作业等包装一体化</w:t>
      </w:r>
      <w:r>
        <w:rPr>
          <w:spacing w:val="-66"/>
        </w:rPr>
        <w:t> </w:t>
      </w:r>
      <w:r>
        <w:rPr>
          <w:spacing w:val="-66"/>
        </w:rPr>
      </w:r>
      <w:r>
        <w:rPr/>
        <w:t>服务。</w:t>
      </w:r>
    </w:p>
    <w:p>
      <w:pPr>
        <w:spacing w:after="0" w:line="309" w:lineRule="auto"/>
        <w:jc w:val="left"/>
        <w:sectPr>
          <w:pgSz w:w="11910" w:h="16840"/>
          <w:pgMar w:header="747" w:footer="979" w:top="1060" w:bottom="1160" w:left="980" w:right="0"/>
        </w:sectPr>
      </w:pPr>
    </w:p>
    <w:p>
      <w:pPr>
        <w:spacing w:line="240" w:lineRule="auto" w:before="6"/>
        <w:rPr>
          <w:rFonts w:ascii="宋体" w:hAnsi="宋体" w:cs="宋体" w:eastAsia="宋体" w:hint="default"/>
          <w:sz w:val="29"/>
          <w:szCs w:val="29"/>
        </w:rPr>
      </w:pPr>
    </w:p>
    <w:tbl>
      <w:tblPr>
        <w:tblW w:w="0" w:type="auto"/>
        <w:jc w:val="left"/>
        <w:tblInd w:w="146"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变动原因</w:t>
            </w:r>
          </w:p>
        </w:tc>
      </w:tr>
      <w:tr>
        <w:trPr>
          <w:trHeight w:val="1065" w:hRule="exact"/>
        </w:trPr>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5"/>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109"/>
              <w:ind w:right="3"/>
              <w:jc w:val="right"/>
              <w:rPr>
                <w:rFonts w:ascii="Times New Roman" w:hAnsi="Times New Roman" w:cs="Times New Roman" w:eastAsia="Times New Roman" w:hint="default"/>
                <w:sz w:val="18"/>
                <w:szCs w:val="18"/>
              </w:rPr>
            </w:pPr>
            <w:r>
              <w:rPr>
                <w:rFonts w:ascii="Times New Roman"/>
                <w:spacing w:val="-1"/>
                <w:sz w:val="18"/>
              </w:rPr>
              <w:t>1,563,222,281.96</w:t>
            </w:r>
          </w:p>
        </w:tc>
        <w:tc>
          <w:tcPr>
            <w:tcW w:w="191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9"/>
              <w:ind w:right="2"/>
              <w:jc w:val="right"/>
              <w:rPr>
                <w:rFonts w:ascii="Times New Roman" w:hAnsi="Times New Roman" w:cs="Times New Roman" w:eastAsia="Times New Roman" w:hint="default"/>
                <w:sz w:val="18"/>
                <w:szCs w:val="18"/>
              </w:rPr>
            </w:pPr>
            <w:r>
              <w:rPr>
                <w:rFonts w:ascii="Times New Roman"/>
                <w:spacing w:val="-1"/>
                <w:sz w:val="18"/>
              </w:rPr>
              <w:t>1,305,636,964.84</w:t>
            </w:r>
          </w:p>
        </w:tc>
        <w:tc>
          <w:tcPr>
            <w:tcW w:w="191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9"/>
              <w:ind w:right="0"/>
              <w:jc w:val="right"/>
              <w:rPr>
                <w:rFonts w:ascii="Times New Roman" w:hAnsi="Times New Roman" w:cs="Times New Roman" w:eastAsia="Times New Roman" w:hint="default"/>
                <w:sz w:val="18"/>
                <w:szCs w:val="18"/>
              </w:rPr>
            </w:pPr>
            <w:r>
              <w:rPr>
                <w:rFonts w:ascii="Times New Roman"/>
                <w:sz w:val="18"/>
              </w:rPr>
              <w:t>19.73%</w:t>
            </w:r>
          </w:p>
        </w:tc>
        <w:tc>
          <w:tcPr>
            <w:tcW w:w="1914" w:type="dxa"/>
            <w:tcBorders>
              <w:top w:val="single" w:sz="10" w:space="0" w:color="000000"/>
              <w:left w:val="single" w:sz="6" w:space="0" w:color="000000"/>
              <w:bottom w:val="single" w:sz="6" w:space="0" w:color="000000"/>
              <w:right w:val="single" w:sz="6" w:space="0" w:color="000000"/>
            </w:tcBorders>
          </w:tcPr>
          <w:p>
            <w:pPr>
              <w:pStyle w:val="TableParagraph"/>
              <w:spacing w:line="316" w:lineRule="auto" w:before="70"/>
              <w:ind w:left="2" w:right="1"/>
              <w:jc w:val="left"/>
              <w:rPr>
                <w:rFonts w:ascii="宋体" w:hAnsi="宋体" w:cs="宋体" w:eastAsia="宋体" w:hint="default"/>
                <w:sz w:val="18"/>
                <w:szCs w:val="18"/>
              </w:rPr>
            </w:pPr>
            <w:r>
              <w:rPr>
                <w:rFonts w:ascii="宋体" w:hAnsi="宋体" w:cs="宋体" w:eastAsia="宋体" w:hint="default"/>
                <w:spacing w:val="-8"/>
                <w:sz w:val="18"/>
                <w:szCs w:val="18"/>
              </w:rPr>
              <w:t>主要系东莞美盈森、苏州</w:t>
            </w:r>
            <w:r>
              <w:rPr>
                <w:rFonts w:ascii="宋体" w:hAnsi="宋体" w:cs="宋体" w:eastAsia="宋体" w:hint="default"/>
                <w:sz w:val="18"/>
                <w:szCs w:val="18"/>
              </w:rPr>
              <w:t> 美盈森订单量增加及金 之彩并表所致。</w:t>
            </w:r>
          </w:p>
        </w:tc>
      </w:tr>
      <w:tr>
        <w:trPr>
          <w:trHeight w:val="1050" w:hRule="exact"/>
        </w:trPr>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1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1,017,806,160.53</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871,569,044.17</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16.78%</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95"/>
              <w:jc w:val="both"/>
              <w:rPr>
                <w:rFonts w:ascii="宋体" w:hAnsi="宋体" w:cs="宋体" w:eastAsia="宋体" w:hint="default"/>
                <w:sz w:val="18"/>
                <w:szCs w:val="18"/>
              </w:rPr>
            </w:pPr>
            <w:r>
              <w:rPr>
                <w:rFonts w:ascii="宋体" w:hAnsi="宋体" w:cs="宋体" w:eastAsia="宋体" w:hint="default"/>
                <w:sz w:val="18"/>
                <w:szCs w:val="18"/>
              </w:rPr>
              <w:t>主要系随着营业收入增 长成本相应增加及金之 彩并表所致。</w:t>
            </w:r>
          </w:p>
        </w:tc>
      </w:tr>
      <w:tr>
        <w:trPr>
          <w:trHeight w:val="427" w:hRule="exact"/>
        </w:trPr>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1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98,966,522.56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95,760,309.65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3.35%</w:t>
            </w:r>
          </w:p>
        </w:tc>
        <w:tc>
          <w:tcPr>
            <w:tcW w:w="1914"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1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152,355,838.94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123,188,243.55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23.68%</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5"/>
              <w:jc w:val="left"/>
              <w:rPr>
                <w:rFonts w:ascii="宋体" w:hAnsi="宋体" w:cs="宋体" w:eastAsia="宋体" w:hint="default"/>
                <w:sz w:val="18"/>
                <w:szCs w:val="18"/>
              </w:rPr>
            </w:pPr>
            <w:r>
              <w:rPr>
                <w:rFonts w:ascii="宋体" w:hAnsi="宋体" w:cs="宋体" w:eastAsia="宋体" w:hint="default"/>
                <w:sz w:val="18"/>
                <w:szCs w:val="18"/>
              </w:rPr>
              <w:t>主要系研发费用增加及 金之彩并表所致。</w:t>
            </w:r>
          </w:p>
        </w:tc>
      </w:tr>
      <w:tr>
        <w:trPr>
          <w:trHeight w:val="739" w:hRule="exact"/>
        </w:trPr>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1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-13,722,875.26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3,044,912.70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-550.68%</w:t>
            </w:r>
            <w:r>
              <w:rPr>
                <w:rFonts w:ascii="Times New Roman"/>
                <w:sz w:val="18"/>
              </w:rPr>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5"/>
              <w:jc w:val="left"/>
              <w:rPr>
                <w:rFonts w:ascii="宋体" w:hAnsi="宋体" w:cs="宋体" w:eastAsia="宋体" w:hint="default"/>
                <w:sz w:val="18"/>
                <w:szCs w:val="18"/>
              </w:rPr>
            </w:pPr>
            <w:r>
              <w:rPr>
                <w:rFonts w:ascii="宋体" w:hAnsi="宋体" w:cs="宋体" w:eastAsia="宋体" w:hint="default"/>
                <w:sz w:val="18"/>
                <w:szCs w:val="18"/>
              </w:rPr>
              <w:t>主要系收到的利息增加 及汇率变动所致。</w:t>
            </w:r>
          </w:p>
        </w:tc>
      </w:tr>
      <w:tr>
        <w:trPr>
          <w:trHeight w:val="427" w:hRule="exact"/>
        </w:trPr>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1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45,673,439.34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43,479,303.23</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5.05%</w:t>
            </w:r>
          </w:p>
        </w:tc>
        <w:tc>
          <w:tcPr>
            <w:tcW w:w="1914"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研发投入</w:t>
            </w:r>
          </w:p>
        </w:tc>
        <w:tc>
          <w:tcPr>
            <w:tcW w:w="191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52,827,700.25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37,292,529.90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41.66%</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5"/>
              <w:jc w:val="left"/>
              <w:rPr>
                <w:rFonts w:ascii="宋体" w:hAnsi="宋体" w:cs="宋体" w:eastAsia="宋体" w:hint="default"/>
                <w:sz w:val="18"/>
                <w:szCs w:val="18"/>
              </w:rPr>
            </w:pPr>
            <w:r>
              <w:rPr>
                <w:rFonts w:ascii="宋体" w:hAnsi="宋体" w:cs="宋体" w:eastAsia="宋体" w:hint="default"/>
                <w:sz w:val="18"/>
                <w:szCs w:val="18"/>
              </w:rPr>
              <w:t>主要系公司加大研发投 入及金之彩并表所致。</w:t>
            </w:r>
          </w:p>
        </w:tc>
      </w:tr>
      <w:tr>
        <w:trPr>
          <w:trHeight w:val="738" w:hRule="exact"/>
        </w:trPr>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61"/>
              <w:ind w:left="2" w:right="95"/>
              <w:jc w:val="left"/>
              <w:rPr>
                <w:rFonts w:ascii="宋体" w:hAnsi="宋体" w:cs="宋体" w:eastAsia="宋体" w:hint="default"/>
                <w:sz w:val="18"/>
                <w:szCs w:val="18"/>
              </w:rPr>
            </w:pPr>
            <w:r>
              <w:rPr>
                <w:rFonts w:ascii="宋体" w:hAnsi="宋体" w:cs="宋体" w:eastAsia="宋体" w:hint="default"/>
                <w:sz w:val="18"/>
                <w:szCs w:val="18"/>
              </w:rPr>
              <w:t>经营活动产生的现金流 量净额</w:t>
            </w:r>
          </w:p>
        </w:tc>
        <w:tc>
          <w:tcPr>
            <w:tcW w:w="191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292,618,451.84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269,107,118.25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8.74%</w:t>
            </w:r>
          </w:p>
        </w:tc>
        <w:tc>
          <w:tcPr>
            <w:tcW w:w="1914" w:type="dxa"/>
            <w:tcBorders>
              <w:top w:val="single" w:sz="6" w:space="0" w:color="000000"/>
              <w:left w:val="single" w:sz="6" w:space="0" w:color="000000"/>
              <w:bottom w:val="single" w:sz="6" w:space="0" w:color="000000"/>
              <w:right w:val="single" w:sz="6" w:space="0" w:color="000000"/>
            </w:tcBorders>
          </w:tcPr>
          <w:p>
            <w:pPr/>
          </w:p>
        </w:tc>
      </w:tr>
      <w:tr>
        <w:trPr>
          <w:trHeight w:val="740" w:hRule="exact"/>
        </w:trPr>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62"/>
              <w:ind w:left="2" w:right="95"/>
              <w:jc w:val="left"/>
              <w:rPr>
                <w:rFonts w:ascii="宋体" w:hAnsi="宋体" w:cs="宋体" w:eastAsia="宋体" w:hint="default"/>
                <w:sz w:val="18"/>
                <w:szCs w:val="18"/>
              </w:rPr>
            </w:pPr>
            <w:r>
              <w:rPr>
                <w:rFonts w:ascii="宋体" w:hAnsi="宋体" w:cs="宋体" w:eastAsia="宋体" w:hint="default"/>
                <w:sz w:val="18"/>
                <w:szCs w:val="18"/>
              </w:rPr>
              <w:t>投资活动产生的现金流 量净额</w:t>
            </w:r>
          </w:p>
        </w:tc>
        <w:tc>
          <w:tcPr>
            <w:tcW w:w="191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-29,011,292.90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-178,425,003.93</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-83.74%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95"/>
              <w:jc w:val="left"/>
              <w:rPr>
                <w:rFonts w:ascii="宋体" w:hAnsi="宋体" w:cs="宋体" w:eastAsia="宋体" w:hint="default"/>
                <w:sz w:val="18"/>
                <w:szCs w:val="18"/>
              </w:rPr>
            </w:pPr>
            <w:r>
              <w:rPr>
                <w:rFonts w:ascii="宋体" w:hAnsi="宋体" w:cs="宋体" w:eastAsia="宋体" w:hint="default"/>
                <w:sz w:val="18"/>
                <w:szCs w:val="18"/>
              </w:rPr>
              <w:t>主要系报告期投资支出 减少所致。</w:t>
            </w:r>
          </w:p>
        </w:tc>
      </w:tr>
      <w:tr>
        <w:trPr>
          <w:trHeight w:val="1363" w:hRule="exact"/>
        </w:trPr>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62"/>
              <w:ind w:left="2" w:right="95"/>
              <w:jc w:val="left"/>
              <w:rPr>
                <w:rFonts w:ascii="宋体" w:hAnsi="宋体" w:cs="宋体" w:eastAsia="宋体" w:hint="default"/>
                <w:sz w:val="18"/>
                <w:szCs w:val="18"/>
              </w:rPr>
            </w:pPr>
            <w:r>
              <w:rPr>
                <w:rFonts w:ascii="宋体" w:hAnsi="宋体" w:cs="宋体" w:eastAsia="宋体" w:hint="default"/>
                <w:sz w:val="18"/>
                <w:szCs w:val="18"/>
              </w:rPr>
              <w:t>筹资活动产生的现金流 量净额</w:t>
            </w:r>
          </w:p>
        </w:tc>
        <w:tc>
          <w:tcPr>
            <w:tcW w:w="191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-40,212,232.83</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-19,252,430.42</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108.87%</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2"/>
              <w:ind w:left="2" w:right="95"/>
              <w:jc w:val="both"/>
              <w:rPr>
                <w:rFonts w:ascii="宋体" w:hAnsi="宋体" w:cs="宋体" w:eastAsia="宋体" w:hint="default"/>
                <w:sz w:val="18"/>
                <w:szCs w:val="18"/>
              </w:rPr>
            </w:pPr>
            <w:r>
              <w:rPr>
                <w:rFonts w:ascii="宋体" w:hAnsi="宋体" w:cs="宋体" w:eastAsia="宋体" w:hint="default"/>
                <w:sz w:val="18"/>
                <w:szCs w:val="18"/>
              </w:rPr>
              <w:t>主要是公司实施了</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年度现金股利分配方案 以及金之彩偿还债务所 致。</w:t>
            </w:r>
          </w:p>
        </w:tc>
      </w:tr>
      <w:tr>
        <w:trPr>
          <w:trHeight w:val="1051" w:hRule="exact"/>
        </w:trPr>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62"/>
              <w:ind w:left="2" w:right="95"/>
              <w:jc w:val="left"/>
              <w:rPr>
                <w:rFonts w:ascii="宋体" w:hAnsi="宋体" w:cs="宋体" w:eastAsia="宋体" w:hint="default"/>
                <w:sz w:val="18"/>
                <w:szCs w:val="18"/>
              </w:rPr>
            </w:pPr>
            <w:r>
              <w:rPr>
                <w:rFonts w:ascii="宋体" w:hAnsi="宋体" w:cs="宋体" w:eastAsia="宋体" w:hint="default"/>
                <w:sz w:val="18"/>
                <w:szCs w:val="18"/>
              </w:rPr>
              <w:t>现金及现金等价物净增 加额</w:t>
            </w:r>
          </w:p>
        </w:tc>
        <w:tc>
          <w:tcPr>
            <w:tcW w:w="191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223,505,645.77</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62,182,370.45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259.44%</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5"/>
              <w:jc w:val="both"/>
              <w:rPr>
                <w:rFonts w:ascii="宋体" w:hAnsi="宋体" w:cs="宋体" w:eastAsia="宋体" w:hint="default"/>
                <w:sz w:val="18"/>
                <w:szCs w:val="18"/>
              </w:rPr>
            </w:pPr>
            <w:r>
              <w:rPr>
                <w:rFonts w:ascii="宋体" w:hAnsi="宋体" w:cs="宋体" w:eastAsia="宋体" w:hint="default"/>
                <w:sz w:val="18"/>
                <w:szCs w:val="18"/>
              </w:rPr>
              <w:t>主要是公司随着收入增 长货款回收增加及金之 彩并表所致。</w:t>
            </w:r>
          </w:p>
        </w:tc>
      </w:tr>
    </w:tbl>
    <w:p>
      <w:pPr>
        <w:spacing w:line="240" w:lineRule="auto" w:before="6"/>
        <w:rPr>
          <w:rFonts w:ascii="宋体" w:hAnsi="宋体" w:cs="宋体" w:eastAsia="宋体" w:hint="default"/>
          <w:sz w:val="27"/>
          <w:szCs w:val="27"/>
        </w:rPr>
      </w:pPr>
    </w:p>
    <w:p>
      <w:pPr>
        <w:pStyle w:val="BodyText"/>
        <w:spacing w:line="240" w:lineRule="auto" w:before="44"/>
        <w:ind w:left="154" w:right="0"/>
        <w:jc w:val="left"/>
      </w:pPr>
      <w:r>
        <w:rPr/>
        <w:t>公司回顾总结前期披露的发展战略和经营计划在报告期内的进展情况</w:t>
      </w:r>
    </w:p>
    <w:p>
      <w:pPr>
        <w:pStyle w:val="BodyText"/>
        <w:spacing w:line="240" w:lineRule="auto" w:before="115"/>
        <w:ind w:left="444" w:right="0"/>
        <w:jc w:val="left"/>
      </w:pPr>
      <w:r>
        <w:rPr>
          <w:rFonts w:ascii="Times New Roman" w:hAnsi="Times New Roman" w:cs="Times New Roman" w:eastAsia="Times New Roman" w:hint="default"/>
        </w:rPr>
        <w:t>2014</w:t>
      </w:r>
      <w:r>
        <w:rPr/>
        <w:t>年度，公司按照年初制定的经营计划着力开展以下工作，进展情况顺利：</w:t>
      </w:r>
    </w:p>
    <w:p>
      <w:pPr>
        <w:pStyle w:val="BodyText"/>
        <w:spacing w:line="240" w:lineRule="auto" w:before="63"/>
        <w:ind w:left="804" w:right="0"/>
        <w:jc w:val="left"/>
      </w:pPr>
      <w:r>
        <w:rPr/>
        <w:t>（</w:t>
      </w:r>
      <w:r>
        <w:rPr>
          <w:rFonts w:ascii="Times New Roman" w:hAnsi="Times New Roman" w:cs="Times New Roman" w:eastAsia="Times New Roman" w:hint="default"/>
        </w:rPr>
        <w:t>1</w:t>
      </w:r>
      <w:r>
        <w:rPr/>
        <w:t>）培育客户满意度，提升产品品牌影响力。</w:t>
      </w:r>
    </w:p>
    <w:p>
      <w:pPr>
        <w:pStyle w:val="BodyText"/>
        <w:spacing w:line="300" w:lineRule="auto" w:before="63"/>
        <w:ind w:right="0" w:firstLine="290"/>
        <w:jc w:val="left"/>
      </w:pPr>
      <w:r>
        <w:rPr>
          <w:rFonts w:ascii="Times New Roman" w:hAnsi="Times New Roman" w:cs="Times New Roman" w:eastAsia="Times New Roman" w:hint="default"/>
          <w:spacing w:val="-1"/>
        </w:rPr>
        <w:t>2014</w:t>
      </w:r>
      <w:r>
        <w:rPr>
          <w:spacing w:val="-1"/>
        </w:rPr>
        <w:t>年，公司继续通过加强研发创新、深化包装一体化服务、创新服务模式等方式，提高了客户对公司产品和服务的满</w:t>
      </w:r>
      <w:r>
        <w:rPr/>
        <w:t> 意度，提升了品牌影响力。</w:t>
      </w:r>
    </w:p>
    <w:p>
      <w:pPr>
        <w:pStyle w:val="BodyText"/>
        <w:spacing w:line="240" w:lineRule="auto" w:before="31"/>
        <w:ind w:left="444" w:right="0"/>
        <w:jc w:val="left"/>
      </w:pPr>
      <w:r>
        <w:rPr/>
        <w:t>（</w:t>
      </w:r>
      <w:r>
        <w:rPr>
          <w:rFonts w:ascii="Times New Roman" w:hAnsi="Times New Roman" w:cs="Times New Roman" w:eastAsia="Times New Roman" w:hint="default"/>
        </w:rPr>
        <w:t>2</w:t>
      </w:r>
      <w:r>
        <w:rPr/>
        <w:t>）深耕市场，积极拓展高附加值新客户并加大服务和合作深度。</w:t>
      </w:r>
    </w:p>
    <w:p>
      <w:pPr>
        <w:pStyle w:val="BodyText"/>
        <w:spacing w:line="309" w:lineRule="auto" w:before="63"/>
        <w:ind w:left="154" w:right="0" w:firstLine="578"/>
        <w:jc w:val="left"/>
      </w:pPr>
      <w:r>
        <w:rPr>
          <w:rFonts w:ascii="Times New Roman" w:hAnsi="Times New Roman" w:cs="Times New Roman" w:eastAsia="Times New Roman" w:hint="default"/>
        </w:rPr>
        <w:t>2014</w:t>
      </w:r>
      <w:r>
        <w:rPr/>
        <w:t>年度至本报告披露之日，公司客户开发工作卓有成效，陆续引入优质新客户。新客户的不断开发，进一步丰富 </w:t>
      </w:r>
      <w:r>
        <w:rPr>
          <w:spacing w:val="-2"/>
        </w:rPr>
        <w:t>了公司高端客户资源，为公司未来的持续快速增长奠定坚实的基础；同时，公司新开发高端客户分布不同领域，形成示范效</w:t>
      </w:r>
      <w:r>
        <w:rPr>
          <w:spacing w:val="-66"/>
        </w:rPr>
        <w:t> </w:t>
      </w:r>
      <w:r>
        <w:rPr>
          <w:spacing w:val="-66"/>
        </w:rPr>
      </w:r>
      <w:r>
        <w:rPr/>
        <w:t>应，进一步打开市场空间。</w:t>
      </w:r>
    </w:p>
    <w:p>
      <w:pPr>
        <w:pStyle w:val="BodyText"/>
        <w:spacing w:line="240" w:lineRule="auto" w:before="24"/>
        <w:ind w:left="444" w:right="0"/>
        <w:jc w:val="left"/>
      </w:pPr>
      <w:r>
        <w:rPr/>
        <w:t>（</w:t>
      </w:r>
      <w:r>
        <w:rPr>
          <w:rFonts w:ascii="Times New Roman" w:hAnsi="Times New Roman" w:cs="Times New Roman" w:eastAsia="Times New Roman" w:hint="default"/>
        </w:rPr>
        <w:t>3</w:t>
      </w:r>
      <w:r>
        <w:rPr/>
        <w:t>）加强内部管理，向管理要效益，降低运营成本。</w:t>
      </w:r>
    </w:p>
    <w:p>
      <w:pPr>
        <w:pStyle w:val="BodyText"/>
        <w:spacing w:line="309" w:lineRule="auto" w:before="63"/>
        <w:ind w:right="1118" w:firstLine="578"/>
        <w:jc w:val="left"/>
      </w:pPr>
      <w:r>
        <w:rPr>
          <w:rFonts w:ascii="Times New Roman" w:hAnsi="Times New Roman" w:cs="Times New Roman" w:eastAsia="Times New Roman" w:hint="default"/>
        </w:rPr>
        <w:t>2014</w:t>
      </w:r>
      <w:r>
        <w:rPr/>
        <w:t>年，公司继续在各子公司加大流程优化力度和精益化管理深度，使得公司整体管理效率得以提升，运营成本有 </w:t>
      </w:r>
      <w:r>
        <w:rPr>
          <w:spacing w:val="-2"/>
        </w:rPr>
        <w:t>效控制。通过专项产品效率翻十倍提升的成功案例在集团各子公司的推广，形成了全员追求通过技术创新实现创收、创效的</w:t>
      </w:r>
      <w:r>
        <w:rPr>
          <w:spacing w:val="-68"/>
        </w:rPr>
        <w:t> </w:t>
      </w:r>
      <w:r>
        <w:rPr>
          <w:spacing w:val="-68"/>
        </w:rPr>
      </w:r>
      <w:r>
        <w:rPr/>
        <w:t>积极氛围。</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444" w:right="0"/>
        <w:jc w:val="left"/>
      </w:pPr>
      <w:r>
        <w:rPr/>
        <w:t>（</w:t>
      </w:r>
      <w:r>
        <w:rPr>
          <w:rFonts w:ascii="Times New Roman" w:hAnsi="Times New Roman" w:cs="Times New Roman" w:eastAsia="Times New Roman" w:hint="default"/>
        </w:rPr>
        <w:t>4</w:t>
      </w:r>
      <w:r>
        <w:rPr/>
        <w:t>）加强人才梯队建设，保障公司快速发展所需的人力资源。</w:t>
      </w:r>
    </w:p>
    <w:p>
      <w:pPr>
        <w:pStyle w:val="BodyText"/>
        <w:spacing w:line="300" w:lineRule="auto" w:before="63"/>
        <w:ind w:left="154" w:right="1174" w:firstLine="578"/>
        <w:jc w:val="left"/>
      </w:pPr>
      <w:r>
        <w:rPr>
          <w:rFonts w:ascii="Times New Roman" w:hAnsi="Times New Roman" w:cs="Times New Roman" w:eastAsia="Times New Roman" w:hint="default"/>
        </w:rPr>
        <w:t>2014</w:t>
      </w:r>
      <w:r>
        <w:rPr/>
        <w:t>年，公司继续推进人才梯队建设，实施“金种子”的定向培养计划，并实施人才外部引进工作，使得公司人才 通过内部培养和外部引进而不断积累，为公司未来的持续发展奠定人才基础。</w:t>
      </w:r>
    </w:p>
    <w:p>
      <w:pPr>
        <w:pStyle w:val="BodyText"/>
        <w:spacing w:line="240" w:lineRule="auto" w:before="31"/>
        <w:ind w:left="444" w:right="0"/>
        <w:jc w:val="left"/>
      </w:pPr>
      <w:r>
        <w:rPr/>
        <w:t>（</w:t>
      </w:r>
      <w:r>
        <w:rPr>
          <w:rFonts w:ascii="Times New Roman" w:hAnsi="Times New Roman" w:cs="Times New Roman" w:eastAsia="Times New Roman" w:hint="default"/>
        </w:rPr>
        <w:t>5</w:t>
      </w:r>
      <w:r>
        <w:rPr/>
        <w:t>）把握包装印刷产业互联网化、定制化带来的市场机遇。</w:t>
      </w:r>
    </w:p>
    <w:p>
      <w:pPr>
        <w:pStyle w:val="BodyText"/>
        <w:spacing w:line="300" w:lineRule="auto" w:before="63"/>
        <w:ind w:right="0" w:firstLine="578"/>
        <w:jc w:val="left"/>
      </w:pPr>
      <w:r>
        <w:rPr>
          <w:rFonts w:ascii="Times New Roman" w:hAnsi="Times New Roman" w:cs="Times New Roman" w:eastAsia="Times New Roman" w:hint="default"/>
        </w:rPr>
        <w:t>2014</w:t>
      </w:r>
      <w:r>
        <w:rPr/>
        <w:t>年，公司顺应包装印刷产业互联网化、定制化新业态，积极推进新业务模式的创新，通过控股汇天云网，公司 开启了一条将包装印刷和纸制品产业通过互联网和定制化运营的道路，以形成公司新的业务增长极。</w:t>
      </w:r>
    </w:p>
    <w:p>
      <w:pPr>
        <w:pStyle w:val="BodyText"/>
        <w:spacing w:line="240" w:lineRule="auto" w:before="152"/>
        <w:ind w:right="0"/>
        <w:jc w:val="left"/>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收入" w:id="22"/>
      <w:bookmarkEnd w:id="22"/>
      <w:r>
        <w:rPr>
          <w:b w:val="0"/>
          <w:bCs w:val="0"/>
        </w:rPr>
      </w:r>
      <w:r>
        <w:rPr>
          <w:rFonts w:ascii="Times New Roman" w:hAnsi="Times New Roman" w:cs="Times New Roman" w:eastAsia="Times New Roman" w:hint="default"/>
        </w:rPr>
        <w:t>2</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w:t>
      </w:r>
    </w:p>
    <w:p>
      <w:pPr>
        <w:pStyle w:val="BodyText"/>
        <w:spacing w:line="300" w:lineRule="auto" w:before="116"/>
        <w:ind w:left="154" w:right="1152"/>
        <w:jc w:val="left"/>
      </w:pPr>
      <w:r>
        <w:rPr>
          <w:rFonts w:ascii="Times New Roman" w:hAnsi="Times New Roman" w:cs="Times New Roman" w:eastAsia="Times New Roman" w:hint="default"/>
        </w:rPr>
        <w:t>2014</w:t>
      </w:r>
      <w:r>
        <w:rPr/>
        <w:t>年度，公司实现营业收入</w:t>
      </w:r>
      <w:r>
        <w:rPr>
          <w:rFonts w:ascii="Times New Roman" w:hAnsi="Times New Roman" w:cs="Times New Roman" w:eastAsia="Times New Roman" w:hint="default"/>
        </w:rPr>
        <w:t>15.63</w:t>
      </w:r>
      <w:r>
        <w:rPr/>
        <w:t>亿元，比上年同期增长</w:t>
      </w:r>
      <w:r>
        <w:rPr>
          <w:rFonts w:ascii="Times New Roman" w:hAnsi="Times New Roman" w:cs="Times New Roman" w:eastAsia="Times New Roman" w:hint="default"/>
        </w:rPr>
        <w:t>19.73%</w:t>
      </w:r>
      <w:r>
        <w:rPr/>
        <w:t>。公司收入增长的主要原因系东莞美盈森、苏州美盈森订 单量增加及金之彩并表所致。</w:t>
      </w:r>
    </w:p>
    <w:p>
      <w:pPr>
        <w:pStyle w:val="BodyText"/>
        <w:spacing w:line="240" w:lineRule="auto" w:before="72"/>
        <w:ind w:left="154" w:right="0"/>
        <w:jc w:val="left"/>
      </w:pPr>
      <w:r>
        <w:rPr/>
        <w:t>公司实物销售收入是否大于劳务收入</w:t>
      </w:r>
    </w:p>
    <w:p>
      <w:pPr>
        <w:pStyle w:val="BodyText"/>
        <w:spacing w:line="240" w:lineRule="auto" w:before="116"/>
        <w:ind w:left="154" w:right="0"/>
        <w:jc w:val="left"/>
      </w:pPr>
      <w:r>
        <w:rPr/>
        <w:t>√ 是 □ 否</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纸制品行业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779,371,281.89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684,806,627.75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13.81%</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817,182,426.23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696,235,855.24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17.37%</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171,694,560.02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133,883,415.68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28.24%</w:t>
            </w:r>
          </w:p>
        </w:tc>
      </w:tr>
    </w:tbl>
    <w:p>
      <w:pPr>
        <w:pStyle w:val="BodyText"/>
        <w:spacing w:line="360" w:lineRule="auto" w:before="51"/>
        <w:ind w:left="154" w:right="7318"/>
        <w:jc w:val="left"/>
      </w:pPr>
      <w:r>
        <w:rPr/>
        <w:t>注：上表数据以成本价计算。 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57" w:lineRule="auto" w:before="2"/>
        <w:ind w:left="154" w:right="8772"/>
        <w:jc w:val="left"/>
      </w:pPr>
      <w:r>
        <w:rPr/>
        <w:t>□ 适用 √ 不适用 公司重大的在手订单情况</w:t>
      </w:r>
    </w:p>
    <w:p>
      <w:pPr>
        <w:pStyle w:val="BodyText"/>
        <w:spacing w:line="357" w:lineRule="auto" w:before="29"/>
        <w:ind w:left="154" w:right="6432"/>
        <w:jc w:val="left"/>
      </w:pPr>
      <w:r>
        <w:rPr/>
        <w:t>□ 适用 √ 不适用 公司报告期内产品或服务发生重大变化或调整有关情况</w:t>
      </w:r>
    </w:p>
    <w:p>
      <w:pPr>
        <w:pStyle w:val="BodyText"/>
        <w:spacing w:line="360" w:lineRule="auto" w:before="28"/>
        <w:ind w:left="154" w:right="8952"/>
        <w:jc w:val="left"/>
      </w:pPr>
      <w:r>
        <w:rPr/>
        <w:t>□ 适用 √ 不适用 公司主要销售客户情况</w:t>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432,396,744.67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27.66%</w:t>
            </w:r>
          </w:p>
        </w:tc>
      </w:tr>
    </w:tbl>
    <w:p>
      <w:pPr>
        <w:pStyle w:val="BodyText"/>
        <w:spacing w:line="240" w:lineRule="auto" w:before="65"/>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left="15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成本" w:id="23"/>
      <w:bookmarkEnd w:id="23"/>
      <w:r>
        <w:rPr>
          <w:b w:val="0"/>
          <w:bCs w:val="0"/>
        </w:rPr>
      </w:r>
      <w:r>
        <w:rPr>
          <w:rFonts w:ascii="Times New Roman" w:hAnsi="Times New Roman" w:cs="Times New Roman" w:eastAsia="Times New Roman" w:hint="default"/>
        </w:rPr>
        <w:t>3</w:t>
      </w:r>
      <w:r>
        <w:rPr/>
        <w:t>、成本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行业分类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纸制品行业</w:t>
            </w:r>
            <w:r>
              <w:rPr>
                <w:rFonts w:ascii="Times New Roman" w:hAnsi="Times New Roman" w:cs="Times New Roman" w:eastAsia="Times New Roman" w:hint="default"/>
                <w:sz w:val="18"/>
                <w:szCs w:val="18"/>
              </w:rPr>
              <w:t>-</w:t>
            </w:r>
            <w:r>
              <w:rPr>
                <w:rFonts w:ascii="宋体" w:hAnsi="宋体" w:cs="宋体" w:eastAsia="宋体" w:hint="default"/>
                <w:sz w:val="18"/>
                <w:szCs w:val="18"/>
              </w:rPr>
              <w:t>自 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620,293,878.45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547,696,249.37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纸制品行业</w:t>
            </w:r>
            <w:r>
              <w:rPr>
                <w:rFonts w:ascii="Times New Roman" w:hAnsi="Times New Roman" w:cs="Times New Roman" w:eastAsia="Times New Roman" w:hint="default"/>
                <w:sz w:val="18"/>
                <w:szCs w:val="18"/>
              </w:rPr>
              <w:t>-</w:t>
            </w:r>
            <w:r>
              <w:rPr>
                <w:rFonts w:ascii="宋体" w:hAnsi="宋体" w:cs="宋体" w:eastAsia="宋体" w:hint="default"/>
                <w:sz w:val="18"/>
                <w:szCs w:val="18"/>
              </w:rPr>
              <w:t>自 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90,409,180.09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71,569,627.55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26.32%</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纸制品行业</w:t>
            </w:r>
            <w:r>
              <w:rPr>
                <w:rFonts w:ascii="Times New Roman" w:hAnsi="Times New Roman" w:cs="Times New Roman" w:eastAsia="Times New Roman" w:hint="default"/>
                <w:sz w:val="18"/>
                <w:szCs w:val="18"/>
              </w:rPr>
              <w:t>-</w:t>
            </w:r>
            <w:r>
              <w:rPr>
                <w:rFonts w:ascii="宋体" w:hAnsi="宋体" w:cs="宋体" w:eastAsia="宋体" w:hint="default"/>
                <w:sz w:val="18"/>
                <w:szCs w:val="18"/>
              </w:rPr>
              <w:t>自 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87,765,247.75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75,893,744.37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15.64%</w:t>
            </w:r>
          </w:p>
        </w:tc>
      </w:tr>
    </w:tbl>
    <w:p>
      <w:pPr>
        <w:pStyle w:val="BodyText"/>
        <w:spacing w:line="240" w:lineRule="auto" w:before="51"/>
        <w:ind w:left="154" w:right="0"/>
        <w:jc w:val="left"/>
      </w:pPr>
      <w:r>
        <w:rPr/>
        <w:t>产品分类</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轻型包装产品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747,619,177.85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638,046,476.81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17.17%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重型包装产品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50,849,128.44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57,113,144.48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第三方采购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216,603,756.78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175,046,365.79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23.74%</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1,015,072,063.07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870,205,987.08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16.65%</w:t>
            </w:r>
          </w:p>
        </w:tc>
      </w:tr>
    </w:tbl>
    <w:p>
      <w:pPr>
        <w:pStyle w:val="BodyText"/>
        <w:spacing w:line="240" w:lineRule="auto" w:before="51"/>
        <w:ind w:left="154" w:right="0"/>
        <w:jc w:val="left"/>
      </w:pPr>
      <w:r>
        <w:rPr/>
        <w:t>说明</w:t>
      </w:r>
    </w:p>
    <w:p>
      <w:pPr>
        <w:pStyle w:val="BodyText"/>
        <w:spacing w:line="441" w:lineRule="auto" w:before="115"/>
        <w:ind w:left="154" w:right="6132" w:firstLine="300"/>
        <w:jc w:val="left"/>
      </w:pPr>
      <w:r>
        <w:rPr/>
        <w:pict>
          <v:shape style="position:absolute;margin-left:56.459999pt;margin-top:44.461723pt;width:479.2pt;height:40.7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283,467,679.65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27.85%</w:t>
                        </w:r>
                      </w:p>
                    </w:tc>
                  </w:tr>
                </w:tbl>
                <w:p>
                  <w:pPr/>
                </w:p>
              </w:txbxContent>
            </v:textbox>
            <w10:wrap type="none"/>
          </v:shape>
        </w:pict>
      </w:r>
      <w:r>
        <w:rPr/>
        <w:t>行业分类表格中产品为自产品，不含第三方采购产品。 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44"/>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费用" w:id="24"/>
      <w:bookmarkEnd w:id="24"/>
      <w:r>
        <w:rPr>
          <w:b w:val="0"/>
          <w:bCs w:val="0"/>
        </w:rPr>
      </w:r>
      <w:r>
        <w:rPr>
          <w:rFonts w:ascii="Times New Roman" w:hAnsi="Times New Roman" w:cs="Times New Roman" w:eastAsia="Times New Roman" w:hint="default"/>
        </w:rPr>
        <w:t>4</w:t>
      </w:r>
      <w:r>
        <w:rPr/>
        <w:t>、费用</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091" w:firstLine="290"/>
        <w:jc w:val="left"/>
      </w:pPr>
      <w:r>
        <w:rPr/>
        <w:t>报告期内，公司管理费用</w:t>
      </w:r>
      <w:r>
        <w:rPr>
          <w:rFonts w:ascii="Times New Roman" w:hAnsi="Times New Roman" w:cs="Times New Roman" w:eastAsia="Times New Roman" w:hint="default"/>
        </w:rPr>
        <w:t>15,235.58</w:t>
      </w:r>
      <w:r>
        <w:rPr/>
        <w:t>万元，同比上年增加</w:t>
      </w:r>
      <w:r>
        <w:rPr>
          <w:rFonts w:ascii="Times New Roman" w:hAnsi="Times New Roman" w:cs="Times New Roman" w:eastAsia="Times New Roman" w:hint="default"/>
        </w:rPr>
        <w:t>23.68%</w:t>
      </w:r>
      <w:r>
        <w:rPr/>
        <w:t>；营业税金及附加</w:t>
      </w:r>
      <w:r>
        <w:rPr>
          <w:rFonts w:ascii="Times New Roman" w:hAnsi="Times New Roman" w:cs="Times New Roman" w:eastAsia="Times New Roman" w:hint="default"/>
        </w:rPr>
        <w:t>1,134.24</w:t>
      </w:r>
      <w:r>
        <w:rPr/>
        <w:t>万元，同比上年增加</w:t>
      </w:r>
      <w:r>
        <w:rPr>
          <w:rFonts w:ascii="Times New Roman" w:hAnsi="Times New Roman" w:cs="Times New Roman" w:eastAsia="Times New Roman" w:hint="default"/>
        </w:rPr>
        <w:t>146.21%</w:t>
      </w:r>
      <w:r>
        <w:rPr/>
        <w:t>； 财务费用</w:t>
      </w:r>
      <w:r>
        <w:rPr>
          <w:rFonts w:ascii="Times New Roman" w:hAnsi="Times New Roman" w:cs="Times New Roman" w:eastAsia="Times New Roman" w:hint="default"/>
        </w:rPr>
        <w:t>-1,372.29</w:t>
      </w:r>
      <w:r>
        <w:rPr/>
        <w:t>万元，同比上年减少</w:t>
      </w:r>
      <w:r>
        <w:rPr>
          <w:rFonts w:ascii="Times New Roman" w:hAnsi="Times New Roman" w:cs="Times New Roman" w:eastAsia="Times New Roman" w:hint="default"/>
        </w:rPr>
        <w:t>550.68%</w:t>
      </w:r>
      <w:r>
        <w:rPr/>
        <w:t>。</w:t>
      </w:r>
    </w:p>
    <w:p>
      <w:pPr>
        <w:pStyle w:val="BodyText"/>
        <w:spacing w:line="316" w:lineRule="auto" w:before="133"/>
        <w:ind w:left="154" w:right="0" w:firstLine="290"/>
        <w:jc w:val="left"/>
      </w:pPr>
      <w:r>
        <w:rPr>
          <w:spacing w:val="-1"/>
        </w:rPr>
        <w:t>管理费用增加主要系研发费用增加及金之彩并表所致；营业税金及附加增加主要系随着收入增长，缴纳的营业税金及附</w:t>
      </w:r>
      <w:r>
        <w:rPr/>
        <w:t> 加增加所致；财务费用变化主要系收到的利息增加及汇率变动所致。</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5、研发支出" w:id="25"/>
      <w:bookmarkEnd w:id="25"/>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32" w:firstLine="290"/>
        <w:jc w:val="left"/>
      </w:pPr>
      <w:r>
        <w:rPr/>
        <w:t>报告期内，公司通过实施自主研发项目，提高材料利用率和包装效率，降低客户综合包装成本，增强客户粘性；通过申 请专利，提高产品设计壁垒及市场竞争力。同时，公司着力开展研发流程优化工作，研发质量和研发投入产出率持续提升。</w:t>
      </w:r>
    </w:p>
    <w:p>
      <w:pPr>
        <w:pStyle w:val="BodyText"/>
        <w:spacing w:line="300" w:lineRule="auto" w:before="139"/>
        <w:ind w:left="154" w:right="0" w:firstLine="290"/>
        <w:jc w:val="left"/>
      </w:pPr>
      <w:r>
        <w:rPr/>
        <w:t>报告期内，公司研发支出</w:t>
      </w:r>
      <w:r>
        <w:rPr>
          <w:rFonts w:ascii="Times New Roman" w:hAnsi="Times New Roman" w:cs="Times New Roman" w:eastAsia="Times New Roman" w:hint="default"/>
        </w:rPr>
        <w:t>5,282.77</w:t>
      </w:r>
      <w:r>
        <w:rPr/>
        <w:t>万元，比上年度增加</w:t>
      </w:r>
      <w:r>
        <w:rPr>
          <w:rFonts w:ascii="Times New Roman" w:hAnsi="Times New Roman" w:cs="Times New Roman" w:eastAsia="Times New Roman" w:hint="default"/>
        </w:rPr>
        <w:t>41.66%</w:t>
      </w:r>
      <w:r>
        <w:rPr/>
        <w:t>，占公司最近一期经审计的净资产、营业收入的比例分别 为：</w:t>
      </w:r>
      <w:r>
        <w:rPr>
          <w:rFonts w:ascii="Times New Roman" w:hAnsi="Times New Roman" w:cs="Times New Roman" w:eastAsia="Times New Roman" w:hint="default"/>
        </w:rPr>
        <w:t>2.40%</w:t>
      </w:r>
      <w:r>
        <w:rPr/>
        <w:t>、</w:t>
      </w:r>
      <w:r>
        <w:rPr>
          <w:rFonts w:ascii="Times New Roman" w:hAnsi="Times New Roman" w:cs="Times New Roman" w:eastAsia="Times New Roman" w:hint="default"/>
        </w:rPr>
        <w:t>3.38%</w:t>
      </w:r>
      <w:r>
        <w:rPr/>
        <w:t>，其中母公司研发支出占营业收入比例为</w:t>
      </w:r>
      <w:r>
        <w:rPr>
          <w:rFonts w:ascii="Times New Roman" w:hAnsi="Times New Roman" w:cs="Times New Roman" w:eastAsia="Times New Roman" w:hint="default"/>
        </w:rPr>
        <w:t>3.55%</w:t>
      </w:r>
      <w:r>
        <w:rPr/>
        <w:t>。</w:t>
      </w:r>
    </w:p>
    <w:p>
      <w:pPr>
        <w:pStyle w:val="BodyText"/>
        <w:spacing w:line="240" w:lineRule="auto" w:before="133"/>
        <w:ind w:left="444" w:right="0"/>
        <w:jc w:val="left"/>
      </w:pPr>
      <w:r>
        <w:rPr/>
        <w:t>报告期内研发支出增加的主要原因系深圳、东莞、苏州研发投入增加及金之彩并表所致。</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6、现金流" w:id="26"/>
      <w:bookmarkEnd w:id="26"/>
      <w:r>
        <w:rPr>
          <w:b w:val="0"/>
          <w:bCs w:val="0"/>
        </w:rPr>
      </w:r>
      <w:r>
        <w:rPr>
          <w:rFonts w:ascii="Times New Roman" w:hAnsi="Times New Roman" w:cs="Times New Roman" w:eastAsia="Times New Roman" w:hint="default"/>
        </w:rPr>
        <w:t>6</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1,670,481,918.27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1,415,167,837.93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1,377,863,466.43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1,146,060,719.68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20.23%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292,618,451.84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269,107,118.25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212,034.22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213.63%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29,676,292.90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178,637,038.15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-83.39%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-29,011,292.90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-178,425,003.93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-83.74%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44,712,232.83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21,252,430.42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110.39%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-40,212,232.83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-19,252,430.42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108.87%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223,505,645.77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62,182,370.45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259.44%</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2"/>
        <w:ind w:left="444" w:right="1118"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投资活动产生的现金流量净额大幅减少主要系</w:t>
      </w:r>
      <w:r>
        <w:rPr>
          <w:rFonts w:ascii="Times New Roman" w:hAnsi="Times New Roman" w:cs="Times New Roman" w:eastAsia="Times New Roman" w:hint="default"/>
          <w:spacing w:val="-2"/>
        </w:rPr>
        <w:t>2013</w:t>
      </w:r>
      <w:r>
        <w:rPr>
          <w:spacing w:val="-2"/>
        </w:rPr>
        <w:t>年收购金之彩支付收购款</w:t>
      </w:r>
      <w:r>
        <w:rPr>
          <w:rFonts w:ascii="Times New Roman" w:hAnsi="Times New Roman" w:cs="Times New Roman" w:eastAsia="Times New Roman" w:hint="default"/>
          <w:spacing w:val="-2"/>
        </w:rPr>
        <w:t>1.635</w:t>
      </w:r>
      <w:r>
        <w:rPr>
          <w:spacing w:val="-2"/>
        </w:rPr>
        <w:t>亿元，而在</w:t>
      </w:r>
      <w:r>
        <w:rPr>
          <w:rFonts w:ascii="宋体" w:hAnsi="宋体" w:cs="宋体" w:eastAsia="宋体" w:hint="default"/>
          <w:spacing w:val="-2"/>
        </w:rPr>
        <w:t>2014</w:t>
      </w:r>
      <w:r>
        <w:rPr>
          <w:spacing w:val="-2"/>
        </w:rPr>
        <w:t>年度内虽有收购汇天云</w:t>
      </w:r>
    </w:p>
    <w:p>
      <w:pPr>
        <w:pStyle w:val="BodyText"/>
        <w:spacing w:line="217" w:lineRule="exact"/>
        <w:ind w:right="0"/>
        <w:jc w:val="left"/>
      </w:pPr>
      <w:r>
        <w:rPr/>
        <w:t>网</w:t>
      </w:r>
      <w:r>
        <w:rPr>
          <w:rFonts w:ascii="宋体" w:hAnsi="宋体" w:cs="宋体" w:eastAsia="宋体" w:hint="default"/>
        </w:rPr>
        <w:t>51%</w:t>
      </w:r>
      <w:r>
        <w:rPr/>
        <w:t>股权的情形，但实际支付股权受让款是在</w:t>
      </w:r>
      <w:r>
        <w:rPr>
          <w:rFonts w:ascii="宋体" w:hAnsi="宋体" w:cs="宋体" w:eastAsia="宋体" w:hint="default"/>
        </w:rPr>
        <w:t>2015</w:t>
      </w:r>
      <w:r>
        <w:rPr/>
        <w:t>年，即</w:t>
      </w:r>
      <w:r>
        <w:rPr>
          <w:rFonts w:ascii="宋体" w:hAnsi="宋体" w:cs="宋体" w:eastAsia="宋体" w:hint="default"/>
        </w:rPr>
        <w:t>2014</w:t>
      </w:r>
      <w:r>
        <w:rPr/>
        <w:t>年度无实际支付相关款项的情形。</w:t>
      </w:r>
    </w:p>
    <w:p>
      <w:pPr>
        <w:spacing w:line="240" w:lineRule="auto" w:before="0"/>
        <w:rPr>
          <w:rFonts w:ascii="宋体" w:hAnsi="宋体" w:cs="宋体" w:eastAsia="宋体" w:hint="default"/>
          <w:sz w:val="15"/>
          <w:szCs w:val="15"/>
        </w:rPr>
      </w:pPr>
    </w:p>
    <w:p>
      <w:pPr>
        <w:pStyle w:val="BodyText"/>
        <w:spacing w:line="417" w:lineRule="auto"/>
        <w:ind w:right="2183" w:firstLine="290"/>
        <w:jc w:val="left"/>
      </w:pPr>
      <w:r>
        <w:rPr/>
        <w:t>筹资活动产生的现金流量净额增加主要系公司实施了</w:t>
      </w:r>
      <w:r>
        <w:rPr>
          <w:rFonts w:ascii="Times New Roman" w:hAnsi="Times New Roman" w:cs="Times New Roman" w:eastAsia="Times New Roman" w:hint="default"/>
        </w:rPr>
        <w:t>2013</w:t>
      </w:r>
      <w:r>
        <w:rPr/>
        <w:t>年度的现金股利分配以及金之彩偿还债务所致。 报告期内公司经营活动的现金流量与本年度净利润存在重大差异的原因说明</w:t>
      </w:r>
    </w:p>
    <w:p>
      <w:pPr>
        <w:pStyle w:val="BodyText"/>
        <w:spacing w:line="218" w:lineRule="exact"/>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三、主营业务构成情况" w:id="27"/>
      <w:bookmarkEnd w:id="27"/>
      <w:r>
        <w:rPr>
          <w:b w:val="0"/>
          <w:bCs w:val="0"/>
        </w:rPr>
      </w:r>
      <w:r>
        <w:rPr/>
        <w:t>三、主营业务构成情况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纸制品行业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1,545,651,603.12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1,015,072,063.07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轻型包装产品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1,144,968,342.43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747,619,177.85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重型包装产品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94,796,843.67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50,849,128.44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第三方采购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305,886,417.02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216,603,756.78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-6.54%</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1,545,651,603.12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1,015,072,063.07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1,228,532,026.82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803,237,067.26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317,119,576.30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211,834,995.81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1,545,651,603.12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1,015,072,063.07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w:t>
            </w:r>
          </w:p>
        </w:tc>
      </w:tr>
    </w:tbl>
    <w:p>
      <w:pPr>
        <w:pStyle w:val="BodyText"/>
        <w:spacing w:line="240" w:lineRule="auto" w:before="51"/>
        <w:ind w:left="154"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四、资产、负债状况分析" w:id="28"/>
      <w:bookmarkEnd w:id="28"/>
      <w:r>
        <w:rPr>
          <w:b w:val="0"/>
          <w:bCs w:val="0"/>
        </w:rPr>
      </w: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资产项目重大变动情况" w:id="29"/>
      <w:bookmarkEnd w:id="29"/>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930"/>
        <w:gridCol w:w="2786"/>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3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786"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278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278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2786"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953,702,887.7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32.60%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730,197,241.95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27.58%</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5.02%</w:t>
            </w:r>
          </w:p>
        </w:tc>
        <w:tc>
          <w:tcPr>
            <w:tcW w:w="27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401,780,455.0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13.73%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365,374,846.10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13.80%</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-0.07%</w:t>
            </w:r>
          </w:p>
        </w:tc>
        <w:tc>
          <w:tcPr>
            <w:tcW w:w="27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296,551,102.4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10.14%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246,619,885.04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9.31%</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0.83%</w:t>
            </w:r>
          </w:p>
        </w:tc>
        <w:tc>
          <w:tcPr>
            <w:tcW w:w="278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7,481,835.66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7,428,188.45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6,315,997.02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5,440,616.01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741,172,530.9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25.33%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782,892,412.64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29.57%</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-4.24%</w:t>
            </w:r>
          </w:p>
        </w:tc>
        <w:tc>
          <w:tcPr>
            <w:tcW w:w="27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29,759,342.14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27,840,268.26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负债项目重大变动情况" w:id="30"/>
      <w:bookmarkEnd w:id="30"/>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277,788,465.0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254,787,658.41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127,859,145.8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131,062,525.35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7,673,383.31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7,009,751.07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21,403,869.63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24,828,955.61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公允价值计量的资产和负债" w:id="31"/>
      <w:bookmarkEnd w:id="31"/>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154" w:right="0"/>
        <w:jc w:val="left"/>
        <w:rPr>
          <w:b w:val="0"/>
          <w:bCs w:val="0"/>
        </w:rPr>
      </w:pPr>
      <w:bookmarkStart w:name="五、核心竞争力分析" w:id="32"/>
      <w:bookmarkEnd w:id="32"/>
      <w:r>
        <w:rPr>
          <w:b w:val="0"/>
          <w:bCs w:val="0"/>
        </w:rPr>
      </w:r>
      <w:r>
        <w:rPr/>
        <w:t>五、核心竞争力分析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44" w:right="0"/>
        <w:jc w:val="left"/>
      </w:pPr>
      <w:r>
        <w:rPr/>
        <w:t>公司优势主要包括以下方面：</w:t>
      </w:r>
    </w:p>
    <w:p>
      <w:pPr>
        <w:pStyle w:val="BodyText"/>
        <w:spacing w:line="300" w:lineRule="auto" w:before="76"/>
        <w:ind w:left="444" w:right="1122" w:firstLine="288"/>
        <w:jc w:val="left"/>
      </w:pPr>
      <w:r>
        <w:rPr>
          <w:rFonts w:ascii="Times New Roman" w:hAnsi="Times New Roman" w:cs="Times New Roman" w:eastAsia="Times New Roman" w:hint="default"/>
        </w:rPr>
        <w:t>1</w:t>
      </w:r>
      <w:r>
        <w:rPr/>
        <w:t>、技术研发优势 公司及子公司东莞美盈森、苏州美盈森均已被评为</w:t>
      </w:r>
      <w:r>
        <w:rPr>
          <w:rFonts w:ascii="Times New Roman" w:hAnsi="Times New Roman" w:cs="Times New Roman" w:eastAsia="Times New Roman" w:hint="default"/>
        </w:rPr>
        <w:t>“</w:t>
      </w:r>
      <w:r>
        <w:rPr/>
        <w:t>国家级高新技术企业</w:t>
      </w:r>
      <w:r>
        <w:rPr>
          <w:rFonts w:ascii="Times New Roman" w:hAnsi="Times New Roman" w:cs="Times New Roman" w:eastAsia="Times New Roman" w:hint="default"/>
        </w:rPr>
        <w:t>”</w:t>
      </w:r>
      <w:r>
        <w:rPr/>
        <w:t>，是包装行业中少数拥有自主知识产权的企业</w:t>
      </w:r>
    </w:p>
    <w:p>
      <w:pPr>
        <w:pStyle w:val="BodyText"/>
        <w:spacing w:line="307" w:lineRule="auto" w:before="13"/>
        <w:ind w:right="1131"/>
        <w:jc w:val="both"/>
      </w:pPr>
      <w:r>
        <w:rPr/>
        <w:t>之一，已经拥有</w:t>
      </w:r>
      <w:r>
        <w:rPr>
          <w:rFonts w:ascii="Times New Roman" w:hAnsi="Times New Roman" w:cs="Times New Roman" w:eastAsia="Times New Roman" w:hint="default"/>
        </w:rPr>
        <w:t>94</w:t>
      </w:r>
      <w:r>
        <w:rPr/>
        <w:t>项实用新型专利、</w:t>
      </w:r>
      <w:r>
        <w:rPr>
          <w:rFonts w:ascii="Times New Roman" w:hAnsi="Times New Roman" w:cs="Times New Roman" w:eastAsia="Times New Roman" w:hint="default"/>
        </w:rPr>
        <w:t>19</w:t>
      </w:r>
      <w:r>
        <w:rPr/>
        <w:t>项发明专利和</w:t>
      </w:r>
      <w:r>
        <w:rPr>
          <w:rFonts w:ascii="Times New Roman" w:hAnsi="Times New Roman" w:cs="Times New Roman" w:eastAsia="Times New Roman" w:hint="default"/>
        </w:rPr>
        <w:t>2</w:t>
      </w:r>
      <w:r>
        <w:rPr/>
        <w:t>项外观专利，是</w:t>
      </w:r>
      <w:r>
        <w:rPr>
          <w:rFonts w:ascii="Times New Roman" w:hAnsi="Times New Roman" w:cs="Times New Roman" w:eastAsia="Times New Roman" w:hint="default"/>
        </w:rPr>
        <w:t>26</w:t>
      </w:r>
      <w:r>
        <w:rPr/>
        <w:t>项国家包装标准的主要起草和参与起草单位。</w:t>
      </w:r>
      <w:r>
        <w:rPr>
          <w:rFonts w:ascii="Times New Roman" w:hAnsi="Times New Roman" w:cs="Times New Roman" w:eastAsia="Times New Roman" w:hint="default"/>
        </w:rPr>
        <w:t>2010 </w:t>
      </w:r>
      <w:r>
        <w:rPr>
          <w:spacing w:val="-2"/>
        </w:rPr>
        <w:t>年，公司作为国内唯一企业代表中国参加中、日、韩三国亚洲运输包装标准技术专家委员会会议，会上代表中国发表对包装</w:t>
      </w:r>
      <w:r>
        <w:rPr>
          <w:spacing w:val="-66"/>
        </w:rPr>
        <w:t> </w:t>
      </w:r>
      <w:r>
        <w:rPr>
          <w:spacing w:val="-66"/>
        </w:rPr>
      </w:r>
      <w:r>
        <w:rPr>
          <w:spacing w:val="-2"/>
        </w:rPr>
        <w:t>标准的见解，并对《运输包装标准》等发表修改意见。</w:t>
      </w:r>
      <w:r>
        <w:rPr>
          <w:rFonts w:ascii="Times New Roman" w:hAnsi="Times New Roman" w:cs="Times New Roman" w:eastAsia="Times New Roman" w:hint="default"/>
          <w:spacing w:val="-2"/>
        </w:rPr>
        <w:t>2013</w:t>
      </w:r>
      <w:r>
        <w:rPr>
          <w:spacing w:val="-2"/>
        </w:rPr>
        <w:t>年，公司作为主办方，筹备组织了中、日、韩三国亚洲运输包装</w:t>
      </w:r>
      <w:r>
        <w:rPr>
          <w:spacing w:val="-62"/>
        </w:rPr>
        <w:t> </w:t>
      </w:r>
      <w:r>
        <w:rPr>
          <w:spacing w:val="-62"/>
        </w:rPr>
      </w:r>
      <w:r>
        <w:rPr/>
        <w:t>标准技术专家委员会会议。</w:t>
      </w:r>
    </w:p>
    <w:p>
      <w:pPr>
        <w:pStyle w:val="BodyText"/>
        <w:spacing w:line="300" w:lineRule="auto" w:before="26"/>
        <w:ind w:right="1195" w:firstLine="578"/>
        <w:jc w:val="left"/>
      </w:pPr>
      <w:r>
        <w:rPr/>
        <w:t>公司已设立专门研发中心，该中心于</w:t>
      </w:r>
      <w:r>
        <w:rPr>
          <w:rFonts w:ascii="Times New Roman" w:hAnsi="Times New Roman" w:cs="Times New Roman" w:eastAsia="Times New Roman" w:hint="default"/>
        </w:rPr>
        <w:t>2011</w:t>
      </w:r>
      <w:r>
        <w:rPr/>
        <w:t>年被深圳市人民政府认定为</w:t>
      </w:r>
      <w:r>
        <w:rPr>
          <w:rFonts w:ascii="Times New Roman" w:hAnsi="Times New Roman" w:cs="Times New Roman" w:eastAsia="Times New Roman" w:hint="default"/>
        </w:rPr>
        <w:t>“</w:t>
      </w:r>
      <w:r>
        <w:rPr/>
        <w:t>市级技术中心</w:t>
      </w:r>
      <w:r>
        <w:rPr>
          <w:rFonts w:ascii="Times New Roman" w:hAnsi="Times New Roman" w:cs="Times New Roman" w:eastAsia="Times New Roman" w:hint="default"/>
        </w:rPr>
        <w:t>”</w:t>
      </w:r>
      <w:r>
        <w:rPr/>
        <w:t>。东莞美盈森已于近期被认定 为广东省</w:t>
      </w:r>
      <w:r>
        <w:rPr>
          <w:rFonts w:ascii="Times New Roman" w:hAnsi="Times New Roman" w:cs="Times New Roman" w:eastAsia="Times New Roman" w:hint="default"/>
        </w:rPr>
        <w:t>“</w:t>
      </w:r>
      <w:r>
        <w:rPr/>
        <w:t>省级企业技术中心</w:t>
      </w:r>
      <w:r>
        <w:rPr>
          <w:rFonts w:ascii="Times New Roman" w:hAnsi="Times New Roman" w:cs="Times New Roman" w:eastAsia="Times New Roman" w:hint="default"/>
        </w:rPr>
        <w:t>”</w:t>
      </w:r>
      <w:r>
        <w:rPr/>
        <w:t>。</w:t>
      </w:r>
    </w:p>
    <w:p>
      <w:pPr>
        <w:pStyle w:val="BodyText"/>
        <w:spacing w:line="316" w:lineRule="auto" w:before="13"/>
        <w:ind w:right="1122" w:firstLine="290"/>
        <w:jc w:val="both"/>
      </w:pPr>
      <w:r>
        <w:rPr/>
        <w:t>同时，公司通过产品外观设计、创意设计、缓冲设计、一体化设计等提升客户产品视觉传达、艺术水平、产品美誉度、 品牌价值并降低客户综合包装成本，在为客户创造价值的过程中已形成了独特的竞争优势，并代表行业的先进技术水平。</w:t>
      </w:r>
    </w:p>
    <w:p>
      <w:pPr>
        <w:pStyle w:val="BodyText"/>
        <w:spacing w:line="300" w:lineRule="auto" w:before="19"/>
        <w:ind w:left="454" w:right="1092" w:firstLine="350"/>
        <w:jc w:val="left"/>
      </w:pPr>
      <w:r>
        <w:rPr>
          <w:rFonts w:ascii="Times New Roman" w:hAnsi="Times New Roman" w:cs="Times New Roman" w:eastAsia="Times New Roman" w:hint="default"/>
        </w:rPr>
        <w:t>2</w:t>
      </w:r>
      <w:r>
        <w:rPr/>
        <w:t>、先进的管理优势 公司建立了基于优化财务表现和追求客户服务水平的精细化管理体系，主要包括订单管理、产品品质管理、设计管理、</w:t>
      </w:r>
    </w:p>
    <w:p>
      <w:pPr>
        <w:pStyle w:val="BodyText"/>
        <w:spacing w:line="316" w:lineRule="auto" w:before="32"/>
        <w:ind w:left="154" w:right="1032"/>
        <w:jc w:val="left"/>
      </w:pPr>
      <w:r>
        <w:rPr/>
        <w:t>生产管理、采购管理、成本和费用管控、信息化管理、流程管理和优化等。公司通过涵盖营销、采购、研发、生产、仓储、 </w:t>
      </w:r>
      <w:r>
        <w:rPr>
          <w:spacing w:val="-2"/>
        </w:rPr>
        <w:t>物流等各个环节的精细化管理体系，为公司实现较强的盈利能力、成本和费用的有效管控以及较高的人均产值奠定良好的基</w:t>
      </w:r>
      <w:r>
        <w:rPr>
          <w:spacing w:val="-64"/>
        </w:rPr>
        <w:t> </w:t>
      </w:r>
      <w:r>
        <w:rPr>
          <w:spacing w:val="-64"/>
        </w:rPr>
      </w:r>
      <w:r>
        <w:rPr/>
        <w:t>础。</w:t>
      </w:r>
    </w:p>
    <w:p>
      <w:pPr>
        <w:pStyle w:val="BodyText"/>
        <w:spacing w:line="240" w:lineRule="auto" w:before="19"/>
        <w:ind w:left="454" w:right="0"/>
        <w:jc w:val="left"/>
      </w:pPr>
      <w:r>
        <w:rPr/>
        <w:t>截至目前，公司先后获得了</w:t>
      </w:r>
      <w:r>
        <w:rPr>
          <w:rFonts w:ascii="宋体" w:hAnsi="宋体" w:cs="宋体" w:eastAsia="宋体" w:hint="default"/>
        </w:rPr>
        <w:t>ISO9001</w:t>
      </w:r>
      <w:r>
        <w:rPr/>
        <w:t>、</w:t>
      </w:r>
      <w:r>
        <w:rPr>
          <w:rFonts w:ascii="宋体" w:hAnsi="宋体" w:cs="宋体" w:eastAsia="宋体" w:hint="default"/>
        </w:rPr>
        <w:t>ISO14001</w:t>
      </w:r>
      <w:r>
        <w:rPr/>
        <w:t>、</w:t>
      </w:r>
      <w:r>
        <w:rPr>
          <w:rFonts w:ascii="宋体" w:hAnsi="宋体" w:cs="宋体" w:eastAsia="宋体" w:hint="default"/>
        </w:rPr>
        <w:t>ISO14064</w:t>
      </w:r>
      <w:r>
        <w:rPr/>
        <w:t>、</w:t>
      </w:r>
      <w:r>
        <w:rPr>
          <w:rFonts w:ascii="宋体" w:hAnsi="宋体" w:cs="宋体" w:eastAsia="宋体" w:hint="default"/>
        </w:rPr>
        <w:t>SA8000</w:t>
      </w:r>
      <w:r>
        <w:rPr/>
        <w:t>、</w:t>
      </w:r>
      <w:r>
        <w:rPr>
          <w:rFonts w:ascii="宋体" w:hAnsi="宋体" w:cs="宋体" w:eastAsia="宋体" w:hint="default"/>
        </w:rPr>
        <w:t>OHSAS</w:t>
      </w:r>
      <w:r>
        <w:rPr>
          <w:rFonts w:ascii="宋体" w:hAnsi="宋体" w:cs="宋体" w:eastAsia="宋体" w:hint="default"/>
          <w:spacing w:val="-60"/>
        </w:rPr>
        <w:t> </w:t>
      </w:r>
      <w:r>
        <w:rPr>
          <w:rFonts w:ascii="宋体" w:hAnsi="宋体" w:cs="宋体" w:eastAsia="宋体" w:hint="default"/>
        </w:rPr>
        <w:t>18001</w:t>
      </w:r>
      <w:r>
        <w:rPr/>
        <w:t>、</w:t>
      </w:r>
      <w:r>
        <w:rPr>
          <w:rFonts w:ascii="宋体" w:hAnsi="宋体" w:cs="宋体" w:eastAsia="宋体" w:hint="default"/>
        </w:rPr>
        <w:t>UL-PGAA</w:t>
      </w:r>
      <w:r>
        <w:rPr/>
        <w:t>、</w:t>
      </w:r>
      <w:r>
        <w:rPr>
          <w:rFonts w:ascii="宋体" w:hAnsi="宋体" w:cs="宋体" w:eastAsia="宋体" w:hint="default"/>
        </w:rPr>
        <w:t>FSC</w:t>
      </w:r>
      <w:r>
        <w:rPr>
          <w:rFonts w:ascii="宋体" w:hAnsi="宋体" w:cs="宋体" w:eastAsia="宋体" w:hint="default"/>
          <w:spacing w:val="-60"/>
        </w:rPr>
        <w:t> </w:t>
      </w:r>
      <w:r>
        <w:rPr>
          <w:rFonts w:ascii="宋体" w:hAnsi="宋体" w:cs="宋体" w:eastAsia="宋体" w:hint="default"/>
        </w:rPr>
        <w:t>-COC</w:t>
      </w:r>
      <w:r>
        <w:rPr/>
        <w:t>、</w:t>
      </w:r>
      <w:r>
        <w:rPr>
          <w:rFonts w:ascii="宋体" w:hAnsi="宋体" w:cs="宋体" w:eastAsia="宋体" w:hint="default"/>
        </w:rPr>
        <w:t>GP/QC080000</w:t>
      </w:r>
      <w:r>
        <w:rPr/>
        <w:t>、</w:t>
      </w:r>
    </w:p>
    <w:p>
      <w:pPr>
        <w:pStyle w:val="BodyText"/>
        <w:spacing w:line="316" w:lineRule="auto" w:before="76"/>
        <w:ind w:right="1118"/>
        <w:jc w:val="left"/>
      </w:pPr>
      <w:r>
        <w:rPr>
          <w:rFonts w:ascii="宋体" w:hAnsi="宋体" w:cs="宋体" w:eastAsia="宋体" w:hint="default"/>
          <w:spacing w:val="-2"/>
        </w:rPr>
        <w:t>GSV/C-TPAT</w:t>
      </w:r>
      <w:r>
        <w:rPr>
          <w:spacing w:val="-2"/>
        </w:rPr>
        <w:t>、</w:t>
      </w:r>
      <w:r>
        <w:rPr>
          <w:rFonts w:ascii="宋体" w:hAnsi="宋体" w:cs="宋体" w:eastAsia="宋体" w:hint="default"/>
          <w:spacing w:val="-2"/>
        </w:rPr>
        <w:t>G7</w:t>
      </w:r>
      <w:r>
        <w:rPr>
          <w:spacing w:val="-2"/>
        </w:rPr>
        <w:t>、</w:t>
      </w:r>
      <w:r>
        <w:rPr>
          <w:rFonts w:ascii="宋体" w:hAnsi="宋体" w:cs="宋体" w:eastAsia="宋体" w:hint="default"/>
          <w:spacing w:val="-2"/>
        </w:rPr>
        <w:t>EICC</w:t>
      </w:r>
      <w:r>
        <w:rPr>
          <w:spacing w:val="-2"/>
        </w:rPr>
        <w:t>、</w:t>
      </w:r>
      <w:r>
        <w:rPr>
          <w:rFonts w:ascii="宋体" w:hAnsi="宋体" w:cs="宋体" w:eastAsia="宋体" w:hint="default"/>
          <w:spacing w:val="-2"/>
        </w:rPr>
        <w:t>ICTI</w:t>
      </w:r>
      <w:r>
        <w:rPr>
          <w:spacing w:val="-2"/>
        </w:rPr>
        <w:t>、</w:t>
      </w:r>
      <w:r>
        <w:rPr>
          <w:rFonts w:ascii="宋体" w:hAnsi="宋体" w:cs="宋体" w:eastAsia="宋体" w:hint="default"/>
          <w:spacing w:val="-2"/>
        </w:rPr>
        <w:t>IWAY</w:t>
      </w:r>
      <w:r>
        <w:rPr>
          <w:spacing w:val="-2"/>
        </w:rPr>
        <w:t>等体系认证和客户认证，认证数量是行业内最多的少数几家之一，反映了公司领先的管</w:t>
      </w:r>
      <w:r>
        <w:rPr>
          <w:spacing w:val="-44"/>
        </w:rPr>
        <w:t> </w:t>
      </w:r>
      <w:r>
        <w:rPr>
          <w:spacing w:val="-44"/>
        </w:rPr>
      </w:r>
      <w:r>
        <w:rPr/>
        <w:t>理水平。</w:t>
      </w:r>
    </w:p>
    <w:p>
      <w:pPr>
        <w:pStyle w:val="BodyText"/>
        <w:spacing w:line="300" w:lineRule="auto" w:before="19"/>
        <w:ind w:left="444" w:right="1122" w:firstLine="71"/>
        <w:jc w:val="left"/>
      </w:pPr>
      <w:r>
        <w:rPr>
          <w:rFonts w:ascii="Times New Roman" w:hAnsi="Times New Roman" w:cs="Times New Roman" w:eastAsia="Times New Roman" w:hint="default"/>
        </w:rPr>
        <w:t>3</w:t>
      </w:r>
      <w:r>
        <w:rPr/>
        <w:t>、服务模式优势 公司以市场为驱动、以顾客需求为导向，并深入分析全球包装强国产业发展规律，于行业内率先采用</w:t>
      </w:r>
      <w:r>
        <w:rPr>
          <w:rFonts w:ascii="Times New Roman" w:hAnsi="Times New Roman" w:cs="Times New Roman" w:eastAsia="Times New Roman" w:hint="default"/>
        </w:rPr>
        <w:t>“</w:t>
      </w:r>
      <w:r>
        <w:rPr/>
        <w:t>包装一体化</w:t>
      </w:r>
      <w:r>
        <w:rPr>
          <w:rFonts w:ascii="Times New Roman" w:hAnsi="Times New Roman" w:cs="Times New Roman" w:eastAsia="Times New Roman" w:hint="default"/>
        </w:rPr>
        <w:t>”</w:t>
      </w:r>
      <w:r>
        <w:rPr/>
        <w:t>的服</w:t>
      </w:r>
    </w:p>
    <w:p>
      <w:pPr>
        <w:pStyle w:val="BodyText"/>
        <w:spacing w:line="316" w:lineRule="auto" w:before="13"/>
        <w:ind w:right="0"/>
        <w:jc w:val="left"/>
      </w:pPr>
      <w:r>
        <w:rPr>
          <w:spacing w:val="-2"/>
        </w:rPr>
        <w:t>务模式。作为包装一体化服务供应商，公司兼具生产商、设计服务提供商、采购服务商与物流服务商的特点，从成本与效率</w:t>
      </w:r>
      <w:r>
        <w:rPr>
          <w:spacing w:val="-66"/>
        </w:rPr>
        <w:t> </w:t>
      </w:r>
      <w:r>
        <w:rPr>
          <w:spacing w:val="-66"/>
        </w:rPr>
      </w:r>
      <w:r>
        <w:rPr/>
        <w:t>两方面，为客户提供包装产品与服务。</w:t>
      </w:r>
    </w:p>
    <w:p>
      <w:pPr>
        <w:pStyle w:val="BodyText"/>
        <w:spacing w:line="312" w:lineRule="auto" w:before="19"/>
        <w:ind w:right="1130" w:firstLine="290"/>
        <w:jc w:val="both"/>
      </w:pPr>
      <w:r>
        <w:rPr>
          <w:spacing w:val="-1"/>
        </w:rPr>
        <w:t>公司包装一体化的服务模式能够提升客户产品品牌、提升客户供应商管理效率、降低客户综合采购成本，因能够实现客</w:t>
      </w:r>
      <w:r>
        <w:rPr/>
        <w:t> </w:t>
      </w:r>
      <w:r>
        <w:rPr>
          <w:spacing w:val="-2"/>
        </w:rPr>
        <w:t>户价值增值而备受众多客户赞誉。公司则能在为客户提供一体化服务过程中实现销售规模的增长和较为稳定的毛利水平。公</w:t>
      </w:r>
      <w:r>
        <w:rPr>
          <w:spacing w:val="-63"/>
        </w:rPr>
        <w:t> </w:t>
      </w:r>
      <w:r>
        <w:rPr>
          <w:spacing w:val="-63"/>
        </w:rPr>
      </w:r>
      <w:r>
        <w:rPr>
          <w:spacing w:val="-2"/>
        </w:rPr>
        <w:t>司始终以“为客户创造价值、为公司创造利润、为员工创造财富”为理念，正是借助于</w:t>
      </w:r>
      <w:r>
        <w:rPr>
          <w:rFonts w:ascii="Times New Roman" w:hAnsi="Times New Roman" w:cs="Times New Roman" w:eastAsia="Times New Roman" w:hint="default"/>
          <w:spacing w:val="-2"/>
        </w:rPr>
        <w:t>“</w:t>
      </w:r>
      <w:r>
        <w:rPr>
          <w:spacing w:val="-2"/>
        </w:rPr>
        <w:t>包装一体化</w:t>
      </w:r>
      <w:r>
        <w:rPr>
          <w:rFonts w:ascii="Times New Roman" w:hAnsi="Times New Roman" w:cs="Times New Roman" w:eastAsia="Times New Roman" w:hint="default"/>
          <w:spacing w:val="-2"/>
        </w:rPr>
        <w:t>”</w:t>
      </w:r>
      <w:r>
        <w:rPr>
          <w:spacing w:val="-2"/>
        </w:rPr>
        <w:t>的服务模式，避开了低</w:t>
      </w:r>
      <w:r>
        <w:rPr>
          <w:spacing w:val="-45"/>
        </w:rPr>
        <w:t> </w:t>
      </w:r>
      <w:r>
        <w:rPr>
          <w:spacing w:val="-45"/>
        </w:rPr>
      </w:r>
      <w:r>
        <w:rPr/>
        <w:t>技术含量、低附加值的激烈竞争，获得高于同行业水平的经济效益。</w:t>
      </w:r>
    </w:p>
    <w:p>
      <w:pPr>
        <w:pStyle w:val="BodyText"/>
        <w:spacing w:line="240" w:lineRule="auto" w:before="22"/>
        <w:ind w:left="804" w:right="0"/>
        <w:jc w:val="left"/>
      </w:pPr>
      <w:r>
        <w:rPr>
          <w:rFonts w:ascii="Times New Roman" w:hAnsi="Times New Roman" w:cs="Times New Roman" w:eastAsia="Times New Roman" w:hint="default"/>
        </w:rPr>
        <w:t>4</w:t>
      </w:r>
      <w:r>
        <w:rPr/>
        <w:t>、新商业模式优势</w:t>
      </w:r>
    </w:p>
    <w:p>
      <w:pPr>
        <w:pStyle w:val="BodyText"/>
        <w:spacing w:line="307" w:lineRule="auto" w:before="63"/>
        <w:ind w:right="0" w:firstLine="578"/>
        <w:jc w:val="left"/>
      </w:pPr>
      <w:r>
        <w:rPr>
          <w:rFonts w:ascii="Times New Roman" w:hAnsi="Times New Roman" w:cs="Times New Roman" w:eastAsia="Times New Roman" w:hint="default"/>
        </w:rPr>
        <w:t>2014</w:t>
      </w:r>
      <w:r>
        <w:rPr/>
        <w:t>年，公司对包装一体化服务模式进行进一步升华，创新性的提出了建立包材整装供应平台的客户服务模式，从 而以轻资产的模式整合包装行业优势资源，实现客户、平台商及供应商三方</w:t>
      </w:r>
      <w:r>
        <w:rPr>
          <w:rFonts w:ascii="Times New Roman" w:hAnsi="Times New Roman" w:cs="Times New Roman" w:eastAsia="Times New Roman" w:hint="default"/>
        </w:rPr>
        <w:t>“</w:t>
      </w:r>
      <w:r>
        <w:rPr/>
        <w:t>优势互补、资源共享、合作共赢</w:t>
      </w:r>
      <w:r>
        <w:rPr>
          <w:rFonts w:ascii="Times New Roman" w:hAnsi="Times New Roman" w:cs="Times New Roman" w:eastAsia="Times New Roman" w:hint="default"/>
        </w:rPr>
        <w:t>”</w:t>
      </w:r>
      <w:r>
        <w:rPr/>
        <w:t>的目标，并通 </w:t>
      </w:r>
      <w:r>
        <w:rPr>
          <w:spacing w:val="-4"/>
        </w:rPr>
        <w:t>过打造平台创新盈利模式，形成独特的优势，增强公司客户服务能力和客户合作黏性，为公司销售体量的增加奠定坚实基础，</w:t>
      </w:r>
      <w:r>
        <w:rPr>
          <w:spacing w:val="-44"/>
        </w:rPr>
        <w:t> </w:t>
      </w:r>
      <w:r>
        <w:rPr>
          <w:spacing w:val="-44"/>
        </w:rPr>
      </w:r>
      <w:r>
        <w:rPr/>
        <w:t>未来通过将新的服务模式向潜在客户推广和复制，以轻资产运营的方式，进一步打开公司成长空间。</w:t>
      </w:r>
    </w:p>
    <w:p>
      <w:pPr>
        <w:pStyle w:val="BodyText"/>
        <w:spacing w:line="309" w:lineRule="auto" w:before="26"/>
        <w:ind w:left="154" w:right="1032" w:firstLine="578"/>
        <w:jc w:val="left"/>
      </w:pPr>
      <w:r>
        <w:rPr>
          <w:rFonts w:ascii="Times New Roman" w:hAnsi="Times New Roman" w:cs="Times New Roman" w:eastAsia="Times New Roman" w:hint="default"/>
        </w:rPr>
        <w:t>2014</w:t>
      </w:r>
      <w:r>
        <w:rPr/>
        <w:t>年，公司顺应包装印刷产业互联网化、定制化新业态，通过外延扩张的方式进入产业互联网领域。公司已开始 </w:t>
      </w:r>
      <w:r>
        <w:rPr>
          <w:spacing w:val="-2"/>
        </w:rPr>
        <w:t>对汇天云网成熟的互联网商业模式逐步进行优化和升级，以形成公司新的业务增长极。公司已经确立了需要打造互联网包装</w:t>
      </w:r>
      <w:r>
        <w:rPr>
          <w:spacing w:val="-64"/>
        </w:rPr>
        <w:t> </w:t>
      </w:r>
      <w:r>
        <w:rPr>
          <w:spacing w:val="-64"/>
        </w:rPr>
      </w:r>
      <w:r>
        <w:rPr/>
        <w:t>印刷及个性化定制服务运营平台的发展模式，这一模式是通过互联网的方式，实现策划设计、包装印刷及个性化产品制造、</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r>
        <w:rPr/>
        <w:pict>
          <v:group style="position:absolute;margin-left:375.880005pt;margin-top:722.969971pt;width:159.1pt;height:43.6pt;mso-position-horizontal-relative:page;mso-position-vertical-relative:page;z-index:-842080" coordorigin="7518,14459" coordsize="3182,872">
            <v:group style="position:absolute;left:7529;top:14471;width:2;height:393" coordorigin="7529,14471" coordsize="2,393">
              <v:shape style="position:absolute;left:7529;top:14471;width:2;height:393" coordorigin="7529,14471" coordsize="0,393" path="m7529,14471l7529,14863e" filled="false" stroked="true" strokeweight="1.140pt" strokecolor="#ffffff">
                <v:path arrowok="t"/>
              </v:shape>
            </v:group>
            <v:group style="position:absolute;left:7518;top:14863;width:3182;height:468" coordorigin="7518,14863" coordsize="3182,468">
              <v:shape style="position:absolute;left:7518;top:14863;width:3182;height:468" coordorigin="7518,14863" coordsize="3182,468" path="m7518,15331l10699,15331,10699,14863,7518,14863,7518,15331xe" filled="true" fillcolor="#ffffff" stroked="false">
                <v:path arrowok="t"/>
                <v:fill type="solid"/>
              </v:shape>
            </v:group>
            <v:group style="position:absolute;left:7540;top:14471;width:3136;height:393" coordorigin="7540,14471" coordsize="3136,393">
              <v:shape style="position:absolute;left:7540;top:14471;width:3136;height:393" coordorigin="7540,14471" coordsize="3136,393" path="m7540,14863l10676,14863,10676,14471,7540,14471,7540,14863xe" filled="true" fillcolor="#ffffff" stroked="false">
                <v:path arrowok="t"/>
                <v:fill type="solid"/>
              </v:shape>
            </v:group>
            <w10:wrap type="none"/>
          </v:group>
        </w:pict>
      </w:r>
    </w:p>
    <w:p>
      <w:pPr>
        <w:pStyle w:val="BodyText"/>
        <w:spacing w:line="316" w:lineRule="auto" w:before="44"/>
        <w:ind w:right="0"/>
        <w:jc w:val="left"/>
      </w:pPr>
      <w:r>
        <w:rPr>
          <w:spacing w:val="-2"/>
        </w:rPr>
        <w:t>物流配送、支付等一体化服务的全产业链整合，打破传统产业的不经济、市场分散、策划和设计不足、宣传销售作用不够等</w:t>
      </w:r>
      <w:r>
        <w:rPr>
          <w:spacing w:val="-65"/>
        </w:rPr>
        <w:t> </w:t>
      </w:r>
      <w:r>
        <w:rPr>
          <w:spacing w:val="-65"/>
        </w:rPr>
      </w:r>
      <w:r>
        <w:rPr/>
        <w:t>制约点，有利于分享庞大的包装印刷市场，实现自身跨越式发展。</w:t>
      </w:r>
    </w:p>
    <w:p>
      <w:pPr>
        <w:pStyle w:val="BodyText"/>
        <w:spacing w:line="316" w:lineRule="auto" w:before="19"/>
        <w:ind w:right="0" w:firstLine="290"/>
        <w:jc w:val="left"/>
      </w:pPr>
      <w:r>
        <w:rPr>
          <w:spacing w:val="-1"/>
        </w:rPr>
        <w:t>公司作为行业的领先企业，能够率先提出并开始实施创新服务模式和互联网发展战略，是对行业发展的精准把握，能够</w:t>
      </w:r>
      <w:r>
        <w:rPr/>
        <w:t> 直击行业发展痛点，将使公司获得先发优势。</w:t>
      </w:r>
    </w:p>
    <w:p>
      <w:pPr>
        <w:pStyle w:val="BodyText"/>
        <w:spacing w:line="300" w:lineRule="auto" w:before="19"/>
        <w:ind w:left="732" w:right="1174"/>
        <w:jc w:val="left"/>
      </w:pPr>
      <w:r>
        <w:rPr>
          <w:rFonts w:ascii="Times New Roman" w:hAnsi="Times New Roman" w:cs="Times New Roman" w:eastAsia="Times New Roman" w:hint="default"/>
        </w:rPr>
        <w:t>5</w:t>
      </w:r>
      <w:r>
        <w:rPr/>
        <w:t>、客户资源优势 客户价值决定了供应商价值。与面向终端零售客户的企业不同，上游供应商的品牌和竞争力更多取决于企业客户的</w:t>
      </w:r>
    </w:p>
    <w:p>
      <w:pPr>
        <w:pStyle w:val="BodyText"/>
        <w:spacing w:line="316" w:lineRule="auto" w:before="31"/>
        <w:ind w:left="444" w:right="0" w:hanging="291"/>
        <w:jc w:val="left"/>
      </w:pPr>
      <w:r>
        <w:rPr/>
        <w:t>品牌知名度和市场地位，拥有一批优质客户是供应商最为重要的优势之一。 </w:t>
      </w:r>
      <w:r>
        <w:rPr>
          <w:spacing w:val="-1"/>
        </w:rPr>
        <w:t>一方面，公司以服务世界级著名品牌客户为主，这些客户涵盖智能终端类、可穿戴设备类、电子通讯类、化妆品类、食</w:t>
      </w:r>
    </w:p>
    <w:p>
      <w:pPr>
        <w:pStyle w:val="BodyText"/>
        <w:spacing w:line="316" w:lineRule="auto" w:before="19"/>
        <w:ind w:right="0"/>
        <w:jc w:val="left"/>
      </w:pPr>
      <w:r>
        <w:rPr>
          <w:spacing w:val="-4"/>
        </w:rPr>
        <w:t>品饮料保健品类、家具家居类、户外用品、电子烟等消费品领域，信誉良好，本身业务不断增长，使得公司的服务业务稳定，</w:t>
      </w:r>
      <w:r>
        <w:rPr>
          <w:spacing w:val="-44"/>
        </w:rPr>
        <w:t> </w:t>
      </w:r>
      <w:r>
        <w:rPr>
          <w:spacing w:val="-44"/>
        </w:rPr>
      </w:r>
      <w:r>
        <w:rPr>
          <w:spacing w:val="-2"/>
        </w:rPr>
        <w:t>且增长潜力较大，业务风险较小并陆续获得高附加值客户需求。同时，公司能借助这些优质客户在各行业的影响拓展服务业</w:t>
      </w:r>
      <w:r>
        <w:rPr>
          <w:spacing w:val="-66"/>
        </w:rPr>
        <w:t> </w:t>
      </w:r>
      <w:r>
        <w:rPr>
          <w:spacing w:val="-66"/>
        </w:rPr>
      </w:r>
      <w:r>
        <w:rPr/>
        <w:t>务范围，拓展潜在客户，逐步扩大和强化公司的品牌优势。</w:t>
      </w:r>
    </w:p>
    <w:p>
      <w:pPr>
        <w:pStyle w:val="BodyText"/>
        <w:spacing w:line="316" w:lineRule="auto" w:before="19"/>
        <w:ind w:left="154" w:right="1102" w:firstLine="290"/>
        <w:jc w:val="left"/>
      </w:pPr>
      <w:r>
        <w:rPr/>
        <w:t>另一方面，公司所服务的世界级高端客户普遍具有较高的盈利能力，其对包装的需求除了价格外，更强调品质、服务、 商誉等公司长期素养，选择有限的策略供应商是其多年游戏规则，这也形成了公司行业领先的盈利能力。</w:t>
      </w:r>
    </w:p>
    <w:p>
      <w:pPr>
        <w:pStyle w:val="BodyText"/>
        <w:spacing w:line="338" w:lineRule="auto" w:before="59"/>
        <w:ind w:left="454" w:right="0" w:firstLine="278"/>
        <w:jc w:val="left"/>
      </w:pPr>
      <w:r>
        <w:rPr>
          <w:rFonts w:ascii="Times New Roman" w:hAnsi="Times New Roman" w:cs="Times New Roman" w:eastAsia="Times New Roman" w:hint="default"/>
        </w:rPr>
        <w:t>6</w:t>
      </w:r>
      <w:r>
        <w:rPr/>
        <w:t>、高端制造平台优势 </w:t>
      </w:r>
      <w:r>
        <w:rPr>
          <w:spacing w:val="-1"/>
        </w:rPr>
        <w:t>公司东莞、苏州、重庆三个现代化环保包装研发、生产基地处于国内甚至国际领先水平。一方面，公司的产品线相对完</w:t>
      </w:r>
    </w:p>
    <w:p>
      <w:pPr>
        <w:pStyle w:val="BodyText"/>
        <w:spacing w:line="302" w:lineRule="auto" w:before="2"/>
        <w:ind w:right="0"/>
        <w:jc w:val="left"/>
      </w:pPr>
      <w:r>
        <w:rPr/>
        <w:t>善，除包装产品外，还包括精品印刷、电子标签及</w:t>
      </w:r>
      <w:r>
        <w:rPr>
          <w:rFonts w:ascii="Times New Roman" w:hAnsi="Times New Roman" w:cs="Times New Roman" w:eastAsia="Times New Roman" w:hint="default"/>
        </w:rPr>
        <w:t>RFID</w:t>
      </w:r>
      <w:r>
        <w:rPr/>
        <w:t>产品线；另一方面，公司产能较大，并已形成能够服务各类高端客</w:t>
      </w:r>
      <w:r>
        <w:rPr>
          <w:spacing w:val="-47"/>
        </w:rPr>
        <w:t> </w:t>
      </w:r>
      <w:r>
        <w:rPr>
          <w:spacing w:val="-47"/>
        </w:rPr>
      </w:r>
      <w:r>
        <w:rPr/>
        <w:t>户的高端制造平台，既为公司新一轮发展提供坚实的产能保障，又是公司客户开发过程中的一项优势。</w:t>
      </w:r>
    </w:p>
    <w:p>
      <w:pPr>
        <w:pStyle w:val="BodyText"/>
        <w:spacing w:line="319" w:lineRule="auto" w:before="68"/>
        <w:ind w:right="0" w:firstLine="300"/>
        <w:jc w:val="left"/>
      </w:pPr>
      <w:r>
        <w:rPr>
          <w:spacing w:val="-1"/>
        </w:rPr>
        <w:t>通过十数年在技术、管理、制造等的积累和探索，公司在软硬件方面均形成了成熟、完善且高效的制造体系，为实现行</w:t>
      </w:r>
      <w:r>
        <w:rPr/>
        <w:t> 业龙头地位奠定了坚实的基础。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left="154" w:right="0"/>
        <w:jc w:val="left"/>
        <w:rPr>
          <w:b w:val="0"/>
          <w:bCs w:val="0"/>
        </w:rPr>
      </w:pPr>
      <w:bookmarkStart w:name="六、投资状况分析" w:id="33"/>
      <w:bookmarkEnd w:id="33"/>
      <w:r>
        <w:rPr>
          <w:b w:val="0"/>
          <w:bCs w:val="0"/>
        </w:rPr>
      </w:r>
      <w:r>
        <w:rPr/>
        <w:t>六、投资状况分析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对外股权投资情况" w:id="34"/>
      <w:bookmarkEnd w:id="34"/>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对外投资情况" w:id="35"/>
      <w:bookmarkEnd w:id="35"/>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287,000,000.00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-86.19%</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165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四川泸美供应链管理有限公司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公司经营范围：包装制品、包装材料、 包装机械的技术开发及销售；包装制品 的整装研发与贸易；供应链管理咨询与 服务（依法须经批准的项目，经相关部 </w:t>
            </w:r>
            <w:r>
              <w:rPr>
                <w:rFonts w:ascii="宋体" w:hAnsi="宋体" w:cs="宋体" w:eastAsia="宋体" w:hint="default"/>
                <w:spacing w:val="-7"/>
                <w:sz w:val="18"/>
                <w:szCs w:val="18"/>
              </w:rPr>
              <w:t>门批准后方可开展经营活动）。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60.87%</w:t>
            </w:r>
          </w:p>
        </w:tc>
      </w:tr>
      <w:tr>
        <w:trPr>
          <w:trHeight w:val="133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汇天云网集团有限公司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汇天云网全资持有咭片皇有限公司（以 </w:t>
            </w:r>
            <w:r>
              <w:rPr>
                <w:rFonts w:ascii="宋体" w:hAnsi="宋体" w:cs="宋体" w:eastAsia="宋体" w:hint="default"/>
                <w:spacing w:val="-6"/>
                <w:sz w:val="18"/>
                <w:szCs w:val="18"/>
              </w:rPr>
              <w:t>下简称“咭片皇”）及星辉新发展有限公</w:t>
            </w:r>
            <w:r>
              <w:rPr>
                <w:rFonts w:ascii="宋体" w:hAnsi="宋体" w:cs="宋体" w:eastAsia="宋体" w:hint="default"/>
                <w:sz w:val="18"/>
                <w:szCs w:val="18"/>
              </w:rPr>
              <w:t> </w:t>
            </w:r>
            <w:r>
              <w:rPr>
                <w:rFonts w:ascii="宋体" w:hAnsi="宋体" w:cs="宋体" w:eastAsia="宋体" w:hint="default"/>
                <w:spacing w:val="-11"/>
                <w:sz w:val="18"/>
                <w:szCs w:val="18"/>
              </w:rPr>
              <w:t>司（以下简称：“星辉”）两家公司股权</w:t>
            </w:r>
            <w:r>
              <w:rPr>
                <w:rFonts w:ascii="宋体" w:hAnsi="宋体" w:cs="宋体" w:eastAsia="宋体" w:hint="default"/>
                <w:sz w:val="18"/>
                <w:szCs w:val="18"/>
              </w:rPr>
              <w:t> 两家公司相关情况如下：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161" w:lineRule="exact"/>
              <w:ind w:right="19"/>
              <w:jc w:val="right"/>
              <w:rPr>
                <w:rFonts w:ascii="Times New Roman" w:hAnsi="Times New Roman" w:cs="Times New Roman" w:eastAsia="Times New Roman" w:hint="default"/>
                <w:sz w:val="18"/>
                <w:szCs w:val="18"/>
              </w:rPr>
            </w:pPr>
            <w:r>
              <w:rPr>
                <w:rFonts w:ascii="Times New Roman"/>
                <w:sz w:val="18"/>
              </w:rPr>
              <w:t>51.00%</w:t>
            </w:r>
          </w:p>
          <w:p>
            <w:pPr>
              <w:pStyle w:val="TableParagraph"/>
              <w:spacing w:line="190"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190"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322" w:hRule="exact"/>
        </w:trPr>
        <w:tc>
          <w:tcPr>
            <w:tcW w:w="3189" w:type="dxa"/>
            <w:vMerge w:val="restart"/>
            <w:tcBorders>
              <w:top w:val="single" w:sz="4" w:space="0" w:color="000000"/>
              <w:left w:val="single" w:sz="4" w:space="0" w:color="000000"/>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、咭片皇为香港领先的通过互联网为客</w:t>
            </w:r>
          </w:p>
        </w:tc>
        <w:tc>
          <w:tcPr>
            <w:tcW w:w="3191" w:type="dxa"/>
            <w:vMerge w:val="restart"/>
            <w:tcBorders>
              <w:top w:val="single" w:sz="4" w:space="0" w:color="000000"/>
              <w:left w:val="single" w:sz="4" w:space="0" w:color="000000"/>
              <w:right w:val="single" w:sz="4" w:space="0" w:color="000000"/>
            </w:tcBorders>
          </w:tcPr>
          <w:p>
            <w:pPr>
              <w:pStyle w:val="TableParagraph"/>
              <w:spacing w:line="6008" w:lineRule="exact"/>
              <w:ind w:right="-51"/>
              <w:jc w:val="left"/>
              <w:rPr>
                <w:rFonts w:ascii="宋体" w:hAnsi="宋体" w:cs="宋体" w:eastAsia="宋体" w:hint="default"/>
                <w:sz w:val="20"/>
                <w:szCs w:val="20"/>
              </w:rPr>
            </w:pPr>
            <w:r>
              <w:rPr>
                <w:rFonts w:ascii="宋体" w:hAnsi="宋体" w:cs="宋体" w:eastAsia="宋体" w:hint="default"/>
                <w:position w:val="-119"/>
                <w:sz w:val="20"/>
                <w:szCs w:val="20"/>
              </w:rPr>
              <w:pict>
                <v:group style="width:159.1pt;height:300.45pt;mso-position-horizontal-relative:char;mso-position-vertical-relative:line" coordorigin="0,0" coordsize="3182,6009">
                  <v:group style="position:absolute;left:0;top:0;width:3182;height:6009" coordorigin="0,0" coordsize="3182,6009">
                    <v:shape style="position:absolute;left:0;top:0;width:3182;height:6009" coordorigin="0,0" coordsize="3182,6009" path="m0,6009l3182,6009,3182,0,0,0,0,6009xe" filled="true" fillcolor="#ffffff" stroked="false">
                      <v:path arrowok="t"/>
                      <v:fill type="solid"/>
                    </v:shape>
                  </v:group>
                </v:group>
              </w:pict>
            </w:r>
            <w:r>
              <w:rPr>
                <w:rFonts w:ascii="宋体" w:hAnsi="宋体" w:cs="宋体" w:eastAsia="宋体" w:hint="default"/>
                <w:position w:val="-119"/>
                <w:sz w:val="20"/>
                <w:szCs w:val="20"/>
              </w:rPr>
            </w:r>
          </w:p>
        </w:tc>
      </w:tr>
      <w:tr>
        <w:trPr>
          <w:trHeight w:val="307" w:hRule="exact"/>
        </w:trPr>
        <w:tc>
          <w:tcPr>
            <w:tcW w:w="3189"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户提供个性化、定制化的商务及印刷产</w:t>
            </w:r>
          </w:p>
        </w:tc>
        <w:tc>
          <w:tcPr>
            <w:tcW w:w="3191" w:type="dxa"/>
            <w:vMerge/>
            <w:tcBorders>
              <w:left w:val="single" w:sz="4" w:space="0" w:color="000000"/>
              <w:right w:val="single" w:sz="4" w:space="0" w:color="000000"/>
            </w:tcBorders>
          </w:tcPr>
          <w:p>
            <w:pPr/>
          </w:p>
        </w:tc>
      </w:tr>
      <w:tr>
        <w:trPr>
          <w:trHeight w:val="312" w:hRule="exact"/>
        </w:trPr>
        <w:tc>
          <w:tcPr>
            <w:tcW w:w="3189"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品服务的公司。咭片皇的业务模式为通</w:t>
            </w:r>
          </w:p>
        </w:tc>
        <w:tc>
          <w:tcPr>
            <w:tcW w:w="3191" w:type="dxa"/>
            <w:vMerge/>
            <w:tcBorders>
              <w:left w:val="single" w:sz="4" w:space="0" w:color="000000"/>
              <w:right w:val="single" w:sz="4" w:space="0" w:color="000000"/>
            </w:tcBorders>
          </w:tcPr>
          <w:p>
            <w:pPr/>
          </w:p>
        </w:tc>
      </w:tr>
      <w:tr>
        <w:trPr>
          <w:trHeight w:val="312" w:hRule="exact"/>
        </w:trPr>
        <w:tc>
          <w:tcPr>
            <w:tcW w:w="3189"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过持续优化、便捷易操作的电子商务平</w:t>
            </w:r>
          </w:p>
        </w:tc>
        <w:tc>
          <w:tcPr>
            <w:tcW w:w="3191" w:type="dxa"/>
            <w:vMerge/>
            <w:tcBorders>
              <w:left w:val="single" w:sz="4" w:space="0" w:color="000000"/>
              <w:right w:val="single" w:sz="4" w:space="0" w:color="000000"/>
            </w:tcBorders>
          </w:tcPr>
          <w:p>
            <w:pPr/>
          </w:p>
        </w:tc>
      </w:tr>
      <w:tr>
        <w:trPr>
          <w:trHeight w:val="312" w:hRule="exact"/>
        </w:trPr>
        <w:tc>
          <w:tcPr>
            <w:tcW w:w="3189"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台直接面向客户，为客户提供标准化产</w:t>
            </w:r>
          </w:p>
        </w:tc>
        <w:tc>
          <w:tcPr>
            <w:tcW w:w="3191" w:type="dxa"/>
            <w:vMerge/>
            <w:tcBorders>
              <w:left w:val="single" w:sz="4" w:space="0" w:color="000000"/>
              <w:right w:val="single" w:sz="4" w:space="0" w:color="000000"/>
            </w:tcBorders>
          </w:tcPr>
          <w:p>
            <w:pPr/>
          </w:p>
        </w:tc>
      </w:tr>
      <w:tr>
        <w:trPr>
          <w:trHeight w:val="312" w:hRule="exact"/>
        </w:trPr>
        <w:tc>
          <w:tcPr>
            <w:tcW w:w="3189"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品选取、个性化产品设计，价格查询，</w:t>
            </w:r>
          </w:p>
        </w:tc>
        <w:tc>
          <w:tcPr>
            <w:tcW w:w="3191" w:type="dxa"/>
            <w:vMerge/>
            <w:tcBorders>
              <w:left w:val="single" w:sz="4" w:space="0" w:color="000000"/>
              <w:right w:val="single" w:sz="4" w:space="0" w:color="000000"/>
            </w:tcBorders>
          </w:tcPr>
          <w:p>
            <w:pPr/>
          </w:p>
        </w:tc>
      </w:tr>
      <w:tr>
        <w:trPr>
          <w:trHeight w:val="312" w:hRule="exact"/>
        </w:trPr>
        <w:tc>
          <w:tcPr>
            <w:tcW w:w="3189"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产品确认及下单，支付及产品跟踪等一</w:t>
            </w:r>
          </w:p>
        </w:tc>
        <w:tc>
          <w:tcPr>
            <w:tcW w:w="3191" w:type="dxa"/>
            <w:vMerge/>
            <w:tcBorders>
              <w:left w:val="single" w:sz="4" w:space="0" w:color="000000"/>
              <w:right w:val="single" w:sz="4" w:space="0" w:color="000000"/>
            </w:tcBorders>
          </w:tcPr>
          <w:p>
            <w:pPr/>
          </w:p>
        </w:tc>
      </w:tr>
      <w:tr>
        <w:trPr>
          <w:trHeight w:val="312" w:hRule="exact"/>
        </w:trPr>
        <w:tc>
          <w:tcPr>
            <w:tcW w:w="3189"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站式电子商务服务。咭片皇收到订单并</w:t>
            </w:r>
          </w:p>
        </w:tc>
        <w:tc>
          <w:tcPr>
            <w:tcW w:w="3191" w:type="dxa"/>
            <w:vMerge/>
            <w:tcBorders>
              <w:left w:val="single" w:sz="4" w:space="0" w:color="000000"/>
              <w:right w:val="single" w:sz="4" w:space="0" w:color="000000"/>
            </w:tcBorders>
          </w:tcPr>
          <w:p>
            <w:pPr/>
          </w:p>
        </w:tc>
      </w:tr>
      <w:tr>
        <w:trPr>
          <w:trHeight w:val="312" w:hRule="exact"/>
        </w:trPr>
        <w:tc>
          <w:tcPr>
            <w:tcW w:w="3189"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完成设计稿确认后将通过内部高度自动</w:t>
            </w:r>
          </w:p>
        </w:tc>
        <w:tc>
          <w:tcPr>
            <w:tcW w:w="3191" w:type="dxa"/>
            <w:vMerge/>
            <w:tcBorders>
              <w:left w:val="single" w:sz="4" w:space="0" w:color="000000"/>
              <w:right w:val="single" w:sz="4" w:space="0" w:color="000000"/>
            </w:tcBorders>
          </w:tcPr>
          <w:p>
            <w:pPr/>
          </w:p>
        </w:tc>
      </w:tr>
      <w:tr>
        <w:trPr>
          <w:trHeight w:val="312" w:hRule="exact"/>
        </w:trPr>
        <w:tc>
          <w:tcPr>
            <w:tcW w:w="3189"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化的管理系统排单并发给外部协作平台</w:t>
            </w:r>
          </w:p>
        </w:tc>
        <w:tc>
          <w:tcPr>
            <w:tcW w:w="3191" w:type="dxa"/>
            <w:vMerge/>
            <w:tcBorders>
              <w:left w:val="single" w:sz="4" w:space="0" w:color="000000"/>
              <w:right w:val="single" w:sz="4" w:space="0" w:color="000000"/>
            </w:tcBorders>
          </w:tcPr>
          <w:p>
            <w:pPr/>
          </w:p>
        </w:tc>
      </w:tr>
      <w:tr>
        <w:trPr>
          <w:trHeight w:val="313" w:hRule="exact"/>
        </w:trPr>
        <w:tc>
          <w:tcPr>
            <w:tcW w:w="3189"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或自有制造平台完成产品制作以实现及</w:t>
            </w:r>
          </w:p>
        </w:tc>
        <w:tc>
          <w:tcPr>
            <w:tcW w:w="3191" w:type="dxa"/>
            <w:vMerge/>
            <w:tcBorders>
              <w:left w:val="single" w:sz="4" w:space="0" w:color="000000"/>
              <w:right w:val="single" w:sz="4" w:space="0" w:color="000000"/>
            </w:tcBorders>
          </w:tcPr>
          <w:p>
            <w:pPr/>
          </w:p>
        </w:tc>
      </w:tr>
      <w:tr>
        <w:trPr>
          <w:trHeight w:val="332" w:hRule="exact"/>
        </w:trPr>
        <w:tc>
          <w:tcPr>
            <w:tcW w:w="3189"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时交货。</w:t>
            </w:r>
          </w:p>
        </w:tc>
        <w:tc>
          <w:tcPr>
            <w:tcW w:w="3191" w:type="dxa"/>
            <w:vMerge/>
            <w:tcBorders>
              <w:left w:val="single" w:sz="4" w:space="0" w:color="000000"/>
              <w:right w:val="single" w:sz="4" w:space="0" w:color="000000"/>
            </w:tcBorders>
          </w:tcPr>
          <w:p>
            <w:pPr/>
          </w:p>
        </w:tc>
      </w:tr>
      <w:tr>
        <w:trPr>
          <w:trHeight w:val="337" w:hRule="exact"/>
        </w:trPr>
        <w:tc>
          <w:tcPr>
            <w:tcW w:w="3189"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、星辉及下属公司主要从事儿童出版物</w:t>
            </w:r>
          </w:p>
        </w:tc>
        <w:tc>
          <w:tcPr>
            <w:tcW w:w="3191" w:type="dxa"/>
            <w:vMerge/>
            <w:tcBorders>
              <w:left w:val="single" w:sz="4" w:space="0" w:color="000000"/>
              <w:right w:val="single" w:sz="4" w:space="0" w:color="000000"/>
            </w:tcBorders>
          </w:tcPr>
          <w:p>
            <w:pPr/>
          </w:p>
        </w:tc>
      </w:tr>
      <w:tr>
        <w:trPr>
          <w:trHeight w:val="307" w:hRule="exact"/>
        </w:trPr>
        <w:tc>
          <w:tcPr>
            <w:tcW w:w="3189"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及纸制品、商务及个性化印刷产品的开</w:t>
            </w:r>
          </w:p>
        </w:tc>
        <w:tc>
          <w:tcPr>
            <w:tcW w:w="3191" w:type="dxa"/>
            <w:vMerge/>
            <w:tcBorders>
              <w:left w:val="single" w:sz="4" w:space="0" w:color="000000"/>
              <w:right w:val="single" w:sz="4" w:space="0" w:color="000000"/>
            </w:tcBorders>
          </w:tcPr>
          <w:p>
            <w:pPr/>
          </w:p>
        </w:tc>
      </w:tr>
      <w:tr>
        <w:trPr>
          <w:trHeight w:val="312" w:hRule="exact"/>
        </w:trPr>
        <w:tc>
          <w:tcPr>
            <w:tcW w:w="3189"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发、生产和销售，</w:t>
            </w:r>
          </w:p>
        </w:tc>
        <w:tc>
          <w:tcPr>
            <w:tcW w:w="3191" w:type="dxa"/>
            <w:vMerge/>
            <w:tcBorders>
              <w:left w:val="single" w:sz="4" w:space="0" w:color="000000"/>
              <w:right w:val="single" w:sz="4" w:space="0" w:color="000000"/>
            </w:tcBorders>
          </w:tcPr>
          <w:p>
            <w:pPr/>
          </w:p>
        </w:tc>
      </w:tr>
      <w:tr>
        <w:trPr>
          <w:trHeight w:val="312" w:hRule="exact"/>
        </w:trPr>
        <w:tc>
          <w:tcPr>
            <w:tcW w:w="3189"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快速的响应、高效优质的服务赢得了国</w:t>
            </w:r>
          </w:p>
        </w:tc>
        <w:tc>
          <w:tcPr>
            <w:tcW w:w="3191" w:type="dxa"/>
            <w:vMerge/>
            <w:tcBorders>
              <w:left w:val="single" w:sz="4" w:space="0" w:color="000000"/>
              <w:right w:val="single" w:sz="4" w:space="0" w:color="000000"/>
            </w:tcBorders>
          </w:tcPr>
          <w:p>
            <w:pPr/>
          </w:p>
        </w:tc>
      </w:tr>
      <w:tr>
        <w:trPr>
          <w:trHeight w:val="317" w:hRule="exact"/>
        </w:trPr>
        <w:tc>
          <w:tcPr>
            <w:tcW w:w="3189"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际品牌客户的青睐，已进入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Disney</w:t>
            </w:r>
            <w:r>
              <w:rPr>
                <w:rFonts w:ascii="宋体" w:hAnsi="宋体" w:cs="宋体" w:eastAsia="宋体" w:hint="default"/>
                <w:sz w:val="18"/>
                <w:szCs w:val="18"/>
              </w:rPr>
              <w:t>、</w:t>
            </w:r>
          </w:p>
        </w:tc>
        <w:tc>
          <w:tcPr>
            <w:tcW w:w="3191" w:type="dxa"/>
            <w:vMerge/>
            <w:tcBorders>
              <w:left w:val="single" w:sz="4" w:space="0" w:color="000000"/>
              <w:right w:val="single" w:sz="4" w:space="0" w:color="000000"/>
            </w:tcBorders>
          </w:tcPr>
          <w:p>
            <w:pPr/>
          </w:p>
        </w:tc>
      </w:tr>
      <w:tr>
        <w:trPr>
          <w:trHeight w:val="313" w:hRule="exact"/>
        </w:trPr>
        <w:tc>
          <w:tcPr>
            <w:tcW w:w="3189" w:type="dxa"/>
            <w:vMerge/>
            <w:tcBorders>
              <w:left w:val="single" w:sz="4" w:space="0" w:color="000000"/>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Walmart</w:t>
            </w:r>
            <w:r>
              <w:rPr>
                <w:rFonts w:ascii="Times New Roman" w:hAnsi="Times New Roman" w:cs="Times New Roman" w:eastAsia="Times New Roman" w:hint="default"/>
                <w:spacing w:val="13"/>
                <w:sz w:val="18"/>
                <w:szCs w:val="18"/>
              </w:rPr>
              <w:t> </w:t>
            </w:r>
            <w:r>
              <w:rPr>
                <w:rFonts w:ascii="宋体" w:hAnsi="宋体" w:cs="宋体" w:eastAsia="宋体" w:hint="default"/>
                <w:spacing w:val="-4"/>
                <w:sz w:val="18"/>
                <w:szCs w:val="18"/>
              </w:rPr>
              <w:t>等客户的供应体系，积累了丰富</w:t>
            </w:r>
          </w:p>
        </w:tc>
        <w:tc>
          <w:tcPr>
            <w:tcW w:w="3191" w:type="dxa"/>
            <w:vMerge/>
            <w:tcBorders>
              <w:left w:val="single" w:sz="4" w:space="0" w:color="000000"/>
              <w:right w:val="single" w:sz="4" w:space="0" w:color="000000"/>
            </w:tcBorders>
          </w:tcPr>
          <w:p>
            <w:pPr/>
          </w:p>
        </w:tc>
      </w:tr>
      <w:tr>
        <w:trPr>
          <w:trHeight w:val="351" w:hRule="exact"/>
        </w:trPr>
        <w:tc>
          <w:tcPr>
            <w:tcW w:w="3189" w:type="dxa"/>
            <w:vMerge/>
            <w:tcBorders>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的快速印刷和儿童文化产品服务经验。</w:t>
            </w:r>
          </w:p>
        </w:tc>
        <w:tc>
          <w:tcPr>
            <w:tcW w:w="3191" w:type="dxa"/>
            <w:vMerge/>
            <w:tcBorders>
              <w:left w:val="single" w:sz="4" w:space="0" w:color="000000"/>
              <w:bottom w:val="single" w:sz="4" w:space="0" w:color="000000"/>
              <w:right w:val="single" w:sz="4" w:space="0" w:color="000000"/>
            </w:tcBorders>
          </w:tcPr>
          <w:p>
            <w:pPr/>
          </w:p>
        </w:tc>
      </w:tr>
    </w:tbl>
    <w:p>
      <w:pPr>
        <w:pStyle w:val="BodyText"/>
        <w:spacing w:line="319" w:lineRule="auto" w:before="51"/>
        <w:ind w:left="154" w:right="0"/>
        <w:jc w:val="left"/>
      </w:pPr>
      <w:r>
        <w:rPr/>
        <w:pict>
          <v:shape style="position:absolute;margin-left:288.674011pt;margin-top:-300.938293pt;width:246.3pt;height:300.45pt;mso-position-horizontal-relative:page;mso-position-vertical-relative:paragraph;z-index:-8420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left="0" w:right="0"/>
                    <w:jc w:val="left"/>
                  </w:pPr>
                  <w:r>
                    <w:rPr/>
                    <w:t>凭借良好的产品品质、</w:t>
                  </w:r>
                </w:p>
              </w:txbxContent>
            </v:textbox>
            <w10:wrap type="none"/>
          </v:shape>
        </w:pict>
      </w:r>
      <w:r>
        <w:rPr>
          <w:spacing w:val="-2"/>
        </w:rPr>
        <w:t>注：为避免重复，在持有金融企业股权情况、证券投资情况、委托理财、衍生品投资和委托贷款情况等处披露了的投资，不</w:t>
      </w:r>
      <w:r>
        <w:rPr>
          <w:spacing w:val="-67"/>
        </w:rPr>
        <w:t> </w:t>
      </w:r>
      <w:r>
        <w:rPr>
          <w:spacing w:val="-67"/>
        </w:rPr>
      </w:r>
      <w:r>
        <w:rPr/>
        <w:t>再在本表中填列。</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持有金融企业股权情况" w:id="36"/>
      <w:bookmarkEnd w:id="36"/>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8052"/>
        <w:jc w:val="left"/>
      </w:pPr>
      <w:r>
        <w:rPr/>
        <w:t>□ 适用 √ 不适用 公司报告期未持有金融企业股权。</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3）证券投资情况" w:id="37"/>
      <w:bookmarkEnd w:id="37"/>
      <w:r>
        <w:rPr>
          <w:b w:val="0"/>
          <w:bCs w:val="0"/>
        </w:rPr>
      </w:r>
      <w:r>
        <w:rPr/>
        <w:t>（</w:t>
      </w:r>
      <w:r>
        <w:rPr>
          <w:rFonts w:ascii="Times New Roman" w:hAnsi="Times New Roman" w:cs="Times New Roman" w:eastAsia="Times New Roman" w:hint="default"/>
        </w:rPr>
        <w:t>3</w:t>
      </w:r>
      <w:r>
        <w:rPr/>
        <w:t>）证券投资情况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8412"/>
        <w:jc w:val="left"/>
      </w:pPr>
      <w:r>
        <w:rPr/>
        <w:t>□ 适用 √ 不适用 公司报告期不存在证券投资。</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4）持有其他上市公司股权情况的说明" w:id="38"/>
      <w:bookmarkEnd w:id="38"/>
      <w:r>
        <w:rPr>
          <w:b w:val="0"/>
          <w:bCs w:val="0"/>
        </w:rPr>
      </w: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6793"/>
        <w:jc w:val="left"/>
      </w:pPr>
      <w:r>
        <w:rPr/>
        <w:t>□ 适用 √ 不适用 公司报告期未持有其他上市公司股权。</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委托理财、衍生品投资和委托贷款情况" w:id="39"/>
      <w:bookmarkEnd w:id="39"/>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40"/>
      <w:bookmarkEnd w:id="4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8412"/>
        <w:jc w:val="left"/>
      </w:pPr>
      <w:r>
        <w:rPr/>
        <w:t>□ 适用 √ 不适用 公司报告期不存在委托理财。</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衍生品投资情况" w:id="41"/>
      <w:bookmarkEnd w:id="4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8232"/>
        <w:jc w:val="left"/>
      </w:pPr>
      <w:r>
        <w:rPr/>
        <w:t>□ 适用 √ 不适用 公司报告期不存在衍生品投资。</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委托贷款情况" w:id="42"/>
      <w:bookmarkEnd w:id="42"/>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412"/>
        <w:jc w:val="left"/>
      </w:pPr>
      <w:r>
        <w:rPr/>
        <w:t>□ 适用 √ 不适用 公司报告期不存在委托贷款。</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募集资金使用情况" w:id="43"/>
      <w:bookmarkEnd w:id="43"/>
      <w:r>
        <w:rPr>
          <w:b w:val="0"/>
          <w:bCs w:val="0"/>
        </w:rPr>
      </w:r>
      <w:r>
        <w:rPr>
          <w:rFonts w:ascii="Times New Roman" w:hAnsi="Times New Roman" w:cs="Times New Roman" w:eastAsia="Times New Roman" w:hint="default"/>
        </w:rPr>
        <w:t>3</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募集资金总体使用情况" w:id="44"/>
      <w:bookmarkEnd w:id="44"/>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 适用 □ 不适用</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89"/>
        <w:gridCol w:w="5480"/>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109,812.94</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431.4</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100,402.11</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7,294.37</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11,665.5</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10.62%</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58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[2009]1013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号文《关于核准深圳市美盈森环保科技股份有限公司首次公开发行股票的 </w:t>
            </w:r>
            <w:r>
              <w:rPr>
                <w:rFonts w:ascii="宋体" w:hAnsi="宋体" w:cs="宋体" w:eastAsia="宋体" w:hint="default"/>
                <w:spacing w:val="-2"/>
                <w:sz w:val="18"/>
                <w:szCs w:val="18"/>
              </w:rPr>
              <w:t>批复》核准，深圳市美盈森环保科技股份有限公司（以下简称“本公司”）采用网下向询价对象询价配售和网上资金申购</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定价发行相结合的方式，向社会公众公开发行了普通股（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股）股票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万股，每股发行价格为人民币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25.36</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元。本公司</w:t>
            </w:r>
          </w:p>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共募集资金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1,141,200,000 </w:t>
            </w:r>
            <w:r>
              <w:rPr>
                <w:rFonts w:ascii="宋体" w:hAnsi="宋体" w:cs="宋体" w:eastAsia="宋体" w:hint="default"/>
                <w:sz w:val="18"/>
                <w:szCs w:val="18"/>
              </w:rPr>
              <w:t>元</w:t>
            </w:r>
            <w:r>
              <w:rPr>
                <w:rFonts w:ascii="宋体" w:hAnsi="宋体" w:cs="宋体" w:eastAsia="宋体" w:hint="default"/>
                <w:spacing w:val="-86"/>
                <w:sz w:val="18"/>
                <w:szCs w:val="18"/>
              </w:rPr>
              <w:t>，</w:t>
            </w:r>
            <w:r>
              <w:rPr>
                <w:rFonts w:ascii="宋体" w:hAnsi="宋体" w:cs="宋体" w:eastAsia="宋体" w:hint="default"/>
                <w:sz w:val="18"/>
                <w:szCs w:val="18"/>
              </w:rPr>
              <w:t>扣除发行费用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43,070,59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.49 </w:t>
            </w:r>
            <w:r>
              <w:rPr>
                <w:rFonts w:ascii="宋体" w:hAnsi="宋体" w:cs="宋体" w:eastAsia="宋体" w:hint="default"/>
                <w:sz w:val="18"/>
                <w:szCs w:val="18"/>
              </w:rPr>
              <w:t>元后</w:t>
            </w:r>
            <w:r>
              <w:rPr>
                <w:rFonts w:ascii="宋体" w:hAnsi="宋体" w:cs="宋体" w:eastAsia="宋体" w:hint="default"/>
                <w:spacing w:val="-85"/>
                <w:sz w:val="18"/>
                <w:szCs w:val="18"/>
              </w:rPr>
              <w:t>，</w:t>
            </w:r>
            <w:r>
              <w:rPr>
                <w:rFonts w:ascii="宋体" w:hAnsi="宋体" w:cs="宋体" w:eastAsia="宋体" w:hint="default"/>
                <w:sz w:val="18"/>
                <w:szCs w:val="18"/>
              </w:rPr>
              <w:t>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1,098,129</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400.51 </w:t>
            </w:r>
            <w:r>
              <w:rPr>
                <w:rFonts w:ascii="宋体" w:hAnsi="宋体" w:cs="宋体" w:eastAsia="宋体" w:hint="default"/>
                <w:sz w:val="18"/>
                <w:szCs w:val="18"/>
              </w:rPr>
              <w:t>元</w:t>
            </w:r>
            <w:r>
              <w:rPr>
                <w:rFonts w:ascii="宋体" w:hAnsi="宋体" w:cs="宋体" w:eastAsia="宋体" w:hint="default"/>
                <w:spacing w:val="-85"/>
                <w:sz w:val="18"/>
                <w:szCs w:val="18"/>
              </w:rPr>
              <w:t>。</w:t>
            </w:r>
            <w:r>
              <w:rPr>
                <w:rFonts w:ascii="宋体" w:hAnsi="宋体" w:cs="宋体" w:eastAsia="宋体" w:hint="default"/>
                <w:sz w:val="18"/>
                <w:szCs w:val="18"/>
              </w:rPr>
              <w:t>该募集资金已于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p>
          <w:p>
            <w:pPr>
              <w:pStyle w:val="TableParagraph"/>
              <w:spacing w:line="312" w:lineRule="auto" w:before="63"/>
              <w:ind w:left="22" w:right="-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日全部到位，并经大信会计师事务有限公司大信验字</w:t>
            </w:r>
            <w:r>
              <w:rPr>
                <w:rFonts w:ascii="Times New Roman" w:hAnsi="Times New Roman" w:cs="Times New Roman" w:eastAsia="Times New Roman" w:hint="default"/>
                <w:sz w:val="18"/>
                <w:szCs w:val="18"/>
              </w:rPr>
              <w:t>[2009]</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4-0019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号《验资报告》审验确认。公司按照中国 </w:t>
            </w:r>
            <w:r>
              <w:rPr>
                <w:rFonts w:ascii="宋体" w:hAnsi="宋体" w:cs="宋体" w:eastAsia="宋体" w:hint="default"/>
                <w:spacing w:val="-1"/>
                <w:sz w:val="18"/>
                <w:szCs w:val="18"/>
              </w:rPr>
              <w:t>证券监督管理委员会和深圳证券交易所关于募集资金存储和使用的相关规定和要求存储和使用募集资金。公司募集资金实</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行专户存储，并与银行及保荐机构签订了募集资金三方监管协议。募集资金使用过程中严格履行相应的申请和审批程序， 充分接受保荐机构、独立董事以及公司监事会的监督。</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45"/>
      <w:bookmarkEnd w:id="45"/>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 适用 □ 不适用</w:t>
      </w:r>
    </w:p>
    <w:p>
      <w:pPr>
        <w:pStyle w:val="BodyText"/>
        <w:spacing w:line="240" w:lineRule="auto" w:before="116"/>
        <w:ind w:left="0" w:right="1130"/>
        <w:jc w:val="right"/>
      </w:pPr>
      <w:r>
        <w:rPr/>
        <w:t>单位：万元</w:t>
      </w: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64"/>
        <w:gridCol w:w="775"/>
        <w:gridCol w:w="776"/>
        <w:gridCol w:w="776"/>
        <w:gridCol w:w="781"/>
        <w:gridCol w:w="782"/>
        <w:gridCol w:w="781"/>
        <w:gridCol w:w="782"/>
        <w:gridCol w:w="782"/>
        <w:gridCol w:w="782"/>
        <w:gridCol w:w="786"/>
      </w:tblGrid>
      <w:tr>
        <w:trPr>
          <w:trHeight w:val="101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16" w:right="66"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81" w:right="83" w:firstLine="30"/>
              <w:jc w:val="both"/>
              <w:rPr>
                <w:rFonts w:ascii="宋体" w:hAnsi="宋体" w:cs="宋体" w:eastAsia="宋体"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6"/>
              <w:ind w:left="22"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5"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5" w:right="2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5" w:right="24"/>
              <w:jc w:val="center"/>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6" w:right="23"/>
              <w:jc w:val="both"/>
              <w:rPr>
                <w:rFonts w:ascii="宋体" w:hAnsi="宋体" w:cs="宋体" w:eastAsia="宋体" w:hint="default"/>
                <w:sz w:val="18"/>
                <w:szCs w:val="18"/>
              </w:rPr>
            </w:pPr>
            <w:r>
              <w:rPr>
                <w:rFonts w:ascii="宋体" w:hAnsi="宋体" w:cs="宋体" w:eastAsia="宋体" w:hint="default"/>
                <w:sz w:val="18"/>
                <w:szCs w:val="18"/>
              </w:rPr>
              <w:t>项目达到 预定可使 用状态日</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5" w:right="25"/>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5" w:right="2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7" w:right="26"/>
              <w:jc w:val="both"/>
              <w:rPr>
                <w:rFonts w:ascii="宋体" w:hAnsi="宋体" w:cs="宋体" w:eastAsia="宋体" w:hint="default"/>
                <w:sz w:val="18"/>
                <w:szCs w:val="18"/>
              </w:rPr>
            </w:pPr>
            <w:r>
              <w:rPr>
                <w:rFonts w:ascii="宋体" w:hAnsi="宋体" w:cs="宋体" w:eastAsia="宋体" w:hint="default"/>
                <w:sz w:val="18"/>
                <w:szCs w:val="18"/>
              </w:rPr>
              <w:t>项目可行 性是否发 生重大变</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4.6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775"/>
                    <w:gridCol w:w="776"/>
                    <w:gridCol w:w="776"/>
                    <w:gridCol w:w="781"/>
                    <w:gridCol w:w="782"/>
                    <w:gridCol w:w="781"/>
                    <w:gridCol w:w="782"/>
                    <w:gridCol w:w="782"/>
                    <w:gridCol w:w="782"/>
                    <w:gridCol w:w="786"/>
                  </w:tblGrid>
                  <w:tr>
                    <w:trPr>
                      <w:trHeight w:val="36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分变更</w:t>
                        </w:r>
                        <w:r>
                          <w:rPr>
                            <w:rFonts w:ascii="Times New Roman" w:hAnsi="Times New Roman" w:cs="Times New Roman" w:eastAsia="Times New Roman" w:hint="default"/>
                            <w:sz w:val="18"/>
                            <w:szCs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1" w:right="0"/>
                          <w:jc w:val="left"/>
                          <w:rPr>
                            <w:rFonts w:ascii="Times New Roman" w:hAnsi="Times New Roman" w:cs="Times New Roman" w:eastAsia="Times New Roman" w:hint="default"/>
                            <w:sz w:val="18"/>
                            <w:szCs w:val="18"/>
                          </w:rPr>
                        </w:pPr>
                        <w:r>
                          <w:rPr>
                            <w:rFonts w:ascii="Times New Roman"/>
                            <w:sz w:val="18"/>
                          </w:rPr>
                          <w:t>(2)/(1)</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6" w:right="0"/>
                          <w:jc w:val="left"/>
                          <w:rPr>
                            <w:rFonts w:ascii="宋体" w:hAnsi="宋体" w:cs="宋体" w:eastAsia="宋体" w:hint="default"/>
                            <w:sz w:val="18"/>
                            <w:szCs w:val="18"/>
                          </w:rPr>
                        </w:pPr>
                        <w:r>
                          <w:rPr>
                            <w:rFonts w:ascii="宋体" w:hAnsi="宋体" w:cs="宋体" w:eastAsia="宋体" w:hint="default"/>
                            <w:sz w:val="18"/>
                            <w:szCs w:val="18"/>
                          </w:rPr>
                          <w:t>期</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96"/>
                          <w:jc w:val="right"/>
                          <w:rPr>
                            <w:rFonts w:ascii="宋体" w:hAnsi="宋体" w:cs="宋体" w:eastAsia="宋体" w:hint="default"/>
                            <w:sz w:val="18"/>
                            <w:szCs w:val="18"/>
                          </w:rPr>
                        </w:pPr>
                        <w:r>
                          <w:rPr>
                            <w:rFonts w:ascii="宋体" w:hAnsi="宋体" w:cs="宋体" w:eastAsia="宋体" w:hint="default"/>
                            <w:sz w:val="18"/>
                            <w:szCs w:val="18"/>
                          </w:rPr>
                          <w:t>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东莞市美盈森环保科 技有限公司环保包装 生产建设项目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42,059.37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40,095.66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228.48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40,095.66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6,284.62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环保轻型包装生产线 技术改造项目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2,992.93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2,604.04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2,604.04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包装物流一体化项目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6,706.48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2,335.35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2,335.35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51,758.78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45,035.05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228.48</w:t>
                        </w: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45,035.05</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6,284.62</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苏州美盈森现代化环 保包装生产基地项目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27,878.38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27,878.38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5,311.86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重庆美盈森现代化环 保包装物流综合基地 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27,085.97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27,085.97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1,260.14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低碳环保包装研发总 部基地项目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278.21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12.89%</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美盈森（成都）现代 化环保包装生产基地 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-136.93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59,464.35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202.91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55,367.05</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6,572</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101,258.7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104,499.4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431.39</w:t>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100,402.1</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12,856.62</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vMerge/>
                        <w:tcBorders>
                          <w:left w:val="single" w:sz="10" w:space="0" w:color="D2D2D2"/>
                          <w:right w:val="single" w:sz="4" w:space="0" w:color="000000"/>
                        </w:tcBorders>
                      </w:tcPr>
                      <w:p>
                        <w:pPr/>
                      </w:p>
                    </w:tc>
                    <w:tc>
                      <w:tcPr>
                        <w:tcW w:w="7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r>
                  <w:tr>
                    <w:trPr>
                      <w:trHeight w:val="161"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vMerge/>
                        <w:tcBorders>
                          <w:left w:val="single" w:sz="10" w:space="0" w:color="D2D2D2"/>
                          <w:bottom w:val="single" w:sz="4" w:space="0" w:color="000000"/>
                          <w:right w:val="single" w:sz="4" w:space="0" w:color="000000"/>
                        </w:tcBorders>
                      </w:tcPr>
                      <w:p>
                        <w:pPr/>
                      </w:p>
                    </w:tc>
                    <w:tc>
                      <w:tcPr>
                        <w:tcW w:w="7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304" w:lineRule="auto" w:before="51"/>
                          <w:ind w:left="16" w:right="2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）环保轻型包装生产线技术改造项目无法单独计算效益，主要系技改设备产出的产品类别原因无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法单独计算收益所致。（</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）低碳环保包装研发总部基地项目尚处于前期筹备过程中；美盈森（成都</w:t>
                        </w:r>
                        <w:r>
                          <w:rPr>
                            <w:rFonts w:ascii="宋体" w:hAnsi="宋体" w:cs="宋体" w:eastAsia="宋体" w:hint="default"/>
                            <w:sz w:val="18"/>
                            <w:szCs w:val="18"/>
                          </w:rPr>
                          <w:t> </w:t>
                        </w:r>
                        <w:r>
                          <w:rPr>
                            <w:rFonts w:ascii="宋体" w:hAnsi="宋体" w:cs="宋体" w:eastAsia="宋体" w:hint="default"/>
                            <w:spacing w:val="-3"/>
                            <w:sz w:val="18"/>
                            <w:szCs w:val="18"/>
                          </w:rPr>
                          <w:t>现代化环保包装生产基地项目尚未开始建设。（</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）美盈森（成都）现代化环保包装生产基地项目本</w:t>
                        </w:r>
                        <w:r>
                          <w:rPr>
                            <w:rFonts w:ascii="宋体" w:hAnsi="宋体" w:cs="宋体" w:eastAsia="宋体" w:hint="default"/>
                            <w:spacing w:val="-48"/>
                            <w:sz w:val="18"/>
                            <w:szCs w:val="18"/>
                          </w:rPr>
                          <w:t> </w:t>
                        </w:r>
                        <w:r>
                          <w:rPr>
                            <w:rFonts w:ascii="宋体" w:hAnsi="宋体" w:cs="宋体" w:eastAsia="宋体" w:hint="default"/>
                            <w:sz w:val="18"/>
                            <w:szCs w:val="18"/>
                          </w:rPr>
                          <w:t>年度投入金额为负值，主要系收到项目地块所在地政府因地块调整而对前期已投入金额予以补偿所 致。</w:t>
                        </w:r>
                      </w:p>
                    </w:tc>
                  </w:tr>
                  <w:tr>
                    <w:trPr>
                      <w:trHeight w:val="1016"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0"/>
                        <w:vMerge/>
                        <w:tcBorders>
                          <w:left w:val="single" w:sz="9" w:space="0" w:color="D2D2D2"/>
                          <w:right w:val="single" w:sz="4" w:space="0" w:color="000000"/>
                        </w:tcBorders>
                      </w:tcPr>
                      <w:p>
                        <w:pPr/>
                      </w:p>
                    </w:tc>
                  </w:tr>
                  <w:tr>
                    <w:trPr>
                      <w:trHeight w:val="317"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785"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307" w:lineRule="auto" w:before="51"/>
                          <w:ind w:left="16" w:right="23"/>
                          <w:jc w:val="left"/>
                          <w:rPr>
                            <w:rFonts w:ascii="宋体" w:hAnsi="宋体" w:cs="宋体" w:eastAsia="宋体" w:hint="default"/>
                            <w:sz w:val="18"/>
                            <w:szCs w:val="18"/>
                          </w:rPr>
                        </w:pPr>
                        <w:r>
                          <w:rPr>
                            <w:rFonts w:ascii="宋体" w:hAnsi="宋体" w:cs="宋体" w:eastAsia="宋体" w:hint="default"/>
                            <w:sz w:val="18"/>
                            <w:szCs w:val="18"/>
                          </w:rPr>
                          <w:t>因“包装物流一体化项目”继续实施的可行性发生变化，经过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年度第一次临时股东大会批准 公司已决定终止“包装物流一体化项目”的继续实施，对该募投项目进行变更。项目继续实施的可 </w:t>
                        </w:r>
                        <w:r>
                          <w:rPr>
                            <w:rFonts w:ascii="宋体" w:hAnsi="宋体" w:cs="宋体" w:eastAsia="宋体" w:hint="default"/>
                            <w:spacing w:val="-3"/>
                            <w:sz w:val="18"/>
                            <w:szCs w:val="18"/>
                          </w:rPr>
                          <w:t>行性发生变化原因如下：（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）上市以来，公司通过增加物流运输设备、优化物流配送调度、精确掌</w:t>
                        </w:r>
                        <w:r>
                          <w:rPr>
                            <w:rFonts w:ascii="宋体" w:hAnsi="宋体" w:cs="宋体" w:eastAsia="宋体" w:hint="default"/>
                            <w:spacing w:val="-48"/>
                            <w:sz w:val="18"/>
                            <w:szCs w:val="18"/>
                          </w:rPr>
                          <w:t> </w:t>
                        </w:r>
                        <w:r>
                          <w:rPr>
                            <w:rFonts w:ascii="宋体" w:hAnsi="宋体" w:cs="宋体" w:eastAsia="宋体" w:hint="default"/>
                            <w:sz w:val="18"/>
                            <w:szCs w:val="18"/>
                          </w:rPr>
                          <w:t>握客户下单计划等，较大程度上提升物流配送体系的效能，更好的实现及时响应能力。鉴于此，并 </w:t>
                        </w:r>
                        <w:r>
                          <w:rPr>
                            <w:rFonts w:ascii="宋体" w:hAnsi="宋体" w:cs="宋体" w:eastAsia="宋体" w:hint="default"/>
                            <w:spacing w:val="-3"/>
                            <w:sz w:val="18"/>
                            <w:szCs w:val="18"/>
                          </w:rPr>
                          <w:t>依据客户布局调整、产品所需包材种类以及充分考虑包装一体化成本结构，公司原计划设置</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座仓</w:t>
                        </w:r>
                        <w:r>
                          <w:rPr>
                            <w:rFonts w:ascii="宋体" w:hAnsi="宋体" w:cs="宋体" w:eastAsia="宋体" w:hint="default"/>
                            <w:spacing w:val="-84"/>
                            <w:sz w:val="18"/>
                            <w:szCs w:val="18"/>
                          </w:rPr>
                          <w:t> </w:t>
                        </w:r>
                        <w:r>
                          <w:rPr>
                            <w:rFonts w:ascii="宋体" w:hAnsi="宋体" w:cs="宋体" w:eastAsia="宋体" w:hint="default"/>
                            <w:spacing w:val="-3"/>
                            <w:sz w:val="18"/>
                            <w:szCs w:val="18"/>
                          </w:rPr>
                          <w:t>库的方案需要调整。（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）减少仓库配置同时，相应的流动资金需求减少。鉴于上述原因，公司决定</w:t>
                        </w:r>
                        <w:r>
                          <w:rPr>
                            <w:rFonts w:ascii="宋体" w:hAnsi="宋体" w:cs="宋体" w:eastAsia="宋体" w:hint="default"/>
                            <w:spacing w:val="-48"/>
                            <w:sz w:val="18"/>
                            <w:szCs w:val="18"/>
                          </w:rPr>
                          <w:t> </w:t>
                        </w:r>
                        <w:r>
                          <w:rPr>
                            <w:rFonts w:ascii="宋体" w:hAnsi="宋体" w:cs="宋体" w:eastAsia="宋体" w:hint="default"/>
                            <w:sz w:val="18"/>
                            <w:szCs w:val="18"/>
                          </w:rPr>
                          <w:t>调整包装一体化项目原有投资计划，以更好的适应公司发展需要，并提高募集资金使用效率。</w:t>
                        </w:r>
                      </w:p>
                    </w:tc>
                  </w:tr>
                  <w:tr>
                    <w:trPr>
                      <w:trHeight w:val="705"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0"/>
                        <w:vMerge/>
                        <w:tcBorders>
                          <w:left w:val="single" w:sz="9" w:space="0" w:color="D2D2D2"/>
                          <w:right w:val="single" w:sz="4" w:space="0" w:color="000000"/>
                        </w:tcBorders>
                      </w:tcPr>
                      <w:p>
                        <w:pPr/>
                      </w:p>
                    </w:tc>
                  </w:tr>
                  <w:tr>
                    <w:trPr>
                      <w:trHeight w:val="785"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超募资金的金额、用</w:t>
                        </w:r>
                      </w:p>
                    </w:tc>
                    <w:tc>
                      <w:tcPr>
                        <w:tcW w:w="780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0" w:right="1147"/>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1.1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7804"/>
                  </w:tblGrid>
                  <w:tr>
                    <w:trPr>
                      <w:trHeight w:val="258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途及使用进展情况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公司首次公开发行股票共超募资金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57,761.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42"/>
                            <w:sz w:val="18"/>
                            <w:szCs w:val="18"/>
                          </w:rPr>
                          <w:t>。</w:t>
                        </w:r>
                        <w:r>
                          <w:rPr>
                            <w:rFonts w:ascii="宋体" w:hAnsi="宋体" w:cs="宋体" w:eastAsia="宋体" w:hint="default"/>
                            <w:sz w:val="18"/>
                            <w:szCs w:val="18"/>
                          </w:rPr>
                          <w:t>具体投资情况如下</w:t>
                        </w:r>
                        <w:r>
                          <w:rPr>
                            <w:rFonts w:ascii="宋体" w:hAnsi="宋体" w:cs="宋体" w:eastAsia="宋体" w:hint="default"/>
                            <w:spacing w:val="-13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42"/>
                            <w:sz w:val="18"/>
                            <w:szCs w:val="18"/>
                          </w:rPr>
                          <w:t>）</w:t>
                        </w:r>
                        <w:r>
                          <w:rPr>
                            <w:rFonts w:ascii="宋体" w:hAnsi="宋体" w:cs="宋体" w:eastAsia="宋体" w:hint="default"/>
                            <w:sz w:val="18"/>
                            <w:szCs w:val="18"/>
                          </w:rPr>
                          <w:t>公司共计投资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29,781.14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万元募集资金（其中超募资金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年度第一次临时股东大会批准）用于全资子</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公司苏州美盈森环保科技有限公司实施的“现代化环保包装生产基地项目</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w:t>
                        </w:r>
                      </w:p>
                      <w:p>
                        <w:pPr>
                          <w:pStyle w:val="TableParagraph"/>
                          <w:spacing w:line="300" w:lineRule="auto" w:before="63"/>
                          <w:ind w:left="22" w:right="30"/>
                          <w:jc w:val="left"/>
                          <w:rPr>
                            <w:rFonts w:ascii="宋体" w:hAnsi="宋体" w:cs="宋体" w:eastAsia="宋体" w:hint="default"/>
                            <w:sz w:val="18"/>
                            <w:szCs w:val="18"/>
                          </w:rPr>
                        </w:pPr>
                        <w:r>
                          <w:rPr>
                            <w:rFonts w:ascii="宋体" w:hAnsi="宋体" w:cs="宋体" w:eastAsia="宋体" w:hint="default"/>
                            <w:sz w:val="18"/>
                            <w:szCs w:val="18"/>
                          </w:rPr>
                          <w:t>次临时股东大会和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年度第一次临时股东大会批准，公司共计投资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万元超募资金用于 </w:t>
                        </w:r>
                        <w:r>
                          <w:rPr>
                            <w:rFonts w:ascii="宋体" w:hAnsi="宋体" w:cs="宋体" w:eastAsia="宋体" w:hint="default"/>
                            <w:spacing w:val="-5"/>
                            <w:sz w:val="18"/>
                            <w:szCs w:val="18"/>
                          </w:rPr>
                          <w:t>全资子公司重庆市美盈森环保包装工程有限公司实施的“现代化环保包装物流综合基地项目”；（</w:t>
                        </w:r>
                        <w:r>
                          <w:rPr>
                            <w:rFonts w:ascii="Times New Roman" w:hAnsi="Times New Roman" w:cs="Times New Roman" w:eastAsia="Times New Roman" w:hint="default"/>
                            <w:spacing w:val="-5"/>
                            <w:sz w:val="18"/>
                            <w:szCs w:val="18"/>
                          </w:rPr>
                          <w:t>3 </w:t>
                        </w:r>
                        <w:r>
                          <w:rPr>
                            <w:rFonts w:ascii="宋体" w:hAnsi="宋体" w:cs="宋体" w:eastAsia="宋体" w:hint="default"/>
                            <w:sz w:val="18"/>
                            <w:szCs w:val="18"/>
                          </w:rPr>
                          <w:t>经第一届董事会第十九次临时会议批准，公司投资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万元超募资金用于投资新建“低碳环保</w:t>
                        </w:r>
                      </w:p>
                      <w:p>
                        <w:pPr>
                          <w:pStyle w:val="TableParagraph"/>
                          <w:spacing w:line="302" w:lineRule="auto" w:before="13"/>
                          <w:ind w:left="22" w:right="23"/>
                          <w:jc w:val="left"/>
                          <w:rPr>
                            <w:rFonts w:ascii="宋体" w:hAnsi="宋体" w:cs="宋体" w:eastAsia="宋体" w:hint="default"/>
                            <w:sz w:val="18"/>
                            <w:szCs w:val="18"/>
                          </w:rPr>
                        </w:pPr>
                        <w:r>
                          <w:rPr>
                            <w:rFonts w:ascii="宋体" w:hAnsi="宋体" w:cs="宋体" w:eastAsia="宋体" w:hint="default"/>
                            <w:sz w:val="18"/>
                            <w:szCs w:val="18"/>
                          </w:rPr>
                          <w:t>包装研发总部基地项目</w:t>
                        </w:r>
                        <w:r>
                          <w:rPr>
                            <w:rFonts w:ascii="宋体" w:hAnsi="宋体" w:cs="宋体" w:eastAsia="宋体" w:hint="default"/>
                            <w:spacing w:val="-90"/>
                            <w:sz w:val="18"/>
                            <w:szCs w:val="18"/>
                          </w:rPr>
                          <w:t>”</w:t>
                        </w:r>
                        <w:r>
                          <w:rPr>
                            <w:rFonts w:ascii="宋体" w:hAnsi="宋体" w:cs="宋体" w:eastAsia="宋体" w:hint="default"/>
                            <w:spacing w:val="-11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28"/>
                            <w:sz w:val="18"/>
                            <w:szCs w:val="18"/>
                          </w:rPr>
                          <w:t>）</w:t>
                        </w:r>
                        <w:r>
                          <w:rPr>
                            <w:rFonts w:ascii="宋体" w:hAnsi="宋体" w:cs="宋体" w:eastAsia="宋体" w:hint="default"/>
                            <w:sz w:val="18"/>
                            <w:szCs w:val="18"/>
                          </w:rPr>
                          <w:t>经第二届董事会第七次会议批准</w:t>
                        </w:r>
                        <w:r>
                          <w:rPr>
                            <w:rFonts w:ascii="宋体" w:hAnsi="宋体" w:cs="宋体" w:eastAsia="宋体" w:hint="default"/>
                            <w:spacing w:val="-28"/>
                            <w:sz w:val="18"/>
                            <w:szCs w:val="18"/>
                          </w:rPr>
                          <w:t>，</w:t>
                        </w:r>
                        <w:r>
                          <w:rPr>
                            <w:rFonts w:ascii="宋体" w:hAnsi="宋体" w:cs="宋体" w:eastAsia="宋体" w:hint="default"/>
                            <w:sz w:val="18"/>
                            <w:szCs w:val="18"/>
                          </w:rPr>
                          <w:t>公司投资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万元超募资金用 于设立成都市美盈森环保科技有限公司以实施“美盈森（成都）现代化环保包装生产基地项目</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8"/>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6"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公司已终止“包装一体化项目”的继续实施，并将剩余资金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4,371.13 </w:t>
                        </w:r>
                        <w:r>
                          <w:rPr>
                            <w:rFonts w:ascii="宋体" w:hAnsi="宋体" w:cs="宋体" w:eastAsia="宋体" w:hint="default"/>
                            <w:sz w:val="18"/>
                            <w:szCs w:val="18"/>
                          </w:rPr>
                          <w:t>万元增资全资子公司苏州美盈 森环保科技有限公司用于其实施的“现代化环保包装生产基地项目”以弥补苏州一期项目设备款、 工程款、运营资金等的不足。</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9"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764" w:type="dxa"/>
                        <w:vMerge/>
                        <w:tcBorders>
                          <w:left w:val="single" w:sz="4" w:space="0" w:color="000000"/>
                          <w:bottom w:val="single" w:sz="4" w:space="0" w:color="FFFFFF"/>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FFFFFF"/>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在首次公开发行股票募集资金到位前，公司根据生产经营的需要，利用自有资金先期投入募集资金 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7,417.50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万元。募集资金到位后，公司第一届董事会第十二次会议审议通过了《关于使用募集 </w:t>
                        </w:r>
                        <w:r>
                          <w:rPr>
                            <w:rFonts w:ascii="宋体" w:hAnsi="宋体" w:cs="宋体" w:eastAsia="宋体" w:hint="default"/>
                            <w:spacing w:val="-4"/>
                            <w:sz w:val="18"/>
                            <w:szCs w:val="18"/>
                          </w:rPr>
                          <w:t>资金置换预先已投入募集资金项目的自筹资金的议案》，并由保荐机构国信证券股份有限公司出具了</w:t>
                        </w:r>
                      </w:p>
                      <w:p>
                        <w:pPr>
                          <w:pStyle w:val="TableParagraph"/>
                          <w:spacing w:line="316" w:lineRule="auto" w:before="24"/>
                          <w:ind w:left="22" w:right="21"/>
                          <w:jc w:val="both"/>
                          <w:rPr>
                            <w:rFonts w:ascii="宋体" w:hAnsi="宋体" w:cs="宋体" w:eastAsia="宋体" w:hint="default"/>
                            <w:sz w:val="18"/>
                            <w:szCs w:val="18"/>
                          </w:rPr>
                        </w:pPr>
                        <w:r>
                          <w:rPr>
                            <w:rFonts w:ascii="宋体" w:hAnsi="宋体" w:cs="宋体" w:eastAsia="宋体" w:hint="default"/>
                            <w:sz w:val="18"/>
                            <w:szCs w:val="18"/>
                          </w:rPr>
                          <w:t>《关于深圳市美盈森环保科技股份有限公司首次公开发行股票募集资金使用情况的专项意见</w:t>
                        </w:r>
                        <w:r>
                          <w:rPr>
                            <w:rFonts w:ascii="宋体" w:hAnsi="宋体" w:cs="宋体" w:eastAsia="宋体" w:hint="default"/>
                            <w:spacing w:val="-90"/>
                            <w:sz w:val="18"/>
                            <w:szCs w:val="18"/>
                          </w:rPr>
                          <w:t>》</w:t>
                        </w:r>
                        <w:r>
                          <w:rPr>
                            <w:rFonts w:ascii="宋体" w:hAnsi="宋体" w:cs="宋体" w:eastAsia="宋体" w:hint="default"/>
                            <w:spacing w:val="-82"/>
                            <w:sz w:val="18"/>
                            <w:szCs w:val="18"/>
                          </w:rPr>
                          <w:t>，</w:t>
                        </w:r>
                        <w:r>
                          <w:rPr>
                            <w:rFonts w:ascii="宋体" w:hAnsi="宋体" w:cs="宋体" w:eastAsia="宋体" w:hint="default"/>
                            <w:sz w:val="18"/>
                            <w:szCs w:val="18"/>
                          </w:rPr>
                          <w:t>大信</w:t>
                        </w:r>
                        <w:r>
                          <w:rPr>
                            <w:rFonts w:ascii="宋体" w:hAnsi="宋体" w:cs="宋体" w:eastAsia="宋体" w:hint="default"/>
                            <w:sz w:val="18"/>
                            <w:szCs w:val="18"/>
                          </w:rPr>
                          <w:t> 会计师事务有限公司出具了“大信专审字</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《专项审核报告</w:t>
                        </w:r>
                        <w:r>
                          <w:rPr>
                            <w:rFonts w:ascii="宋体" w:hAnsi="宋体" w:cs="宋体" w:eastAsia="宋体" w:hint="default"/>
                            <w:spacing w:val="-90"/>
                            <w:sz w:val="18"/>
                            <w:szCs w:val="18"/>
                          </w:rPr>
                          <w:t>》</w:t>
                        </w:r>
                        <w:r>
                          <w:rPr>
                            <w:rFonts w:ascii="宋体" w:hAnsi="宋体" w:cs="宋体" w:eastAsia="宋体" w:hint="default"/>
                            <w:sz w:val="18"/>
                            <w:szCs w:val="18"/>
                          </w:rPr>
                          <w:t>，报告期内公司以募</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集资金置换先期投入募集资金金额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7,417.50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2" w:hRule="exact"/>
                    </w:trPr>
                    <w:tc>
                      <w:tcPr>
                        <w:tcW w:w="176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419"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）公司募集资金投资“环保轻型包装生产线技术改造项目”已实施完毕，公司通过规模集约化采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购有效控制成本，截至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日，尚结余募集资金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万元。公司第二届董事会第十</w:t>
                        </w:r>
                      </w:p>
                      <w:p>
                        <w:pPr>
                          <w:pStyle w:val="TableParagraph"/>
                          <w:spacing w:line="300" w:lineRule="auto" w:before="13"/>
                          <w:ind w:left="22" w:right="21"/>
                          <w:jc w:val="both"/>
                          <w:rPr>
                            <w:rFonts w:ascii="宋体" w:hAnsi="宋体" w:cs="宋体" w:eastAsia="宋体" w:hint="default"/>
                            <w:sz w:val="18"/>
                            <w:szCs w:val="18"/>
                          </w:rPr>
                        </w:pPr>
                        <w:r>
                          <w:rPr>
                            <w:rFonts w:ascii="宋体" w:hAnsi="宋体" w:cs="宋体" w:eastAsia="宋体" w:hint="default"/>
                            <w:spacing w:val="-10"/>
                            <w:sz w:val="18"/>
                            <w:szCs w:val="18"/>
                          </w:rPr>
                          <w:t>三次（临时）会议和</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年第一次临时股东大会已决议将该部分剩余资金增资苏州美盈森环保科技 </w:t>
                        </w:r>
                        <w:r>
                          <w:rPr>
                            <w:rFonts w:ascii="宋体" w:hAnsi="宋体" w:cs="宋体" w:eastAsia="宋体" w:hint="default"/>
                            <w:spacing w:val="-6"/>
                            <w:sz w:val="18"/>
                            <w:szCs w:val="18"/>
                          </w:rPr>
                          <w:t>有限公司用于其实施的“现代化环保生产基地项目”。（</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）公司募投项目</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东莞市美盈森环保科技</w:t>
                        </w:r>
                        <w:r>
                          <w:rPr>
                            <w:rFonts w:ascii="宋体" w:hAnsi="宋体" w:cs="宋体" w:eastAsia="宋体" w:hint="default"/>
                            <w:spacing w:val="-84"/>
                            <w:sz w:val="18"/>
                            <w:szCs w:val="18"/>
                          </w:rPr>
                          <w:t> </w:t>
                        </w:r>
                        <w:r>
                          <w:rPr>
                            <w:rFonts w:ascii="宋体" w:hAnsi="宋体" w:cs="宋体" w:eastAsia="宋体" w:hint="default"/>
                            <w:sz w:val="18"/>
                            <w:szCs w:val="18"/>
                          </w:rPr>
                          <w:t>有限公司环保包装生产建设项目已实施完毕，该项目计划总投资</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42,059.37</w:t>
                        </w:r>
                        <w:r>
                          <w:rPr>
                            <w:rFonts w:ascii="Times New Roman" w:hAnsi="Times New Roman" w:cs="Times New Roman" w:eastAsia="Times New Roman" w:hint="default"/>
                            <w:spacing w:val="-21"/>
                            <w:sz w:val="18"/>
                            <w:szCs w:val="18"/>
                          </w:rPr>
                          <w:t> </w:t>
                        </w:r>
                        <w:r>
                          <w:rPr>
                            <w:rFonts w:ascii="宋体" w:hAnsi="宋体" w:cs="宋体" w:eastAsia="宋体" w:hint="default"/>
                            <w:spacing w:val="-4"/>
                            <w:sz w:val="18"/>
                            <w:szCs w:val="18"/>
                          </w:rPr>
                          <w:t>万元，公司通过规模集约</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化采购有效控制成本，截至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日，该项目已累计投入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40,095.66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万元，节余募集资金</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3,654.75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）公司超募项目</w:t>
                        </w:r>
                        <w:r>
                          <w:rPr>
                            <w:rFonts w:ascii="Times New Roman" w:hAnsi="Times New Roman" w:cs="Times New Roman" w:eastAsia="Times New Roman" w:hint="default"/>
                            <w:sz w:val="18"/>
                            <w:szCs w:val="18"/>
                          </w:rPr>
                          <w:t>——</w:t>
                        </w:r>
                        <w:r>
                          <w:rPr>
                            <w:rFonts w:ascii="宋体" w:hAnsi="宋体" w:cs="宋体" w:eastAsia="宋体" w:hint="default"/>
                            <w:sz w:val="18"/>
                            <w:szCs w:val="18"/>
                          </w:rPr>
                          <w:t>苏州美盈森现代化环保包装生产基地项目已实施完毕，该项</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目计划总投资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29,781.14 </w:t>
                        </w:r>
                        <w:r>
                          <w:rPr>
                            <w:rFonts w:ascii="宋体" w:hAnsi="宋体" w:cs="宋体" w:eastAsia="宋体" w:hint="default"/>
                            <w:spacing w:val="-3"/>
                            <w:sz w:val="18"/>
                            <w:szCs w:val="18"/>
                          </w:rPr>
                          <w:t>万元，公司通过规模集约化采购有效控制成本，截至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10"/>
                            <w:sz w:val="18"/>
                            <w:szCs w:val="18"/>
                          </w:rPr>
                          <w:t>日，该</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项目已投入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27,878.38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28"/>
                            <w:sz w:val="18"/>
                            <w:szCs w:val="18"/>
                          </w:rPr>
                          <w:t>，</w:t>
                        </w:r>
                        <w:r>
                          <w:rPr>
                            <w:rFonts w:ascii="宋体" w:hAnsi="宋体" w:cs="宋体" w:eastAsia="宋体" w:hint="default"/>
                            <w:sz w:val="18"/>
                            <w:szCs w:val="18"/>
                          </w:rPr>
                          <w:t>节余募集资金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2,341.37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18"/>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28"/>
                            <w:sz w:val="18"/>
                            <w:szCs w:val="18"/>
                          </w:rPr>
                          <w:t>）</w:t>
                        </w:r>
                        <w:r>
                          <w:rPr>
                            <w:rFonts w:ascii="宋体" w:hAnsi="宋体" w:cs="宋体" w:eastAsia="宋体" w:hint="default"/>
                            <w:sz w:val="18"/>
                            <w:szCs w:val="18"/>
                          </w:rPr>
                          <w:t>公司超募项目</w:t>
                        </w:r>
                        <w:r>
                          <w:rPr>
                            <w:rFonts w:ascii="Times New Roman" w:hAnsi="Times New Roman" w:cs="Times New Roman" w:eastAsia="Times New Roman" w:hint="default"/>
                            <w:sz w:val="18"/>
                            <w:szCs w:val="18"/>
                          </w:rPr>
                          <w:t>——</w:t>
                        </w:r>
                        <w:r>
                          <w:rPr>
                            <w:rFonts w:ascii="宋体" w:hAnsi="宋体" w:cs="宋体" w:eastAsia="宋体" w:hint="default"/>
                            <w:sz w:val="18"/>
                            <w:szCs w:val="18"/>
                          </w:rPr>
                          <w:t>重庆美盈森现代化</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环保包装物流综合基地项目已实施完毕，该项目计划总投资</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28,000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万元，公司通过规模集约化采购</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pacing w:val="-7"/>
                            <w:sz w:val="18"/>
                            <w:szCs w:val="18"/>
                          </w:rPr>
                          <w:t>有效控制成本，截至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8"/>
                            <w:sz w:val="18"/>
                            <w:szCs w:val="18"/>
                          </w:rPr>
                          <w:t>日，该项目已投入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27,085.97 </w:t>
                        </w:r>
                        <w:r>
                          <w:rPr>
                            <w:rFonts w:ascii="宋体" w:hAnsi="宋体" w:cs="宋体" w:eastAsia="宋体" w:hint="default"/>
                            <w:spacing w:val="-7"/>
                            <w:sz w:val="18"/>
                            <w:szCs w:val="18"/>
                          </w:rPr>
                          <w:t>万元，节余募集资金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1,298.26 </w:t>
                        </w:r>
                        <w:r>
                          <w:rPr>
                            <w:rFonts w:ascii="宋体" w:hAnsi="宋体" w:cs="宋体" w:eastAsia="宋体" w:hint="default"/>
                            <w:sz w:val="18"/>
                            <w:szCs w:val="18"/>
                          </w:rPr>
                          <w:t>万元</w:t>
                        </w:r>
                      </w:p>
                      <w:p>
                        <w:pPr>
                          <w:pStyle w:val="TableParagraph"/>
                          <w:spacing w:line="309"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公司第三届董事会第四次会议和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年度股东大会审议通过了《关于部分募集资金项目完成后节余</w:t>
                        </w:r>
                        <w:r>
                          <w:rPr>
                            <w:rFonts w:ascii="宋体" w:hAnsi="宋体" w:cs="宋体" w:eastAsia="宋体" w:hint="default"/>
                            <w:sz w:val="18"/>
                            <w:szCs w:val="18"/>
                          </w:rPr>
                          <w:t> </w:t>
                        </w:r>
                        <w:r>
                          <w:rPr>
                            <w:rFonts w:ascii="宋体" w:hAnsi="宋体" w:cs="宋体" w:eastAsia="宋体" w:hint="default"/>
                            <w:spacing w:val="-4"/>
                            <w:sz w:val="18"/>
                            <w:szCs w:val="18"/>
                          </w:rPr>
                          <w:t>资金变更为永久补充流动资金的议案》，决议将上述东莞、苏州及重庆项目节余募集资金变更为永久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补充流动资金。考虑利息因素，实际变更为永久补充流动资金金额以转入自有资金账户当日金额为</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before="44"/>
        <w:ind w:left="0" w:right="114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44"/>
        <w:ind w:left="0" w:right="1140"/>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64"/>
        <w:gridCol w:w="7804"/>
      </w:tblGrid>
      <w:tr>
        <w:trPr>
          <w:trHeight w:val="36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准。</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日，尚未使用的募集资金存放在募集资金专户中，将用于募集资金承诺投资项</w:t>
            </w:r>
            <w:r>
              <w:rPr>
                <w:rFonts w:ascii="宋体" w:hAnsi="宋体" w:cs="宋体" w:eastAsia="宋体" w:hint="default"/>
                <w:sz w:val="18"/>
                <w:szCs w:val="18"/>
              </w:rPr>
              <w:t> 目的投资和超募资金投资项目的投资。</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募集资金变更项目情况" w:id="46"/>
      <w:bookmarkEnd w:id="46"/>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 适用 □ 不适用</w:t>
      </w:r>
    </w:p>
    <w:p>
      <w:pPr>
        <w:pStyle w:val="BodyText"/>
        <w:spacing w:line="240" w:lineRule="auto" w:before="116"/>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0" w:right="1136"/>
        <w:jc w:val="right"/>
      </w:pPr>
      <w:r>
        <w:rPr/>
        <w:pict>
          <v:shape style="position:absolute;margin-left:56.459999pt;margin-top:-266.108307pt;width:479.3pt;height:506.6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60"/>
                    <w:gridCol w:w="956"/>
                    <w:gridCol w:w="955"/>
                    <w:gridCol w:w="957"/>
                    <w:gridCol w:w="956"/>
                    <w:gridCol w:w="955"/>
                    <w:gridCol w:w="956"/>
                    <w:gridCol w:w="957"/>
                    <w:gridCol w:w="955"/>
                    <w:gridCol w:w="962"/>
                  </w:tblGrid>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4" w:right="24"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1"/>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0"/>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2" w:right="22"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0"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4"/>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苏州美盈森 现代化环保 包装生产基 地项目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包装物流一 体化项目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27,878.38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27,878.38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5,311.86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27,878.38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27,878.38</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5,311.86</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6331"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鉴于公司募集资金投资</w:t>
                        </w:r>
                        <w:r>
                          <w:rPr>
                            <w:rFonts w:ascii="Times New Roman" w:hAnsi="Times New Roman" w:cs="Times New Roman" w:eastAsia="Times New Roman" w:hint="default"/>
                            <w:sz w:val="18"/>
                            <w:szCs w:val="18"/>
                          </w:rPr>
                          <w:t>"</w:t>
                        </w:r>
                        <w:r>
                          <w:rPr>
                            <w:rFonts w:ascii="宋体" w:hAnsi="宋体" w:cs="宋体" w:eastAsia="宋体" w:hint="default"/>
                            <w:sz w:val="18"/>
                            <w:szCs w:val="18"/>
                          </w:rPr>
                          <w:t>包装物流一体化项目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实际运行情况、资金使用进度等，公司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日召开的第二届董事会第十三次（临时）会议和于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300" w:lineRule="auto" w:before="13"/>
                          <w:ind w:left="23"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年第一次临时股东大会审议通过《关于部分变更募集资金投资项目的 </w:t>
                        </w:r>
                        <w:r>
                          <w:rPr>
                            <w:rFonts w:ascii="宋体" w:hAnsi="宋体" w:cs="宋体" w:eastAsia="宋体" w:hint="default"/>
                            <w:spacing w:val="-5"/>
                            <w:w w:val="99"/>
                            <w:sz w:val="18"/>
                            <w:szCs w:val="18"/>
                          </w:rPr>
                          <w:t>议案》，决议终止</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包装一体化项目</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的继续实施，并将剩余资金增资全资子公司苏州美</w:t>
                        </w:r>
                        <w:r>
                          <w:rPr>
                            <w:rFonts w:ascii="宋体" w:hAnsi="宋体" w:cs="宋体" w:eastAsia="宋体" w:hint="default"/>
                            <w:spacing w:val="-63"/>
                            <w:w w:val="99"/>
                            <w:sz w:val="18"/>
                            <w:szCs w:val="18"/>
                          </w:rPr>
                          <w:t> </w:t>
                        </w:r>
                        <w:r>
                          <w:rPr>
                            <w:rFonts w:ascii="宋体" w:hAnsi="宋体" w:cs="宋体" w:eastAsia="宋体" w:hint="default"/>
                            <w:spacing w:val="-63"/>
                            <w:w w:val="99"/>
                            <w:sz w:val="18"/>
                            <w:szCs w:val="18"/>
                          </w:rPr>
                        </w:r>
                        <w:r>
                          <w:rPr>
                            <w:rFonts w:ascii="宋体" w:hAnsi="宋体" w:cs="宋体" w:eastAsia="宋体" w:hint="default"/>
                            <w:sz w:val="18"/>
                            <w:szCs w:val="18"/>
                          </w:rPr>
                          <w:t>盈森环保科技有限公司用于其实施的</w:t>
                        </w:r>
                        <w:r>
                          <w:rPr>
                            <w:rFonts w:ascii="Times New Roman" w:hAnsi="Times New Roman" w:cs="Times New Roman" w:eastAsia="Times New Roman" w:hint="default"/>
                            <w:sz w:val="18"/>
                            <w:szCs w:val="18"/>
                          </w:rPr>
                          <w:t>"</w:t>
                        </w:r>
                        <w:r>
                          <w:rPr>
                            <w:rFonts w:ascii="宋体" w:hAnsi="宋体" w:cs="宋体" w:eastAsia="宋体" w:hint="default"/>
                            <w:sz w:val="18"/>
                            <w:szCs w:val="18"/>
                          </w:rPr>
                          <w:t>现代化环保包装生产基地项目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以弥补苏州一期 项目设备款、工程款、运营资金等的不足。上述募集资金变更事宜详见公司于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日披露于证券时报和巨潮资讯网</w:t>
                        </w:r>
                      </w:p>
                      <w:p>
                        <w:pPr>
                          <w:pStyle w:val="TableParagraph"/>
                          <w:spacing w:line="300" w:lineRule="auto" w:before="63"/>
                          <w:ind w:left="23" w:right="43"/>
                          <w:jc w:val="left"/>
                          <w:rPr>
                            <w:rFonts w:ascii="宋体" w:hAnsi="宋体" w:cs="宋体" w:eastAsia="宋体" w:hint="default"/>
                            <w:sz w:val="18"/>
                            <w:szCs w:val="18"/>
                          </w:rPr>
                        </w:pPr>
                        <w:r>
                          <w:rPr>
                            <w:rFonts w:ascii="宋体" w:hAnsi="宋体" w:cs="宋体" w:eastAsia="宋体" w:hint="default"/>
                            <w:spacing w:val="-4"/>
                            <w:w w:val="99"/>
                            <w:sz w:val="18"/>
                            <w:szCs w:val="18"/>
                          </w:rPr>
                          <w:t>（</w:t>
                        </w:r>
                        <w:hyperlink r:id="rId11">
                          <w:r>
                            <w:rPr>
                              <w:rFonts w:ascii="Times New Roman" w:hAnsi="Times New Roman" w:cs="Times New Roman" w:eastAsia="Times New Roman" w:hint="default"/>
                              <w:spacing w:val="-4"/>
                              <w:w w:val="99"/>
                              <w:sz w:val="18"/>
                              <w:szCs w:val="18"/>
                            </w:rPr>
                            <w:t>http://www.cninfo.com.cn/</w:t>
                          </w:r>
                        </w:hyperlink>
                        <w:r>
                          <w:rPr>
                            <w:rFonts w:ascii="宋体" w:hAnsi="宋体" w:cs="宋体" w:eastAsia="宋体" w:hint="default"/>
                            <w:spacing w:val="-4"/>
                            <w:w w:val="99"/>
                            <w:sz w:val="18"/>
                            <w:szCs w:val="18"/>
                          </w:rPr>
                          <w:t>）的相关公告。本次募集资金变更相关情况说明如下：（</w:t>
                        </w:r>
                        <w:r>
                          <w:rPr>
                            <w:rFonts w:ascii="Times New Roman" w:hAnsi="Times New Roman" w:cs="Times New Roman" w:eastAsia="Times New Roman" w:hint="default"/>
                            <w:spacing w:val="-4"/>
                            <w:w w:val="99"/>
                            <w:sz w:val="18"/>
                            <w:szCs w:val="18"/>
                          </w:rPr>
                          <w:t>1 </w:t>
                        </w:r>
                        <w:r>
                          <w:rPr>
                            <w:rFonts w:ascii="宋体" w:hAnsi="宋体" w:cs="宋体" w:eastAsia="宋体" w:hint="default"/>
                            <w:sz w:val="18"/>
                            <w:szCs w:val="18"/>
                          </w:rPr>
                          <w:t>变更的募集资金投资项目概况：包装一体化项目计划通过设置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VMI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仓库和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 建设来提升公司的整体服务能力。该项目总投资为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6,706.48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万元，其中建设投资</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2,664.48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万元，项目配套流动资金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4,042.00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日，包装一体</w:t>
                        </w:r>
                      </w:p>
                      <w:p>
                        <w:pPr>
                          <w:pStyle w:val="TableParagraph"/>
                          <w:spacing w:line="307" w:lineRule="auto" w:before="63"/>
                          <w:ind w:left="23" w:right="3"/>
                          <w:jc w:val="left"/>
                          <w:rPr>
                            <w:rFonts w:ascii="宋体" w:hAnsi="宋体" w:cs="宋体" w:eastAsia="宋体" w:hint="default"/>
                            <w:sz w:val="18"/>
                            <w:szCs w:val="18"/>
                          </w:rPr>
                        </w:pPr>
                        <w:r>
                          <w:rPr>
                            <w:rFonts w:ascii="宋体" w:hAnsi="宋体" w:cs="宋体" w:eastAsia="宋体" w:hint="default"/>
                            <w:spacing w:val="-3"/>
                            <w:sz w:val="18"/>
                            <w:szCs w:val="18"/>
                          </w:rPr>
                          <w:t>化项目仅部分实施，已投入募集资金共计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2,335.35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万元，剩余募集资金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4,371.13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宋体" w:hAnsi="宋体" w:cs="宋体" w:eastAsia="宋体" w:hint="default"/>
                            <w:spacing w:val="-3"/>
                            <w:sz w:val="18"/>
                            <w:szCs w:val="18"/>
                          </w:rPr>
                          <w:t>包装一体化实际投资具体为：</w:t>
                        </w:r>
                        <w:r>
                          <w:rPr>
                            <w:rFonts w:ascii="Times New Roman" w:hAnsi="Times New Roman" w:cs="Times New Roman" w:eastAsia="Times New Roman" w:hint="default"/>
                            <w:spacing w:val="-3"/>
                            <w:sz w:val="18"/>
                            <w:szCs w:val="18"/>
                          </w:rPr>
                          <w:t>VMI</w:t>
                        </w:r>
                        <w:r>
                          <w:rPr>
                            <w:rFonts w:ascii="Times New Roman" w:hAnsi="Times New Roman" w:cs="Times New Roman" w:eastAsia="Times New Roman" w:hint="default"/>
                            <w:sz w:val="18"/>
                            <w:szCs w:val="18"/>
                          </w:rPr>
                          <w:t> </w:t>
                        </w:r>
                        <w:r>
                          <w:rPr>
                            <w:rFonts w:ascii="宋体" w:hAnsi="宋体" w:cs="宋体" w:eastAsia="宋体" w:hint="default"/>
                            <w:sz w:val="18"/>
                            <w:szCs w:val="18"/>
                          </w:rPr>
                          <w:t>仓库租金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604.59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系统建设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654.54 </w:t>
                        </w:r>
                        <w:r>
                          <w:rPr>
                            <w:rFonts w:ascii="宋体" w:hAnsi="宋体" w:cs="宋体" w:eastAsia="宋体" w:hint="default"/>
                            <w:sz w:val="18"/>
                            <w:szCs w:val="18"/>
                          </w:rPr>
                          <w:t>万元</w:t>
                        </w:r>
                        <w:r>
                          <w:rPr>
                            <w:rFonts w:ascii="宋体" w:hAnsi="宋体" w:cs="宋体" w:eastAsia="宋体" w:hint="default"/>
                            <w:spacing w:val="-86"/>
                            <w:sz w:val="18"/>
                            <w:szCs w:val="18"/>
                          </w:rPr>
                          <w:t> </w:t>
                        </w:r>
                        <w:r>
                          <w:rPr>
                            <w:rFonts w:ascii="宋体" w:hAnsi="宋体" w:cs="宋体" w:eastAsia="宋体" w:hint="default"/>
                            <w:sz w:val="18"/>
                            <w:szCs w:val="18"/>
                          </w:rPr>
                          <w:t>配套流动资金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1,076.15</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万元、银行费用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0.07</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）变更募集资金投资项目的原因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）上市以来，公司通过增加物流运输设备、优化物流配送调度、精确掌握客户下单 计划等，较大程度上提升物流配送体系的效能，更好的实现及时响应能力。鉴于此， 并依据客户布局调整、产品所需包材种类以及充分考虑包装一体化成本结构，公司原 计划设置</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座仓库的方案需要调整。</w:t>
                        </w:r>
                        <w:r>
                          <w:rPr>
                            <w:rFonts w:ascii="Times New Roman" w:hAnsi="Times New Roman" w:cs="Times New Roman" w:eastAsia="Times New Roman" w:hint="default"/>
                            <w:sz w:val="18"/>
                            <w:szCs w:val="18"/>
                          </w:rPr>
                          <w:t>2</w:t>
                        </w:r>
                        <w:r>
                          <w:rPr>
                            <w:rFonts w:ascii="宋体" w:hAnsi="宋体" w:cs="宋体" w:eastAsia="宋体" w:hint="default"/>
                            <w:sz w:val="18"/>
                            <w:szCs w:val="18"/>
                          </w:rPr>
                          <w:t>）减少仓库配置同时，相应的流动资金需求减 少。鉴于上述原因，公司决定调整包装一体化项目原有投资计划，以更好的适应公司 发展需要，并提高募集资金使用效率。</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44"/>
        <w:ind w:left="0" w:right="1136"/>
        <w:jc w:val="right"/>
      </w:pPr>
      <w:r>
        <w:rPr/>
        <w:t>。</w:t>
      </w:r>
    </w:p>
    <w:p>
      <w:pPr>
        <w:pStyle w:val="BodyText"/>
        <w:spacing w:line="240" w:lineRule="auto" w:before="76"/>
        <w:ind w:left="0" w:right="1136"/>
        <w:jc w:val="right"/>
      </w:pPr>
      <w:r>
        <w:rPr/>
        <w:t>、</w:t>
      </w:r>
    </w:p>
    <w:p>
      <w:pPr>
        <w:pStyle w:val="BodyText"/>
        <w:spacing w:line="240" w:lineRule="auto" w:before="76"/>
        <w:ind w:left="0" w:right="1138"/>
        <w:jc w:val="right"/>
      </w:pPr>
      <w:r>
        <w:rPr/>
        <w:t>：</w:t>
      </w:r>
    </w:p>
    <w:p>
      <w:pPr>
        <w:spacing w:after="0" w:line="240" w:lineRule="auto"/>
        <w:jc w:val="right"/>
        <w:sectPr>
          <w:pgSz w:w="11910" w:h="16840"/>
          <w:pgMar w:header="747" w:footer="979" w:top="1060" w:bottom="1160" w:left="980" w:right="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872"/>
        <w:gridCol w:w="6699"/>
      </w:tblGrid>
      <w:tr>
        <w:trPr>
          <w:trHeight w:val="332" w:hRule="exact"/>
        </w:trPr>
        <w:tc>
          <w:tcPr>
            <w:tcW w:w="2872" w:type="dxa"/>
            <w:tcBorders>
              <w:top w:val="single" w:sz="6" w:space="0" w:color="000000"/>
              <w:left w:val="nil" w:sz="6" w:space="0" w:color="auto"/>
              <w:bottom w:val="single" w:sz="4" w:space="0" w:color="000000"/>
              <w:right w:val="nil" w:sz="6" w:space="0" w:color="auto"/>
            </w:tcBorders>
          </w:tcPr>
          <w:p>
            <w:pPr/>
          </w:p>
        </w:tc>
        <w:tc>
          <w:tcPr>
            <w:tcW w:w="6699" w:type="dxa"/>
            <w:tcBorders>
              <w:top w:val="single" w:sz="6" w:space="0" w:color="000000"/>
              <w:left w:val="nil" w:sz="6" w:space="0" w:color="auto"/>
              <w:bottom w:val="single" w:sz="4" w:space="0" w:color="000000"/>
              <w:right w:val="nil" w:sz="6" w:space="0" w:color="auto"/>
            </w:tcBorders>
          </w:tcPr>
          <w:p>
            <w:pP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left="114" w:right="1182"/>
        <w:jc w:val="left"/>
        <w:rPr>
          <w:b w:val="0"/>
          <w:bCs w:val="0"/>
        </w:rPr>
      </w:pPr>
      <w:bookmarkStart w:name="4、主要子公司、参股公司分析" w:id="47"/>
      <w:bookmarkEnd w:id="47"/>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1020" w:right="0"/>
        </w:sectPr>
      </w:pPr>
    </w:p>
    <w:p>
      <w:pPr>
        <w:pStyle w:val="BodyText"/>
        <w:spacing w:line="360" w:lineRule="auto" w:before="44"/>
        <w:ind w:left="114" w:right="-20"/>
        <w:jc w:val="left"/>
      </w:pPr>
      <w:r>
        <w:rPr/>
        <w:t>√ 适用 □ 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单位：元</w:t>
      </w:r>
    </w:p>
    <w:p>
      <w:pPr>
        <w:spacing w:after="0" w:line="240" w:lineRule="auto"/>
        <w:jc w:val="left"/>
        <w:sectPr>
          <w:type w:val="continuous"/>
          <w:pgSz w:w="11910" w:h="16840"/>
          <w:pgMar w:top="1060" w:bottom="1160" w:left="1020" w:right="0"/>
          <w:cols w:num="2" w:equalWidth="0">
            <w:col w:w="2275" w:space="6645"/>
            <w:col w:w="197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713"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23"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96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5"/>
              <w:jc w:val="both"/>
              <w:rPr>
                <w:rFonts w:ascii="宋体" w:hAnsi="宋体" w:cs="宋体" w:eastAsia="宋体" w:hint="default"/>
                <w:sz w:val="18"/>
                <w:szCs w:val="18"/>
              </w:rPr>
            </w:pPr>
            <w:r>
              <w:rPr>
                <w:rFonts w:ascii="宋体" w:hAnsi="宋体" w:cs="宋体" w:eastAsia="宋体" w:hint="default"/>
                <w:sz w:val="18"/>
                <w:szCs w:val="18"/>
              </w:rPr>
              <w:t>东莞市美盈 森环保科技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该公司主营 业务是轻重 型环保包装 制品的研 发、生产及 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425,002,500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713,807,256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542,331,756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443,268,615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68,343,623.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62,846,169.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r>
      <w:tr>
        <w:trPr>
          <w:trHeight w:val="196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7"/>
              <w:jc w:val="both"/>
              <w:rPr>
                <w:rFonts w:ascii="宋体" w:hAnsi="宋体" w:cs="宋体" w:eastAsia="宋体" w:hint="default"/>
                <w:sz w:val="18"/>
                <w:szCs w:val="18"/>
              </w:rPr>
            </w:pPr>
            <w:r>
              <w:rPr>
                <w:rFonts w:ascii="宋体" w:hAnsi="宋体" w:cs="宋体" w:eastAsia="宋体" w:hint="default"/>
                <w:sz w:val="18"/>
                <w:szCs w:val="18"/>
              </w:rPr>
              <w:t>苏州美盈森 环保科技有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该公司主营 业务是轻重 型环保包装 制品的研 发、生产及 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298,311,400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493,149,083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381,199,514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332,814,376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61,285,358.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53,118,554.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r>
      <w:tr>
        <w:trPr>
          <w:trHeight w:val="352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27"/>
              <w:jc w:val="both"/>
              <w:rPr>
                <w:rFonts w:ascii="宋体" w:hAnsi="宋体" w:cs="宋体" w:eastAsia="宋体" w:hint="default"/>
                <w:sz w:val="18"/>
                <w:szCs w:val="18"/>
              </w:rPr>
            </w:pPr>
            <w:r>
              <w:rPr>
                <w:rFonts w:ascii="宋体" w:hAnsi="宋体" w:cs="宋体" w:eastAsia="宋体" w:hint="default"/>
                <w:sz w:val="18"/>
                <w:szCs w:val="18"/>
              </w:rPr>
              <w:t>深圳市金之 彩文化创意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该公司主营 业务是为客 户提供包括 品牌策划、 创意设计、 工艺研发、 材料创新及 应用、包装 服务为一体 的整体解决 方案。</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247,771,628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187,375,577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187,418,350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18,533,831.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23,492,533.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r>
      <w:tr>
        <w:trPr>
          <w:trHeight w:val="196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7"/>
              <w:jc w:val="both"/>
              <w:rPr>
                <w:rFonts w:ascii="宋体" w:hAnsi="宋体" w:cs="宋体" w:eastAsia="宋体" w:hint="default"/>
                <w:sz w:val="18"/>
                <w:szCs w:val="18"/>
              </w:rPr>
            </w:pPr>
            <w:r>
              <w:rPr>
                <w:rFonts w:ascii="宋体" w:hAnsi="宋体" w:cs="宋体" w:eastAsia="宋体" w:hint="default"/>
                <w:sz w:val="18"/>
                <w:szCs w:val="18"/>
              </w:rPr>
              <w:t>重庆市美盈 森环保包装 工程有限公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该公司主营 业务是轻重 型环保包装 制品的研 发、生产及 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354,157,863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315,645,250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102,480,562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14,847,600.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12,601,362.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r>
    </w:tbl>
    <w:p>
      <w:pPr>
        <w:pStyle w:val="BodyText"/>
        <w:spacing w:line="357" w:lineRule="auto" w:before="51"/>
        <w:ind w:left="474" w:right="1182" w:hanging="360"/>
        <w:jc w:val="left"/>
      </w:pPr>
      <w:r>
        <w:rPr/>
        <w:t>主要子公司、参股公司情况说明 报告期内东莞美盈森营业收入同比上年增加</w:t>
      </w:r>
      <w:r>
        <w:rPr>
          <w:rFonts w:ascii="Times New Roman" w:hAnsi="Times New Roman" w:cs="Times New Roman" w:eastAsia="Times New Roman" w:hint="default"/>
        </w:rPr>
        <w:t>15.25%</w:t>
      </w:r>
      <w:r>
        <w:rPr/>
        <w:t>，净利润同比上年增加</w:t>
      </w:r>
      <w:r>
        <w:rPr>
          <w:rFonts w:ascii="Times New Roman" w:hAnsi="Times New Roman" w:cs="Times New Roman" w:eastAsia="Times New Roman" w:hint="default"/>
        </w:rPr>
        <w:t>49.71%</w:t>
      </w:r>
      <w:r>
        <w:rPr/>
        <w:t>；苏州美盈森营业收入同比上年增加</w:t>
      </w:r>
    </w:p>
    <w:p>
      <w:pPr>
        <w:pStyle w:val="BodyText"/>
        <w:spacing w:line="216" w:lineRule="exact"/>
        <w:ind w:left="113" w:right="1182"/>
        <w:jc w:val="left"/>
      </w:pPr>
      <w:r>
        <w:rPr>
          <w:rFonts w:ascii="Times New Roman" w:hAnsi="Times New Roman" w:cs="Times New Roman" w:eastAsia="Times New Roman" w:hint="default"/>
        </w:rPr>
        <w:t>25.30%</w:t>
      </w:r>
      <w:r>
        <w:rPr/>
        <w:t>，净利润同比上年增加</w:t>
      </w:r>
      <w:r>
        <w:rPr>
          <w:rFonts w:ascii="Times New Roman" w:hAnsi="Times New Roman" w:cs="Times New Roman" w:eastAsia="Times New Roman" w:hint="default"/>
        </w:rPr>
        <w:t>122.02%</w:t>
      </w:r>
      <w:r>
        <w:rPr/>
        <w:t>。前述子公司经营业绩同比上年大幅增加主要原因如下：</w:t>
      </w:r>
    </w:p>
    <w:p>
      <w:pPr>
        <w:spacing w:after="0" w:line="216" w:lineRule="exact"/>
        <w:jc w:val="left"/>
        <w:sectPr>
          <w:type w:val="continuous"/>
          <w:pgSz w:w="11910" w:h="16840"/>
          <w:pgMar w:top="1060" w:bottom="1160" w:left="10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pStyle w:val="BodyText"/>
        <w:spacing w:line="240" w:lineRule="auto" w:before="44"/>
        <w:ind w:left="513" w:right="0"/>
        <w:jc w:val="left"/>
      </w:pPr>
      <w:r>
        <w:rPr>
          <w:rFonts w:ascii="Times New Roman" w:hAnsi="Times New Roman" w:cs="Times New Roman" w:eastAsia="Times New Roman" w:hint="default"/>
        </w:rPr>
        <w:t>1</w:t>
      </w:r>
      <w:r>
        <w:rPr/>
        <w:t>、报告期内，东莞及苏州子公司客户订单量增加，产能利用率提升，销售收入增加；</w:t>
      </w:r>
    </w:p>
    <w:p>
      <w:pPr>
        <w:pStyle w:val="BodyText"/>
        <w:spacing w:line="302" w:lineRule="auto" w:before="101"/>
        <w:ind w:left="154" w:right="1122" w:firstLine="360"/>
        <w:jc w:val="left"/>
      </w:pPr>
      <w:r>
        <w:rPr>
          <w:rFonts w:ascii="Times New Roman" w:hAnsi="Times New Roman" w:cs="Times New Roman" w:eastAsia="Times New Roman" w:hint="default"/>
        </w:rPr>
        <w:t>2</w:t>
      </w:r>
      <w:r>
        <w:rPr/>
        <w:t>、报告期内，东莞及苏州子公司随研发能力增强，高附加值客户增加，精益生产水平提升，单位固定成本降低，毛利 率而相应上升。</w:t>
      </w:r>
    </w:p>
    <w:p>
      <w:pPr>
        <w:pStyle w:val="BodyText"/>
        <w:spacing w:line="240" w:lineRule="auto" w:before="70"/>
        <w:ind w:right="0"/>
        <w:jc w:val="left"/>
      </w:pPr>
      <w:r>
        <w:rPr/>
        <w:t>报告期内取得和处置子公司的情况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22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97"/>
              <w:jc w:val="left"/>
              <w:rPr>
                <w:rFonts w:ascii="宋体" w:hAnsi="宋体" w:cs="宋体" w:eastAsia="宋体" w:hint="default"/>
                <w:sz w:val="18"/>
                <w:szCs w:val="18"/>
              </w:rPr>
            </w:pPr>
            <w:r>
              <w:rPr>
                <w:rFonts w:ascii="宋体" w:hAnsi="宋体" w:cs="宋体" w:eastAsia="宋体" w:hint="default"/>
                <w:sz w:val="18"/>
                <w:szCs w:val="18"/>
              </w:rPr>
              <w:t>四川泸美供应链管理有限公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本次通过投资设立子公司以 建设包材整装供应平台是公 司现有服务模式的延伸和进 一步深化，有利于提升公司综 合竞争实力，增强公司客户服 务能力，进一步打开包装市场 空间。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-59,894.12</w:t>
            </w:r>
          </w:p>
        </w:tc>
      </w:tr>
      <w:tr>
        <w:trPr>
          <w:trHeight w:val="418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汇天云网集团有限公司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本次收购的实施，公司开启了 一条将包装印刷和纸制品产 业通过互联网和定制化运营 的道路，是公司商业模式的又 一次创新和拓展，有利于在国 内包装印刷业务从传统模式 向互联网服务新模式升级过 程中掌握主动权，形成公司新 的业务增长极。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汇天云网于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月底完</w:t>
            </w:r>
          </w:p>
          <w:p>
            <w:pPr>
              <w:pStyle w:val="TableParagraph"/>
              <w:spacing w:line="302" w:lineRule="auto" w:before="61"/>
              <w:ind w:left="22" w:right="108"/>
              <w:jc w:val="left"/>
              <w:rPr>
                <w:rFonts w:ascii="宋体" w:hAnsi="宋体" w:cs="宋体" w:eastAsia="宋体" w:hint="default"/>
                <w:sz w:val="18"/>
                <w:szCs w:val="18"/>
              </w:rPr>
            </w:pPr>
            <w:r>
              <w:rPr>
                <w:rFonts w:ascii="宋体" w:hAnsi="宋体" w:cs="宋体" w:eastAsia="宋体" w:hint="default"/>
                <w:sz w:val="18"/>
                <w:szCs w:val="18"/>
              </w:rPr>
              <w:t>成股权过户手续，于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起并表。</w:t>
            </w:r>
          </w:p>
          <w:p>
            <w:pPr>
              <w:pStyle w:val="TableParagraph"/>
              <w:spacing w:line="312" w:lineRule="auto" w:before="68"/>
              <w:ind w:left="22" w:right="20"/>
              <w:jc w:val="left"/>
              <w:rPr>
                <w:rFonts w:ascii="宋体" w:hAnsi="宋体" w:cs="宋体" w:eastAsia="宋体" w:hint="default"/>
                <w:sz w:val="18"/>
                <w:szCs w:val="18"/>
              </w:rPr>
            </w:pPr>
            <w:r>
              <w:rPr>
                <w:rFonts w:ascii="宋体" w:hAnsi="宋体" w:cs="宋体" w:eastAsia="宋体" w:hint="default"/>
                <w:sz w:val="18"/>
                <w:szCs w:val="18"/>
              </w:rPr>
              <w:t>汇天云网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年度实现扣除 非经常性损益后的合并报表 净利润（按模拟合并报表） </w:t>
            </w:r>
            <w:r>
              <w:rPr>
                <w:rFonts w:ascii="Times New Roman" w:hAnsi="Times New Roman" w:cs="Times New Roman" w:eastAsia="Times New Roman" w:hint="default"/>
                <w:sz w:val="18"/>
                <w:szCs w:val="18"/>
              </w:rPr>
              <w:t>806.46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万元，完成了《关于汇 天云网集团有限公司之股权 收购协议》中标的公司汇天云 网和原股东郑荣华、郑重科关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年实现扣除非经常性 损益后的合并报表净利润不 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万元的承诺。</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非募集资金投资的重大项目情况" w:id="48"/>
      <w:bookmarkEnd w:id="48"/>
      <w:r>
        <w:rPr>
          <w:b w:val="0"/>
          <w:bCs w:val="0"/>
        </w:rPr>
      </w:r>
      <w:r>
        <w:rPr>
          <w:rFonts w:ascii="Times New Roman" w:hAnsi="Times New Roman" w:cs="Times New Roman" w:eastAsia="Times New Roman" w:hint="default"/>
        </w:rPr>
        <w:t>5</w:t>
      </w:r>
      <w:r>
        <w:rPr/>
        <w:t>、非募集资金投资的重大项目情况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3" w:right="50"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 w:right="0"/>
              <w:jc w:val="left"/>
              <w:rPr>
                <w:rFonts w:ascii="宋体" w:hAnsi="宋体" w:cs="宋体" w:eastAsia="宋体" w:hint="default"/>
                <w:sz w:val="18"/>
                <w:szCs w:val="18"/>
              </w:rPr>
            </w:pPr>
            <w:r>
              <w:rPr>
                <w:rFonts w:ascii="宋体" w:hAnsi="宋体" w:cs="宋体" w:eastAsia="宋体" w:hint="default"/>
                <w:sz w:val="18"/>
                <w:szCs w:val="18"/>
              </w:rPr>
              <w:t>项目收益情况</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披露日期（如 有）</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2" w:right="50"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223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83"/>
              <w:jc w:val="both"/>
              <w:rPr>
                <w:rFonts w:ascii="宋体" w:hAnsi="宋体" w:cs="宋体" w:eastAsia="宋体" w:hint="default"/>
                <w:sz w:val="18"/>
                <w:szCs w:val="18"/>
              </w:rPr>
            </w:pPr>
            <w:r>
              <w:rPr>
                <w:rFonts w:ascii="宋体" w:hAnsi="宋体" w:cs="宋体" w:eastAsia="宋体" w:hint="default"/>
                <w:sz w:val="18"/>
                <w:szCs w:val="18"/>
              </w:rPr>
              <w:t>低碳环保包装 研发总部基地 项目</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280.31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668" w:right="0"/>
              <w:jc w:val="left"/>
              <w:rPr>
                <w:rFonts w:ascii="Times New Roman" w:hAnsi="Times New Roman" w:cs="Times New Roman" w:eastAsia="Times New Roman" w:hint="default"/>
                <w:sz w:val="18"/>
                <w:szCs w:val="18"/>
              </w:rPr>
            </w:pPr>
            <w:r>
              <w:rPr>
                <w:rFonts w:ascii="Times New Roman"/>
                <w:sz w:val="18"/>
              </w:rPr>
              <w:t>337.83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1.47%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尚未开始建设</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公司《关于新 建低碳环保包 装研发总部基 地项目的公 </w:t>
            </w:r>
            <w:r>
              <w:rPr>
                <w:rFonts w:ascii="宋体" w:hAnsi="宋体" w:cs="宋体" w:eastAsia="宋体" w:hint="default"/>
                <w:spacing w:val="-26"/>
                <w:sz w:val="18"/>
                <w:szCs w:val="18"/>
              </w:rPr>
              <w:t>告》、《国信证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券股份有限公 司关于公司使</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83.639999pt;margin-top:262.219971pt;width:92.45pt;height:78pt;mso-position-horizontal-relative:page;mso-position-vertical-relative:page;z-index:-84191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5"/>
                      <w:szCs w:val="15"/>
                    </w:rPr>
                  </w:pPr>
                </w:p>
                <w:p>
                  <w:pPr>
                    <w:pStyle w:val="BodyText"/>
                    <w:spacing w:line="240" w:lineRule="auto"/>
                    <w:ind w:left="0" w:right="0"/>
                    <w:jc w:val="left"/>
                  </w:pPr>
                  <w:r>
                    <w:rPr/>
                    <w:t>（武汉）</w:t>
                  </w:r>
                </w:p>
              </w:txbxContent>
            </v:textbox>
            <w10:wrap type="none"/>
          </v:shape>
        </w:pict>
      </w:r>
      <w:r>
        <w:rPr/>
        <w:pict>
          <v:shape style="position:absolute;margin-left:83.639999pt;margin-top:438.339996pt;width:92.45pt;height:78pt;mso-position-horizontal-relative:page;mso-position-vertical-relative:page;z-index:-84188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5"/>
                      <w:szCs w:val="15"/>
                    </w:rPr>
                  </w:pPr>
                </w:p>
                <w:p>
                  <w:pPr>
                    <w:pStyle w:val="BodyText"/>
                    <w:spacing w:line="240" w:lineRule="auto"/>
                    <w:ind w:left="0" w:right="0"/>
                    <w:jc w:val="left"/>
                  </w:pPr>
                  <w:r>
                    <w:rPr/>
                    <w:t>（成都）</w:t>
                  </w:r>
                </w:p>
              </w:txbxContent>
            </v:textbox>
            <w10:wrap type="none"/>
          </v:shape>
        </w:pict>
      </w:r>
      <w:r>
        <w:rPr/>
        <w:pict>
          <v:group style="position:absolute;margin-left:116.839996pt;margin-top:262.219971pt;width:59.25pt;height:78pt;mso-position-horizontal-relative:page;mso-position-vertical-relative:page;z-index:-841864" coordorigin="2337,5244" coordsize="1185,1560">
            <v:shape style="position:absolute;left:2337;top:5244;width:1185;height:1560" coordorigin="2337,5244" coordsize="1185,1560" path="m2337,6804l3521,6804,3521,5244,2337,5244,2337,6804xe" filled="true" fillcolor="#ffffff" stroked="false">
              <v:path arrowok="t"/>
              <v:fill type="solid"/>
            </v:shape>
            <w10:wrap type="none"/>
          </v:group>
        </w:pict>
      </w:r>
      <w:r>
        <w:rPr/>
        <w:pict>
          <v:group style="position:absolute;margin-left:116.839996pt;margin-top:438.339996pt;width:59.25pt;height:78pt;mso-position-horizontal-relative:page;mso-position-vertical-relative:page;z-index:-841840" coordorigin="2337,8767" coordsize="1185,1560">
            <v:shape style="position:absolute;left:2337;top:8767;width:1185;height:1560" coordorigin="2337,8767" coordsize="1185,1560" path="m2337,10327l3521,10327,3521,8767,2337,8767,2337,10327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198"/>
        <w:gridCol w:w="366"/>
        <w:gridCol w:w="828"/>
        <w:gridCol w:w="1196"/>
        <w:gridCol w:w="1197"/>
        <w:gridCol w:w="1195"/>
        <w:gridCol w:w="1197"/>
        <w:gridCol w:w="1196"/>
        <w:gridCol w:w="1195"/>
      </w:tblGrid>
      <w:tr>
        <w:trPr>
          <w:trHeight w:val="3795" w:hRule="exact"/>
        </w:trPr>
        <w:tc>
          <w:tcPr>
            <w:tcW w:w="1198" w:type="dxa"/>
            <w:tcBorders>
              <w:top w:val="single" w:sz="4" w:space="0" w:color="000000"/>
              <w:left w:val="single" w:sz="4" w:space="0" w:color="000000"/>
              <w:bottom w:val="single" w:sz="4" w:space="0" w:color="000000"/>
              <w:right w:val="single" w:sz="4" w:space="0" w:color="000000"/>
            </w:tcBorders>
          </w:tcPr>
          <w:p>
            <w:pPr/>
          </w:p>
        </w:tc>
        <w:tc>
          <w:tcPr>
            <w:tcW w:w="1194" w:type="dxa"/>
            <w:gridSpan w:val="2"/>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用部分超募资 金用于拟建项 目的保荐意 </w:t>
            </w:r>
            <w:r>
              <w:rPr>
                <w:rFonts w:ascii="宋体" w:hAnsi="宋体" w:cs="宋体" w:eastAsia="宋体" w:hint="default"/>
                <w:spacing w:val="-11"/>
                <w:sz w:val="18"/>
                <w:szCs w:val="18"/>
              </w:rPr>
              <w:t>见》于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p>
            <w:pPr>
              <w:pStyle w:val="TableParagraph"/>
              <w:spacing w:line="309" w:lineRule="auto"/>
              <w:ind w:left="22"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日刊载 于证券时报及 巨潮资讯网</w:t>
            </w:r>
          </w:p>
          <w:p>
            <w:pPr>
              <w:pStyle w:val="TableParagraph"/>
              <w:spacing w:line="300" w:lineRule="auto" w:before="24"/>
              <w:ind w:left="22"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2010-033</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2010-034</w:t>
            </w:r>
            <w:r>
              <w:rPr>
                <w:rFonts w:ascii="宋体" w:hAnsi="宋体" w:cs="宋体" w:eastAsia="宋体" w:hint="default"/>
                <w:sz w:val="18"/>
                <w:szCs w:val="18"/>
              </w:rPr>
              <w:t>。</w:t>
            </w:r>
          </w:p>
        </w:tc>
      </w:tr>
      <w:tr>
        <w:trPr>
          <w:trHeight w:val="352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美盈森 现代化环保包 装生产基地项 目</w:t>
            </w:r>
          </w:p>
        </w:tc>
        <w:tc>
          <w:tcPr>
            <w:tcW w:w="366" w:type="dxa"/>
            <w:tcBorders>
              <w:top w:val="single" w:sz="4" w:space="0" w:color="000000"/>
              <w:left w:val="single" w:sz="4" w:space="0" w:color="000000"/>
              <w:bottom w:val="single" w:sz="4" w:space="0" w:color="000000"/>
              <w:right w:val="nil" w:sz="6" w:space="0" w:color="auto"/>
            </w:tcBorders>
          </w:tcPr>
          <w:p>
            <w:pPr/>
          </w:p>
        </w:tc>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尚未开始建设</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公司《关于签 订对外投资协 议的公告》于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309" w:lineRule="auto"/>
              <w:ind w:left="22" w:right="36"/>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日刊载于证 券时报及巨潮 资讯网</w:t>
            </w:r>
          </w:p>
          <w:p>
            <w:pPr>
              <w:pStyle w:val="TableParagraph"/>
              <w:spacing w:line="300" w:lineRule="auto" w:before="24"/>
              <w:ind w:left="22"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8"/>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2011-001</w:t>
            </w:r>
            <w:r>
              <w:rPr>
                <w:rFonts w:ascii="宋体" w:hAnsi="宋体" w:cs="宋体" w:eastAsia="宋体" w:hint="default"/>
                <w:sz w:val="18"/>
                <w:szCs w:val="18"/>
              </w:rPr>
              <w:t>。</w:t>
            </w:r>
          </w:p>
        </w:tc>
      </w:tr>
      <w:tr>
        <w:trPr>
          <w:trHeight w:val="352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美盈森 现代化环保包 装生产基地项 目</w:t>
            </w:r>
          </w:p>
        </w:tc>
        <w:tc>
          <w:tcPr>
            <w:tcW w:w="366" w:type="dxa"/>
            <w:tcBorders>
              <w:top w:val="single" w:sz="4" w:space="0" w:color="000000"/>
              <w:left w:val="single" w:sz="4" w:space="0" w:color="000000"/>
              <w:bottom w:val="single" w:sz="4" w:space="0" w:color="000000"/>
              <w:right w:val="nil" w:sz="6" w:space="0" w:color="auto"/>
            </w:tcBorders>
          </w:tcPr>
          <w:p>
            <w:pPr/>
          </w:p>
        </w:tc>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-136.93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尚未开始建设</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公司《关于签 订对外投资协 议的公告》于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309" w:lineRule="auto"/>
              <w:ind w:left="22" w:right="36"/>
              <w:jc w:val="both"/>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日刊载于证 券时报及巨潮 资讯网</w:t>
            </w:r>
          </w:p>
          <w:p>
            <w:pPr>
              <w:pStyle w:val="TableParagraph"/>
              <w:spacing w:line="300" w:lineRule="auto" w:before="24"/>
              <w:ind w:left="22"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2011-025</w:t>
            </w:r>
            <w:r>
              <w:rPr>
                <w:rFonts w:ascii="宋体" w:hAnsi="宋体" w:cs="宋体" w:eastAsia="宋体" w:hint="default"/>
                <w:sz w:val="18"/>
                <w:szCs w:val="18"/>
              </w:rPr>
              <w:t>。</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7" w:right="0"/>
              <w:jc w:val="left"/>
              <w:rPr>
                <w:rFonts w:ascii="Times New Roman" w:hAnsi="Times New Roman" w:cs="Times New Roman" w:eastAsia="Times New Roman" w:hint="default"/>
                <w:sz w:val="18"/>
                <w:szCs w:val="18"/>
              </w:rPr>
            </w:pPr>
            <w:r>
              <w:rPr>
                <w:rFonts w:ascii="Times New Roman"/>
                <w:sz w:val="18"/>
              </w:rPr>
              <w:t>100,000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143.38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418.37</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公司控制的特殊目的主体情况" w:id="49"/>
      <w:bookmarkEnd w:id="49"/>
      <w:r>
        <w:rPr>
          <w:b w:val="0"/>
          <w:bCs w:val="0"/>
        </w:rPr>
      </w: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八、公司未来发展的展望" w:id="50"/>
      <w:bookmarkEnd w:id="50"/>
      <w:r>
        <w:rPr>
          <w:b w:val="0"/>
          <w:bCs w:val="0"/>
        </w:rPr>
      </w:r>
      <w:r>
        <w:rPr/>
        <w:t>八、公司未来发展的展望</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w:t>
      </w:r>
      <w:r>
        <w:rPr/>
        <w:t>、行业竞争格局和发展趋势</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Heading5"/>
        <w:spacing w:line="240" w:lineRule="auto" w:before="44"/>
        <w:ind w:right="0"/>
        <w:jc w:val="left"/>
        <w:rPr>
          <w:b w:val="0"/>
          <w:bCs w:val="0"/>
        </w:rPr>
      </w:pPr>
      <w:r>
        <w:rPr/>
        <w:t>（</w:t>
      </w:r>
      <w:r>
        <w:rPr>
          <w:rFonts w:ascii="Times New Roman" w:hAnsi="Times New Roman" w:cs="Times New Roman" w:eastAsia="Times New Roman" w:hint="default"/>
        </w:rPr>
        <w:t>1</w:t>
      </w:r>
      <w:r>
        <w:rPr/>
        <w:t>）宏观环境分析</w:t>
      </w:r>
      <w:r>
        <w:rPr>
          <w:b w:val="0"/>
          <w:bCs w:val="0"/>
        </w:rPr>
      </w:r>
    </w:p>
    <w:p>
      <w:pPr>
        <w:spacing w:line="420" w:lineRule="atLeast" w:before="12"/>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）环保纸制品包装产业市场空间大，增速快，发展前景好</w:t>
      </w:r>
      <w:r>
        <w:rPr>
          <w:rFonts w:ascii="宋体" w:hAnsi="宋体" w:cs="宋体" w:eastAsia="宋体" w:hint="default"/>
          <w:b/>
          <w:bCs/>
          <w:w w:val="99"/>
          <w:sz w:val="18"/>
          <w:szCs w:val="18"/>
        </w:rPr>
        <w:t> </w:t>
      </w:r>
      <w:r>
        <w:rPr>
          <w:rFonts w:ascii="宋体" w:hAnsi="宋体" w:cs="宋体" w:eastAsia="宋体" w:hint="default"/>
          <w:spacing w:val="-2"/>
          <w:sz w:val="18"/>
          <w:szCs w:val="18"/>
        </w:rPr>
        <w:t>环保纸制品包装产业，作为国民经济的配套产业，随着国民经济的持续增长正处于快速发展的黄金时期，尤其是在消费</w:t>
      </w:r>
    </w:p>
    <w:p>
      <w:pPr>
        <w:pStyle w:val="BodyText"/>
        <w:spacing w:line="316" w:lineRule="auto" w:before="77"/>
        <w:ind w:right="1132"/>
        <w:jc w:val="both"/>
      </w:pPr>
      <w:r>
        <w:rPr>
          <w:spacing w:val="-2"/>
        </w:rPr>
        <w:t>升级的带动以及包装产品在促进商品销售及提升其品牌价值的作用日益凸显中，增长潜力巨大。根据中国包装网的统计数据</w:t>
      </w:r>
      <w:r>
        <w:rPr>
          <w:spacing w:val="-64"/>
        </w:rPr>
        <w:t> </w:t>
      </w:r>
      <w:r>
        <w:rPr>
          <w:spacing w:val="-64"/>
        </w:rPr>
      </w:r>
      <w:r>
        <w:rPr/>
        <w:t>以及相关研究数据，最近十年，中国纸包装行业年平均增速接近</w:t>
      </w:r>
      <w:r>
        <w:rPr>
          <w:rFonts w:ascii="Times New Roman" w:hAnsi="Times New Roman" w:cs="Times New Roman" w:eastAsia="Times New Roman" w:hint="default"/>
        </w:rPr>
        <w:t>20%</w:t>
      </w:r>
      <w:r>
        <w:rPr/>
        <w:t>，目前的市场容量超过</w:t>
      </w:r>
      <w:r>
        <w:rPr>
          <w:rFonts w:ascii="Times New Roman" w:hAnsi="Times New Roman" w:cs="Times New Roman" w:eastAsia="Times New Roman" w:hint="default"/>
        </w:rPr>
        <w:t>5000</w:t>
      </w:r>
      <w:r>
        <w:rPr/>
        <w:t>亿元。</w:t>
      </w:r>
    </w:p>
    <w:p>
      <w:pPr>
        <w:pStyle w:val="BodyText"/>
        <w:spacing w:line="316" w:lineRule="auto" w:before="119"/>
        <w:ind w:right="1118" w:firstLine="360"/>
        <w:jc w:val="left"/>
      </w:pPr>
      <w:r>
        <w:rPr>
          <w:spacing w:val="-2"/>
        </w:rPr>
        <w:t>同时，国家经济战略支持循环经济发展，环保纸包装及相关产业因其环保、轻量减量、可循环利用而获得政策助力，实</w:t>
      </w:r>
      <w:r>
        <w:rPr/>
        <w:t> 现更快发展。</w:t>
      </w:r>
    </w:p>
    <w:p>
      <w:pPr>
        <w:spacing w:line="432" w:lineRule="exact" w:before="3"/>
        <w:ind w:left="513" w:right="112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）印刷产业市场容量大，发展机遇良好</w:t>
      </w:r>
      <w:r>
        <w:rPr>
          <w:rFonts w:ascii="宋体" w:hAnsi="宋体" w:cs="宋体" w:eastAsia="宋体" w:hint="default"/>
          <w:b/>
          <w:bCs/>
          <w:w w:val="99"/>
          <w:sz w:val="18"/>
          <w:szCs w:val="18"/>
        </w:rPr>
        <w:t> </w:t>
      </w:r>
      <w:r>
        <w:rPr>
          <w:rFonts w:ascii="宋体" w:hAnsi="宋体" w:cs="宋体" w:eastAsia="宋体" w:hint="default"/>
          <w:sz w:val="18"/>
          <w:szCs w:val="18"/>
        </w:rPr>
        <w:t>根据国家新闻出版广电总局的统计，</w:t>
      </w:r>
      <w:r>
        <w:rPr>
          <w:rFonts w:ascii="Times New Roman" w:hAnsi="Times New Roman" w:cs="Times New Roman" w:eastAsia="Times New Roman" w:hint="default"/>
          <w:sz w:val="18"/>
          <w:szCs w:val="18"/>
        </w:rPr>
        <w:t>2013</w:t>
      </w:r>
      <w:r>
        <w:rPr>
          <w:rFonts w:ascii="宋体" w:hAnsi="宋体" w:cs="宋体" w:eastAsia="宋体" w:hint="default"/>
          <w:sz w:val="18"/>
          <w:szCs w:val="18"/>
        </w:rPr>
        <w:t>年中国印刷业总产值已首次突破</w:t>
      </w:r>
      <w:r>
        <w:rPr>
          <w:rFonts w:ascii="Times New Roman" w:hAnsi="Times New Roman" w:cs="Times New Roman" w:eastAsia="Times New Roman" w:hint="default"/>
          <w:sz w:val="18"/>
          <w:szCs w:val="18"/>
        </w:rPr>
        <w:t>1</w:t>
      </w:r>
      <w:r>
        <w:rPr>
          <w:rFonts w:ascii="宋体" w:hAnsi="宋体" w:cs="宋体" w:eastAsia="宋体" w:hint="default"/>
          <w:sz w:val="18"/>
          <w:szCs w:val="18"/>
        </w:rPr>
        <w:t>万亿元，整体规模排在全球第二位，市场规</w:t>
      </w:r>
    </w:p>
    <w:p>
      <w:pPr>
        <w:pStyle w:val="BodyText"/>
        <w:spacing w:line="240" w:lineRule="auto" w:before="15"/>
        <w:ind w:left="154" w:right="0"/>
        <w:jc w:val="both"/>
      </w:pPr>
      <w:r>
        <w:rPr/>
        <w:t>模空间巨大，为印刷企业尤其是具有互联网发展战略的企业提供实现快速发展的市场基础。</w:t>
      </w:r>
    </w:p>
    <w:p>
      <w:pPr>
        <w:spacing w:line="420" w:lineRule="atLeast" w:before="25"/>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）行业发展环境及趋势分析</w:t>
      </w:r>
      <w:r>
        <w:rPr>
          <w:rFonts w:ascii="宋体" w:hAnsi="宋体" w:cs="宋体" w:eastAsia="宋体" w:hint="default"/>
          <w:b/>
          <w:bCs/>
          <w:w w:val="99"/>
          <w:sz w:val="18"/>
          <w:szCs w:val="18"/>
        </w:rPr>
        <w:t> </w:t>
      </w:r>
      <w:r>
        <w:rPr>
          <w:rFonts w:ascii="宋体" w:hAnsi="宋体" w:cs="宋体" w:eastAsia="宋体" w:hint="default"/>
          <w:spacing w:val="-2"/>
          <w:sz w:val="18"/>
          <w:szCs w:val="18"/>
        </w:rPr>
        <w:t>客户包装需求的不断升级、产业集中度的持续提升、包装印刷的互联网化和定制化等是包装印刷产业未来发展的主要特</w:t>
      </w:r>
    </w:p>
    <w:p>
      <w:pPr>
        <w:pStyle w:val="BodyText"/>
        <w:spacing w:line="240" w:lineRule="auto" w:before="76"/>
        <w:ind w:right="0"/>
        <w:jc w:val="both"/>
      </w:pPr>
      <w:r>
        <w:rPr/>
        <w:t>点。</w:t>
      </w:r>
    </w:p>
    <w:p>
      <w:pPr>
        <w:spacing w:line="420" w:lineRule="atLeast" w:before="25"/>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）包装需求升级为行业内优势企业带来新的发展机遇</w:t>
      </w:r>
      <w:r>
        <w:rPr>
          <w:rFonts w:ascii="宋体" w:hAnsi="宋体" w:cs="宋体" w:eastAsia="宋体" w:hint="default"/>
          <w:b/>
          <w:bCs/>
          <w:w w:val="99"/>
          <w:sz w:val="18"/>
          <w:szCs w:val="18"/>
        </w:rPr>
        <w:t> </w:t>
      </w:r>
      <w:r>
        <w:rPr>
          <w:rFonts w:ascii="宋体" w:hAnsi="宋体" w:cs="宋体" w:eastAsia="宋体" w:hint="default"/>
          <w:spacing w:val="-2"/>
          <w:sz w:val="18"/>
          <w:szCs w:val="18"/>
        </w:rPr>
        <w:t>随着社会经济的发展，消费升级的加速，下游行业包装需求呈现包装功能多样化趋势。纸制品包装越来越多的由单纯运</w:t>
      </w:r>
    </w:p>
    <w:p>
      <w:pPr>
        <w:pStyle w:val="BodyText"/>
        <w:spacing w:line="316" w:lineRule="auto" w:before="76"/>
        <w:ind w:right="1131"/>
        <w:jc w:val="both"/>
      </w:pPr>
      <w:r>
        <w:rPr>
          <w:spacing w:val="-2"/>
        </w:rPr>
        <w:t>输包装，向兼具销售包装功能的方向发展；下游行业对同时具有良好广告宣传功能的纸箱、精品盒的需求与日俱增，对精美</w:t>
      </w:r>
      <w:r>
        <w:rPr>
          <w:spacing w:val="-66"/>
        </w:rPr>
        <w:t> </w:t>
      </w:r>
      <w:r>
        <w:rPr>
          <w:spacing w:val="-66"/>
        </w:rPr>
      </w:r>
      <w:r>
        <w:rPr>
          <w:spacing w:val="-2"/>
        </w:rPr>
        <w:t>印刷要求越来越高。包装对于促进产品销售和品牌形象提升具有重大意义。尤其是智能型设备、可穿戴设备、电子通讯、酒</w:t>
      </w:r>
      <w:r>
        <w:rPr>
          <w:spacing w:val="-66"/>
        </w:rPr>
        <w:t> </w:t>
      </w:r>
      <w:r>
        <w:rPr>
          <w:spacing w:val="-66"/>
        </w:rPr>
      </w:r>
      <w:r>
        <w:rPr>
          <w:spacing w:val="-2"/>
        </w:rPr>
        <w:t>类、食品保健品、化妆品等品牌消费品的包装，其通过视觉传达美化产品、促进销售的作用倍受重视，已有效带动包装产业</w:t>
      </w:r>
      <w:r>
        <w:rPr>
          <w:spacing w:val="-66"/>
        </w:rPr>
        <w:t> </w:t>
      </w:r>
      <w:r>
        <w:rPr>
          <w:spacing w:val="-66"/>
        </w:rPr>
      </w:r>
      <w:r>
        <w:rPr/>
        <w:t>尤其是高端包装产业市场容量的增加。</w:t>
      </w:r>
    </w:p>
    <w:p>
      <w:pPr>
        <w:pStyle w:val="BodyText"/>
        <w:spacing w:line="316" w:lineRule="auto" w:before="139"/>
        <w:ind w:right="0" w:firstLine="360"/>
        <w:jc w:val="left"/>
      </w:pPr>
      <w:r>
        <w:rPr>
          <w:spacing w:val="-4"/>
        </w:rPr>
        <w:t>同时，众多下游客户除要求纸包装产品品质良好、外观精美、轻量减量外，还希望包装企业能够依据客户的产品的尺寸、</w:t>
      </w:r>
      <w:r>
        <w:rPr/>
        <w:t> </w:t>
      </w:r>
      <w:r>
        <w:rPr>
          <w:spacing w:val="-4"/>
        </w:rPr>
        <w:t>性能等进行包装方案策划和设计，提供物流、仓储、包装作业指导等一体化解决方案，客户需求的升级使得具有竞争优势的、</w:t>
      </w:r>
      <w:r>
        <w:rPr>
          <w:spacing w:val="-46"/>
        </w:rPr>
        <w:t> </w:t>
      </w:r>
      <w:r>
        <w:rPr>
          <w:spacing w:val="-46"/>
        </w:rPr>
      </w:r>
      <w:r>
        <w:rPr>
          <w:spacing w:val="-2"/>
        </w:rPr>
        <w:t>能够提供包装一体化服务以及具备创新服务能力的优势企业获得更多的订单，毛利率水平亦可得到有效改善。不具备竞争优</w:t>
      </w:r>
      <w:r>
        <w:rPr>
          <w:spacing w:val="-63"/>
        </w:rPr>
        <w:t> </w:t>
      </w:r>
      <w:r>
        <w:rPr>
          <w:spacing w:val="-63"/>
        </w:rPr>
      </w:r>
      <w:r>
        <w:rPr/>
        <w:t>势的企业将在消费升级、下游市场需求升级以及激烈的行业竞争过程中面临被淘汰的风险。</w:t>
      </w:r>
    </w:p>
    <w:p>
      <w:pPr>
        <w:spacing w:line="432" w:lineRule="exact" w:before="3"/>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）行业集中度提升是产业发展规律</w:t>
      </w:r>
      <w:r>
        <w:rPr>
          <w:rFonts w:ascii="宋体" w:hAnsi="宋体" w:cs="宋体" w:eastAsia="宋体" w:hint="default"/>
          <w:b/>
          <w:bCs/>
          <w:w w:val="99"/>
          <w:sz w:val="18"/>
          <w:szCs w:val="18"/>
        </w:rPr>
        <w:t> </w:t>
      </w:r>
      <w:r>
        <w:rPr>
          <w:rFonts w:ascii="宋体" w:hAnsi="宋体" w:cs="宋体" w:eastAsia="宋体" w:hint="default"/>
          <w:spacing w:val="9"/>
          <w:sz w:val="18"/>
          <w:szCs w:val="18"/>
        </w:rPr>
        <w:t>对比成熟市场，中国纸包装行业产业集中度差距非常明显，根据中国包装网的统计数据，美国</w:t>
      </w:r>
      <w:r>
        <w:rPr>
          <w:rFonts w:ascii="Times New Roman" w:hAnsi="Times New Roman" w:cs="Times New Roman" w:eastAsia="Times New Roman" w:hint="default"/>
          <w:spacing w:val="9"/>
          <w:sz w:val="18"/>
          <w:szCs w:val="18"/>
        </w:rPr>
        <w:t>TOP5&gt;70%</w:t>
      </w:r>
      <w:r>
        <w:rPr>
          <w:rFonts w:ascii="宋体" w:hAnsi="宋体" w:cs="宋体" w:eastAsia="宋体" w:hint="default"/>
          <w:spacing w:val="9"/>
          <w:sz w:val="18"/>
          <w:szCs w:val="18"/>
        </w:rPr>
        <w:t>，澳洲</w:t>
      </w:r>
      <w:r>
        <w:rPr>
          <w:rFonts w:ascii="宋体" w:hAnsi="宋体" w:cs="宋体" w:eastAsia="宋体" w:hint="default"/>
          <w:sz w:val="18"/>
          <w:szCs w:val="18"/>
        </w:rPr>
      </w:r>
    </w:p>
    <w:p>
      <w:pPr>
        <w:pStyle w:val="BodyText"/>
        <w:spacing w:line="300" w:lineRule="auto" w:before="15"/>
        <w:ind w:left="154" w:right="1131"/>
        <w:jc w:val="both"/>
      </w:pPr>
      <w:r>
        <w:rPr>
          <w:rFonts w:ascii="Times New Roman" w:hAnsi="Times New Roman" w:cs="Times New Roman" w:eastAsia="Times New Roman" w:hint="default"/>
          <w:spacing w:val="-1"/>
        </w:rPr>
        <w:t>TOP2&gt;90%</w:t>
      </w:r>
      <w:r>
        <w:rPr>
          <w:spacing w:val="-1"/>
        </w:rPr>
        <w:t>，台湾地区</w:t>
      </w:r>
      <w:r>
        <w:rPr>
          <w:rFonts w:ascii="Times New Roman" w:hAnsi="Times New Roman" w:cs="Times New Roman" w:eastAsia="Times New Roman" w:hint="default"/>
          <w:spacing w:val="-1"/>
        </w:rPr>
        <w:t>TOP3&gt;50%</w:t>
      </w:r>
      <w:r>
        <w:rPr>
          <w:spacing w:val="-1"/>
        </w:rPr>
        <w:t>，而中国一些规模排名前列的企业的市场份额不到</w:t>
      </w:r>
      <w:r>
        <w:rPr>
          <w:rFonts w:ascii="宋体" w:hAnsi="宋体" w:cs="宋体" w:eastAsia="宋体" w:hint="default"/>
          <w:spacing w:val="-1"/>
        </w:rPr>
        <w:t>1%</w:t>
      </w:r>
      <w:r>
        <w:rPr>
          <w:spacing w:val="-1"/>
        </w:rPr>
        <w:t>。纸包装下游消费品行业品牌化趋势</w:t>
      </w:r>
      <w:r>
        <w:rPr>
          <w:spacing w:val="-39"/>
        </w:rPr>
        <w:t> </w:t>
      </w:r>
      <w:r>
        <w:rPr>
          <w:spacing w:val="-39"/>
        </w:rPr>
      </w:r>
      <w:r>
        <w:rPr/>
        <w:t>逐渐显现，下游行业集中度向上游包材供应商传导作用将逐渐强化。</w:t>
      </w:r>
    </w:p>
    <w:p>
      <w:pPr>
        <w:pStyle w:val="Heading5"/>
        <w:spacing w:line="240" w:lineRule="auto" w:before="151"/>
        <w:ind w:left="514" w:right="0"/>
        <w:jc w:val="left"/>
        <w:rPr>
          <w:b w:val="0"/>
          <w:bCs w:val="0"/>
        </w:rPr>
      </w:pPr>
      <w:r>
        <w:rPr>
          <w:rFonts w:ascii="Times New Roman" w:hAnsi="Times New Roman" w:cs="Times New Roman" w:eastAsia="Times New Roman" w:hint="default"/>
        </w:rPr>
        <w:t>3</w:t>
      </w:r>
      <w:r>
        <w:rPr/>
        <w:t>）包装印刷产业的互联网化、定制化的发展趋势将逐渐加速</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left="154" w:right="0" w:firstLine="360"/>
        <w:jc w:val="left"/>
        <w:rPr>
          <w:rFonts w:ascii="Times New Roman" w:hAnsi="Times New Roman" w:cs="Times New Roman" w:eastAsia="Times New Roman" w:hint="default"/>
        </w:rPr>
      </w:pPr>
      <w:r>
        <w:rPr>
          <w:w w:val="95"/>
        </w:rPr>
        <w:t>李克强总理在政府工作报告中提出，</w:t>
      </w:r>
      <w:r>
        <w:rPr>
          <w:rFonts w:ascii="Times New Roman" w:hAnsi="Times New Roman" w:cs="Times New Roman" w:eastAsia="Times New Roman" w:hint="default"/>
          <w:w w:val="95"/>
        </w:rPr>
        <w:t>“</w:t>
      </w:r>
      <w:r>
        <w:rPr>
          <w:w w:val="95"/>
        </w:rPr>
        <w:t>制定</w:t>
      </w:r>
      <w:r>
        <w:rPr>
          <w:rFonts w:ascii="Times New Roman" w:hAnsi="Times New Roman" w:cs="Times New Roman" w:eastAsia="Times New Roman" w:hint="default"/>
          <w:w w:val="95"/>
        </w:rPr>
        <w:t>„</w:t>
      </w:r>
      <w:r>
        <w:rPr>
          <w:w w:val="95"/>
        </w:rPr>
        <w:t>互联网</w:t>
      </w:r>
      <w:r>
        <w:rPr>
          <w:rFonts w:ascii="Times New Roman" w:hAnsi="Times New Roman" w:cs="Times New Roman" w:eastAsia="Times New Roman" w:hint="default"/>
          <w:w w:val="95"/>
        </w:rPr>
        <w:t>+‟</w:t>
      </w:r>
      <w:r>
        <w:rPr>
          <w:w w:val="95"/>
        </w:rPr>
        <w:t>行动计划，推动移动互联网、云计算、大数据、物联网等与现代制</w:t>
      </w:r>
      <w:r>
        <w:rPr>
          <w:spacing w:val="-44"/>
          <w:w w:val="95"/>
        </w:rPr>
        <w:t> </w:t>
      </w:r>
      <w:r>
        <w:rPr>
          <w:spacing w:val="-44"/>
          <w:w w:val="95"/>
        </w:rPr>
      </w:r>
      <w:r>
        <w:rPr/>
        <w:t>造业结合，促进电子商务、工业互联网和互联网金融健康发展，引导互联网企业拓展国际市场。</w:t>
      </w:r>
      <w:r>
        <w:rPr>
          <w:rFonts w:ascii="Times New Roman" w:hAnsi="Times New Roman" w:cs="Times New Roman" w:eastAsia="Times New Roman" w:hint="default"/>
        </w:rPr>
        <w:t>”</w:t>
      </w:r>
    </w:p>
    <w:p>
      <w:pPr>
        <w:pStyle w:val="BodyText"/>
        <w:spacing w:line="314" w:lineRule="auto" w:before="133"/>
        <w:ind w:right="1131" w:firstLine="290"/>
        <w:jc w:val="both"/>
      </w:pPr>
      <w:r>
        <w:rPr>
          <w:spacing w:val="-1"/>
        </w:rPr>
        <w:t>包装印刷产业的互联网化、定制化在政策推动下，将加速发展。近年来随着互联网行业的飞速发展，以及市场对电子商</w:t>
      </w:r>
      <w:r>
        <w:rPr/>
        <w:t> </w:t>
      </w:r>
      <w:r>
        <w:rPr>
          <w:spacing w:val="-2"/>
        </w:rPr>
        <w:t>务的高度认可，广大消费者不断享受着电子商务、线上线下（</w:t>
      </w:r>
      <w:r>
        <w:rPr>
          <w:rFonts w:ascii="Times New Roman" w:hAnsi="Times New Roman" w:cs="Times New Roman" w:eastAsia="Times New Roman" w:hint="default"/>
          <w:spacing w:val="-2"/>
        </w:rPr>
        <w:t>O2O</w:t>
      </w:r>
      <w:r>
        <w:rPr>
          <w:spacing w:val="-2"/>
        </w:rPr>
        <w:t>）给生活带来的便利和实惠，传统印刷包装行业与互联网</w:t>
      </w:r>
      <w:r>
        <w:rPr>
          <w:spacing w:val="-56"/>
        </w:rPr>
        <w:t> </w:t>
      </w:r>
      <w:r>
        <w:rPr>
          <w:spacing w:val="-56"/>
        </w:rPr>
      </w:r>
      <w:r>
        <w:rPr>
          <w:spacing w:val="-2"/>
        </w:rPr>
        <w:t>结合也越来越多地被市场认同，大量的定制化、中高端包装及印刷需求不断涌现，将为业内企业带来战略性发展机遇。市场</w:t>
      </w:r>
      <w:r>
        <w:rPr>
          <w:spacing w:val="-66"/>
        </w:rPr>
        <w:t> </w:t>
      </w:r>
      <w:r>
        <w:rPr>
          <w:spacing w:val="-66"/>
        </w:rPr>
      </w:r>
      <w:r>
        <w:rPr>
          <w:spacing w:val="-2"/>
        </w:rPr>
        <w:t>需求的快速增加，将使得包装印刷行业的互联网化、定制化发展速度加快，对于包装印刷行业本身的升级也将起到极大的推</w:t>
      </w:r>
      <w:r>
        <w:rPr>
          <w:spacing w:val="-66"/>
        </w:rPr>
        <w:t> </w:t>
      </w:r>
      <w:r>
        <w:rPr>
          <w:spacing w:val="-66"/>
        </w:rPr>
      </w:r>
      <w:r>
        <w:rPr/>
        <w:t>动作用。</w:t>
      </w:r>
    </w:p>
    <w:p>
      <w:pPr>
        <w:pStyle w:val="Heading5"/>
        <w:spacing w:line="240" w:lineRule="auto" w:before="59"/>
        <w:ind w:right="0"/>
        <w:jc w:val="left"/>
        <w:rPr>
          <w:b w:val="0"/>
          <w:bCs w:val="0"/>
        </w:rPr>
      </w:pPr>
      <w:r>
        <w:rPr>
          <w:rFonts w:ascii="Times New Roman" w:hAnsi="Times New Roman" w:cs="Times New Roman" w:eastAsia="Times New Roman" w:hint="default"/>
        </w:rPr>
        <w:t>2</w:t>
      </w:r>
      <w:r>
        <w:rPr/>
        <w:t>、公司发展战略</w:t>
      </w:r>
      <w:r>
        <w:rPr>
          <w:b w:val="0"/>
          <w:bCs w:val="0"/>
        </w:rPr>
      </w:r>
    </w:p>
    <w:p>
      <w:pPr>
        <w:spacing w:line="240" w:lineRule="auto" w:before="13"/>
        <w:rPr>
          <w:rFonts w:ascii="宋体" w:hAnsi="宋体" w:cs="宋体" w:eastAsia="宋体" w:hint="default"/>
          <w:b/>
          <w:bCs/>
          <w:sz w:val="13"/>
          <w:szCs w:val="13"/>
        </w:rPr>
      </w:pPr>
    </w:p>
    <w:p>
      <w:pPr>
        <w:pStyle w:val="BodyText"/>
        <w:spacing w:line="415" w:lineRule="auto"/>
        <w:ind w:left="514" w:right="0" w:firstLine="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）愿景和战略</w:t>
      </w:r>
      <w:r>
        <w:rPr>
          <w:rFonts w:ascii="宋体" w:hAnsi="宋体" w:cs="宋体" w:eastAsia="宋体" w:hint="default"/>
          <w:b/>
          <w:bCs/>
          <w:w w:val="99"/>
        </w:rPr>
        <w:t> </w:t>
      </w:r>
      <w:r>
        <w:rPr>
          <w:spacing w:val="-2"/>
        </w:rPr>
        <w:t>公司愿景是坚持绿色环保、品质生活理念，致力于绿色环保包装产品以及各类创意产品的研发、生产和销售，大力开发</w:t>
      </w:r>
    </w:p>
    <w:p>
      <w:pPr>
        <w:spacing w:after="0" w:line="415"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1"/>
        <w:jc w:val="both"/>
      </w:pPr>
      <w:r>
        <w:rPr>
          <w:spacing w:val="-2"/>
        </w:rPr>
        <w:t>各种低碳环保以及能够促进客户产品销售、提升客户产品品牌形象的包装产品，提升客户品牌美誉度，降低客户综合包装成</w:t>
      </w:r>
      <w:r>
        <w:rPr>
          <w:spacing w:val="-66"/>
        </w:rPr>
        <w:t> </w:t>
      </w:r>
      <w:r>
        <w:rPr>
          <w:spacing w:val="-66"/>
        </w:rPr>
      </w:r>
      <w:r>
        <w:rPr>
          <w:spacing w:val="-2"/>
        </w:rPr>
        <w:t>本，为</w:t>
      </w:r>
      <w:r>
        <w:rPr>
          <w:rFonts w:ascii="Times New Roman" w:hAnsi="Times New Roman" w:cs="Times New Roman" w:eastAsia="Times New Roman" w:hint="default"/>
          <w:spacing w:val="-2"/>
        </w:rPr>
        <w:t>“</w:t>
      </w:r>
      <w:r>
        <w:rPr>
          <w:spacing w:val="-2"/>
        </w:rPr>
        <w:t>美丽中国、绿色中国</w:t>
      </w:r>
      <w:r>
        <w:rPr>
          <w:rFonts w:ascii="Times New Roman" w:hAnsi="Times New Roman" w:cs="Times New Roman" w:eastAsia="Times New Roman" w:hint="default"/>
          <w:spacing w:val="-2"/>
        </w:rPr>
        <w:t>”</w:t>
      </w:r>
      <w:r>
        <w:rPr>
          <w:spacing w:val="-2"/>
        </w:rPr>
        <w:t>的可持续发展以及更有质量的经济增长目标做出应有的贡献，并把握经济发展质量提升、消费</w:t>
      </w:r>
      <w:r>
        <w:rPr>
          <w:spacing w:val="-44"/>
        </w:rPr>
        <w:t> </w:t>
      </w:r>
      <w:r>
        <w:rPr>
          <w:spacing w:val="-44"/>
        </w:rPr>
      </w:r>
      <w:r>
        <w:rPr/>
        <w:t>升级以及</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政策给行业领先企业带来的发展机遇。</w:t>
      </w:r>
    </w:p>
    <w:p>
      <w:pPr>
        <w:pStyle w:val="BodyText"/>
        <w:spacing w:line="240" w:lineRule="auto" w:before="125"/>
        <w:ind w:left="513" w:right="0"/>
        <w:jc w:val="left"/>
      </w:pPr>
      <w:r>
        <w:rPr/>
        <w:t>公司战略是坚持</w:t>
      </w:r>
      <w:r>
        <w:rPr>
          <w:rFonts w:ascii="Times New Roman" w:hAnsi="Times New Roman" w:cs="Times New Roman" w:eastAsia="Times New Roman" w:hint="default"/>
        </w:rPr>
        <w:t>“</w:t>
      </w:r>
      <w:r>
        <w:rPr/>
        <w:t>专业化、高端化、内生性和外延式相结合以及产业互联网</w:t>
      </w:r>
      <w:r>
        <w:rPr>
          <w:rFonts w:ascii="Times New Roman" w:hAnsi="Times New Roman" w:cs="Times New Roman" w:eastAsia="Times New Roman" w:hint="default"/>
        </w:rPr>
        <w:t>”</w:t>
      </w:r>
      <w:r>
        <w:rPr/>
        <w:t>的发展之路。</w:t>
      </w:r>
    </w:p>
    <w:p>
      <w:pPr>
        <w:spacing w:line="240" w:lineRule="auto" w:before="0"/>
        <w:rPr>
          <w:rFonts w:ascii="宋体" w:hAnsi="宋体" w:cs="宋体" w:eastAsia="宋体" w:hint="default"/>
          <w:sz w:val="14"/>
          <w:szCs w:val="14"/>
        </w:rPr>
      </w:pPr>
    </w:p>
    <w:p>
      <w:pPr>
        <w:pStyle w:val="BodyText"/>
        <w:spacing w:line="300" w:lineRule="auto"/>
        <w:ind w:right="0" w:firstLine="360"/>
        <w:jc w:val="left"/>
      </w:pPr>
      <w:r>
        <w:rPr>
          <w:rFonts w:ascii="Times New Roman" w:hAnsi="Times New Roman" w:cs="Times New Roman" w:eastAsia="Times New Roman" w:hint="default"/>
          <w:spacing w:val="-2"/>
        </w:rPr>
        <w:t>“</w:t>
      </w:r>
      <w:r>
        <w:rPr>
          <w:spacing w:val="-2"/>
        </w:rPr>
        <w:t>专业化</w:t>
      </w:r>
      <w:r>
        <w:rPr>
          <w:rFonts w:ascii="Times New Roman" w:hAnsi="Times New Roman" w:cs="Times New Roman" w:eastAsia="Times New Roman" w:hint="default"/>
          <w:spacing w:val="-2"/>
        </w:rPr>
        <w:t>”</w:t>
      </w:r>
      <w:r>
        <w:rPr>
          <w:spacing w:val="-2"/>
        </w:rPr>
        <w:t>方面，不断加强公司在研发设计、创意设计、一体化服务方面的优势，提升包装印刷产品附加值，实现在低碳</w:t>
      </w:r>
      <w:r>
        <w:rPr/>
        <w:t> 环保包装、精品包装、电子标签等业务的协同发展。</w:t>
      </w:r>
    </w:p>
    <w:p>
      <w:pPr>
        <w:pStyle w:val="BodyText"/>
        <w:spacing w:line="309" w:lineRule="auto" w:before="151"/>
        <w:ind w:right="1089" w:firstLine="360"/>
        <w:jc w:val="both"/>
      </w:pPr>
      <w:r>
        <w:rPr>
          <w:rFonts w:ascii="Times New Roman" w:hAnsi="Times New Roman" w:cs="Times New Roman" w:eastAsia="Times New Roman" w:hint="default"/>
        </w:rPr>
        <w:t>“</w:t>
      </w:r>
      <w:r>
        <w:rPr/>
        <w:t>高端化</w:t>
      </w:r>
      <w:r>
        <w:rPr>
          <w:rFonts w:ascii="Times New Roman" w:hAnsi="Times New Roman" w:cs="Times New Roman" w:eastAsia="Times New Roman" w:hint="default"/>
        </w:rPr>
        <w:t>”</w:t>
      </w:r>
      <w:r>
        <w:rPr/>
        <w:t>方面，继续实施</w:t>
      </w:r>
      <w:r>
        <w:rPr>
          <w:rFonts w:ascii="Times New Roman" w:hAnsi="Times New Roman" w:cs="Times New Roman" w:eastAsia="Times New Roman" w:hint="default"/>
        </w:rPr>
        <w:t>“</w:t>
      </w:r>
      <w:r>
        <w:rPr/>
        <w:t>高端客户、高端产品</w:t>
      </w:r>
      <w:r>
        <w:rPr>
          <w:rFonts w:ascii="Times New Roman" w:hAnsi="Times New Roman" w:cs="Times New Roman" w:eastAsia="Times New Roman" w:hint="default"/>
        </w:rPr>
        <w:t>”</w:t>
      </w:r>
      <w:r>
        <w:rPr/>
        <w:t>的市场开拓策略，持续丰富高端客户类型，致力于开发全球知名企业、 </w:t>
      </w:r>
      <w:r>
        <w:rPr>
          <w:spacing w:val="-2"/>
        </w:rPr>
        <w:t>细分领域领先企业以及拥有高附加值产品的企业等类型的新客户，积极开发多领域高端客户，包括智能终端、可穿戴智能设</w:t>
      </w:r>
      <w:r>
        <w:rPr>
          <w:spacing w:val="-66"/>
        </w:rPr>
        <w:t> </w:t>
      </w:r>
      <w:r>
        <w:rPr>
          <w:spacing w:val="-66"/>
        </w:rPr>
      </w:r>
      <w:r>
        <w:rPr/>
        <w:t>备、电子通讯、化妆品、食品饮料保健品等品牌消费品类以及其他类高端客户。</w:t>
      </w:r>
    </w:p>
    <w:p>
      <w:pPr>
        <w:pStyle w:val="BodyText"/>
        <w:spacing w:line="309" w:lineRule="auto" w:before="144"/>
        <w:ind w:left="154" w:right="1131" w:firstLine="360"/>
        <w:jc w:val="both"/>
      </w:pPr>
      <w:r>
        <w:rPr>
          <w:rFonts w:ascii="Times New Roman" w:hAnsi="Times New Roman" w:cs="Times New Roman" w:eastAsia="Times New Roman" w:hint="default"/>
        </w:rPr>
        <w:t>“</w:t>
      </w:r>
      <w:r>
        <w:rPr/>
        <w:t>内生性和外延式相结合</w:t>
      </w:r>
      <w:r>
        <w:rPr>
          <w:rFonts w:ascii="Times New Roman" w:hAnsi="Times New Roman" w:cs="Times New Roman" w:eastAsia="Times New Roman" w:hint="default"/>
        </w:rPr>
        <w:t>”</w:t>
      </w:r>
      <w:r>
        <w:rPr/>
        <w:t>方面，</w:t>
      </w:r>
      <w:r>
        <w:rPr>
          <w:spacing w:val="26"/>
        </w:rPr>
        <w:t> </w:t>
      </w:r>
      <w:r>
        <w:rPr/>
        <w:t>实施</w:t>
      </w:r>
      <w:r>
        <w:rPr>
          <w:rFonts w:ascii="Times New Roman" w:hAnsi="Times New Roman" w:cs="Times New Roman" w:eastAsia="Times New Roman" w:hint="default"/>
        </w:rPr>
        <w:t>“</w:t>
      </w:r>
      <w:r>
        <w:rPr/>
        <w:t>内生增长和外延扩张</w:t>
      </w:r>
      <w:r>
        <w:rPr>
          <w:rFonts w:ascii="Times New Roman" w:hAnsi="Times New Roman" w:cs="Times New Roman" w:eastAsia="Times New Roman" w:hint="default"/>
        </w:rPr>
        <w:t>”</w:t>
      </w:r>
      <w:r>
        <w:rPr/>
        <w:t>双引擎驱动的发展模式，吸纳、集聚在创意包装、智能包</w:t>
      </w:r>
      <w:r>
        <w:rPr>
          <w:spacing w:val="1"/>
        </w:rPr>
        <w:t> </w:t>
      </w:r>
      <w:r>
        <w:rPr>
          <w:spacing w:val="-2"/>
        </w:rPr>
        <w:t>装、消费品包装以及互联网等方面具有一定竞争优势的优秀企业，积极打造涵盖包装一体化、创意包装、智能包装、消费品</w:t>
      </w:r>
      <w:r>
        <w:rPr>
          <w:spacing w:val="-66"/>
        </w:rPr>
        <w:t> </w:t>
      </w:r>
      <w:r>
        <w:rPr>
          <w:spacing w:val="-66"/>
        </w:rPr>
      </w:r>
      <w:r>
        <w:rPr/>
        <w:t>包装以及互联网包装印刷等高端价值链体系的世界级环保包装印刷企业集团。</w:t>
      </w:r>
    </w:p>
    <w:p>
      <w:pPr>
        <w:pStyle w:val="BodyText"/>
        <w:spacing w:line="307" w:lineRule="auto" w:before="144"/>
        <w:ind w:right="1033" w:firstLine="360"/>
        <w:jc w:val="left"/>
      </w:pPr>
      <w:r>
        <w:rPr>
          <w:rFonts w:ascii="Times New Roman" w:hAnsi="Times New Roman" w:cs="Times New Roman" w:eastAsia="Times New Roman" w:hint="default"/>
          <w:spacing w:val="-2"/>
        </w:rPr>
        <w:t>“</w:t>
      </w:r>
      <w:r>
        <w:rPr>
          <w:spacing w:val="-2"/>
        </w:rPr>
        <w:t>产业互联网</w:t>
      </w:r>
      <w:r>
        <w:rPr>
          <w:rFonts w:ascii="Times New Roman" w:hAnsi="Times New Roman" w:cs="Times New Roman" w:eastAsia="Times New Roman" w:hint="default"/>
          <w:spacing w:val="-2"/>
        </w:rPr>
        <w:t>”</w:t>
      </w:r>
      <w:r>
        <w:rPr>
          <w:spacing w:val="-2"/>
        </w:rPr>
        <w:t>方面，顺应包装印刷产业互联网化、定制化新业态，建立功能强大的互联网包装印刷及个性化定制服务运</w:t>
      </w:r>
      <w:r>
        <w:rPr/>
        <w:t> 营平台，通过互联网的方式，实现策划设计、包装印刷及个性化产品制造、物流配送、支付等一体化服务的全产业链整合， 让消费者、用户在分享公司高品质产品、优质的一体化服务同时享受便利性，从而在国内包装印刷业务从传统模式向</w:t>
      </w:r>
      <w:r>
        <w:rPr>
          <w:rFonts w:ascii="Times New Roman" w:hAnsi="Times New Roman" w:cs="Times New Roman" w:eastAsia="Times New Roman" w:hint="default"/>
        </w:rPr>
        <w:t>“</w:t>
      </w:r>
      <w:r>
        <w:rPr/>
        <w:t>互联</w:t>
      </w:r>
      <w:r>
        <w:rPr>
          <w:spacing w:val="-76"/>
        </w:rPr>
        <w:t> </w:t>
      </w:r>
      <w:r>
        <w:rPr/>
        <w:t>网</w:t>
      </w:r>
      <w:r>
        <w:rPr>
          <w:rFonts w:ascii="Times New Roman" w:hAnsi="Times New Roman" w:cs="Times New Roman" w:eastAsia="Times New Roman" w:hint="default"/>
        </w:rPr>
        <w:t>+”</w:t>
      </w:r>
      <w:r>
        <w:rPr/>
        <w:t>新模式升级过程中掌握主动权，形成公司新的业务增长极。</w:t>
      </w:r>
    </w:p>
    <w:p>
      <w:pPr>
        <w:pStyle w:val="Heading5"/>
        <w:spacing w:line="240" w:lineRule="auto" w:before="127"/>
        <w:ind w:right="0"/>
        <w:jc w:val="left"/>
        <w:rPr>
          <w:b w:val="0"/>
          <w:bCs w:val="0"/>
        </w:rPr>
      </w:pPr>
      <w:r>
        <w:rPr/>
        <w:t>（</w:t>
      </w:r>
      <w:r>
        <w:rPr>
          <w:rFonts w:ascii="Times New Roman" w:hAnsi="Times New Roman" w:cs="Times New Roman" w:eastAsia="Times New Roman" w:hint="default"/>
        </w:rPr>
        <w:t>2</w:t>
      </w:r>
      <w:r>
        <w:rPr/>
        <w:t>）发展面临机遇</w:t>
      </w:r>
      <w:r>
        <w:rPr>
          <w:b w:val="0"/>
          <w:bCs w:val="0"/>
        </w:rPr>
      </w:r>
    </w:p>
    <w:p>
      <w:pPr>
        <w:spacing w:line="240" w:lineRule="auto" w:before="13"/>
        <w:rPr>
          <w:rFonts w:ascii="宋体" w:hAnsi="宋体" w:cs="宋体" w:eastAsia="宋体" w:hint="default"/>
          <w:b/>
          <w:bCs/>
          <w:sz w:val="13"/>
          <w:szCs w:val="13"/>
        </w:rPr>
      </w:pPr>
    </w:p>
    <w:p>
      <w:pPr>
        <w:pStyle w:val="Heading5"/>
        <w:spacing w:line="300" w:lineRule="auto"/>
        <w:ind w:left="154" w:right="1118" w:firstLine="360"/>
        <w:jc w:val="left"/>
        <w:rPr>
          <w:b w:val="0"/>
          <w:bCs w:val="0"/>
        </w:rPr>
      </w:pPr>
      <w:r>
        <w:rPr>
          <w:rFonts w:ascii="Times New Roman" w:hAnsi="Times New Roman" w:cs="Times New Roman" w:eastAsia="Times New Roman" w:hint="default"/>
          <w:w w:val="95"/>
        </w:rPr>
        <w:t>1</w:t>
      </w:r>
      <w:r>
        <w:rPr>
          <w:w w:val="95"/>
        </w:rPr>
        <w:t>）公司已进入智能手机、平板电脑、智能音响等智能型及可穿戴设备的包材供应链，将分享其巨大市场空间和持续增</w:t>
      </w:r>
      <w:r>
        <w:rPr>
          <w:spacing w:val="-16"/>
          <w:w w:val="95"/>
        </w:rPr>
        <w:t> </w:t>
      </w:r>
      <w:r>
        <w:rPr>
          <w:spacing w:val="-16"/>
          <w:w w:val="95"/>
        </w:rPr>
      </w:r>
      <w:r>
        <w:rPr/>
        <w:t>长的盛宴。</w:t>
      </w:r>
      <w:r>
        <w:rPr>
          <w:b w:val="0"/>
          <w:bCs w:val="0"/>
        </w:rPr>
      </w:r>
    </w:p>
    <w:p>
      <w:pPr>
        <w:pStyle w:val="BodyText"/>
        <w:spacing w:line="316" w:lineRule="auto" w:before="152"/>
        <w:ind w:left="154" w:right="0" w:firstLine="360"/>
        <w:jc w:val="left"/>
      </w:pPr>
      <w:r>
        <w:rPr>
          <w:spacing w:val="-4"/>
        </w:rPr>
        <w:t>近年来，随着互联网、移动互联网和电子商务的快速发展，消费者在享受着互联网和智能终端给工作和生活带来的便利，</w:t>
      </w:r>
      <w:r>
        <w:rPr/>
        <w:t> </w:t>
      </w:r>
      <w:r>
        <w:rPr>
          <w:spacing w:val="-2"/>
        </w:rPr>
        <w:t>因此，全球范围内的智能手机、平板电脑、可穿戴设备等智能型设备市场需求的旺盛已成必然，消费趋势不可阻挡。市场普</w:t>
      </w:r>
      <w:r>
        <w:rPr>
          <w:spacing w:val="-65"/>
        </w:rPr>
        <w:t> </w:t>
      </w:r>
      <w:r>
        <w:rPr>
          <w:spacing w:val="-65"/>
        </w:rPr>
      </w:r>
      <w:r>
        <w:rPr>
          <w:spacing w:val="-2"/>
        </w:rPr>
        <w:t>遍认为，随着新产品的不断推出以及智能终端的进一步普及，全球智能型设备将继续呈现快速增长。而品牌智能型设备在中</w:t>
      </w:r>
      <w:r>
        <w:rPr>
          <w:spacing w:val="-66"/>
        </w:rPr>
        <w:t> </w:t>
      </w:r>
      <w:r>
        <w:rPr>
          <w:spacing w:val="-66"/>
        </w:rPr>
      </w:r>
      <w:r>
        <w:rPr>
          <w:spacing w:val="-2"/>
        </w:rPr>
        <w:t>国境内代工生产居多，将带来旺盛的高端包装需求。公司作为国内包装行业的领先企业，尤其是具备已进入智能型设备的包</w:t>
      </w:r>
      <w:r>
        <w:rPr>
          <w:spacing w:val="-66"/>
        </w:rPr>
        <w:t> </w:t>
      </w:r>
      <w:r>
        <w:rPr>
          <w:spacing w:val="-66"/>
        </w:rPr>
      </w:r>
      <w:r>
        <w:rPr/>
        <w:t>材供应链、为相关客户提供服务的先发优势，将充分受益并获得新一轮发展的战略性机遇。</w:t>
      </w:r>
    </w:p>
    <w:p>
      <w:pPr>
        <w:pStyle w:val="Heading5"/>
        <w:spacing w:line="240" w:lineRule="auto" w:before="139"/>
        <w:ind w:left="513" w:right="0"/>
        <w:jc w:val="left"/>
        <w:rPr>
          <w:b w:val="0"/>
          <w:bCs w:val="0"/>
        </w:rPr>
      </w:pPr>
      <w:r>
        <w:rPr>
          <w:rFonts w:ascii="Times New Roman" w:hAnsi="Times New Roman" w:cs="Times New Roman" w:eastAsia="Times New Roman" w:hint="default"/>
        </w:rPr>
        <w:t>2</w:t>
      </w:r>
      <w:r>
        <w:rPr/>
        <w:t>）互联网和现代制造业的结合带来的发展机遇。</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left="154" w:right="0" w:firstLine="360"/>
        <w:jc w:val="left"/>
        <w:rPr>
          <w:rFonts w:ascii="Times New Roman" w:hAnsi="Times New Roman" w:cs="Times New Roman" w:eastAsia="Times New Roman" w:hint="default"/>
        </w:rPr>
      </w:pPr>
      <w:r>
        <w:rPr>
          <w:w w:val="95"/>
        </w:rPr>
        <w:t>李克强总理在政府工作报告中提出，</w:t>
      </w:r>
      <w:r>
        <w:rPr>
          <w:rFonts w:ascii="Times New Roman" w:hAnsi="Times New Roman" w:cs="Times New Roman" w:eastAsia="Times New Roman" w:hint="default"/>
          <w:w w:val="95"/>
        </w:rPr>
        <w:t>“</w:t>
      </w:r>
      <w:r>
        <w:rPr>
          <w:w w:val="95"/>
        </w:rPr>
        <w:t>制定</w:t>
      </w:r>
      <w:r>
        <w:rPr>
          <w:rFonts w:ascii="Times New Roman" w:hAnsi="Times New Roman" w:cs="Times New Roman" w:eastAsia="Times New Roman" w:hint="default"/>
          <w:w w:val="95"/>
        </w:rPr>
        <w:t>„</w:t>
      </w:r>
      <w:r>
        <w:rPr>
          <w:w w:val="95"/>
        </w:rPr>
        <w:t>互联网</w:t>
      </w:r>
      <w:r>
        <w:rPr>
          <w:rFonts w:ascii="Times New Roman" w:hAnsi="Times New Roman" w:cs="Times New Roman" w:eastAsia="Times New Roman" w:hint="default"/>
          <w:w w:val="95"/>
        </w:rPr>
        <w:t>+‟</w:t>
      </w:r>
      <w:r>
        <w:rPr>
          <w:w w:val="95"/>
        </w:rPr>
        <w:t>行动计划，推动移动互联网、云计算、大数据、物联网等与现代制</w:t>
      </w:r>
      <w:r>
        <w:rPr>
          <w:spacing w:val="-44"/>
          <w:w w:val="95"/>
        </w:rPr>
        <w:t> </w:t>
      </w:r>
      <w:r>
        <w:rPr>
          <w:spacing w:val="-44"/>
          <w:w w:val="95"/>
        </w:rPr>
      </w:r>
      <w:r>
        <w:rPr/>
        <w:t>造业结合，促进电子商务、工业互联网和互联网金融健康发展，引导互联网企业拓展国际市场。</w:t>
      </w:r>
      <w:r>
        <w:rPr>
          <w:rFonts w:ascii="Times New Roman" w:hAnsi="Times New Roman" w:cs="Times New Roman" w:eastAsia="Times New Roman" w:hint="default"/>
        </w:rPr>
        <w:t>”</w:t>
      </w:r>
    </w:p>
    <w:p>
      <w:pPr>
        <w:pStyle w:val="BodyText"/>
        <w:spacing w:line="314" w:lineRule="auto" w:before="133"/>
        <w:ind w:right="1131" w:firstLine="290"/>
        <w:jc w:val="both"/>
      </w:pPr>
      <w:r>
        <w:rPr>
          <w:spacing w:val="-1"/>
        </w:rPr>
        <w:t>包装印刷产业的互联网化、定制化在政策推动下，将加速发展。近年来随着互联网行业的飞速发展，以及市场对电子商</w:t>
      </w:r>
      <w:r>
        <w:rPr/>
        <w:t> </w:t>
      </w:r>
      <w:r>
        <w:rPr>
          <w:spacing w:val="-2"/>
        </w:rPr>
        <w:t>务的高度认可，广大消费者不断享受着电子商务、</w:t>
      </w:r>
      <w:r>
        <w:rPr>
          <w:rFonts w:ascii="Times New Roman" w:hAnsi="Times New Roman" w:cs="Times New Roman" w:eastAsia="Times New Roman" w:hint="default"/>
          <w:spacing w:val="-2"/>
        </w:rPr>
        <w:t>O2O</w:t>
      </w:r>
      <w:r>
        <w:rPr>
          <w:spacing w:val="-2"/>
        </w:rPr>
        <w:t>给生活带来的实实在在的便利和实惠，传统印刷包装行业与互联网结</w:t>
      </w:r>
      <w:r>
        <w:rPr>
          <w:spacing w:val="-52"/>
        </w:rPr>
        <w:t> </w:t>
      </w:r>
      <w:r>
        <w:rPr>
          <w:spacing w:val="-52"/>
        </w:rPr>
      </w:r>
      <w:r>
        <w:rPr>
          <w:spacing w:val="-2"/>
        </w:rPr>
        <w:t>合也越来越多地被市场认同，大量的定制化、中高端包装及印刷需求不断涌现，将为业内企业带来战略性发展机遇。市场需</w:t>
      </w:r>
      <w:r>
        <w:rPr>
          <w:spacing w:val="-66"/>
        </w:rPr>
        <w:t> </w:t>
      </w:r>
      <w:r>
        <w:rPr>
          <w:spacing w:val="-66"/>
        </w:rPr>
      </w:r>
      <w:r>
        <w:rPr>
          <w:spacing w:val="-2"/>
        </w:rPr>
        <w:t>求的快速增加，将使得包装印刷行业的互联网化、定制化发展速度加快，对于包装印刷行业本身的升级也将起到极大的推动</w:t>
      </w:r>
      <w:r>
        <w:rPr>
          <w:spacing w:val="-66"/>
        </w:rPr>
        <w:t> </w:t>
      </w:r>
      <w:r>
        <w:rPr>
          <w:spacing w:val="-66"/>
        </w:rPr>
      </w:r>
      <w:r>
        <w:rPr/>
        <w:t>作用。</w:t>
      </w:r>
    </w:p>
    <w:p>
      <w:pPr>
        <w:pStyle w:val="Heading5"/>
        <w:spacing w:line="240" w:lineRule="auto" w:before="59"/>
        <w:ind w:left="513" w:right="0"/>
        <w:jc w:val="left"/>
        <w:rPr>
          <w:b w:val="0"/>
          <w:bCs w:val="0"/>
        </w:rPr>
      </w:pPr>
      <w:r>
        <w:rPr>
          <w:rFonts w:ascii="Times New Roman" w:hAnsi="Times New Roman" w:cs="Times New Roman" w:eastAsia="Times New Roman" w:hint="default"/>
        </w:rPr>
        <w:t>3</w:t>
      </w:r>
      <w:r>
        <w:rPr/>
        <w:t>）行业整合、集中度提升带来的发展机遇。</w:t>
      </w:r>
      <w:r>
        <w:rPr>
          <w:b w:val="0"/>
          <w:bCs w:val="0"/>
        </w:rPr>
      </w:r>
    </w:p>
    <w:p>
      <w:pPr>
        <w:spacing w:line="240" w:lineRule="auto" w:before="13"/>
        <w:rPr>
          <w:rFonts w:ascii="宋体" w:hAnsi="宋体" w:cs="宋体" w:eastAsia="宋体" w:hint="default"/>
          <w:b/>
          <w:bCs/>
          <w:sz w:val="13"/>
          <w:szCs w:val="13"/>
        </w:rPr>
      </w:pPr>
    </w:p>
    <w:p>
      <w:pPr>
        <w:pStyle w:val="BodyText"/>
        <w:spacing w:line="319" w:lineRule="auto"/>
        <w:ind w:right="1133" w:firstLine="360"/>
        <w:jc w:val="both"/>
      </w:pPr>
      <w:r>
        <w:rPr>
          <w:spacing w:val="-2"/>
        </w:rPr>
        <w:t>目前，随着下游产业品牌化、集中化的加速，上游包装印刷企业之间的行业整合、集中度提升已开始加速。公司作为行</w:t>
      </w:r>
      <w:r>
        <w:rPr/>
        <w:t> </w:t>
      </w:r>
      <w:r>
        <w:rPr>
          <w:spacing w:val="-2"/>
        </w:rPr>
        <w:t>业内的少数上市企业之一，自身在研发设计、工艺技术、制造平台、客户资源等方面已形成突出的竞争优势，借助资本市场</w:t>
      </w:r>
      <w:r>
        <w:rPr>
          <w:spacing w:val="-66"/>
        </w:rPr>
        <w:t> </w:t>
      </w:r>
      <w:r>
        <w:rPr>
          <w:spacing w:val="-66"/>
        </w:rPr>
      </w:r>
      <w:r>
        <w:rPr/>
        <w:t>平台，将在并购整合过程中占得先机，整合优质资源的能力更强，有利于公司快速做大做强。</w:t>
      </w:r>
    </w:p>
    <w:p>
      <w:pPr>
        <w:pStyle w:val="Heading5"/>
        <w:spacing w:line="240" w:lineRule="auto" w:before="137"/>
        <w:ind w:right="0"/>
        <w:jc w:val="left"/>
        <w:rPr>
          <w:b w:val="0"/>
          <w:bCs w:val="0"/>
        </w:rPr>
      </w:pPr>
      <w:r>
        <w:rPr/>
        <w:t>（</w:t>
      </w:r>
      <w:r>
        <w:rPr>
          <w:rFonts w:ascii="Times New Roman" w:hAnsi="Times New Roman" w:cs="Times New Roman" w:eastAsia="Times New Roman" w:hint="default"/>
        </w:rPr>
        <w:t>3</w:t>
      </w:r>
      <w:r>
        <w:rPr/>
        <w:t>）发展面临挑战</w:t>
      </w:r>
      <w:r>
        <w:rPr>
          <w:b w:val="0"/>
          <w:bCs w:val="0"/>
        </w:rPr>
      </w:r>
    </w:p>
    <w:p>
      <w:pPr>
        <w:spacing w:line="240" w:lineRule="auto" w:before="13"/>
        <w:rPr>
          <w:rFonts w:ascii="宋体" w:hAnsi="宋体" w:cs="宋体" w:eastAsia="宋体" w:hint="default"/>
          <w:b/>
          <w:bCs/>
          <w:sz w:val="13"/>
          <w:szCs w:val="13"/>
        </w:rPr>
      </w:pPr>
    </w:p>
    <w:p>
      <w:pPr>
        <w:pStyle w:val="Heading5"/>
        <w:spacing w:line="240" w:lineRule="auto"/>
        <w:ind w:left="514" w:right="0"/>
        <w:jc w:val="left"/>
        <w:rPr>
          <w:b w:val="0"/>
          <w:bCs w:val="0"/>
        </w:rPr>
      </w:pPr>
      <w:r>
        <w:rPr>
          <w:rFonts w:ascii="Times New Roman" w:hAnsi="Times New Roman" w:cs="Times New Roman" w:eastAsia="Times New Roman" w:hint="default"/>
        </w:rPr>
        <w:t>1</w:t>
      </w:r>
      <w:r>
        <w:rPr/>
        <w:t>）</w:t>
      </w:r>
      <w:r>
        <w:rPr>
          <w:spacing w:val="-17"/>
        </w:rPr>
        <w:t> </w:t>
      </w:r>
      <w:r>
        <w:rPr/>
        <w:t>行业竞争日趋激烈带来的挑战。</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16" w:lineRule="auto" w:before="44"/>
        <w:ind w:right="1043" w:firstLine="360"/>
        <w:jc w:val="both"/>
      </w:pPr>
      <w:r>
        <w:rPr>
          <w:spacing w:val="-4"/>
        </w:rPr>
        <w:t>环保包装行业市场空间巨大，行业前景广阔。随着行业内众多具有一定竞争优势的企业的发展壮大，行业竞争日趋激烈，</w:t>
      </w:r>
      <w:r>
        <w:rPr/>
        <w:t> 部分业内企业甚至采取打</w:t>
      </w:r>
      <w:r>
        <w:rPr>
          <w:rFonts w:ascii="Times New Roman" w:hAnsi="Times New Roman" w:cs="Times New Roman" w:eastAsia="Times New Roman" w:hint="default"/>
        </w:rPr>
        <w:t>“</w:t>
      </w:r>
      <w:r>
        <w:rPr/>
        <w:t>价格战</w:t>
      </w:r>
      <w:r>
        <w:rPr>
          <w:rFonts w:ascii="Times New Roman" w:hAnsi="Times New Roman" w:cs="Times New Roman" w:eastAsia="Times New Roman" w:hint="default"/>
        </w:rPr>
        <w:t>”</w:t>
      </w:r>
      <w:r>
        <w:rPr/>
        <w:t>的低层次的竞争模式，给业内领先企业带来一定的竞争压力。</w:t>
      </w:r>
    </w:p>
    <w:p>
      <w:pPr>
        <w:pStyle w:val="Heading5"/>
        <w:spacing w:line="240" w:lineRule="auto" w:before="119"/>
        <w:ind w:left="513" w:right="0"/>
        <w:jc w:val="left"/>
        <w:rPr>
          <w:b w:val="0"/>
          <w:bCs w:val="0"/>
        </w:rPr>
      </w:pPr>
      <w:r>
        <w:rPr>
          <w:rFonts w:ascii="Times New Roman" w:hAnsi="Times New Roman" w:cs="Times New Roman" w:eastAsia="Times New Roman" w:hint="default"/>
        </w:rPr>
        <w:t>2</w:t>
      </w:r>
      <w:r>
        <w:rPr/>
        <w:t>）新建项目产能利用率持续攀升过程中可能存在的挑战。</w:t>
      </w:r>
      <w:r>
        <w:rPr>
          <w:b w:val="0"/>
          <w:bCs w:val="0"/>
        </w:rPr>
      </w:r>
    </w:p>
    <w:p>
      <w:pPr>
        <w:spacing w:line="240" w:lineRule="auto" w:before="0"/>
        <w:rPr>
          <w:rFonts w:ascii="宋体" w:hAnsi="宋体" w:cs="宋体" w:eastAsia="宋体" w:hint="default"/>
          <w:b/>
          <w:bCs/>
          <w:sz w:val="14"/>
          <w:szCs w:val="14"/>
        </w:rPr>
      </w:pPr>
    </w:p>
    <w:p>
      <w:pPr>
        <w:pStyle w:val="BodyText"/>
        <w:spacing w:line="316" w:lineRule="auto"/>
        <w:ind w:right="1131" w:firstLine="360"/>
        <w:jc w:val="both"/>
      </w:pPr>
      <w:r>
        <w:rPr>
          <w:spacing w:val="-2"/>
        </w:rPr>
        <w:t>随着不断为众多新客户提供服务，公司东莞、苏州及重庆三个高端制造平台产能利用率持续攀升，业绩实现增长。根据</w:t>
      </w:r>
      <w:r>
        <w:rPr/>
        <w:t> </w:t>
      </w:r>
      <w:r>
        <w:rPr>
          <w:spacing w:val="-2"/>
        </w:rPr>
        <w:t>公司新项目已合作客户及已达成合作意向的客户包材需求、合作进度等情况，公司有信心实现产能利用率的快速上升，但受</w:t>
      </w:r>
      <w:r>
        <w:rPr>
          <w:spacing w:val="-66"/>
        </w:rPr>
        <w:t> </w:t>
      </w:r>
      <w:r>
        <w:rPr>
          <w:spacing w:val="-66"/>
        </w:rPr>
      </w:r>
      <w:r>
        <w:rPr/>
        <w:t>宏观经济运行情况、下游客户所在产业景气程度及客户自身情况等因素影响，公司业绩提升可能受到影响。</w:t>
      </w:r>
    </w:p>
    <w:p>
      <w:pPr>
        <w:pStyle w:val="BodyText"/>
        <w:spacing w:line="432" w:lineRule="exact" w:before="3"/>
        <w:ind w:left="513" w:right="0"/>
        <w:jc w:val="left"/>
      </w:pPr>
      <w:r>
        <w:rPr>
          <w:rFonts w:ascii="Times New Roman" w:hAnsi="Times New Roman" w:cs="Times New Roman" w:eastAsia="Times New Roman" w:hint="default"/>
          <w:b/>
          <w:bCs/>
        </w:rPr>
        <w:t>3</w:t>
      </w:r>
      <w:r>
        <w:rPr>
          <w:rFonts w:ascii="宋体" w:hAnsi="宋体" w:cs="宋体" w:eastAsia="宋体" w:hint="default"/>
          <w:b/>
          <w:bCs/>
        </w:rPr>
        <w:t>）人才引进方面的挑战。</w:t>
      </w:r>
      <w:r>
        <w:rPr>
          <w:rFonts w:ascii="宋体" w:hAnsi="宋体" w:cs="宋体" w:eastAsia="宋体" w:hint="default"/>
          <w:b/>
          <w:bCs/>
          <w:w w:val="99"/>
        </w:rPr>
        <w:t> </w:t>
      </w:r>
      <w:r>
        <w:rPr>
          <w:spacing w:val="-2"/>
        </w:rPr>
        <w:t>公司正处于快速发展期，对于较多的中高级管理人员，关键岗位人员的引进、培训管理以及生产供应链的管理提出了更</w:t>
      </w:r>
    </w:p>
    <w:p>
      <w:pPr>
        <w:pStyle w:val="BodyText"/>
        <w:spacing w:line="316" w:lineRule="auto" w:before="15"/>
        <w:ind w:right="0"/>
        <w:jc w:val="left"/>
      </w:pPr>
      <w:r>
        <w:rPr>
          <w:spacing w:val="-2"/>
        </w:rPr>
        <w:t>高的要求。能否及时引进适合公司发展、理解并契合公司商业模式的人才并通过更先进更完善的管理机制、激励机制来满足</w:t>
      </w:r>
      <w:r>
        <w:rPr>
          <w:spacing w:val="-66"/>
        </w:rPr>
        <w:t> </w:t>
      </w:r>
      <w:r>
        <w:rPr>
          <w:spacing w:val="-66"/>
        </w:rPr>
      </w:r>
      <w:r>
        <w:rPr/>
        <w:t>快速发展的需求存在一定的挑战。</w:t>
      </w:r>
    </w:p>
    <w:p>
      <w:pPr>
        <w:pStyle w:val="Heading5"/>
        <w:spacing w:line="240" w:lineRule="auto" w:before="139"/>
        <w:ind w:right="0"/>
        <w:jc w:val="left"/>
        <w:rPr>
          <w:b w:val="0"/>
          <w:bCs w:val="0"/>
        </w:rPr>
      </w:pPr>
      <w:r>
        <w:rPr>
          <w:rFonts w:ascii="Times New Roman" w:hAnsi="Times New Roman" w:cs="Times New Roman" w:eastAsia="Times New Roman" w:hint="default"/>
        </w:rPr>
        <w:t>3</w:t>
      </w:r>
      <w:r>
        <w:rPr/>
        <w:t>、其他可能存在的风险和应对措施分析</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pStyle w:val="BodyText"/>
        <w:spacing w:line="240" w:lineRule="auto" w:before="44"/>
        <w:ind w:left="0" w:right="1031"/>
        <w:jc w:val="right"/>
      </w:pPr>
      <w:r>
        <w:rPr/>
        <w:pict>
          <v:shape style="position:absolute;margin-left:56.34pt;margin-top:-42.548271pt;width:484.05pt;height:160.8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44"/>
                    <w:gridCol w:w="4962"/>
                    <w:gridCol w:w="3552"/>
                  </w:tblGrid>
                  <w:tr>
                    <w:trPr>
                      <w:trHeight w:val="506" w:hRule="exact"/>
                    </w:trPr>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可能的风险</w:t>
                        </w:r>
                      </w:p>
                    </w:tc>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应对措施</w:t>
                        </w:r>
                      </w:p>
                    </w:tc>
                  </w:tr>
                  <w:tr>
                    <w:trPr>
                      <w:trHeight w:val="820" w:hRule="exact"/>
                    </w:trPr>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市场风险</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5" w:firstLine="360"/>
                          <w:jc w:val="left"/>
                          <w:rPr>
                            <w:rFonts w:ascii="宋体" w:hAnsi="宋体" w:cs="宋体" w:eastAsia="宋体" w:hint="default"/>
                            <w:sz w:val="18"/>
                            <w:szCs w:val="18"/>
                          </w:rPr>
                        </w:pPr>
                        <w:r>
                          <w:rPr>
                            <w:rFonts w:ascii="宋体" w:hAnsi="宋体" w:cs="宋体" w:eastAsia="宋体" w:hint="default"/>
                            <w:spacing w:val="2"/>
                            <w:sz w:val="18"/>
                            <w:szCs w:val="18"/>
                          </w:rPr>
                          <w:t>中国经济增速下滑，包装一些下游产业受到影响，如市场</w:t>
                        </w:r>
                        <w:r>
                          <w:rPr>
                            <w:rFonts w:ascii="宋体" w:hAnsi="宋体" w:cs="宋体" w:eastAsia="宋体" w:hint="default"/>
                            <w:sz w:val="18"/>
                            <w:szCs w:val="18"/>
                          </w:rPr>
                          <w:t> 信心和需求不能回升，容易传导至包装产业。</w:t>
                        </w:r>
                      </w:p>
                    </w:tc>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2" w:firstLine="360"/>
                          <w:jc w:val="left"/>
                          <w:rPr>
                            <w:rFonts w:ascii="宋体" w:hAnsi="宋体" w:cs="宋体" w:eastAsia="宋体" w:hint="default"/>
                            <w:sz w:val="18"/>
                            <w:szCs w:val="18"/>
                          </w:rPr>
                        </w:pPr>
                        <w:r>
                          <w:rPr>
                            <w:rFonts w:ascii="宋体" w:hAnsi="宋体" w:cs="宋体" w:eastAsia="宋体" w:hint="default"/>
                            <w:spacing w:val="6"/>
                            <w:sz w:val="18"/>
                            <w:szCs w:val="18"/>
                          </w:rPr>
                          <w:t>深化研发和一体化服务，提升核心竞争</w:t>
                        </w:r>
                        <w:r>
                          <w:rPr>
                            <w:rFonts w:ascii="宋体" w:hAnsi="宋体" w:cs="宋体" w:eastAsia="宋体" w:hint="default"/>
                            <w:sz w:val="18"/>
                            <w:szCs w:val="18"/>
                          </w:rPr>
                          <w:t> </w:t>
                        </w:r>
                        <w:r>
                          <w:rPr>
                            <w:rFonts w:ascii="宋体" w:hAnsi="宋体" w:cs="宋体" w:eastAsia="宋体" w:hint="default"/>
                            <w:spacing w:val="-8"/>
                            <w:sz w:val="18"/>
                            <w:szCs w:val="18"/>
                          </w:rPr>
                          <w:t>力，大力开发高端包装市场，增强抗风险能力</w:t>
                        </w:r>
                      </w:p>
                    </w:tc>
                  </w:tr>
                  <w:tr>
                    <w:trPr>
                      <w:trHeight w:val="1876" w:hRule="exact"/>
                    </w:trPr>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经营风险</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 w:firstLine="360"/>
                          <w:jc w:val="both"/>
                          <w:rPr>
                            <w:rFonts w:ascii="宋体" w:hAnsi="宋体" w:cs="宋体" w:eastAsia="宋体" w:hint="default"/>
                            <w:sz w:val="18"/>
                            <w:szCs w:val="18"/>
                          </w:rPr>
                        </w:pPr>
                        <w:r>
                          <w:rPr>
                            <w:rFonts w:ascii="宋体" w:hAnsi="宋体" w:cs="宋体" w:eastAsia="宋体" w:hint="default"/>
                            <w:spacing w:val="2"/>
                            <w:sz w:val="18"/>
                            <w:szCs w:val="18"/>
                          </w:rPr>
                          <w:t>存量客户下滑的结束，新订单快速增加、项目产能利用率</w:t>
                        </w:r>
                        <w:r>
                          <w:rPr>
                            <w:rFonts w:ascii="宋体" w:hAnsi="宋体" w:cs="宋体" w:eastAsia="宋体" w:hint="default"/>
                            <w:sz w:val="18"/>
                            <w:szCs w:val="18"/>
                          </w:rPr>
                          <w:t> </w:t>
                        </w:r>
                        <w:r>
                          <w:rPr>
                            <w:rFonts w:ascii="宋体" w:hAnsi="宋体" w:cs="宋体" w:eastAsia="宋体" w:hint="default"/>
                            <w:spacing w:val="2"/>
                            <w:sz w:val="18"/>
                            <w:szCs w:val="18"/>
                          </w:rPr>
                          <w:t>提升使得固定成本率下降以及综合费用率的有效控制，均是促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进公司经营业绩实现反转的积极因素。</w:t>
                        </w:r>
                      </w:p>
                      <w:p>
                        <w:pPr>
                          <w:pStyle w:val="TableParagraph"/>
                          <w:spacing w:line="319" w:lineRule="auto" w:before="139"/>
                          <w:ind w:left="3" w:right="5" w:firstLine="360"/>
                          <w:jc w:val="both"/>
                          <w:rPr>
                            <w:rFonts w:ascii="宋体" w:hAnsi="宋体" w:cs="宋体" w:eastAsia="宋体" w:hint="default"/>
                            <w:sz w:val="18"/>
                            <w:szCs w:val="18"/>
                          </w:rPr>
                        </w:pPr>
                        <w:r>
                          <w:rPr>
                            <w:rFonts w:ascii="宋体" w:hAnsi="宋体" w:cs="宋体" w:eastAsia="宋体" w:hint="default"/>
                            <w:spacing w:val="2"/>
                            <w:sz w:val="18"/>
                            <w:szCs w:val="18"/>
                          </w:rPr>
                          <w:t>但是，公司如何有效防止客户提供的订单增长低于预期以</w:t>
                        </w:r>
                        <w:r>
                          <w:rPr>
                            <w:rFonts w:ascii="宋体" w:hAnsi="宋体" w:cs="宋体" w:eastAsia="宋体" w:hint="default"/>
                            <w:sz w:val="18"/>
                            <w:szCs w:val="18"/>
                          </w:rPr>
                          <w:t> 及费用发生反弹的情况存在一定风险。</w:t>
                        </w:r>
                      </w:p>
                    </w:tc>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1" w:firstLine="360"/>
                          <w:jc w:val="both"/>
                          <w:rPr>
                            <w:rFonts w:ascii="宋体" w:hAnsi="宋体" w:cs="宋体" w:eastAsia="宋体" w:hint="default"/>
                            <w:sz w:val="18"/>
                            <w:szCs w:val="18"/>
                          </w:rPr>
                        </w:pPr>
                        <w:r>
                          <w:rPr>
                            <w:rFonts w:ascii="宋体" w:hAnsi="宋体" w:cs="宋体" w:eastAsia="宋体" w:hint="default"/>
                            <w:spacing w:val="-4"/>
                            <w:sz w:val="18"/>
                            <w:szCs w:val="18"/>
                          </w:rPr>
                          <w:t>加大市场开拓力度，不断开发新客户，同</w:t>
                        </w:r>
                        <w:r>
                          <w:rPr>
                            <w:rFonts w:ascii="宋体" w:hAnsi="宋体" w:cs="宋体" w:eastAsia="宋体" w:hint="default"/>
                            <w:sz w:val="18"/>
                            <w:szCs w:val="18"/>
                          </w:rPr>
                          <w:t> </w:t>
                        </w:r>
                        <w:r>
                          <w:rPr>
                            <w:rFonts w:ascii="宋体" w:hAnsi="宋体" w:cs="宋体" w:eastAsia="宋体" w:hint="default"/>
                            <w:spacing w:val="5"/>
                            <w:sz w:val="18"/>
                            <w:szCs w:val="18"/>
                          </w:rPr>
                          <w:t>时强化与现有客户的深度合作，增强合作粘</w:t>
                        </w:r>
                        <w:r>
                          <w:rPr>
                            <w:rFonts w:ascii="宋体" w:hAnsi="宋体" w:cs="宋体" w:eastAsia="宋体" w:hint="default"/>
                            <w:sz w:val="18"/>
                            <w:szCs w:val="18"/>
                          </w:rPr>
                          <w:t> 性。</w:t>
                        </w:r>
                      </w:p>
                      <w:p>
                        <w:pPr>
                          <w:pStyle w:val="TableParagraph"/>
                          <w:spacing w:line="319" w:lineRule="auto" w:before="139"/>
                          <w:ind w:left="3" w:right="1" w:firstLine="360"/>
                          <w:jc w:val="both"/>
                          <w:rPr>
                            <w:rFonts w:ascii="宋体" w:hAnsi="宋体" w:cs="宋体" w:eastAsia="宋体" w:hint="default"/>
                            <w:sz w:val="18"/>
                            <w:szCs w:val="18"/>
                          </w:rPr>
                        </w:pPr>
                        <w:r>
                          <w:rPr>
                            <w:rFonts w:ascii="宋体" w:hAnsi="宋体" w:cs="宋体" w:eastAsia="宋体" w:hint="default"/>
                            <w:spacing w:val="-4"/>
                            <w:sz w:val="18"/>
                            <w:szCs w:val="18"/>
                          </w:rPr>
                          <w:t>持续开展流程优化、精细管理工作，合理</w:t>
                        </w:r>
                        <w:r>
                          <w:rPr>
                            <w:rFonts w:ascii="宋体" w:hAnsi="宋体" w:cs="宋体" w:eastAsia="宋体" w:hint="default"/>
                            <w:sz w:val="18"/>
                            <w:szCs w:val="18"/>
                          </w:rPr>
                          <w:t> 管控成本。</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5"/>
        <w:spacing w:line="240" w:lineRule="auto" w:before="44"/>
        <w:ind w:right="0"/>
        <w:jc w:val="left"/>
        <w:rPr>
          <w:b w:val="0"/>
          <w:bCs w:val="0"/>
        </w:rPr>
      </w:pPr>
      <w:r>
        <w:rPr>
          <w:rFonts w:ascii="Times New Roman" w:hAnsi="Times New Roman" w:cs="Times New Roman" w:eastAsia="Times New Roman" w:hint="default"/>
        </w:rPr>
        <w:t>4</w:t>
      </w:r>
      <w:r>
        <w:rPr/>
        <w:t>、公司</w:t>
      </w:r>
      <w:r>
        <w:rPr>
          <w:rFonts w:ascii="Times New Roman" w:hAnsi="Times New Roman" w:cs="Times New Roman" w:eastAsia="Times New Roman" w:hint="default"/>
        </w:rPr>
        <w:t>2015</w:t>
      </w:r>
      <w:r>
        <w:rPr/>
        <w:t>年度经营计划</w:t>
      </w:r>
      <w:r>
        <w:rPr>
          <w:b w:val="0"/>
          <w:bCs w:val="0"/>
        </w:rPr>
      </w:r>
    </w:p>
    <w:p>
      <w:pPr>
        <w:spacing w:line="240" w:lineRule="auto" w:before="13"/>
        <w:rPr>
          <w:rFonts w:ascii="宋体" w:hAnsi="宋体" w:cs="宋体" w:eastAsia="宋体" w:hint="default"/>
          <w:b/>
          <w:bCs/>
          <w:sz w:val="13"/>
          <w:szCs w:val="13"/>
        </w:rPr>
      </w:pPr>
    </w:p>
    <w:p>
      <w:pPr>
        <w:pStyle w:val="BodyText"/>
        <w:spacing w:line="309" w:lineRule="auto"/>
        <w:ind w:right="1131" w:firstLine="360"/>
        <w:jc w:val="both"/>
      </w:pPr>
      <w:r>
        <w:rPr>
          <w:rFonts w:ascii="Times New Roman" w:hAnsi="Times New Roman" w:cs="Times New Roman" w:eastAsia="Times New Roman" w:hint="default"/>
          <w:spacing w:val="-2"/>
        </w:rPr>
        <w:t>2015</w:t>
      </w:r>
      <w:r>
        <w:rPr>
          <w:spacing w:val="-2"/>
        </w:rPr>
        <w:t>年，公司将在发展战略的指引下，坚持既定的</w:t>
      </w:r>
      <w:r>
        <w:rPr>
          <w:rFonts w:ascii="Times New Roman" w:hAnsi="Times New Roman" w:cs="Times New Roman" w:eastAsia="Times New Roman" w:hint="default"/>
          <w:spacing w:val="-2"/>
        </w:rPr>
        <w:t>“</w:t>
      </w:r>
      <w:r>
        <w:rPr>
          <w:spacing w:val="-2"/>
        </w:rPr>
        <w:t>高端客户、高端产品</w:t>
      </w:r>
      <w:r>
        <w:rPr>
          <w:rFonts w:ascii="Times New Roman" w:hAnsi="Times New Roman" w:cs="Times New Roman" w:eastAsia="Times New Roman" w:hint="default"/>
          <w:spacing w:val="-2"/>
        </w:rPr>
        <w:t>”</w:t>
      </w:r>
      <w:r>
        <w:rPr>
          <w:spacing w:val="-2"/>
        </w:rPr>
        <w:t>以及核心竞争力构建策略，进一步推动业务模</w:t>
      </w:r>
      <w:r>
        <w:rPr/>
        <w:t> </w:t>
      </w:r>
      <w:r>
        <w:rPr>
          <w:spacing w:val="-2"/>
        </w:rPr>
        <w:t>式创新和具体实施，积极把握包装印刷产业与互联网、移动互联网结合带来的发展机遇，力争实现销售收入和净利润较大幅</w:t>
      </w:r>
      <w:r>
        <w:rPr>
          <w:spacing w:val="-65"/>
        </w:rPr>
        <w:t> </w:t>
      </w:r>
      <w:r>
        <w:rPr>
          <w:spacing w:val="-65"/>
        </w:rPr>
      </w:r>
      <w:r>
        <w:rPr/>
        <w:t>度增长。</w:t>
      </w:r>
    </w:p>
    <w:p>
      <w:pPr>
        <w:pStyle w:val="BodyText"/>
        <w:spacing w:line="240" w:lineRule="auto" w:before="144"/>
        <w:ind w:left="513" w:right="0"/>
        <w:jc w:val="left"/>
      </w:pPr>
      <w:r>
        <w:rPr/>
        <w:t>为达到以上目标，公司将着力做好以下几项工作：</w:t>
      </w:r>
    </w:p>
    <w:p>
      <w:pPr>
        <w:spacing w:line="240" w:lineRule="auto" w:before="0"/>
        <w:rPr>
          <w:rFonts w:ascii="宋体" w:hAnsi="宋体" w:cs="宋体" w:eastAsia="宋体" w:hint="default"/>
          <w:sz w:val="15"/>
          <w:szCs w:val="15"/>
        </w:rPr>
      </w:pPr>
    </w:p>
    <w:p>
      <w:pPr>
        <w:pStyle w:val="Heading5"/>
        <w:spacing w:line="240" w:lineRule="auto"/>
        <w:ind w:left="513" w:right="0"/>
        <w:jc w:val="left"/>
        <w:rPr>
          <w:b w:val="0"/>
          <w:bCs w:val="0"/>
        </w:rPr>
      </w:pPr>
      <w:r>
        <w:rPr/>
        <w:t>（</w:t>
      </w:r>
      <w:r>
        <w:rPr>
          <w:rFonts w:ascii="Times New Roman" w:hAnsi="Times New Roman" w:cs="Times New Roman" w:eastAsia="Times New Roman" w:hint="default"/>
        </w:rPr>
        <w:t>1</w:t>
      </w:r>
      <w:r>
        <w:rPr/>
        <w:t>）深耕市场，继续大力拓展高附加值新客户</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left="154" w:right="1131" w:firstLine="360"/>
        <w:jc w:val="both"/>
      </w:pPr>
      <w:r>
        <w:rPr>
          <w:rFonts w:ascii="Times New Roman" w:hAnsi="Times New Roman" w:cs="Times New Roman" w:eastAsia="Times New Roman" w:hint="default"/>
          <w:spacing w:val="-2"/>
        </w:rPr>
        <w:t>2015</w:t>
      </w:r>
      <w:r>
        <w:rPr>
          <w:spacing w:val="-2"/>
        </w:rPr>
        <w:t>年，公司将继续实施</w:t>
      </w:r>
      <w:r>
        <w:rPr>
          <w:rFonts w:ascii="Times New Roman" w:hAnsi="Times New Roman" w:cs="Times New Roman" w:eastAsia="Times New Roman" w:hint="default"/>
          <w:spacing w:val="-2"/>
        </w:rPr>
        <w:t>“</w:t>
      </w:r>
      <w:r>
        <w:rPr>
          <w:spacing w:val="-2"/>
        </w:rPr>
        <w:t>高端客户、高端产品</w:t>
      </w:r>
      <w:r>
        <w:rPr>
          <w:rFonts w:ascii="Times New Roman" w:hAnsi="Times New Roman" w:cs="Times New Roman" w:eastAsia="Times New Roman" w:hint="default"/>
          <w:spacing w:val="-2"/>
        </w:rPr>
        <w:t>”</w:t>
      </w:r>
      <w:r>
        <w:rPr>
          <w:spacing w:val="-2"/>
        </w:rPr>
        <w:t>的市场策略，继续加大全球知名企业、细分领域领先企业以及拥有高附</w:t>
      </w:r>
      <w:r>
        <w:rPr/>
        <w:t> 加值产品的企业等新客户开发力度并力争取得显著的市场开发成绩，为未来业绩的持续增长奠定坚实的基础。</w:t>
      </w:r>
    </w:p>
    <w:p>
      <w:pPr>
        <w:pStyle w:val="Heading5"/>
        <w:spacing w:line="240" w:lineRule="auto" w:before="151"/>
        <w:ind w:left="513" w:right="0"/>
        <w:jc w:val="left"/>
        <w:rPr>
          <w:b w:val="0"/>
          <w:bCs w:val="0"/>
        </w:rPr>
      </w:pPr>
      <w:r>
        <w:rPr/>
        <w:t>（</w:t>
      </w:r>
      <w:r>
        <w:rPr>
          <w:rFonts w:ascii="Times New Roman" w:hAnsi="Times New Roman" w:cs="Times New Roman" w:eastAsia="Times New Roman" w:hint="default"/>
        </w:rPr>
        <w:t>2</w:t>
      </w:r>
      <w:r>
        <w:rPr/>
        <w:t>）积极推进创新客户服务模式业务的发展见效</w:t>
      </w:r>
      <w:r>
        <w:rPr>
          <w:b w:val="0"/>
          <w:bCs w:val="0"/>
        </w:rPr>
      </w:r>
    </w:p>
    <w:p>
      <w:pPr>
        <w:spacing w:line="240" w:lineRule="auto" w:before="13"/>
        <w:rPr>
          <w:rFonts w:ascii="宋体" w:hAnsi="宋体" w:cs="宋体" w:eastAsia="宋体" w:hint="default"/>
          <w:b/>
          <w:bCs/>
          <w:sz w:val="13"/>
          <w:szCs w:val="13"/>
        </w:rPr>
      </w:pPr>
    </w:p>
    <w:p>
      <w:pPr>
        <w:pStyle w:val="BodyText"/>
        <w:spacing w:line="309" w:lineRule="auto"/>
        <w:ind w:right="1131" w:firstLine="360"/>
        <w:jc w:val="both"/>
      </w:pPr>
      <w:r>
        <w:rPr>
          <w:rFonts w:ascii="Times New Roman" w:hAnsi="Times New Roman" w:cs="Times New Roman" w:eastAsia="Times New Roman" w:hint="default"/>
          <w:spacing w:val="-2"/>
        </w:rPr>
        <w:t>2014</w:t>
      </w:r>
      <w:r>
        <w:rPr>
          <w:spacing w:val="-2"/>
        </w:rPr>
        <w:t>年，公司进一步深化包装一体化服务模式，于业内率先提出通过与客户、供应商三方深度合作建立包材整装供应平</w:t>
      </w:r>
      <w:r>
        <w:rPr/>
        <w:t> </w:t>
      </w:r>
      <w:r>
        <w:rPr>
          <w:spacing w:val="-2"/>
        </w:rPr>
        <w:t>台的轻资产运作模式，通过创新性的服务模式，能够增强公司客户服务能力和客户合作黏性，提升公司综合竞争实力，进一</w:t>
      </w:r>
      <w:r>
        <w:rPr>
          <w:spacing w:val="-66"/>
        </w:rPr>
        <w:t> </w:t>
      </w:r>
      <w:r>
        <w:rPr>
          <w:spacing w:val="-66"/>
        </w:rPr>
      </w:r>
      <w:r>
        <w:rPr/>
        <w:t>步打开包装市场空间。</w:t>
      </w:r>
    </w:p>
    <w:p>
      <w:pPr>
        <w:pStyle w:val="BodyText"/>
        <w:spacing w:line="309" w:lineRule="auto" w:before="144"/>
        <w:ind w:right="1132" w:firstLine="360"/>
        <w:jc w:val="both"/>
      </w:pPr>
      <w:r>
        <w:rPr>
          <w:rFonts w:ascii="Times New Roman" w:hAnsi="Times New Roman" w:cs="Times New Roman" w:eastAsia="Times New Roman" w:hint="default"/>
          <w:spacing w:val="-2"/>
        </w:rPr>
        <w:t>2015</w:t>
      </w:r>
      <w:r>
        <w:rPr>
          <w:spacing w:val="-2"/>
        </w:rPr>
        <w:t>年，公司一方面将在包材整装服务模式运行中积累的经验基础上，持续优化，力争实现包材整装供应销售额度的进</w:t>
      </w:r>
      <w:r>
        <w:rPr/>
        <w:t> </w:t>
      </w:r>
      <w:r>
        <w:rPr>
          <w:spacing w:val="-2"/>
        </w:rPr>
        <w:t>一步提升；另一方面，公司将向其他客户推广包材整装供应服务模式，获得更广泛的市场认可，进行更多的市场培育，最终</w:t>
      </w:r>
      <w:r>
        <w:rPr>
          <w:spacing w:val="-66"/>
        </w:rPr>
        <w:t> </w:t>
      </w:r>
      <w:r>
        <w:rPr>
          <w:spacing w:val="-66"/>
        </w:rPr>
      </w:r>
      <w:r>
        <w:rPr/>
        <w:t>通过将包材整装供应服务模式向更大范围的客户推广来产生新的增长点。</w:t>
      </w:r>
    </w:p>
    <w:p>
      <w:pPr>
        <w:pStyle w:val="Heading5"/>
        <w:spacing w:line="240" w:lineRule="auto" w:before="144"/>
        <w:ind w:left="513" w:right="0"/>
        <w:jc w:val="left"/>
        <w:rPr>
          <w:b w:val="0"/>
          <w:bCs w:val="0"/>
        </w:rPr>
      </w:pPr>
      <w:r>
        <w:rPr/>
        <w:t>（</w:t>
      </w:r>
      <w:r>
        <w:rPr>
          <w:rFonts w:ascii="Times New Roman" w:hAnsi="Times New Roman" w:cs="Times New Roman" w:eastAsia="Times New Roman" w:hint="default"/>
        </w:rPr>
        <w:t>3</w:t>
      </w:r>
      <w:r>
        <w:rPr/>
        <w:t>）大力推进包装印刷产业互联网业务的实施</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14" w:right="0"/>
        <w:jc w:val="left"/>
      </w:pPr>
      <w:r>
        <w:rPr>
          <w:rFonts w:ascii="Times New Roman" w:hAnsi="Times New Roman" w:cs="Times New Roman" w:eastAsia="Times New Roman" w:hint="default"/>
        </w:rPr>
        <w:t>2015</w:t>
      </w:r>
      <w:r>
        <w:rPr/>
        <w:t>年，公司将通过搭建互联网平台和电子商务服务模式，充分发挥在品牌策划、创意设计、结构设计、一体化服务、</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130"/>
        <w:jc w:val="both"/>
      </w:pPr>
      <w:r>
        <w:rPr>
          <w:spacing w:val="-4"/>
        </w:rPr>
        <w:t>创新产品开发、高端客户资源等方面的突出优势，推动主营业务与互联网、移动互联网的深度融合，建立起</w:t>
      </w:r>
      <w:r>
        <w:rPr>
          <w:rFonts w:ascii="Times New Roman" w:hAnsi="Times New Roman" w:cs="Times New Roman" w:eastAsia="Times New Roman" w:hint="default"/>
          <w:spacing w:val="-4"/>
        </w:rPr>
        <w:t>B2B</w:t>
      </w:r>
      <w:r>
        <w:rPr>
          <w:spacing w:val="-4"/>
        </w:rPr>
        <w:t>、</w:t>
      </w:r>
      <w:r>
        <w:rPr>
          <w:rFonts w:ascii="Times New Roman" w:hAnsi="Times New Roman" w:cs="Times New Roman" w:eastAsia="Times New Roman" w:hint="default"/>
          <w:spacing w:val="-4"/>
        </w:rPr>
        <w:t>B2C</w:t>
      </w:r>
      <w:r>
        <w:rPr>
          <w:spacing w:val="-4"/>
        </w:rPr>
        <w:t>、</w:t>
      </w:r>
      <w:r>
        <w:rPr>
          <w:rFonts w:ascii="Times New Roman" w:hAnsi="Times New Roman" w:cs="Times New Roman" w:eastAsia="Times New Roman" w:hint="default"/>
          <w:spacing w:val="-4"/>
        </w:rPr>
        <w:t>C2B</w:t>
      </w:r>
      <w:r>
        <w:rPr>
          <w:rFonts w:ascii="Times New Roman" w:hAnsi="Times New Roman" w:cs="Times New Roman" w:eastAsia="Times New Roman" w:hint="default"/>
          <w:spacing w:val="5"/>
        </w:rPr>
        <w:t> </w:t>
      </w:r>
      <w:r>
        <w:rPr>
          <w:spacing w:val="-2"/>
        </w:rPr>
        <w:t>的多种销售体系，并通过增加互联网平台端口的方式，逐步覆盖企业商务、个性展示、创意设计、文体文化、儿童教育、物</w:t>
      </w:r>
      <w:r>
        <w:rPr>
          <w:spacing w:val="-71"/>
        </w:rPr>
        <w:t> </w:t>
      </w:r>
      <w:r>
        <w:rPr>
          <w:spacing w:val="-71"/>
        </w:rPr>
      </w:r>
      <w:r>
        <w:rPr>
          <w:spacing w:val="-2"/>
        </w:rPr>
        <w:t>流配送等市场领域，积极打造快速、便捷、价优的服务理念，分享中国内地庞大的尤其是消费升级、电子商务、移动互联网</w:t>
      </w:r>
      <w:r>
        <w:rPr>
          <w:spacing w:val="-68"/>
        </w:rPr>
        <w:t> </w:t>
      </w:r>
      <w:r>
        <w:rPr>
          <w:spacing w:val="-68"/>
        </w:rPr>
      </w:r>
      <w:r>
        <w:rPr/>
        <w:t>快速发展带来的庞大市场需求。</w:t>
      </w:r>
    </w:p>
    <w:p>
      <w:pPr>
        <w:spacing w:line="415" w:lineRule="auto" w:before="143"/>
        <w:ind w:left="513" w:right="103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）加强人才梯队建设，保障公司快速发展所需的人力资源</w:t>
      </w:r>
      <w:r>
        <w:rPr>
          <w:rFonts w:ascii="宋体" w:hAnsi="宋体" w:cs="宋体" w:eastAsia="宋体" w:hint="default"/>
          <w:b/>
          <w:bCs/>
          <w:w w:val="99"/>
          <w:sz w:val="18"/>
          <w:szCs w:val="18"/>
        </w:rPr>
        <w:t> </w:t>
      </w:r>
      <w:r>
        <w:rPr>
          <w:rFonts w:ascii="宋体" w:hAnsi="宋体" w:cs="宋体" w:eastAsia="宋体" w:hint="default"/>
          <w:sz w:val="18"/>
          <w:szCs w:val="18"/>
        </w:rPr>
        <w:t>公司已迈入新的发展阶段，商业模式进一步升级，需要非常充足的各类人才资源作为保障，这些人才不仅是研发技术、</w:t>
      </w:r>
    </w:p>
    <w:p>
      <w:pPr>
        <w:pStyle w:val="BodyText"/>
        <w:spacing w:line="194" w:lineRule="exact"/>
        <w:ind w:right="0"/>
        <w:jc w:val="both"/>
      </w:pPr>
      <w:r>
        <w:rPr/>
        <w:t>运营管理、市场营销方面的，还包括互联网、电子商务方面的高端人才。</w:t>
      </w:r>
      <w:r>
        <w:rPr>
          <w:rFonts w:ascii="Times New Roman" w:hAnsi="Times New Roman" w:cs="Times New Roman" w:eastAsia="Times New Roman" w:hint="default"/>
        </w:rPr>
        <w:t>2015</w:t>
      </w:r>
      <w:r>
        <w:rPr/>
        <w:t>年，一方面继续加强各类基础人才资源梯队的</w:t>
      </w:r>
    </w:p>
    <w:p>
      <w:pPr>
        <w:pStyle w:val="BodyText"/>
        <w:spacing w:line="316" w:lineRule="auto" w:before="63"/>
        <w:ind w:right="1133"/>
        <w:jc w:val="both"/>
      </w:pPr>
      <w:r>
        <w:rPr>
          <w:spacing w:val="-2"/>
        </w:rPr>
        <w:t>建设，通过内外部培训，为公司组建高素质、高效率的岗位人员储备人才，使其成为公司发展的生力军；另一方面将通过外</w:t>
      </w:r>
      <w:r>
        <w:rPr>
          <w:spacing w:val="-66"/>
        </w:rPr>
        <w:t> </w:t>
      </w:r>
      <w:r>
        <w:rPr>
          <w:spacing w:val="-66"/>
        </w:rPr>
      </w:r>
      <w:r>
        <w:rPr/>
        <w:t>部发掘，大力引进各类</w:t>
      </w:r>
      <w:r>
        <w:rPr>
          <w:rFonts w:ascii="Times New Roman" w:hAnsi="Times New Roman" w:cs="Times New Roman" w:eastAsia="Times New Roman" w:hint="default"/>
        </w:rPr>
        <w:t>“</w:t>
      </w:r>
      <w:r>
        <w:rPr/>
        <w:t>高、精、尖</w:t>
      </w:r>
      <w:r>
        <w:rPr>
          <w:rFonts w:ascii="Times New Roman" w:hAnsi="Times New Roman" w:cs="Times New Roman" w:eastAsia="Times New Roman" w:hint="default"/>
        </w:rPr>
        <w:t>”</w:t>
      </w:r>
      <w:r>
        <w:rPr/>
        <w:t>人才，提升公司的研发实力、综合管理水平、市场营销能力以及互联网经营能力。</w:t>
      </w:r>
    </w:p>
    <w:p>
      <w:pPr>
        <w:pStyle w:val="Heading5"/>
        <w:spacing w:line="240" w:lineRule="auto" w:before="119"/>
        <w:ind w:right="0"/>
        <w:jc w:val="left"/>
        <w:rPr>
          <w:b w:val="0"/>
          <w:bCs w:val="0"/>
        </w:rPr>
      </w:pPr>
      <w:r>
        <w:rPr>
          <w:rFonts w:ascii="Times New Roman" w:hAnsi="Times New Roman" w:cs="Times New Roman" w:eastAsia="Times New Roman" w:hint="default"/>
        </w:rPr>
        <w:t>5</w:t>
      </w:r>
      <w:r>
        <w:rPr/>
        <w:t>、未来资金需求</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left="154" w:right="1118" w:firstLine="360"/>
        <w:jc w:val="left"/>
      </w:pPr>
      <w:r>
        <w:rPr>
          <w:rFonts w:ascii="Times New Roman" w:hAnsi="Times New Roman" w:cs="Times New Roman" w:eastAsia="Times New Roman" w:hint="default"/>
          <w:spacing w:val="-2"/>
        </w:rPr>
        <w:t>2015</w:t>
      </w:r>
      <w:r>
        <w:rPr>
          <w:spacing w:val="-2"/>
        </w:rPr>
        <w:t>年，公司发展规划资金主要来源于自有资金，当然不排除根据经营需要通过银行借款、股权融资等其他融资方式解</w:t>
      </w:r>
      <w:r>
        <w:rPr/>
        <w:t> 决。</w:t>
      </w:r>
    </w:p>
    <w:p>
      <w:pPr>
        <w:spacing w:line="240" w:lineRule="auto" w:before="9"/>
        <w:rPr>
          <w:rFonts w:ascii="宋体" w:hAnsi="宋体" w:cs="宋体" w:eastAsia="宋体" w:hint="default"/>
          <w:sz w:val="21"/>
          <w:szCs w:val="21"/>
        </w:rPr>
      </w:pPr>
    </w:p>
    <w:p>
      <w:pPr>
        <w:pStyle w:val="Heading2"/>
        <w:spacing w:line="240" w:lineRule="auto"/>
        <w:ind w:left="154" w:right="0"/>
        <w:jc w:val="both"/>
        <w:rPr>
          <w:b w:val="0"/>
          <w:bCs w:val="0"/>
        </w:rPr>
      </w:pPr>
      <w:bookmarkStart w:name="九、董事会、监事会对会计师事务所本报告期“非标准审计报告”的说明" w:id="51"/>
      <w:bookmarkEnd w:id="51"/>
      <w:r>
        <w:rPr>
          <w:b w:val="0"/>
          <w:bCs w:val="0"/>
        </w:rPr>
      </w:r>
      <w:r>
        <w:rPr/>
        <w:t>九、董事会、监事会对会计师事务所本报告期“非标准审计报告”的说明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both"/>
        <w:rPr>
          <w:b w:val="0"/>
          <w:bCs w:val="0"/>
        </w:rPr>
      </w:pPr>
      <w:bookmarkStart w:name="十、与上年度财务报告相比，会计政策、会计估计和核算方法发生变化的情况说明" w:id="52"/>
      <w:bookmarkEnd w:id="52"/>
      <w:r>
        <w:rPr>
          <w:b w:val="0"/>
          <w:bCs w:val="0"/>
        </w:rPr>
      </w:r>
      <w:r>
        <w:rPr/>
        <w:t>十、与上年度财务报告相比，会计政策、会计估计和核算方法发生变化的情况说明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适用 □ 不适用</w:t>
      </w:r>
    </w:p>
    <w:p>
      <w:pPr>
        <w:pStyle w:val="BodyText"/>
        <w:spacing w:line="240" w:lineRule="auto" w:before="115"/>
        <w:ind w:left="444" w:right="0"/>
        <w:jc w:val="left"/>
      </w:pPr>
      <w:r>
        <w:rPr>
          <w:spacing w:val="-3"/>
        </w:rPr>
        <w:t>自</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26</w:t>
      </w:r>
      <w:r>
        <w:rPr>
          <w:spacing w:val="-3"/>
        </w:rPr>
        <w:t>日起，财政部颁布了《企业会计准则第</w:t>
      </w:r>
      <w:r>
        <w:rPr>
          <w:rFonts w:ascii="Times New Roman" w:hAnsi="Times New Roman" w:cs="Times New Roman" w:eastAsia="Times New Roman" w:hint="default"/>
          <w:spacing w:val="-3"/>
        </w:rPr>
        <w:t>2  </w:t>
      </w:r>
      <w:r>
        <w:rPr>
          <w:spacing w:val="-5"/>
        </w:rPr>
        <w:t>号</w:t>
      </w:r>
      <w:r>
        <w:rPr>
          <w:rFonts w:ascii="Times New Roman" w:hAnsi="Times New Roman" w:cs="Times New Roman" w:eastAsia="Times New Roman" w:hint="default"/>
          <w:spacing w:val="-5"/>
        </w:rPr>
        <w:t>——</w:t>
      </w:r>
      <w:r>
        <w:rPr>
          <w:spacing w:val="-5"/>
        </w:rPr>
        <w:t>长期股权投资》、《企业会计准则第</w:t>
      </w:r>
      <w:r>
        <w:rPr>
          <w:rFonts w:ascii="Times New Roman" w:hAnsi="Times New Roman" w:cs="Times New Roman" w:eastAsia="Times New Roman" w:hint="default"/>
          <w:spacing w:val="-5"/>
        </w:rPr>
        <w:t>9 </w:t>
      </w:r>
      <w:r>
        <w:rPr>
          <w:rFonts w:ascii="Times New Roman" w:hAnsi="Times New Roman" w:cs="Times New Roman" w:eastAsia="Times New Roman" w:hint="default"/>
          <w:spacing w:val="23"/>
        </w:rPr>
        <w:t> </w:t>
      </w:r>
      <w:r>
        <w:rPr>
          <w:spacing w:val="-3"/>
        </w:rPr>
        <w:t>号</w:t>
      </w:r>
      <w:r>
        <w:rPr>
          <w:rFonts w:ascii="Times New Roman" w:hAnsi="Times New Roman" w:cs="Times New Roman" w:eastAsia="Times New Roman" w:hint="default"/>
          <w:spacing w:val="-3"/>
        </w:rPr>
        <w:t>——</w:t>
      </w:r>
      <w:r>
        <w:rPr>
          <w:spacing w:val="-3"/>
        </w:rPr>
        <w:t>职工薪酬》、</w:t>
      </w:r>
    </w:p>
    <w:p>
      <w:pPr>
        <w:pStyle w:val="BodyText"/>
        <w:spacing w:line="300" w:lineRule="auto" w:before="63"/>
        <w:ind w:right="1129"/>
        <w:jc w:val="both"/>
      </w:pPr>
      <w:r>
        <w:rPr/>
        <w:t>《企业会计准则第</w:t>
      </w:r>
      <w:r>
        <w:rPr>
          <w:rFonts w:ascii="Times New Roman" w:hAnsi="Times New Roman" w:cs="Times New Roman" w:eastAsia="Times New Roman" w:hint="default"/>
        </w:rPr>
        <w:t>30 </w:t>
      </w:r>
      <w:r>
        <w:rPr/>
        <w:t>号</w:t>
      </w:r>
      <w:r>
        <w:rPr>
          <w:rFonts w:ascii="Times New Roman" w:hAnsi="Times New Roman" w:cs="Times New Roman" w:eastAsia="Times New Roman" w:hint="default"/>
        </w:rPr>
        <w:t>——</w:t>
      </w:r>
      <w:r>
        <w:rPr/>
        <w:t>财务报表列报》、《企业会计准则第</w:t>
      </w:r>
      <w:r>
        <w:rPr>
          <w:rFonts w:ascii="Times New Roman" w:hAnsi="Times New Roman" w:cs="Times New Roman" w:eastAsia="Times New Roman" w:hint="default"/>
        </w:rPr>
        <w:t>33 </w:t>
      </w:r>
      <w:r>
        <w:rPr/>
        <w:t>号</w:t>
      </w:r>
      <w:r>
        <w:rPr>
          <w:rFonts w:ascii="Times New Roman" w:hAnsi="Times New Roman" w:cs="Times New Roman" w:eastAsia="Times New Roman" w:hint="default"/>
        </w:rPr>
        <w:t>——</w:t>
      </w:r>
      <w:r>
        <w:rPr/>
        <w:t>合并财务报表》、《企业会计准则第 </w:t>
      </w:r>
      <w:r>
        <w:rPr>
          <w:rFonts w:ascii="Times New Roman" w:hAnsi="Times New Roman" w:cs="Times New Roman" w:eastAsia="Times New Roman" w:hint="default"/>
        </w:rPr>
        <w:t>39</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 </w:t>
      </w:r>
      <w:r>
        <w:rPr/>
        <w:t>公允价值计量》、《企业会计准则第</w:t>
      </w:r>
      <w:r>
        <w:rPr>
          <w:rFonts w:ascii="Times New Roman" w:hAnsi="Times New Roman" w:cs="Times New Roman" w:eastAsia="Times New Roman" w:hint="default"/>
        </w:rPr>
        <w:t>40 </w:t>
      </w:r>
      <w:r>
        <w:rPr/>
        <w:t>号</w:t>
      </w:r>
      <w:r>
        <w:rPr>
          <w:rFonts w:ascii="Times New Roman" w:hAnsi="Times New Roman" w:cs="Times New Roman" w:eastAsia="Times New Roman" w:hint="default"/>
        </w:rPr>
        <w:t>——</w:t>
      </w:r>
      <w:r>
        <w:rPr/>
        <w:t>合营安排》和《企业会计准则第</w:t>
      </w:r>
      <w:r>
        <w:rPr>
          <w:rFonts w:ascii="Times New Roman" w:hAnsi="Times New Roman" w:cs="Times New Roman" w:eastAsia="Times New Roman" w:hint="default"/>
        </w:rPr>
        <w:t>41</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在其他主体中权益的披露》共七项 具体会计准则，并要求自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日起在所有执行企业会计准则的企业范围内施行。</w:t>
      </w:r>
    </w:p>
    <w:p>
      <w:pPr>
        <w:pStyle w:val="BodyText"/>
        <w:spacing w:line="302" w:lineRule="auto" w:before="52"/>
        <w:ind w:right="0" w:firstLine="578"/>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w:t>
      </w:r>
      <w:r>
        <w:rPr>
          <w:spacing w:val="-2"/>
        </w:rPr>
        <w:t>日，财政部修订了《企业会计准则第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金融工具列报》，要求执行企业会计准则的企业在</w:t>
      </w:r>
      <w:r>
        <w:rPr>
          <w:rFonts w:ascii="Times New Roman" w:hAnsi="Times New Roman" w:cs="Times New Roman" w:eastAsia="Times New Roman" w:hint="default"/>
          <w:spacing w:val="-2"/>
        </w:rPr>
        <w:t>2014</w:t>
      </w:r>
      <w:r>
        <w:rPr>
          <w:spacing w:val="-2"/>
        </w:rPr>
        <w:t>年度及</w:t>
      </w:r>
      <w:r>
        <w:rPr/>
        <w:t> 以后期间的财务报告中按照该准则要求对金融工具进行列报。</w:t>
      </w:r>
    </w:p>
    <w:p>
      <w:pPr>
        <w:pStyle w:val="BodyText"/>
        <w:spacing w:line="302" w:lineRule="auto" w:before="68"/>
        <w:ind w:left="154" w:right="0" w:firstLine="578"/>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23</w:t>
      </w:r>
      <w:r>
        <w:rPr>
          <w:spacing w:val="-2"/>
        </w:rPr>
        <w:t>日，财政部发布了《财政部关于修改〈企业会计准则</w:t>
      </w:r>
      <w:r>
        <w:rPr>
          <w:rFonts w:ascii="Times New Roman" w:hAnsi="Times New Roman" w:cs="Times New Roman" w:eastAsia="Times New Roman" w:hint="default"/>
          <w:spacing w:val="-2"/>
        </w:rPr>
        <w:t>-</w:t>
      </w:r>
      <w:r>
        <w:rPr>
          <w:spacing w:val="-2"/>
        </w:rPr>
        <w:t>基本准则〉的决定》，要求所有执行企业会计准则</w:t>
      </w:r>
      <w:r>
        <w:rPr/>
        <w:t> 的企业自公布之日起施行。</w:t>
      </w:r>
    </w:p>
    <w:p>
      <w:pPr>
        <w:pStyle w:val="BodyText"/>
        <w:spacing w:line="357" w:lineRule="auto" w:before="69"/>
        <w:ind w:left="444" w:right="0"/>
        <w:jc w:val="left"/>
      </w:pPr>
      <w:r>
        <w:rPr/>
        <w:t>根据前述规定，公司于以上文件规定的起始日开始执行上述企业会计准则。 </w:t>
      </w:r>
      <w:r>
        <w:rPr>
          <w:spacing w:val="-1"/>
        </w:rPr>
        <w:t>本公司根据修订后的《企业会计准则第</w:t>
      </w:r>
      <w:r>
        <w:rPr>
          <w:rFonts w:ascii="Times New Roman" w:hAnsi="Times New Roman" w:cs="Times New Roman" w:eastAsia="Times New Roman" w:hint="default"/>
          <w:spacing w:val="-1"/>
        </w:rPr>
        <w:t>30</w:t>
      </w:r>
      <w:r>
        <w:rPr>
          <w:spacing w:val="-1"/>
        </w:rPr>
        <w:t>号</w:t>
      </w:r>
      <w:r>
        <w:rPr>
          <w:rFonts w:ascii="Times New Roman" w:hAnsi="Times New Roman" w:cs="Times New Roman" w:eastAsia="Times New Roman" w:hint="default"/>
          <w:spacing w:val="-1"/>
        </w:rPr>
        <w:t>—</w:t>
      </w:r>
      <w:r>
        <w:rPr>
          <w:spacing w:val="-1"/>
        </w:rPr>
        <w:t>财务报表列报》，根据列报要求将递延收益单独列报，并对年初数采用追</w:t>
      </w:r>
    </w:p>
    <w:p>
      <w:pPr>
        <w:pStyle w:val="BodyText"/>
        <w:spacing w:line="202" w:lineRule="exact"/>
        <w:ind w:left="154" w:right="0"/>
        <w:jc w:val="both"/>
      </w:pPr>
      <w:r>
        <w:rPr/>
        <w:t>溯调整法进行调整列报，追溯调整影响如下：</w:t>
      </w:r>
    </w:p>
    <w:p>
      <w:pPr>
        <w:spacing w:line="240" w:lineRule="auto" w:before="13"/>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1370"/>
        <w:gridCol w:w="1566"/>
        <w:gridCol w:w="1286"/>
        <w:gridCol w:w="1553"/>
        <w:gridCol w:w="1544"/>
        <w:gridCol w:w="1286"/>
        <w:gridCol w:w="1055"/>
      </w:tblGrid>
      <w:tr>
        <w:trPr>
          <w:trHeight w:val="427" w:hRule="exact"/>
        </w:trPr>
        <w:tc>
          <w:tcPr>
            <w:tcW w:w="422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变更前科目</w:t>
            </w:r>
          </w:p>
        </w:tc>
        <w:tc>
          <w:tcPr>
            <w:tcW w:w="43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变更后科目</w:t>
            </w:r>
          </w:p>
        </w:tc>
        <w:tc>
          <w:tcPr>
            <w:tcW w:w="1055" w:type="dxa"/>
            <w:vMerge w:val="restart"/>
            <w:tcBorders>
              <w:top w:val="single" w:sz="6" w:space="0" w:color="000000"/>
              <w:left w:val="single" w:sz="6" w:space="0" w:color="000000"/>
              <w:right w:val="single" w:sz="6" w:space="0" w:color="000000"/>
            </w:tcBorders>
          </w:tcPr>
          <w:p>
            <w:pPr>
              <w:pStyle w:val="TableParagraph"/>
              <w:spacing w:line="240" w:lineRule="auto" w:before="62"/>
              <w:ind w:left="159" w:right="0"/>
              <w:jc w:val="left"/>
              <w:rPr>
                <w:rFonts w:ascii="宋体" w:hAnsi="宋体" w:cs="宋体" w:eastAsia="宋体" w:hint="default"/>
                <w:sz w:val="18"/>
                <w:szCs w:val="18"/>
              </w:rPr>
            </w:pPr>
            <w:r>
              <w:rPr>
                <w:rFonts w:ascii="宋体" w:hAnsi="宋体" w:cs="宋体" w:eastAsia="宋体" w:hint="default"/>
                <w:sz w:val="18"/>
                <w:szCs w:val="18"/>
              </w:rPr>
              <w:t>调整原因</w:t>
            </w:r>
          </w:p>
        </w:tc>
      </w:tr>
      <w:tr>
        <w:trPr>
          <w:trHeight w:val="427"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16" w:right="0"/>
              <w:jc w:val="left"/>
              <w:rPr>
                <w:rFonts w:ascii="宋体" w:hAnsi="宋体" w:cs="宋体" w:eastAsia="宋体" w:hint="default"/>
                <w:sz w:val="18"/>
                <w:szCs w:val="18"/>
              </w:rPr>
            </w:pPr>
            <w:r>
              <w:rPr>
                <w:rFonts w:ascii="宋体" w:hAnsi="宋体" w:cs="宋体" w:eastAsia="宋体" w:hint="default"/>
                <w:sz w:val="18"/>
                <w:szCs w:val="18"/>
              </w:rPr>
              <w:t>一级科目</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6" w:right="0"/>
              <w:jc w:val="left"/>
              <w:rPr>
                <w:rFonts w:ascii="宋体" w:hAnsi="宋体" w:cs="宋体" w:eastAsia="宋体" w:hint="default"/>
                <w:sz w:val="18"/>
                <w:szCs w:val="18"/>
              </w:rPr>
            </w:pPr>
            <w:r>
              <w:rPr>
                <w:rFonts w:ascii="宋体" w:hAnsi="宋体" w:cs="宋体" w:eastAsia="宋体" w:hint="default"/>
                <w:sz w:val="18"/>
                <w:szCs w:val="18"/>
              </w:rPr>
              <w:t>二级科目</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一级科目</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04" w:right="0"/>
              <w:jc w:val="left"/>
              <w:rPr>
                <w:rFonts w:ascii="宋体" w:hAnsi="宋体" w:cs="宋体" w:eastAsia="宋体" w:hint="default"/>
                <w:sz w:val="18"/>
                <w:szCs w:val="18"/>
              </w:rPr>
            </w:pPr>
            <w:r>
              <w:rPr>
                <w:rFonts w:ascii="宋体" w:hAnsi="宋体" w:cs="宋体" w:eastAsia="宋体" w:hint="default"/>
                <w:sz w:val="18"/>
                <w:szCs w:val="18"/>
              </w:rPr>
              <w:t>二级科目</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5" w:type="dxa"/>
            <w:vMerge/>
            <w:tcBorders>
              <w:left w:val="single" w:sz="6" w:space="0" w:color="000000"/>
              <w:bottom w:val="single" w:sz="6" w:space="0" w:color="000000"/>
              <w:right w:val="single" w:sz="6" w:space="0" w:color="000000"/>
            </w:tcBorders>
          </w:tcPr>
          <w:p>
            <w:pPr/>
          </w:p>
        </w:tc>
      </w:tr>
      <w:tr>
        <w:trPr>
          <w:trHeight w:val="779"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6"/>
              <w:ind w:left="577" w:right="75" w:hanging="501"/>
              <w:jc w:val="left"/>
              <w:rPr>
                <w:rFonts w:ascii="宋体" w:hAnsi="宋体" w:cs="宋体" w:eastAsia="宋体" w:hint="default"/>
                <w:sz w:val="20"/>
                <w:szCs w:val="20"/>
              </w:rPr>
            </w:pPr>
            <w:r>
              <w:rPr>
                <w:rFonts w:ascii="宋体" w:hAnsi="宋体" w:cs="宋体" w:eastAsia="宋体" w:hint="default"/>
                <w:sz w:val="20"/>
                <w:szCs w:val="20"/>
              </w:rPr>
              <w:t>其他非流动负</w:t>
            </w:r>
            <w:r>
              <w:rPr>
                <w:rFonts w:ascii="宋体" w:hAnsi="宋体" w:cs="宋体" w:eastAsia="宋体" w:hint="default"/>
                <w:w w:val="100"/>
                <w:sz w:val="20"/>
                <w:szCs w:val="20"/>
              </w:rPr>
              <w:t> </w:t>
            </w:r>
            <w:r>
              <w:rPr>
                <w:rFonts w:ascii="宋体" w:hAnsi="宋体" w:cs="宋体" w:eastAsia="宋体" w:hint="default"/>
                <w:sz w:val="20"/>
                <w:szCs w:val="20"/>
              </w:rPr>
              <w:t>债</w:t>
            </w:r>
          </w:p>
        </w:tc>
        <w:tc>
          <w:tcPr>
            <w:tcW w:w="156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7,738,888.89</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544"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4" w:right="0"/>
              <w:jc w:val="left"/>
              <w:rPr>
                <w:rFonts w:ascii="Times New Roman" w:hAnsi="Times New Roman" w:cs="Times New Roman" w:eastAsia="Times New Roman" w:hint="default"/>
                <w:sz w:val="18"/>
                <w:szCs w:val="18"/>
              </w:rPr>
            </w:pPr>
            <w:r>
              <w:rPr>
                <w:rFonts w:ascii="Times New Roman"/>
                <w:sz w:val="18"/>
              </w:rPr>
              <w:t>7,738,888.89</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列表调整</w:t>
            </w:r>
          </w:p>
        </w:tc>
      </w:tr>
      <w:tr>
        <w:trPr>
          <w:trHeight w:val="740" w:hRule="exact"/>
        </w:trPr>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587" w:right="46" w:hanging="541"/>
              <w:jc w:val="left"/>
              <w:rPr>
                <w:rFonts w:ascii="宋体" w:hAnsi="宋体" w:cs="宋体" w:eastAsia="宋体" w:hint="default"/>
                <w:sz w:val="18"/>
                <w:szCs w:val="18"/>
              </w:rPr>
            </w:pPr>
            <w:r>
              <w:rPr>
                <w:rFonts w:ascii="宋体" w:hAnsi="宋体" w:cs="宋体" w:eastAsia="宋体" w:hint="default"/>
                <w:sz w:val="18"/>
                <w:szCs w:val="18"/>
              </w:rPr>
              <w:t>外币报表折算差 额</w:t>
            </w:r>
          </w:p>
        </w:tc>
        <w:tc>
          <w:tcPr>
            <w:tcW w:w="1566"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-2,020,343.89</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其他综合收益</w:t>
            </w:r>
          </w:p>
        </w:tc>
        <w:tc>
          <w:tcPr>
            <w:tcW w:w="1544"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65" w:right="0"/>
              <w:jc w:val="left"/>
              <w:rPr>
                <w:rFonts w:ascii="Times New Roman" w:hAnsi="Times New Roman" w:cs="Times New Roman" w:eastAsia="Times New Roman" w:hint="default"/>
                <w:sz w:val="18"/>
                <w:szCs w:val="18"/>
              </w:rPr>
            </w:pPr>
            <w:r>
              <w:rPr>
                <w:rFonts w:ascii="Times New Roman"/>
                <w:sz w:val="18"/>
              </w:rPr>
              <w:t>-2,020,343.89</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列报调整</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一、报告期内发生重大会计差错更正需追溯重述的情况说明" w:id="53"/>
      <w:bookmarkEnd w:id="53"/>
      <w:r>
        <w:rPr>
          <w:b w:val="0"/>
          <w:bCs w:val="0"/>
        </w:rPr>
      </w:r>
      <w:r>
        <w:rPr/>
        <w:t>十一、报告期内发生重大会计差错更正需追溯重述的情况说明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both"/>
      </w:pPr>
      <w:r>
        <w:rPr/>
        <w:t>公司报告期无重大会计差错更正需追溯重述的情况。</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十二、与上年度财务报告相比，合并报表范围发生变化的情况说明" w:id="54"/>
      <w:bookmarkEnd w:id="54"/>
      <w:r>
        <w:rPr>
          <w:b w:val="0"/>
          <w:bCs w:val="0"/>
        </w:rPr>
      </w:r>
      <w:r>
        <w:rPr/>
        <w:t>十二、与上年度财务报告相比，合并报表范围发生变化的情况说明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44" w:right="1192" w:hanging="291"/>
        <w:jc w:val="left"/>
      </w:pPr>
      <w:r>
        <w:rPr/>
        <w:t>√ 适用 □ 不适用 在上年度财务报告编制的基础上，公司本年度将泸美新纳入合并报表范围。公司于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月份与相关公司合资设立四</w:t>
      </w:r>
    </w:p>
    <w:p>
      <w:pPr>
        <w:pStyle w:val="BodyText"/>
        <w:spacing w:line="214" w:lineRule="exact"/>
        <w:ind w:left="154" w:right="0"/>
        <w:jc w:val="both"/>
      </w:pPr>
      <w:r>
        <w:rPr/>
        <w:t>川泸美供应链管理有限公司，公司持有泸美</w:t>
      </w:r>
      <w:r>
        <w:rPr>
          <w:rFonts w:ascii="Times New Roman" w:hAnsi="Times New Roman" w:cs="Times New Roman" w:eastAsia="Times New Roman" w:hint="default"/>
        </w:rPr>
        <w:t>60.87%</w:t>
      </w:r>
      <w:r>
        <w:rPr/>
        <w:t>股权，泸美为公司控股子公司，按照相应的会计编制规则，公司将泸美</w:t>
      </w:r>
    </w:p>
    <w:p>
      <w:pPr>
        <w:pStyle w:val="BodyText"/>
        <w:spacing w:line="240" w:lineRule="auto" w:before="63"/>
        <w:ind w:left="154" w:right="0"/>
        <w:jc w:val="both"/>
      </w:pPr>
      <w:r>
        <w:rPr/>
        <w:t>纳入合并报表范围。</w:t>
      </w:r>
    </w:p>
    <w:p>
      <w:pPr>
        <w:spacing w:line="240" w:lineRule="auto" w:before="2"/>
        <w:rPr>
          <w:rFonts w:ascii="宋体" w:hAnsi="宋体" w:cs="宋体" w:eastAsia="宋体" w:hint="default"/>
          <w:sz w:val="25"/>
          <w:szCs w:val="25"/>
        </w:rPr>
      </w:pPr>
    </w:p>
    <w:p>
      <w:pPr>
        <w:pStyle w:val="Heading2"/>
        <w:spacing w:line="240" w:lineRule="auto"/>
        <w:ind w:left="154" w:right="0"/>
        <w:jc w:val="both"/>
        <w:rPr>
          <w:b w:val="0"/>
          <w:bCs w:val="0"/>
        </w:rPr>
      </w:pPr>
      <w:bookmarkStart w:name="十三、公司利润分配及分红派息情况" w:id="55"/>
      <w:bookmarkEnd w:id="55"/>
      <w:r>
        <w:rPr>
          <w:b w:val="0"/>
          <w:bCs w:val="0"/>
        </w:rPr>
      </w: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报告期内利润分配政策的制定、执行或调整情况</w:t>
      </w:r>
    </w:p>
    <w:p>
      <w:pPr>
        <w:pStyle w:val="BodyText"/>
        <w:spacing w:line="240" w:lineRule="auto" w:before="117"/>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4" w:lineRule="auto" w:before="101"/>
        <w:ind w:right="1131"/>
        <w:jc w:val="both"/>
      </w:pPr>
      <w:r>
        <w:rPr/>
        <w:t>公司</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年度第二次临时股东大会，审议通过《公司未来三年股东回报规划（</w:t>
      </w:r>
      <w:r>
        <w:rPr>
          <w:rFonts w:ascii="Times New Roman" w:hAnsi="Times New Roman" w:cs="Times New Roman" w:eastAsia="Times New Roman" w:hint="default"/>
        </w:rPr>
        <w:t>2012-2014</w:t>
      </w:r>
      <w:r>
        <w:rPr/>
        <w:t>）》并修订《公司章程》中利润分 </w:t>
      </w:r>
      <w:r>
        <w:rPr>
          <w:spacing w:val="-2"/>
        </w:rPr>
        <w:t>配的部分条款，着眼于公司的长远和可持续发展，在综合分析公司经营发展的实际情况、现金流量状况、未来盈利规模、项</w:t>
      </w:r>
      <w:r>
        <w:rPr>
          <w:spacing w:val="-66"/>
        </w:rPr>
        <w:t> </w:t>
      </w:r>
      <w:r>
        <w:rPr>
          <w:spacing w:val="-66"/>
        </w:rPr>
      </w:r>
      <w:r>
        <w:rPr>
          <w:spacing w:val="-2"/>
        </w:rPr>
        <w:t>目投资资金需求、银行信贷及外部融资环境等基础上，考虑股东的意愿和要求，充分保护中小投资者的合法权益，对利润分</w:t>
      </w:r>
      <w:r>
        <w:rPr>
          <w:spacing w:val="-66"/>
        </w:rPr>
        <w:t> </w:t>
      </w:r>
      <w:r>
        <w:rPr>
          <w:spacing w:val="-66"/>
        </w:rPr>
      </w:r>
      <w:r>
        <w:rPr>
          <w:spacing w:val="-2"/>
        </w:rPr>
        <w:t>配作出了制度性安排，明确了分红标准和分红比例，保证了利润分配政策的连续性和稳定性。报告期内利润分配方案的制定</w:t>
      </w:r>
      <w:r>
        <w:rPr>
          <w:spacing w:val="-66"/>
        </w:rPr>
        <w:t> </w:t>
      </w:r>
      <w:r>
        <w:rPr>
          <w:spacing w:val="-66"/>
        </w:rPr>
      </w:r>
      <w:r>
        <w:rPr/>
        <w:t>符合相应审议程序的规定，经独立董事发表意见并严格按照修订后的《公司章程》及《公司未来三年股东回报规划</w:t>
      </w:r>
    </w:p>
    <w:p>
      <w:pPr>
        <w:pStyle w:val="BodyText"/>
        <w:spacing w:line="240" w:lineRule="auto" w:before="20"/>
        <w:ind w:right="0"/>
        <w:jc w:val="both"/>
      </w:pPr>
      <w:r>
        <w:rPr/>
        <w:t>（</w:t>
      </w:r>
      <w:r>
        <w:rPr>
          <w:rFonts w:ascii="Times New Roman" w:hAnsi="Times New Roman" w:cs="Times New Roman" w:eastAsia="Times New Roman" w:hint="default"/>
        </w:rPr>
        <w:t>2012-2014</w:t>
      </w:r>
      <w:r>
        <w:rPr/>
        <w:t>）》执行。</w:t>
      </w: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5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240" w:lineRule="auto" w:before="102"/>
        <w:ind w:left="444" w:right="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2012</w:t>
      </w:r>
      <w:r>
        <w:rPr/>
        <w:t>年度利润分配方案为：向全体股东每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1</w:t>
      </w:r>
      <w:r>
        <w:rPr/>
        <w:t>元（含税），本次利润分配</w:t>
      </w:r>
      <w:r>
        <w:rPr>
          <w:rFonts w:ascii="Times New Roman" w:hAnsi="Times New Roman" w:cs="Times New Roman" w:eastAsia="Times New Roman" w:hint="default"/>
        </w:rPr>
        <w:t>1788</w:t>
      </w:r>
      <w:r>
        <w:rPr/>
        <w:t>万元。</w:t>
      </w:r>
    </w:p>
    <w:p>
      <w:pPr>
        <w:pStyle w:val="BodyText"/>
        <w:spacing w:line="300" w:lineRule="auto" w:before="63"/>
        <w:ind w:right="1212" w:firstLine="290"/>
        <w:jc w:val="both"/>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2013</w:t>
      </w:r>
      <w:r>
        <w:rPr/>
        <w:t>年度中期利润分配方案为：向全体股东每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178,800,000</w:t>
      </w:r>
      <w:r>
        <w:rPr/>
        <w:t>股，转增后公司总股本增加 至</w:t>
      </w:r>
      <w:r>
        <w:rPr>
          <w:rFonts w:ascii="Times New Roman" w:hAnsi="Times New Roman" w:cs="Times New Roman" w:eastAsia="Times New Roman" w:hint="default"/>
        </w:rPr>
        <w:t>357,600,000</w:t>
      </w:r>
      <w:r>
        <w:rPr/>
        <w:t>股。</w:t>
      </w:r>
    </w:p>
    <w:p>
      <w:pPr>
        <w:pStyle w:val="BodyText"/>
        <w:spacing w:line="300" w:lineRule="auto" w:before="13"/>
        <w:ind w:right="1212" w:firstLine="290"/>
        <w:jc w:val="both"/>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2013</w:t>
      </w:r>
      <w:r>
        <w:rPr/>
        <w:t>年度利润分配方案为：向全体股东每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0.8</w:t>
      </w:r>
      <w:r>
        <w:rPr/>
        <w:t>元（含税），本次利润分配</w:t>
      </w:r>
      <w:r>
        <w:rPr>
          <w:rFonts w:ascii="Times New Roman" w:hAnsi="Times New Roman" w:cs="Times New Roman" w:eastAsia="Times New Roman" w:hint="default"/>
        </w:rPr>
        <w:t>2860.8</w:t>
      </w:r>
      <w:r>
        <w:rPr/>
        <w:t>万元，同时以资本 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spacing w:val="-23"/>
        </w:rPr>
        <w:t> </w:t>
      </w:r>
      <w:r>
        <w:rPr>
          <w:rFonts w:ascii="Times New Roman" w:hAnsi="Times New Roman" w:cs="Times New Roman" w:eastAsia="Times New Roman" w:hint="default"/>
        </w:rPr>
        <w:t>357,600,000</w:t>
      </w:r>
      <w:r>
        <w:rPr/>
        <w:t>股，转增后公司总股本增加至</w:t>
      </w:r>
      <w:r>
        <w:rPr>
          <w:rFonts w:ascii="Times New Roman" w:hAnsi="Times New Roman" w:cs="Times New Roman" w:eastAsia="Times New Roman" w:hint="default"/>
        </w:rPr>
        <w:t>715,200,000</w:t>
      </w:r>
      <w:r>
        <w:rPr/>
        <w:t>股。</w:t>
      </w:r>
    </w:p>
    <w:p>
      <w:pPr>
        <w:pStyle w:val="BodyText"/>
        <w:spacing w:line="300" w:lineRule="auto" w:before="13"/>
        <w:ind w:right="1131" w:firstLine="290"/>
        <w:jc w:val="both"/>
      </w:pPr>
      <w:r>
        <w:rPr>
          <w:rFonts w:ascii="Times New Roman" w:hAnsi="Times New Roman" w:cs="Times New Roman" w:eastAsia="Times New Roman" w:hint="default"/>
          <w:spacing w:val="-2"/>
        </w:rPr>
        <w:t>4</w:t>
      </w:r>
      <w:r>
        <w:rPr>
          <w:spacing w:val="-2"/>
        </w:rPr>
        <w:t>）公司</w:t>
      </w:r>
      <w:r>
        <w:rPr>
          <w:rFonts w:ascii="Times New Roman" w:hAnsi="Times New Roman" w:cs="Times New Roman" w:eastAsia="Times New Roman" w:hint="default"/>
          <w:spacing w:val="-2"/>
        </w:rPr>
        <w:t>2014</w:t>
      </w:r>
      <w:r>
        <w:rPr>
          <w:spacing w:val="-2"/>
        </w:rPr>
        <w:t>年度利润分配预案为：向全体股东每</w:t>
      </w:r>
      <w:r>
        <w:rPr>
          <w:rFonts w:ascii="Times New Roman" w:hAnsi="Times New Roman" w:cs="Times New Roman" w:eastAsia="Times New Roman" w:hint="default"/>
          <w:spacing w:val="-2"/>
        </w:rPr>
        <w:t>10</w:t>
      </w:r>
      <w:r>
        <w:rPr>
          <w:spacing w:val="-2"/>
        </w:rPr>
        <w:t>股派发现金</w:t>
      </w:r>
      <w:r>
        <w:rPr>
          <w:rFonts w:ascii="Times New Roman" w:hAnsi="Times New Roman" w:cs="Times New Roman" w:eastAsia="Times New Roman" w:hint="default"/>
          <w:spacing w:val="-2"/>
        </w:rPr>
        <w:t>0.75</w:t>
      </w:r>
      <w:r>
        <w:rPr>
          <w:spacing w:val="-2"/>
        </w:rPr>
        <w:t>元（含税），本次利润分配</w:t>
      </w:r>
      <w:r>
        <w:rPr>
          <w:rFonts w:ascii="Times New Roman" w:hAnsi="Times New Roman" w:cs="Times New Roman" w:eastAsia="Times New Roman" w:hint="default"/>
          <w:spacing w:val="-2"/>
        </w:rPr>
        <w:t>5364</w:t>
      </w:r>
      <w:r>
        <w:rPr>
          <w:spacing w:val="-2"/>
        </w:rPr>
        <w:t>万元，以未分配利润</w:t>
      </w:r>
      <w:r>
        <w:rPr/>
        <w:t> </w:t>
      </w:r>
      <w:r>
        <w:rPr>
          <w:spacing w:val="-2"/>
        </w:rPr>
        <w:t>向全体股东每</w:t>
      </w:r>
      <w:r>
        <w:rPr>
          <w:rFonts w:ascii="Times New Roman" w:hAnsi="Times New Roman" w:cs="Times New Roman" w:eastAsia="Times New Roman" w:hint="default"/>
          <w:spacing w:val="-2"/>
        </w:rPr>
        <w:t>10</w:t>
      </w:r>
      <w:r>
        <w:rPr>
          <w:spacing w:val="-2"/>
        </w:rPr>
        <w:t>股派送红股</w:t>
      </w:r>
      <w:r>
        <w:rPr>
          <w:rFonts w:ascii="Times New Roman" w:hAnsi="Times New Roman" w:cs="Times New Roman" w:eastAsia="Times New Roman" w:hint="default"/>
          <w:spacing w:val="-2"/>
        </w:rPr>
        <w:t>3</w:t>
      </w:r>
      <w:r>
        <w:rPr>
          <w:spacing w:val="-2"/>
        </w:rPr>
        <w:t>股，共计派发股票股利</w:t>
      </w:r>
      <w:r>
        <w:rPr>
          <w:rFonts w:ascii="Times New Roman" w:hAnsi="Times New Roman" w:cs="Times New Roman" w:eastAsia="Times New Roman" w:hint="default"/>
          <w:spacing w:val="-2"/>
        </w:rPr>
        <w:t>214,560,000</w:t>
      </w:r>
      <w:r>
        <w:rPr>
          <w:spacing w:val="-2"/>
        </w:rPr>
        <w:t>股；同时，以资本公积金向全体股东每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7</w:t>
      </w:r>
      <w:r>
        <w:rPr>
          <w:spacing w:val="-2"/>
        </w:rPr>
        <w:t>股，共计转</w:t>
      </w:r>
      <w:r>
        <w:rPr>
          <w:spacing w:val="-52"/>
        </w:rPr>
        <w:t> </w:t>
      </w:r>
      <w:r>
        <w:rPr>
          <w:spacing w:val="-52"/>
        </w:rPr>
      </w:r>
      <w:r>
        <w:rPr/>
        <w:t>增股本</w:t>
      </w:r>
      <w:r>
        <w:rPr>
          <w:rFonts w:ascii="Times New Roman" w:hAnsi="Times New Roman" w:cs="Times New Roman" w:eastAsia="Times New Roman" w:hint="default"/>
        </w:rPr>
        <w:t>500,640,000</w:t>
      </w:r>
      <w:r>
        <w:rPr/>
        <w:t>股。</w:t>
      </w:r>
    </w:p>
    <w:p>
      <w:pPr>
        <w:pStyle w:val="BodyText"/>
        <w:spacing w:line="240" w:lineRule="auto" w:before="54"/>
        <w:ind w:left="154" w:right="0"/>
        <w:jc w:val="left"/>
      </w:pPr>
      <w:r>
        <w:rPr/>
        <w:t>公司近三年现金分红情况表</w:t>
      </w:r>
    </w:p>
    <w:p>
      <w:pPr>
        <w:pStyle w:val="BodyText"/>
        <w:spacing w:line="240" w:lineRule="auto" w:before="117"/>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73" w:right="70"/>
              <w:jc w:val="left"/>
              <w:rPr>
                <w:rFonts w:ascii="宋体" w:hAnsi="宋体" w:cs="宋体" w:eastAsia="宋体" w:hint="default"/>
                <w:sz w:val="18"/>
                <w:szCs w:val="18"/>
              </w:rPr>
            </w:pPr>
            <w:r>
              <w:rPr>
                <w:rFonts w:ascii="宋体" w:hAnsi="宋体" w:cs="宋体" w:eastAsia="宋体" w:hint="default"/>
                <w:sz w:val="18"/>
                <w:szCs w:val="18"/>
              </w:rPr>
              <w:t>分红年度合并报表 中归属于上市公司</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71" w:right="71"/>
              <w:jc w:val="left"/>
              <w:rPr>
                <w:rFonts w:ascii="宋体" w:hAnsi="宋体" w:cs="宋体" w:eastAsia="宋体" w:hint="default"/>
                <w:sz w:val="18"/>
                <w:szCs w:val="18"/>
              </w:rPr>
            </w:pPr>
            <w:r>
              <w:rPr>
                <w:rFonts w:ascii="宋体" w:hAnsi="宋体" w:cs="宋体" w:eastAsia="宋体" w:hint="default"/>
                <w:sz w:val="18"/>
                <w:szCs w:val="18"/>
              </w:rPr>
              <w:t>占合并报表中归属 于上市公司股东的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72" w:right="70"/>
              <w:jc w:val="left"/>
              <w:rPr>
                <w:rFonts w:ascii="宋体" w:hAnsi="宋体" w:cs="宋体" w:eastAsia="宋体" w:hint="default"/>
                <w:sz w:val="18"/>
                <w:szCs w:val="18"/>
              </w:rPr>
            </w:pPr>
            <w:r>
              <w:rPr>
                <w:rFonts w:ascii="宋体" w:hAnsi="宋体" w:cs="宋体" w:eastAsia="宋体" w:hint="default"/>
                <w:sz w:val="18"/>
                <w:szCs w:val="18"/>
              </w:rPr>
              <w:t>以现金方式要约回 购股份资金计入现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73" w:right="71"/>
              <w:jc w:val="left"/>
              <w:rPr>
                <w:rFonts w:ascii="宋体" w:hAnsi="宋体" w:cs="宋体" w:eastAsia="宋体" w:hint="default"/>
                <w:sz w:val="18"/>
                <w:szCs w:val="18"/>
              </w:rPr>
            </w:pPr>
            <w:r>
              <w:rPr>
                <w:rFonts w:ascii="宋体" w:hAnsi="宋体" w:cs="宋体" w:eastAsia="宋体" w:hint="default"/>
                <w:sz w:val="18"/>
                <w:szCs w:val="18"/>
              </w:rPr>
              <w:t>以现金方式要约回 购股份资金计入现</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74"/>
        <w:gridCol w:w="1605"/>
        <w:gridCol w:w="1595"/>
        <w:gridCol w:w="1594"/>
        <w:gridCol w:w="1594"/>
        <w:gridCol w:w="1595"/>
      </w:tblGrid>
      <w:tr>
        <w:trPr>
          <w:trHeight w:val="36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3" w:right="0"/>
              <w:jc w:val="left"/>
              <w:rPr>
                <w:rFonts w:ascii="宋体" w:hAnsi="宋体" w:cs="宋体" w:eastAsia="宋体" w:hint="default"/>
                <w:sz w:val="18"/>
                <w:szCs w:val="18"/>
              </w:rPr>
            </w:pPr>
            <w:r>
              <w:rPr>
                <w:rFonts w:ascii="宋体" w:hAnsi="宋体" w:cs="宋体" w:eastAsia="宋体" w:hint="default"/>
                <w:sz w:val="18"/>
                <w:szCs w:val="18"/>
              </w:rPr>
              <w:t>股东的净利润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1" w:right="0"/>
              <w:jc w:val="left"/>
              <w:rPr>
                <w:rFonts w:ascii="宋体" w:hAnsi="宋体" w:cs="宋体" w:eastAsia="宋体" w:hint="default"/>
                <w:sz w:val="18"/>
                <w:szCs w:val="18"/>
              </w:rPr>
            </w:pPr>
            <w:r>
              <w:rPr>
                <w:rFonts w:ascii="宋体" w:hAnsi="宋体" w:cs="宋体" w:eastAsia="宋体" w:hint="default"/>
                <w:sz w:val="18"/>
                <w:szCs w:val="18"/>
              </w:rPr>
              <w:t>净利润的比率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2" w:right="0"/>
              <w:jc w:val="left"/>
              <w:rPr>
                <w:rFonts w:ascii="宋体" w:hAnsi="宋体" w:cs="宋体" w:eastAsia="宋体" w:hint="default"/>
                <w:sz w:val="18"/>
                <w:szCs w:val="18"/>
              </w:rPr>
            </w:pPr>
            <w:r>
              <w:rPr>
                <w:rFonts w:ascii="宋体" w:hAnsi="宋体" w:cs="宋体" w:eastAsia="宋体" w:hint="default"/>
                <w:sz w:val="18"/>
                <w:szCs w:val="18"/>
              </w:rPr>
              <w:t>金分红的金额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3" w:right="0"/>
              <w:jc w:val="left"/>
              <w:rPr>
                <w:rFonts w:ascii="宋体" w:hAnsi="宋体" w:cs="宋体" w:eastAsia="宋体" w:hint="default"/>
                <w:sz w:val="18"/>
                <w:szCs w:val="18"/>
              </w:rPr>
            </w:pPr>
            <w:r>
              <w:rPr>
                <w:rFonts w:ascii="宋体" w:hAnsi="宋体" w:cs="宋体" w:eastAsia="宋体" w:hint="default"/>
                <w:sz w:val="18"/>
                <w:szCs w:val="18"/>
              </w:rPr>
              <w:t>金分红的比例</w:t>
            </w: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53,640,000.00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261,540,481.25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28,608,000.00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174,070,348.95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107,191,947.89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公司报告期内盈利且母公司未分配利润为正但未提出现金红利分配预案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本报告期利润分配及资本公积金转增股本预案" w:id="56"/>
      <w:bookmarkEnd w:id="56"/>
      <w:r>
        <w:rPr>
          <w:b w:val="0"/>
          <w:bCs w:val="0"/>
        </w:rPr>
      </w:r>
      <w:r>
        <w:rPr/>
        <w:t>十四、本报告期利润分配及资本公积金转增股本预案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44"/>
        <w:ind w:left="0" w:right="1139"/>
        <w:jc w:val="right"/>
      </w:pPr>
      <w:r>
        <w:rPr/>
        <w:pict>
          <v:shape style="position:absolute;margin-left:57.029999pt;margin-top:-161.668274pt;width:478.6pt;height:237.2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3"/>
                    <w:gridCol w:w="5864"/>
                  </w:tblGrid>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715,200,000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53,640,000.00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884,902,823.95</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公司发展阶段属成长期且有重大资金支出安排的，进行利润分配时，现金分红在本次利润分配中所占比例最低应达到</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以截止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1"/>
                            <w:sz w:val="18"/>
                            <w:szCs w:val="18"/>
                          </w:rPr>
                          <w:t>司</w:t>
                        </w:r>
                        <w:r>
                          <w:rPr>
                            <w:rFonts w:ascii="宋体" w:hAnsi="宋体" w:cs="宋体" w:eastAsia="宋体" w:hint="default"/>
                            <w:sz w:val="18"/>
                            <w:szCs w:val="18"/>
                          </w:rPr>
                          <w:t>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715,200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24"/>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0.75</w:t>
                        </w:r>
                        <w:r>
                          <w:rPr>
                            <w:rFonts w:ascii="Times New Roman" w:hAnsi="Times New Roman" w:cs="Times New Roman" w:eastAsia="Times New Roman" w:hint="default"/>
                            <w:spacing w:val="-1"/>
                            <w:sz w:val="18"/>
                            <w:szCs w:val="18"/>
                          </w:rPr>
                          <w:t> </w:t>
                        </w:r>
                        <w:r>
                          <w:rPr>
                            <w:rFonts w:ascii="宋体" w:hAnsi="宋体" w:cs="宋体" w:eastAsia="宋体" w:hint="default"/>
                            <w:spacing w:val="-24"/>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以</w:t>
                        </w:r>
                        <w:r>
                          <w:rPr>
                            <w:rFonts w:ascii="宋体" w:hAnsi="宋体" w:cs="宋体" w:eastAsia="宋体" w:hint="default"/>
                            <w:spacing w:val="1"/>
                            <w:sz w:val="18"/>
                            <w:szCs w:val="18"/>
                          </w:rPr>
                          <w:t>未分</w:t>
                        </w:r>
                        <w:r>
                          <w:rPr>
                            <w:rFonts w:ascii="宋体" w:hAnsi="宋体" w:cs="宋体" w:eastAsia="宋体" w:hint="default"/>
                            <w:sz w:val="18"/>
                            <w:szCs w:val="18"/>
                          </w:rPr>
                          <w:t>配</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利润向全体股东每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股派送红股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股，以资本公积金向全体股东每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5"/>
        <w:ind w:left="154" w:right="0"/>
        <w:jc w:val="left"/>
        <w:rPr>
          <w:b w:val="0"/>
          <w:bCs w:val="0"/>
        </w:rPr>
      </w:pPr>
      <w:bookmarkStart w:name="十五、社会责任情况" w:id="57"/>
      <w:bookmarkEnd w:id="57"/>
      <w:r>
        <w:rPr>
          <w:b w:val="0"/>
          <w:bCs w:val="0"/>
        </w:rPr>
      </w:r>
      <w:r>
        <w:rPr/>
        <w:t>十五、社会责任情况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六、报告期内接待调研、沟通、采访等活动登记表" w:id="58"/>
      <w:bookmarkEnd w:id="58"/>
      <w:r>
        <w:rPr>
          <w:b w:val="0"/>
          <w:bCs w:val="0"/>
        </w:rPr>
      </w:r>
      <w:r>
        <w:rPr/>
        <w:t>十六、报告期内接待调研、沟通、采访等活动登记表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中金公司，</w:t>
            </w:r>
            <w:r>
              <w:rPr>
                <w:rFonts w:ascii="Times New Roman" w:hAnsi="Times New Roman" w:cs="Times New Roman" w:eastAsia="Times New Roman" w:hint="default"/>
                <w:sz w:val="18"/>
                <w:szCs w:val="18"/>
              </w:rPr>
              <w:t>Abu Dhabi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Investment</w:t>
            </w:r>
            <w:r>
              <w:rPr>
                <w:rFonts w:ascii="Times New Roman" w:hAnsi="Times New Roman" w:cs="Times New Roman" w:eastAsia="Times New Roman" w:hint="default"/>
                <w:sz w:val="18"/>
                <w:szCs w:val="18"/>
              </w:rPr>
              <w:t> Authority</w:t>
            </w:r>
            <w:r>
              <w:rPr>
                <w:rFonts w:ascii="宋体" w:hAnsi="宋体" w:cs="宋体" w:eastAsia="宋体" w:hint="default"/>
                <w:sz w:val="18"/>
                <w:szCs w:val="18"/>
              </w:rPr>
              <w:t>（阿布扎 比投资局）</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公司经营情况，未提供资 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广发基金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公司经营情况，未提供资 料。</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201"/>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61"/>
      <w:bookmarkEnd w:id="61"/>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媒体质疑情况" w:id="62"/>
      <w:bookmarkEnd w:id="62"/>
      <w:r>
        <w:rPr>
          <w:b w:val="0"/>
          <w:bCs w:val="0"/>
        </w:rPr>
      </w:r>
      <w:r>
        <w:rPr/>
        <w:t>二、媒体质疑情况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本报告期公司无媒体普遍质疑事项。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控股股东及其关联方对上市公司的非经营性占用资金情况" w:id="63"/>
      <w:bookmarkEnd w:id="63"/>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破产重整相关事项" w:id="64"/>
      <w:bookmarkEnd w:id="64"/>
      <w:r>
        <w:rPr>
          <w:b w:val="0"/>
          <w:bCs w:val="0"/>
        </w:rPr>
      </w:r>
      <w:r>
        <w:rPr/>
        <w:t>四、破产重整相关事项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资产交易事项" w:id="65"/>
      <w:bookmarkEnd w:id="65"/>
      <w:r>
        <w:rPr>
          <w:b w:val="0"/>
          <w:bCs w:val="0"/>
        </w:rPr>
      </w:r>
      <w:r>
        <w:rPr/>
        <w:t>五、资产交易事项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收购资产情况" w:id="66"/>
      <w:bookmarkEnd w:id="66"/>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6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4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111"/>
              <w:jc w:val="left"/>
              <w:rPr>
                <w:rFonts w:ascii="宋体" w:hAnsi="宋体" w:cs="宋体" w:eastAsia="宋体" w:hint="default"/>
                <w:sz w:val="18"/>
                <w:szCs w:val="18"/>
              </w:rPr>
            </w:pPr>
            <w:r>
              <w:rPr>
                <w:rFonts w:ascii="宋体" w:hAnsi="宋体" w:cs="宋体" w:eastAsia="宋体" w:hint="default"/>
                <w:sz w:val="18"/>
                <w:szCs w:val="18"/>
              </w:rPr>
              <w:t>郑荣华、 郑重科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2" w:lineRule="auto"/>
              <w:ind w:left="22" w:right="101"/>
              <w:jc w:val="both"/>
              <w:rPr>
                <w:rFonts w:ascii="宋体" w:hAnsi="宋体" w:cs="宋体" w:eastAsia="宋体" w:hint="default"/>
                <w:sz w:val="18"/>
                <w:szCs w:val="18"/>
              </w:rPr>
            </w:pPr>
            <w:r>
              <w:rPr>
                <w:rFonts w:ascii="宋体" w:hAnsi="宋体" w:cs="宋体" w:eastAsia="宋体" w:hint="default"/>
                <w:sz w:val="18"/>
                <w:szCs w:val="18"/>
              </w:rPr>
              <w:t>汇天云网 集团有限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 </w:t>
            </w:r>
            <w:r>
              <w:rPr>
                <w:rFonts w:ascii="宋体" w:hAnsi="宋体" w:cs="宋体" w:eastAsia="宋体" w:hint="default"/>
                <w:sz w:val="18"/>
                <w:szCs w:val="18"/>
              </w:rPr>
              <w:t>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3,264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所涉及的 资产产权 已全部过 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本次收购 </w:t>
            </w:r>
            <w:r>
              <w:rPr>
                <w:rFonts w:ascii="宋体" w:hAnsi="宋体" w:cs="宋体" w:eastAsia="宋体" w:hint="default"/>
                <w:spacing w:val="-18"/>
                <w:sz w:val="18"/>
                <w:szCs w:val="18"/>
              </w:rPr>
              <w:t>的实施，公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司开启了 一条将包 装印刷和 纸制品产 业通过互 联网和定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汇天云网 集团有限 公司于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316" w:lineRule="auto"/>
              <w:ind w:left="22" w:right="71"/>
              <w:jc w:val="both"/>
              <w:rPr>
                <w:rFonts w:ascii="宋体" w:hAnsi="宋体" w:cs="宋体" w:eastAsia="宋体" w:hint="default"/>
                <w:sz w:val="18"/>
                <w:szCs w:val="18"/>
              </w:rPr>
            </w:pPr>
            <w:r>
              <w:rPr>
                <w:rFonts w:ascii="宋体" w:hAnsi="宋体" w:cs="宋体" w:eastAsia="宋体" w:hint="default"/>
                <w:sz w:val="18"/>
                <w:szCs w:val="18"/>
              </w:rPr>
              <w:t>月完成股 权过户手 续，因此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公司《关于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全资子公 司美盈森</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pacing w:val="-18"/>
                <w:sz w:val="18"/>
                <w:szCs w:val="18"/>
              </w:rPr>
              <w:t>（香港）国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际控股有 限公司收 购汇天云 网集团有</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3"/>
        <w:rPr>
          <w:rFonts w:ascii="宋体" w:hAnsi="宋体" w:cs="宋体" w:eastAsia="宋体" w:hint="default"/>
          <w:sz w:val="29"/>
          <w:szCs w:val="29"/>
        </w:rPr>
      </w:pPr>
      <w:r>
        <w:rPr/>
        <w:pict>
          <v:shape style="position:absolute;margin-left:56.459999pt;margin-top:71.999985pt;width:478.95pt;height:692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7851"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制化运营 </w:t>
                        </w:r>
                        <w:r>
                          <w:rPr>
                            <w:rFonts w:ascii="宋体" w:hAnsi="宋体" w:cs="宋体" w:eastAsia="宋体" w:hint="default"/>
                            <w:spacing w:val="-18"/>
                            <w:sz w:val="18"/>
                            <w:szCs w:val="18"/>
                          </w:rPr>
                          <w:t>的道路，是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公司商业 模式的又 一次创新 </w:t>
                        </w:r>
                        <w:r>
                          <w:rPr>
                            <w:rFonts w:ascii="宋体" w:hAnsi="宋体" w:cs="宋体" w:eastAsia="宋体" w:hint="default"/>
                            <w:spacing w:val="-18"/>
                            <w:sz w:val="18"/>
                            <w:szCs w:val="18"/>
                          </w:rPr>
                          <w:t>和拓展，有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利于在国 内包装印 刷业务从 传统模式 向互联网 服务新模 式升级过 程中掌握 </w:t>
                        </w:r>
                        <w:r>
                          <w:rPr>
                            <w:rFonts w:ascii="宋体" w:hAnsi="宋体" w:cs="宋体" w:eastAsia="宋体" w:hint="default"/>
                            <w:spacing w:val="-18"/>
                            <w:sz w:val="18"/>
                            <w:szCs w:val="18"/>
                          </w:rPr>
                          <w:t>主动权，形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成公司新 的业务增 </w:t>
                        </w:r>
                        <w:r>
                          <w:rPr>
                            <w:rFonts w:ascii="宋体" w:hAnsi="宋体" w:cs="宋体" w:eastAsia="宋体" w:hint="default"/>
                            <w:spacing w:val="-18"/>
                            <w:sz w:val="18"/>
                            <w:szCs w:val="18"/>
                          </w:rPr>
                          <w:t>长极。本次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收购对公 司业务的 连续性有 积极的影 </w:t>
                        </w:r>
                        <w:r>
                          <w:rPr>
                            <w:rFonts w:ascii="宋体" w:hAnsi="宋体" w:cs="宋体" w:eastAsia="宋体" w:hint="default"/>
                            <w:spacing w:val="-18"/>
                            <w:sz w:val="18"/>
                            <w:szCs w:val="18"/>
                          </w:rPr>
                          <w:t>响，不影响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管理层的 稳定性。</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限公司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 </w:t>
                        </w:r>
                        <w:r>
                          <w:rPr>
                            <w:rFonts w:ascii="宋体" w:hAnsi="宋体" w:cs="宋体" w:eastAsia="宋体" w:hint="default"/>
                            <w:spacing w:val="-18"/>
                            <w:sz w:val="18"/>
                            <w:szCs w:val="18"/>
                          </w:rPr>
                          <w:t>的公告》于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12" w:lineRule="auto" w:before="3"/>
                          <w:ind w:left="22" w:right="26"/>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 载于证券 时报及巨 潮资讯网</w:t>
                        </w:r>
                      </w:p>
                      <w:p>
                        <w:pPr>
                          <w:pStyle w:val="TableParagraph"/>
                          <w:spacing w:line="319" w:lineRule="auto" w:before="22"/>
                          <w:ind w:left="22" w:right="2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 info.com.c n</w:t>
                        </w:r>
                        <w:r>
                          <w:rPr>
                            <w:rFonts w:ascii="宋体" w:hAnsi="宋体" w:cs="宋体" w:eastAsia="宋体" w:hint="default"/>
                            <w:sz w:val="18"/>
                            <w:szCs w:val="18"/>
                          </w:rPr>
                          <w:t>）公告编 号：</w:t>
                        </w:r>
                      </w:p>
                      <w:p>
                        <w:pPr>
                          <w:pStyle w:val="TableParagraph"/>
                          <w:spacing w:line="240" w:lineRule="auto" w:before="17"/>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2014-049</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597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22" w:right="111"/>
                          <w:jc w:val="both"/>
                          <w:rPr>
                            <w:rFonts w:ascii="宋体" w:hAnsi="宋体" w:cs="宋体" w:eastAsia="宋体" w:hint="default"/>
                            <w:sz w:val="18"/>
                            <w:szCs w:val="18"/>
                          </w:rPr>
                        </w:pPr>
                        <w:r>
                          <w:rPr>
                            <w:rFonts w:ascii="宋体" w:hAnsi="宋体" w:cs="宋体" w:eastAsia="宋体" w:hint="default"/>
                            <w:sz w:val="18"/>
                            <w:szCs w:val="18"/>
                          </w:rPr>
                          <w:t>深圳市投 资控股有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6" w:lineRule="auto"/>
                          <w:ind w:left="22" w:right="115"/>
                          <w:jc w:val="both"/>
                          <w:rPr>
                            <w:rFonts w:ascii="宋体" w:hAnsi="宋体" w:cs="宋体" w:eastAsia="宋体" w:hint="default"/>
                            <w:sz w:val="18"/>
                            <w:szCs w:val="18"/>
                          </w:rPr>
                        </w:pPr>
                        <w:r>
                          <w:rPr>
                            <w:rFonts w:ascii="宋体" w:hAnsi="宋体" w:cs="宋体" w:eastAsia="宋体" w:hint="default"/>
                            <w:sz w:val="18"/>
                            <w:szCs w:val="18"/>
                          </w:rPr>
                          <w:t>深圳市投 资控股有 限公司位 于深圳市 高新技术 产业园区 南区的深 圳市软件 产业基地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35" w:lineRule="exact"/>
                          <w:ind w:left="22" w:right="0"/>
                          <w:jc w:val="both"/>
                          <w:rPr>
                            <w:rFonts w:ascii="宋体" w:hAnsi="宋体" w:cs="宋体" w:eastAsia="宋体" w:hint="default"/>
                            <w:sz w:val="18"/>
                            <w:szCs w:val="18"/>
                          </w:rPr>
                        </w:pPr>
                        <w:r>
                          <w:rPr>
                            <w:rFonts w:ascii="宋体" w:hAnsi="宋体" w:cs="宋体" w:eastAsia="宋体" w:hint="default"/>
                            <w:sz w:val="18"/>
                            <w:szCs w:val="18"/>
                          </w:rPr>
                          <w:t>（房号：</w:t>
                        </w:r>
                      </w:p>
                      <w:p>
                        <w:pPr>
                          <w:pStyle w:val="TableParagraph"/>
                          <w:spacing w:line="240" w:lineRule="auto" w:before="77"/>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1501</w:t>
                        </w:r>
                        <w:r>
                          <w:rPr>
                            <w:rFonts w:ascii="宋体" w:hAnsi="宋体" w:cs="宋体" w:eastAsia="宋体" w:hint="default"/>
                            <w:sz w:val="18"/>
                            <w:szCs w:val="18"/>
                          </w:rPr>
                          <w:t>、</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1502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5,381.74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购房相关 程序已办 </w:t>
                        </w:r>
                        <w:r>
                          <w:rPr>
                            <w:rFonts w:ascii="宋体" w:hAnsi="宋体" w:cs="宋体" w:eastAsia="宋体" w:hint="default"/>
                            <w:spacing w:val="-18"/>
                            <w:sz w:val="18"/>
                            <w:szCs w:val="18"/>
                          </w:rPr>
                          <w:t>理完毕，房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产证尚在 办理过程 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本次在深 圳市内核 心区域的 有利位置 购置房产 能够进一 步优化公 司资产配 </w:t>
                        </w:r>
                        <w:r>
                          <w:rPr>
                            <w:rFonts w:ascii="宋体" w:hAnsi="宋体" w:cs="宋体" w:eastAsia="宋体" w:hint="default"/>
                            <w:spacing w:val="-18"/>
                            <w:sz w:val="18"/>
                            <w:szCs w:val="18"/>
                          </w:rPr>
                          <w:t>置，有利于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公司创新 业务的开 </w:t>
                        </w:r>
                        <w:r>
                          <w:rPr>
                            <w:rFonts w:ascii="宋体" w:hAnsi="宋体" w:cs="宋体" w:eastAsia="宋体" w:hint="default"/>
                            <w:spacing w:val="-18"/>
                            <w:sz w:val="18"/>
                            <w:szCs w:val="18"/>
                          </w:rPr>
                          <w:t>展，有利于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优秀人才 </w:t>
                        </w:r>
                        <w:r>
                          <w:rPr>
                            <w:rFonts w:ascii="宋体" w:hAnsi="宋体" w:cs="宋体" w:eastAsia="宋体" w:hint="default"/>
                            <w:spacing w:val="-18"/>
                            <w:sz w:val="18"/>
                            <w:szCs w:val="18"/>
                          </w:rPr>
                          <w:t>的引进，有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利于公司 外部形象 </w:t>
                        </w:r>
                        <w:r>
                          <w:rPr>
                            <w:rFonts w:ascii="宋体" w:hAnsi="宋体" w:cs="宋体" w:eastAsia="宋体" w:hint="default"/>
                            <w:spacing w:val="-18"/>
                            <w:sz w:val="18"/>
                            <w:szCs w:val="18"/>
                          </w:rPr>
                          <w:t>的提升，为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整合互联 网相关的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18"/>
                            <w:sz w:val="18"/>
                            <w:szCs w:val="18"/>
                          </w:rPr>
                          <w:t>公司《关于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拟购置房 产的公告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2"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日刊 载于证券 时报及巨 潮资讯网</w:t>
                        </w:r>
                      </w:p>
                      <w:p>
                        <w:pPr>
                          <w:pStyle w:val="TableParagraph"/>
                          <w:spacing w:line="319" w:lineRule="auto" w:before="22"/>
                          <w:ind w:left="22" w:right="2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 info.com.c n</w:t>
                        </w:r>
                        <w:r>
                          <w:rPr>
                            <w:rFonts w:ascii="宋体" w:hAnsi="宋体" w:cs="宋体" w:eastAsia="宋体" w:hint="default"/>
                            <w:sz w:val="18"/>
                            <w:szCs w:val="18"/>
                          </w:rPr>
                          <w:t>）公告编 号：</w:t>
                        </w:r>
                      </w:p>
                      <w:p>
                        <w:pPr>
                          <w:pStyle w:val="TableParagraph"/>
                          <w:spacing w:line="240" w:lineRule="auto" w:before="18"/>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2015-008</w:t>
                        </w:r>
                        <w:r>
                          <w:rPr>
                            <w:rFonts w:ascii="宋体" w:hAnsi="宋体" w:cs="宋体" w:eastAsia="宋体" w:hint="default"/>
                            <w:sz w:val="18"/>
                            <w:szCs w:val="18"/>
                          </w:rPr>
                          <w:t>）</w:t>
                        </w:r>
                      </w:p>
                    </w:tc>
                  </w:tr>
                </w:tbl>
                <w:p>
                  <w:pPr/>
                </w:p>
              </w:txbxContent>
            </v:textbox>
            <w10:wrap type="none"/>
          </v:shape>
        </w:pict>
      </w:r>
    </w:p>
    <w:p>
      <w:pPr>
        <w:spacing w:line="7841" w:lineRule="exact"/>
        <w:ind w:left="5372" w:right="0" w:firstLine="0"/>
        <w:rPr>
          <w:rFonts w:ascii="宋体" w:hAnsi="宋体" w:cs="宋体" w:eastAsia="宋体" w:hint="default"/>
          <w:sz w:val="20"/>
          <w:szCs w:val="20"/>
        </w:rPr>
      </w:pPr>
      <w:r>
        <w:rPr>
          <w:rFonts w:ascii="宋体" w:hAnsi="宋体" w:cs="宋体" w:eastAsia="宋体" w:hint="default"/>
          <w:position w:val="-156"/>
          <w:sz w:val="20"/>
          <w:szCs w:val="20"/>
        </w:rPr>
        <w:pict>
          <v:group style="width:43.05pt;height:392.1pt;mso-position-horizontal-relative:char;mso-position-vertical-relative:line" coordorigin="0,0" coordsize="861,7842">
            <v:group style="position:absolute;left:0;top:0;width:861;height:7842" coordorigin="0,0" coordsize="861,7842">
              <v:shape style="position:absolute;left:0;top:0;width:861;height:7842" coordorigin="0,0" coordsize="861,7842" path="m0,7842l860,7842,860,0,0,0,0,7842xe" filled="true" fillcolor="#ffffff" stroked="false">
                <v:path arrowok="t"/>
                <v:fill type="solid"/>
              </v:shape>
            </v:group>
          </v:group>
        </w:pict>
      </w:r>
      <w:r>
        <w:rPr>
          <w:rFonts w:ascii="宋体" w:hAnsi="宋体" w:cs="宋体" w:eastAsia="宋体" w:hint="default"/>
          <w:position w:val="-15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40" w:lineRule="auto" w:before="44"/>
        <w:ind w:left="0" w:right="1148"/>
        <w:jc w:val="right"/>
      </w:pPr>
      <w:r>
        <w:rPr/>
        <w:pict>
          <v:shape style="position:absolute;margin-left:275.320007pt;margin-top:-469.908264pt;width:85.35pt;height:392.1pt;mso-position-horizontal-relative:page;mso-position-vertical-relative:paragraph;z-index:-841744" type="#_x0000_t202" filled="false" stroked="false">
            <v:textbox inset="0,0,0,0">
              <w:txbxContent>
                <w:p>
                  <w:pPr>
                    <w:pStyle w:val="BodyText"/>
                    <w:spacing w:line="240" w:lineRule="auto" w:before="11"/>
                    <w:ind w:left="0" w:right="0"/>
                    <w:jc w:val="left"/>
                  </w:pPr>
                  <w:r>
                    <w:rPr/>
                    <w:t>进行并表。</w:t>
                  </w: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986"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7"/>
              <w:jc w:val="both"/>
              <w:rPr>
                <w:rFonts w:ascii="宋体" w:hAnsi="宋体" w:cs="宋体" w:eastAsia="宋体" w:hint="default"/>
                <w:sz w:val="18"/>
                <w:szCs w:val="18"/>
              </w:rPr>
            </w:pPr>
            <w:r>
              <w:rPr>
                <w:rFonts w:ascii="宋体" w:hAnsi="宋体" w:cs="宋体" w:eastAsia="宋体" w:hint="default"/>
                <w:sz w:val="18"/>
                <w:szCs w:val="18"/>
              </w:rPr>
              <w:t>优势资源 构建良好 的条件。</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出售资产情况" w:id="67"/>
      <w:bookmarkEnd w:id="67"/>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公司报告期未出售资产。</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企业合并情况" w:id="68"/>
      <w:bookmarkEnd w:id="68"/>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公司股权激励的实施情况及其影响" w:id="69"/>
      <w:bookmarkEnd w:id="69"/>
      <w:r>
        <w:rPr>
          <w:b w:val="0"/>
          <w:bCs w:val="0"/>
        </w:rPr>
      </w:r>
      <w:r>
        <w:rPr/>
        <w:t>六、公司股权激励的实施情况及其影响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七、重大关联交易" w:id="70"/>
      <w:bookmarkEnd w:id="70"/>
      <w:r>
        <w:rPr>
          <w:b w:val="0"/>
          <w:bCs w:val="0"/>
        </w:rPr>
      </w:r>
      <w:r>
        <w:rPr/>
        <w:t>七、重大关联交易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与日常经营相关的关联交易" w:id="71"/>
      <w:bookmarkEnd w:id="7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公司报告期未发生与日常经营相关的重大关联交易。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资产收购、出售发生的关联交易" w:id="72"/>
      <w:bookmarkEnd w:id="72"/>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公司报告期未发生资产收购、出售的关联交易。</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3、共同对外投资的关联交易" w:id="73"/>
      <w:bookmarkEnd w:id="7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4、关联债权债务往来" w:id="74"/>
      <w:bookmarkEnd w:id="7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5、其他关联交易" w:id="75"/>
      <w:bookmarkEnd w:id="75"/>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公司报告期无其他关联交易。</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八、重大合同及其履行情况" w:id="76"/>
      <w:bookmarkEnd w:id="76"/>
      <w:r>
        <w:rPr>
          <w:b w:val="0"/>
          <w:bCs w:val="0"/>
        </w:rPr>
      </w:r>
      <w:r>
        <w:rPr/>
        <w:t>八、重大合同及其履行情况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承包、租赁事项情况" w:id="77"/>
      <w:bookmarkEnd w:id="7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情况" w:id="78"/>
      <w:bookmarkEnd w:id="7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承包情况" w:id="79"/>
      <w:bookmarkEnd w:id="7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3）租赁情况" w:id="80"/>
      <w:bookmarkEnd w:id="8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担保情况" w:id="81"/>
      <w:bookmarkEnd w:id="81"/>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3、其他重大合同" w:id="82"/>
      <w:bookmarkEnd w:id="82"/>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4、其他重大交易" w:id="83"/>
      <w:bookmarkEnd w:id="83"/>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九、承诺事项履行情况" w:id="84"/>
      <w:bookmarkEnd w:id="84"/>
      <w:r>
        <w:rPr>
          <w:b w:val="0"/>
          <w:bCs w:val="0"/>
        </w:rPr>
      </w:r>
      <w:r>
        <w:rPr/>
        <w:t>九、承诺事项履行情况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或持股5%以上股东在报告期内发生或以前期间发生但持续到报告期内的承诺事项" w:id="85"/>
      <w:bookmarkEnd w:id="85"/>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82"/>
        <w:gridCol w:w="1287"/>
        <w:gridCol w:w="1276"/>
        <w:gridCol w:w="1276"/>
        <w:gridCol w:w="1277"/>
        <w:gridCol w:w="1260"/>
      </w:tblGrid>
      <w:tr>
        <w:trPr>
          <w:trHeight w:val="402" w:hRule="exact"/>
        </w:trPr>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71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深圳市美盈森 环保科技股份 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根据深圳证券 </w:t>
            </w:r>
            <w:r>
              <w:rPr>
                <w:rFonts w:ascii="宋体" w:hAnsi="宋体" w:cs="宋体" w:eastAsia="宋体" w:hint="default"/>
                <w:spacing w:val="-6"/>
                <w:sz w:val="18"/>
                <w:szCs w:val="18"/>
              </w:rPr>
              <w:t>交易所《中小企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业板信息披露 业务备忘录第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pacing w:val="-15"/>
                <w:sz w:val="18"/>
                <w:szCs w:val="18"/>
              </w:rPr>
              <w:t>号：重大资产</w:t>
            </w:r>
          </w:p>
          <w:p>
            <w:pPr>
              <w:pStyle w:val="TableParagraph"/>
              <w:spacing w:line="316" w:lineRule="auto"/>
              <w:ind w:left="22" w:right="-17"/>
              <w:jc w:val="both"/>
              <w:rPr>
                <w:rFonts w:ascii="宋体" w:hAnsi="宋体" w:cs="宋体" w:eastAsia="宋体" w:hint="default"/>
                <w:sz w:val="18"/>
                <w:szCs w:val="18"/>
              </w:rPr>
            </w:pPr>
            <w:r>
              <w:rPr>
                <w:rFonts w:ascii="宋体" w:hAnsi="宋体" w:cs="宋体" w:eastAsia="宋体" w:hint="default"/>
                <w:sz w:val="18"/>
                <w:szCs w:val="18"/>
              </w:rPr>
              <w:t>重组相关事项》 等文件的规定， 承诺自公司</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314" w:lineRule="auto" w:before="63"/>
              <w:ind w:left="22" w:right="-17"/>
              <w:jc w:val="left"/>
              <w:rPr>
                <w:rFonts w:ascii="宋体" w:hAnsi="宋体" w:cs="宋体" w:eastAsia="宋体" w:hint="default"/>
                <w:sz w:val="18"/>
                <w:szCs w:val="18"/>
              </w:rPr>
            </w:pPr>
            <w:r>
              <w:rPr>
                <w:rFonts w:ascii="宋体" w:hAnsi="宋体" w:cs="宋体" w:eastAsia="宋体" w:hint="default"/>
                <w:spacing w:val="-6"/>
                <w:sz w:val="18"/>
                <w:szCs w:val="18"/>
              </w:rPr>
              <w:t>日披露《关于终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止筹划发行股 份购买资产事 项暨公司股票 </w:t>
            </w:r>
            <w:r>
              <w:rPr>
                <w:rFonts w:ascii="宋体" w:hAnsi="宋体" w:cs="宋体" w:eastAsia="宋体" w:hint="default"/>
                <w:spacing w:val="-6"/>
                <w:sz w:val="18"/>
                <w:szCs w:val="18"/>
              </w:rPr>
              <w:t>复牌公告》之日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起至少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个月内 不再筹划重大 资产重组事项。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sz w:val="18"/>
              </w:rPr>
              <w:t>2015-01-11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5394" w:hRule="exact"/>
        </w:trPr>
        <w:tc>
          <w:tcPr>
            <w:tcW w:w="32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王海鹏、王治军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在任职期间每 年转让的股份 不超过其持有 公司股份总数 的</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25%</w:t>
            </w:r>
            <w:r>
              <w:rPr>
                <w:rFonts w:ascii="宋体" w:hAnsi="宋体" w:cs="宋体" w:eastAsia="宋体" w:hint="default"/>
                <w:spacing w:val="-8"/>
                <w:sz w:val="18"/>
                <w:szCs w:val="18"/>
              </w:rPr>
              <w:t>；离职后</w:t>
            </w:r>
            <w:r>
              <w:rPr>
                <w:rFonts w:ascii="宋体" w:hAnsi="宋体" w:cs="宋体" w:eastAsia="宋体" w:hint="default"/>
                <w:sz w:val="18"/>
                <w:szCs w:val="18"/>
              </w:rPr>
              <w:t> </w:t>
            </w:r>
            <w:r>
              <w:rPr>
                <w:rFonts w:ascii="宋体" w:hAnsi="宋体" w:cs="宋体" w:eastAsia="宋体" w:hint="default"/>
                <w:spacing w:val="-6"/>
                <w:sz w:val="18"/>
                <w:szCs w:val="18"/>
              </w:rPr>
              <w:t>半年内，不转让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其持有的公司 </w:t>
            </w:r>
            <w:r>
              <w:rPr>
                <w:rFonts w:ascii="宋体" w:hAnsi="宋体" w:cs="宋体" w:eastAsia="宋体" w:hint="default"/>
                <w:spacing w:val="-6"/>
                <w:sz w:val="18"/>
                <w:szCs w:val="18"/>
              </w:rPr>
              <w:t>股份，在申报离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任六个月后的 十二个月内通 过证券交易所 挂牌交易出售 本公司股票数 量占其所持有 本公司股票总 数的比例不超 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2" w:right="145"/>
              <w:jc w:val="left"/>
              <w:rPr>
                <w:rFonts w:ascii="宋体" w:hAnsi="宋体" w:cs="宋体" w:eastAsia="宋体" w:hint="default"/>
                <w:sz w:val="18"/>
                <w:szCs w:val="18"/>
              </w:rPr>
            </w:pPr>
            <w:r>
              <w:rPr>
                <w:rFonts w:ascii="宋体" w:hAnsi="宋体" w:cs="宋体" w:eastAsia="宋体" w:hint="default"/>
                <w:sz w:val="18"/>
                <w:szCs w:val="18"/>
              </w:rPr>
              <w:t>正常履行过程 中</w:t>
            </w:r>
          </w:p>
        </w:tc>
      </w:tr>
      <w:tr>
        <w:trPr>
          <w:trHeight w:val="2235"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pacing w:val="-6"/>
                <w:sz w:val="18"/>
                <w:szCs w:val="18"/>
              </w:rPr>
              <w:t>目前不存在，将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来也不会存在 任何直接或间 接与被承诺方 集团的业务构 成竞争的业务， 亦不会以任何</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正常履行过程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317"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形式（包括但不</w:t>
            </w:r>
          </w:p>
        </w:tc>
        <w:tc>
          <w:tcPr>
            <w:tcW w:w="1276"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限于通过控股</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子公司、合资经</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营、合作经营或</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拥有在其他公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司或企业的股</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票或权益等）从</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事与被承诺方</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集团有竞争或</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构成竞争的业</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务；对于自己将</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来可能出现的</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下属全资子公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司、控股子公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司、能实际控制</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的其他企业、参</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股企业所从事</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的业务与被承</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诺方集团有竞</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争或构成竞争</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的情况，承诺在</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被承诺方集团</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提出要求时转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让自己在该等</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企业中的全部</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出资或股份。并</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承诺给予被承</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诺方集团对该</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等出资或股份</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的优先购买权，</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并尽力促使有</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关交易的价格</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是公平合理且</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基于与独立第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三者进行正常</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商业交易的基</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础确定；承诺不</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向其业务与被</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承诺方集团所</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从事的业务构</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成竞争的其他</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公司、企业或其</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他机构、组织或</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8"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个人提供销售</w:t>
            </w: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2547"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
              <w:jc w:val="left"/>
              <w:rPr>
                <w:rFonts w:ascii="宋体" w:hAnsi="宋体" w:cs="宋体" w:eastAsia="宋体" w:hint="default"/>
                <w:sz w:val="18"/>
                <w:szCs w:val="18"/>
              </w:rPr>
            </w:pPr>
            <w:r>
              <w:rPr>
                <w:rFonts w:ascii="宋体" w:hAnsi="宋体" w:cs="宋体" w:eastAsia="宋体" w:hint="default"/>
                <w:spacing w:val="-6"/>
                <w:sz w:val="18"/>
                <w:szCs w:val="18"/>
              </w:rPr>
              <w:t>渠道、客户信息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等商业秘密；承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诺赔偿被承诺 方集团因自己 违反本协议的 任何条款而遭 受或产生的任 何损失或开支。</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王海鹏、王治军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如因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11 </w:t>
            </w:r>
            <w:r>
              <w:rPr>
                <w:rFonts w:ascii="宋体" w:hAnsi="宋体" w:cs="宋体" w:eastAsia="宋体" w:hint="default"/>
                <w:sz w:val="18"/>
                <w:szCs w:val="18"/>
              </w:rPr>
              <w:t>月前没有为员 工缴纳养老及 </w:t>
            </w:r>
            <w:r>
              <w:rPr>
                <w:rFonts w:ascii="宋体" w:hAnsi="宋体" w:cs="宋体" w:eastAsia="宋体" w:hint="default"/>
                <w:spacing w:val="-6"/>
                <w:sz w:val="18"/>
                <w:szCs w:val="18"/>
              </w:rPr>
              <w:t>失业保险、住房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公积金而产生 补缴义务或公 司因此遭受任 </w:t>
            </w:r>
            <w:r>
              <w:rPr>
                <w:rFonts w:ascii="宋体" w:hAnsi="宋体" w:cs="宋体" w:eastAsia="宋体" w:hint="default"/>
                <w:spacing w:val="-6"/>
                <w:sz w:val="18"/>
                <w:szCs w:val="18"/>
              </w:rPr>
              <w:t>何损失，由王海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鹏、王治军以连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带责任形式对 公司进行补偿。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正常履行过程 中</w:t>
            </w: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86"/>
      <w:bookmarkEnd w:id="8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聘任、解聘会计师事务所情况" w:id="87"/>
      <w:bookmarkEnd w:id="87"/>
      <w:r>
        <w:rPr>
          <w:b w:val="0"/>
          <w:bCs w:val="0"/>
        </w:rPr>
      </w:r>
      <w:r>
        <w:rPr/>
        <w:t>十、聘任、解聘会计师事务所情况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陈菁佩 、陈鹏</w:t>
            </w:r>
          </w:p>
        </w:tc>
      </w:tr>
    </w:tbl>
    <w:p>
      <w:pPr>
        <w:pStyle w:val="BodyText"/>
        <w:spacing w:line="240" w:lineRule="auto" w:before="51"/>
        <w:ind w:left="154" w:right="0"/>
        <w:jc w:val="left"/>
      </w:pPr>
      <w:r>
        <w:rPr/>
        <w:t>当期是否改聘会计师事务所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一、监事会、独立董事（如适用）对会计师事务所本报告期“非标准审计报告”的说明" w:id="88"/>
      <w:bookmarkEnd w:id="88"/>
      <w:r>
        <w:rPr>
          <w:b w:val="0"/>
          <w:bCs w:val="0"/>
        </w:rPr>
      </w: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二、处罚及整改情况" w:id="89"/>
      <w:bookmarkEnd w:id="89"/>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年度报告披露后面临暂停上市和终止上市情况" w:id="90"/>
      <w:bookmarkEnd w:id="90"/>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其他重大事项的说明" w:id="91"/>
      <w:bookmarkEnd w:id="91"/>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57" w:lineRule="auto" w:before="102"/>
        <w:ind w:left="513" w:right="0"/>
        <w:jc w:val="left"/>
      </w:pPr>
      <w:r>
        <w:rPr/>
        <w:t>（一）关于控股子公司深圳市金之彩文化创意有限公司业绩承诺完成情况的说明： </w:t>
      </w:r>
      <w:r>
        <w:rPr>
          <w:spacing w:val="-2"/>
        </w:rPr>
        <w:t>按照公司与西藏新天地投资合伙企业（有限合伙）、欧阳宣及标的公司深圳市金之彩文化创意有限公司签订了《股权收</w:t>
      </w:r>
    </w:p>
    <w:p>
      <w:pPr>
        <w:pStyle w:val="BodyText"/>
        <w:spacing w:line="237" w:lineRule="exact"/>
        <w:ind w:right="0"/>
        <w:jc w:val="left"/>
        <w:rPr>
          <w:rFonts w:ascii="Times New Roman" w:hAnsi="Times New Roman" w:cs="Times New Roman" w:eastAsia="Times New Roman" w:hint="default"/>
        </w:rPr>
      </w:pPr>
      <w:r>
        <w:rPr/>
        <w:t>购协议》约定，金之彩和西藏新天地投资合伙企业（有限合伙）、欧阳宣共同承诺金之彩</w:t>
      </w:r>
      <w:r>
        <w:rPr>
          <w:rFonts w:ascii="Times New Roman" w:hAnsi="Times New Roman" w:cs="Times New Roman" w:eastAsia="Times New Roman" w:hint="default"/>
        </w:rPr>
        <w:t>2014</w:t>
      </w:r>
      <w:r>
        <w:rPr/>
        <w:t>年度经审计净利润不低于</w:t>
      </w:r>
      <w:r>
        <w:rPr>
          <w:rFonts w:ascii="Times New Roman" w:hAnsi="Times New Roman" w:cs="Times New Roman" w:eastAsia="Times New Roman" w:hint="default"/>
        </w:rPr>
        <w:t>4290</w:t>
      </w:r>
    </w:p>
    <w:p>
      <w:pPr>
        <w:pStyle w:val="BodyText"/>
        <w:spacing w:line="240" w:lineRule="auto" w:before="64"/>
        <w:ind w:right="0"/>
        <w:jc w:val="left"/>
      </w:pPr>
      <w:r>
        <w:rPr/>
        <w:t>万元。</w:t>
      </w:r>
    </w:p>
    <w:p>
      <w:pPr>
        <w:pStyle w:val="BodyText"/>
        <w:spacing w:line="302" w:lineRule="auto" w:before="116"/>
        <w:ind w:right="0" w:firstLine="360"/>
        <w:jc w:val="left"/>
      </w:pPr>
      <w:r>
        <w:rPr>
          <w:spacing w:val="-4"/>
        </w:rPr>
        <w:t>经大信会计师事务所（特殊普通合伙）的审计，金之彩</w:t>
      </w:r>
      <w:r>
        <w:rPr>
          <w:rFonts w:ascii="Times New Roman" w:hAnsi="Times New Roman" w:cs="Times New Roman" w:eastAsia="Times New Roman" w:hint="default"/>
          <w:spacing w:val="-4"/>
        </w:rPr>
        <w:t>2014</w:t>
      </w:r>
      <w:r>
        <w:rPr>
          <w:spacing w:val="-4"/>
        </w:rPr>
        <w:t>年度实现营业收入</w:t>
      </w:r>
      <w:r>
        <w:rPr>
          <w:rFonts w:ascii="Times New Roman" w:hAnsi="Times New Roman" w:cs="Times New Roman" w:eastAsia="Times New Roman" w:hint="default"/>
          <w:spacing w:val="-4"/>
        </w:rPr>
        <w:t>187,418,350.28</w:t>
      </w:r>
      <w:r>
        <w:rPr>
          <w:spacing w:val="-4"/>
        </w:rPr>
        <w:t>元，实现净利润</w:t>
      </w:r>
      <w:r>
        <w:rPr>
          <w:rFonts w:ascii="Times New Roman" w:hAnsi="Times New Roman" w:cs="Times New Roman" w:eastAsia="Times New Roman" w:hint="default"/>
          <w:spacing w:val="-4"/>
        </w:rPr>
        <w:t>23,492,533.80</w:t>
      </w:r>
      <w:r>
        <w:rPr>
          <w:rFonts w:ascii="Times New Roman" w:hAnsi="Times New Roman" w:cs="Times New Roman" w:eastAsia="Times New Roman" w:hint="default"/>
        </w:rPr>
        <w:t> </w:t>
      </w:r>
      <w:r>
        <w:rPr/>
        <w:t>元，未实现承诺的净利润指标。</w:t>
      </w:r>
    </w:p>
    <w:p>
      <w:pPr>
        <w:pStyle w:val="BodyText"/>
        <w:spacing w:line="302" w:lineRule="auto" w:before="68"/>
        <w:ind w:right="0" w:firstLine="360"/>
        <w:jc w:val="left"/>
      </w:pPr>
      <w:r>
        <w:rPr>
          <w:spacing w:val="-2"/>
        </w:rPr>
        <w:t>按照《股权收购协议》约定，公司将在支付剩余部分收购款项时按照协议约定扣减</w:t>
      </w:r>
      <w:r>
        <w:rPr>
          <w:rFonts w:ascii="Times New Roman" w:hAnsi="Times New Roman" w:cs="Times New Roman" w:eastAsia="Times New Roman" w:hint="default"/>
          <w:spacing w:val="-2"/>
        </w:rPr>
        <w:t>2014</w:t>
      </w:r>
      <w:r>
        <w:rPr>
          <w:spacing w:val="-2"/>
        </w:rPr>
        <w:t>年经审计的净利润与所承诺业绩</w:t>
      </w:r>
      <w:r>
        <w:rPr/>
        <w:t> 之间的差额部分</w:t>
      </w:r>
      <w:r>
        <w:rPr>
          <w:rFonts w:ascii="Times New Roman" w:hAnsi="Times New Roman" w:cs="Times New Roman" w:eastAsia="Times New Roman" w:hint="default"/>
        </w:rPr>
        <w:t>19,407,466.2</w:t>
      </w:r>
      <w:r>
        <w:rPr/>
        <w:t>元。</w:t>
      </w:r>
    </w:p>
    <w:p>
      <w:pPr>
        <w:pStyle w:val="BodyText"/>
        <w:spacing w:line="240" w:lineRule="auto" w:before="50"/>
        <w:ind w:left="514" w:right="0"/>
        <w:jc w:val="left"/>
      </w:pPr>
      <w:r>
        <w:rPr/>
        <w:t>公司将加大力度协助金之彩及经营管理团队拓展市场、加强成本管控、提升经营效率以实现经营业绩的提升。</w:t>
      </w:r>
    </w:p>
    <w:p>
      <w:pPr>
        <w:pStyle w:val="BodyText"/>
        <w:spacing w:line="348" w:lineRule="auto" w:before="117"/>
        <w:ind w:left="513" w:right="1783"/>
        <w:jc w:val="left"/>
      </w:pPr>
      <w:r>
        <w:rPr/>
        <w:t>（二）关于《深圳证监局关于对王海鹏、王治军采取出具警示函措施的决定》的情况说明 公司持股</w:t>
      </w:r>
      <w:r>
        <w:rPr>
          <w:rFonts w:ascii="Times New Roman" w:hAnsi="Times New Roman" w:cs="Times New Roman" w:eastAsia="Times New Roman" w:hint="default"/>
        </w:rPr>
        <w:t>5%</w:t>
      </w:r>
      <w:r>
        <w:rPr/>
        <w:t>以上股东王海鹏、王治军于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23</w:t>
      </w:r>
      <w:r>
        <w:rPr/>
        <w:t>日收到深圳证监局行政监管措施决定书，具体内容如下： </w:t>
      </w:r>
      <w:r>
        <w:rPr>
          <w:rFonts w:ascii="Times New Roman" w:hAnsi="Times New Roman" w:cs="Times New Roman" w:eastAsia="Times New Roman" w:hint="default"/>
        </w:rPr>
        <w:t>1</w:t>
      </w:r>
      <w:r>
        <w:rPr/>
        <w:t>、《深圳证监局关于对王海鹏采取出具警示函措施的决定》</w:t>
      </w:r>
    </w:p>
    <w:p>
      <w:pPr>
        <w:pStyle w:val="BodyText"/>
        <w:spacing w:line="357" w:lineRule="auto" w:before="14"/>
        <w:ind w:left="514" w:right="9492"/>
        <w:jc w:val="left"/>
      </w:pPr>
      <w:r>
        <w:rPr/>
        <w:t>正文如下： “王海鹏：</w:t>
      </w:r>
    </w:p>
    <w:p>
      <w:pPr>
        <w:pStyle w:val="BodyText"/>
        <w:spacing w:line="304" w:lineRule="auto" w:before="26"/>
        <w:ind w:right="0" w:firstLine="360"/>
        <w:jc w:val="left"/>
      </w:pPr>
      <w:r>
        <w:rPr>
          <w:spacing w:val="-4"/>
        </w:rPr>
        <w:t>你作为深圳市美盈森环保科技股份有限公司（以下简称“美盈森”或公司）的控股股东、实际控制人、董事长兼总经理，</w:t>
      </w:r>
      <w:r>
        <w:rPr/>
        <w:t> 在</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日期间，与亲属王治军等一致行动人先后合计减持公司股份</w:t>
      </w:r>
      <w:r>
        <w:rPr>
          <w:rFonts w:ascii="Times New Roman" w:hAnsi="Times New Roman" w:cs="Times New Roman" w:eastAsia="Times New Roman" w:hint="default"/>
        </w:rPr>
        <w:t>7652.35</w:t>
      </w:r>
      <w:r>
        <w:rPr/>
        <w:t>万股，占公司总股份的 </w:t>
      </w:r>
      <w:r>
        <w:rPr>
          <w:rFonts w:ascii="Times New Roman" w:hAnsi="Times New Roman" w:cs="Times New Roman" w:eastAsia="Times New Roman" w:hint="default"/>
          <w:spacing w:val="-2"/>
        </w:rPr>
        <w:t>12.25%</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25</w:t>
      </w:r>
      <w:r>
        <w:rPr>
          <w:spacing w:val="-2"/>
        </w:rPr>
        <w:t>日，你和王治军等一致行动人在减持美盈森股份达到</w:t>
      </w:r>
      <w:r>
        <w:rPr>
          <w:rFonts w:ascii="Times New Roman" w:hAnsi="Times New Roman" w:cs="Times New Roman" w:eastAsia="Times New Roman" w:hint="default"/>
          <w:spacing w:val="-2"/>
        </w:rPr>
        <w:t>5%</w:t>
      </w:r>
      <w:r>
        <w:rPr>
          <w:spacing w:val="-2"/>
        </w:rPr>
        <w:t>时，没有及时履行报告、公告义务并停止减持</w:t>
      </w:r>
      <w:r>
        <w:rPr>
          <w:spacing w:val="-38"/>
        </w:rPr>
        <w:t> </w:t>
      </w:r>
      <w:r>
        <w:rPr>
          <w:spacing w:val="-38"/>
        </w:rPr>
      </w:r>
      <w:r>
        <w:rPr>
          <w:spacing w:val="-2"/>
        </w:rPr>
        <w:t>公司股票，直至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23</w:t>
      </w:r>
      <w:r>
        <w:rPr>
          <w:spacing w:val="-2"/>
        </w:rPr>
        <w:t>日，你和王治军两人才分别披露了各自的《简式权益变动报告书》。上述行为违反了《证券法》</w:t>
      </w:r>
      <w:r>
        <w:rPr>
          <w:spacing w:val="-59"/>
        </w:rPr>
        <w:t> </w:t>
      </w:r>
      <w:r>
        <w:rPr>
          <w:spacing w:val="-59"/>
        </w:rPr>
      </w:r>
      <w:r>
        <w:rPr/>
        <w:t>第八十六条和《上市公司收购管理办法》第十三条的规定。</w:t>
      </w:r>
    </w:p>
    <w:p>
      <w:pPr>
        <w:pStyle w:val="BodyText"/>
        <w:spacing w:line="312" w:lineRule="auto" w:before="67"/>
        <w:ind w:right="1132" w:firstLine="360"/>
        <w:jc w:val="both"/>
      </w:pPr>
      <w:r>
        <w:rPr>
          <w:spacing w:val="-1"/>
        </w:rPr>
        <w:t>我局关注到，你在</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22</w:t>
      </w:r>
      <w:r>
        <w:rPr>
          <w:spacing w:val="-1"/>
        </w:rPr>
        <w:t>日单独减持公司股份比例达到</w:t>
      </w:r>
      <w:r>
        <w:rPr>
          <w:rFonts w:ascii="Times New Roman" w:hAnsi="Times New Roman" w:cs="Times New Roman" w:eastAsia="Times New Roman" w:hint="default"/>
          <w:spacing w:val="-1"/>
        </w:rPr>
        <w:t>5%</w:t>
      </w:r>
      <w:r>
        <w:rPr>
          <w:spacing w:val="-1"/>
        </w:rPr>
        <w:t>时履行了报告、公告义务，并停止减持公司股票；相关</w:t>
      </w:r>
      <w:r>
        <w:rPr/>
        <w:t> </w:t>
      </w:r>
      <w:r>
        <w:rPr>
          <w:spacing w:val="-2"/>
        </w:rPr>
        <w:t>亲属关系等构成一致行动人的情形已在招股说明书和定期报告中披露，不存在故意隐瞒；上述行为发生后，你通过公司向市</w:t>
      </w:r>
      <w:r>
        <w:rPr>
          <w:spacing w:val="-66"/>
        </w:rPr>
        <w:t> </w:t>
      </w:r>
      <w:r>
        <w:rPr>
          <w:spacing w:val="-66"/>
        </w:rPr>
      </w:r>
      <w:r>
        <w:rPr>
          <w:spacing w:val="-2"/>
        </w:rPr>
        <w:t>场致歉积极消除不良影响。鉴于上述情况，根据《上市公司收购管理办法》第七十五条的规定，我局决定对你采取出具警示</w:t>
      </w:r>
      <w:r>
        <w:rPr>
          <w:spacing w:val="-66"/>
        </w:rPr>
        <w:t> </w:t>
      </w:r>
      <w:r>
        <w:rPr>
          <w:spacing w:val="-66"/>
        </w:rPr>
      </w:r>
      <w:r>
        <w:rPr/>
        <w:t>函的监管措施。</w:t>
      </w:r>
    </w:p>
    <w:p>
      <w:pPr>
        <w:pStyle w:val="BodyText"/>
        <w:spacing w:line="302" w:lineRule="auto" w:before="61"/>
        <w:ind w:right="1123" w:firstLine="360"/>
        <w:jc w:val="left"/>
      </w:pPr>
      <w:r>
        <w:rPr>
          <w:spacing w:val="-2"/>
        </w:rPr>
        <w:t>如果对本监督管理措施实施不服，可以在收到本决定书之日起</w:t>
      </w:r>
      <w:r>
        <w:rPr>
          <w:rFonts w:ascii="Times New Roman" w:hAnsi="Times New Roman" w:cs="Times New Roman" w:eastAsia="Times New Roman" w:hint="default"/>
          <w:spacing w:val="-2"/>
        </w:rPr>
        <w:t>60</w:t>
      </w:r>
      <w:r>
        <w:rPr>
          <w:spacing w:val="-2"/>
        </w:rPr>
        <w:t>日内向中国证券监督管理委员会提出行政复议申请，也</w:t>
      </w:r>
      <w:r>
        <w:rPr/>
        <w:t> 可以在收到本决定书之日起</w:t>
      </w:r>
      <w:r>
        <w:rPr>
          <w:rFonts w:ascii="Times New Roman" w:hAnsi="Times New Roman" w:cs="Times New Roman" w:eastAsia="Times New Roman" w:hint="default"/>
        </w:rPr>
        <w:t>3</w:t>
      </w:r>
      <w:r>
        <w:rPr/>
        <w:t>个月内向有管辖权的人民法院提起诉讼。复议与诉讼期间，上述监督管理措施不停止执行。”</w:t>
      </w:r>
    </w:p>
    <w:p>
      <w:pPr>
        <w:pStyle w:val="BodyText"/>
        <w:spacing w:line="340" w:lineRule="auto" w:before="50"/>
        <w:ind w:left="514" w:right="5622"/>
        <w:jc w:val="left"/>
      </w:pPr>
      <w:r>
        <w:rPr>
          <w:rFonts w:ascii="Times New Roman" w:hAnsi="Times New Roman" w:cs="Times New Roman" w:eastAsia="Times New Roman" w:hint="default"/>
        </w:rPr>
        <w:t>2</w:t>
      </w:r>
      <w:r>
        <w:rPr/>
        <w:t>、《深圳证监局关于对王治军采取出具警示函措施的决定》 正文如下：</w:t>
      </w:r>
    </w:p>
    <w:p>
      <w:pPr>
        <w:spacing w:after="0" w:line="3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3" w:right="1026"/>
        <w:jc w:val="left"/>
      </w:pPr>
      <w:r>
        <w:rPr/>
        <w:t>“王治军： </w:t>
      </w:r>
      <w:r>
        <w:rPr>
          <w:spacing w:val="-1"/>
        </w:rPr>
        <w:t>你作为深圳市美盈森环保科技股份有限公司（以下简称“美盈森”或公司）持股</w:t>
      </w:r>
      <w:r>
        <w:rPr>
          <w:rFonts w:ascii="Times New Roman" w:hAnsi="Times New Roman" w:cs="Times New Roman" w:eastAsia="Times New Roman" w:hint="default"/>
          <w:spacing w:val="-1"/>
        </w:rPr>
        <w:t>5%</w:t>
      </w:r>
      <w:r>
        <w:rPr>
          <w:spacing w:val="-1"/>
        </w:rPr>
        <w:t>以上的股东、公司董事兼副总经理，</w:t>
      </w:r>
    </w:p>
    <w:p>
      <w:pPr>
        <w:pStyle w:val="BodyText"/>
        <w:spacing w:line="214" w:lineRule="exact"/>
        <w:ind w:left="154" w:right="0"/>
        <w:jc w:val="left"/>
      </w:pPr>
      <w:r>
        <w:rPr/>
        <w:t>在</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日期间，与亲属王海鹏等一致行动人先后合计减持公司股份</w:t>
      </w:r>
      <w:r>
        <w:rPr>
          <w:rFonts w:ascii="Times New Roman" w:hAnsi="Times New Roman" w:cs="Times New Roman" w:eastAsia="Times New Roman" w:hint="default"/>
        </w:rPr>
        <w:t>7652.35</w:t>
      </w:r>
      <w:r>
        <w:rPr/>
        <w:t>万股，占公司总股份的</w:t>
      </w:r>
    </w:p>
    <w:p>
      <w:pPr>
        <w:pStyle w:val="BodyText"/>
        <w:spacing w:line="302" w:lineRule="auto" w:before="63"/>
        <w:ind w:right="0"/>
        <w:jc w:val="left"/>
      </w:pPr>
      <w:r>
        <w:rPr>
          <w:rFonts w:ascii="Times New Roman" w:hAnsi="Times New Roman" w:cs="Times New Roman" w:eastAsia="Times New Roman" w:hint="default"/>
          <w:spacing w:val="-2"/>
        </w:rPr>
        <w:t>12.25%</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25</w:t>
      </w:r>
      <w:r>
        <w:rPr>
          <w:spacing w:val="-2"/>
        </w:rPr>
        <w:t>日，你和王海鹏等一致行动人在减持美盈森股份达到</w:t>
      </w:r>
      <w:r>
        <w:rPr>
          <w:rFonts w:ascii="Times New Roman" w:hAnsi="Times New Roman" w:cs="Times New Roman" w:eastAsia="Times New Roman" w:hint="default"/>
          <w:spacing w:val="-2"/>
        </w:rPr>
        <w:t>5%</w:t>
      </w:r>
      <w:r>
        <w:rPr>
          <w:spacing w:val="-2"/>
        </w:rPr>
        <w:t>时，没有及时履行报告、公告义务并停止减持</w:t>
      </w:r>
      <w:r>
        <w:rPr>
          <w:spacing w:val="-39"/>
        </w:rPr>
        <w:t> </w:t>
      </w:r>
      <w:r>
        <w:rPr>
          <w:spacing w:val="-39"/>
        </w:rPr>
      </w:r>
      <w:r>
        <w:rPr>
          <w:spacing w:val="-2"/>
        </w:rPr>
        <w:t>公司股票，直至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23</w:t>
      </w:r>
      <w:r>
        <w:rPr>
          <w:spacing w:val="-2"/>
        </w:rPr>
        <w:t>日，你和王海鹏两人才分别披露了各自的《简式权益变动报告书》。上述行为违反了《证券法》</w:t>
      </w:r>
      <w:r>
        <w:rPr>
          <w:spacing w:val="-60"/>
        </w:rPr>
        <w:t> </w:t>
      </w:r>
      <w:r>
        <w:rPr>
          <w:spacing w:val="-60"/>
        </w:rPr>
      </w:r>
      <w:r>
        <w:rPr/>
        <w:t>第八十六条和《上市公司收购管理办法》第十三条的规定。</w:t>
      </w:r>
    </w:p>
    <w:p>
      <w:pPr>
        <w:pStyle w:val="BodyText"/>
        <w:spacing w:line="312" w:lineRule="auto" w:before="69"/>
        <w:ind w:right="1132" w:firstLine="360"/>
        <w:jc w:val="both"/>
      </w:pPr>
      <w:r>
        <w:rPr>
          <w:spacing w:val="-1"/>
        </w:rPr>
        <w:t>我局关注到，你在</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21</w:t>
      </w:r>
      <w:r>
        <w:rPr>
          <w:spacing w:val="-1"/>
        </w:rPr>
        <w:t>日单独减持公司股份比例达到</w:t>
      </w:r>
      <w:r>
        <w:rPr>
          <w:rFonts w:ascii="Times New Roman" w:hAnsi="Times New Roman" w:cs="Times New Roman" w:eastAsia="Times New Roman" w:hint="default"/>
          <w:spacing w:val="-1"/>
        </w:rPr>
        <w:t>5%</w:t>
      </w:r>
      <w:r>
        <w:rPr>
          <w:spacing w:val="-1"/>
        </w:rPr>
        <w:t>时履行了报告、公告义务，并停止减持公司股票；相关</w:t>
      </w:r>
      <w:r>
        <w:rPr/>
        <w:t> </w:t>
      </w:r>
      <w:r>
        <w:rPr>
          <w:spacing w:val="-2"/>
        </w:rPr>
        <w:t>亲属关系等构成一致行动人的情形已在招股说明书和定期报告中披露，不存在故意隐瞒；上述行为发生后，你通过公司向市</w:t>
      </w:r>
      <w:r>
        <w:rPr>
          <w:spacing w:val="-66"/>
        </w:rPr>
        <w:t> </w:t>
      </w:r>
      <w:r>
        <w:rPr>
          <w:spacing w:val="-66"/>
        </w:rPr>
      </w:r>
      <w:r>
        <w:rPr>
          <w:spacing w:val="-2"/>
        </w:rPr>
        <w:t>场致歉积极消除不良影响。鉴于上述情况，根据《上市公司收购管理办法》第七十五条的规定，我局决定对你采取出具警示</w:t>
      </w:r>
      <w:r>
        <w:rPr>
          <w:spacing w:val="-66"/>
        </w:rPr>
        <w:t> </w:t>
      </w:r>
      <w:r>
        <w:rPr>
          <w:spacing w:val="-66"/>
        </w:rPr>
      </w:r>
      <w:r>
        <w:rPr/>
        <w:t>函的监管措施。</w:t>
      </w:r>
    </w:p>
    <w:p>
      <w:pPr>
        <w:pStyle w:val="BodyText"/>
        <w:spacing w:line="319" w:lineRule="auto" w:before="61"/>
        <w:ind w:right="1131" w:firstLine="360"/>
        <w:jc w:val="right"/>
      </w:pPr>
      <w:r>
        <w:rPr>
          <w:spacing w:val="-2"/>
        </w:rPr>
        <w:t>如果对本监督管理措施实施不服，可以在收到本决定书之日起</w:t>
      </w:r>
      <w:r>
        <w:rPr>
          <w:rFonts w:ascii="Times New Roman" w:hAnsi="Times New Roman" w:cs="Times New Roman" w:eastAsia="Times New Roman" w:hint="default"/>
          <w:spacing w:val="-2"/>
        </w:rPr>
        <w:t>60</w:t>
      </w:r>
      <w:r>
        <w:rPr>
          <w:spacing w:val="-2"/>
        </w:rPr>
        <w:t>日内向中国证券监督管理委员会提出行政复议申请，也</w:t>
      </w:r>
      <w:r>
        <w:rPr/>
        <w:t> 可以在收到本决定书之日起</w:t>
      </w:r>
      <w:r>
        <w:rPr>
          <w:rFonts w:ascii="Times New Roman" w:hAnsi="Times New Roman" w:cs="Times New Roman" w:eastAsia="Times New Roman" w:hint="default"/>
        </w:rPr>
        <w:t>3</w:t>
      </w:r>
      <w:r>
        <w:rPr/>
        <w:t>个月内向有管辖权的人民法院提起诉讼。复议与诉讼期间，上述监督管理措施不停止执行。” </w:t>
      </w:r>
      <w:r>
        <w:rPr>
          <w:spacing w:val="-1"/>
          <w:w w:val="95"/>
        </w:rPr>
        <w:t>针对深圳证监局指出的上述问题，公司于</w:t>
      </w:r>
      <w:r>
        <w:rPr>
          <w:rFonts w:ascii="Times New Roman" w:hAnsi="Times New Roman" w:cs="Times New Roman" w:eastAsia="Times New Roman" w:hint="default"/>
          <w:spacing w:val="-1"/>
          <w:w w:val="95"/>
        </w:rPr>
        <w:t>2015</w:t>
      </w:r>
      <w:r>
        <w:rPr>
          <w:spacing w:val="-1"/>
          <w:w w:val="95"/>
        </w:rPr>
        <w:t>年</w:t>
      </w:r>
      <w:r>
        <w:rPr>
          <w:rFonts w:ascii="Times New Roman" w:hAnsi="Times New Roman" w:cs="Times New Roman" w:eastAsia="Times New Roman" w:hint="default"/>
          <w:spacing w:val="-1"/>
          <w:w w:val="95"/>
        </w:rPr>
        <w:t>3</w:t>
      </w:r>
      <w:r>
        <w:rPr>
          <w:spacing w:val="-1"/>
          <w:w w:val="95"/>
        </w:rPr>
        <w:t>月</w:t>
      </w:r>
      <w:r>
        <w:rPr>
          <w:rFonts w:ascii="Times New Roman" w:hAnsi="Times New Roman" w:cs="Times New Roman" w:eastAsia="Times New Roman" w:hint="default"/>
          <w:spacing w:val="-1"/>
          <w:w w:val="95"/>
        </w:rPr>
        <w:t>31</w:t>
      </w:r>
      <w:r>
        <w:rPr>
          <w:spacing w:val="-1"/>
          <w:w w:val="95"/>
        </w:rPr>
        <w:t>日披露了《关于持股</w:t>
      </w:r>
      <w:r>
        <w:rPr>
          <w:rFonts w:ascii="Times New Roman" w:hAnsi="Times New Roman" w:cs="Times New Roman" w:eastAsia="Times New Roman" w:hint="default"/>
          <w:spacing w:val="-1"/>
          <w:w w:val="95"/>
        </w:rPr>
        <w:t>5%</w:t>
      </w:r>
      <w:r>
        <w:rPr>
          <w:spacing w:val="-1"/>
          <w:w w:val="95"/>
        </w:rPr>
        <w:t>以上股东权益变动情况的说明公告》，公</w:t>
      </w:r>
    </w:p>
    <w:p>
      <w:pPr>
        <w:pStyle w:val="BodyText"/>
        <w:spacing w:line="357" w:lineRule="auto"/>
        <w:ind w:left="513" w:right="0" w:hanging="360"/>
        <w:jc w:val="left"/>
      </w:pPr>
      <w:r>
        <w:rPr/>
        <w:t>告就股东王海鹏、王治军关于本次权益变动相关事项发生的原因的说明进行了披露，具体内容如下： </w:t>
      </w:r>
      <w:r>
        <w:rPr>
          <w:spacing w:val="-2"/>
        </w:rPr>
        <w:t>“王海鹏、王治军双方虽为兄弟关系，但双方不存在通过协议、其他安排，共同扩大所能够支配的公司股份表决权数量</w:t>
      </w:r>
    </w:p>
    <w:p>
      <w:pPr>
        <w:pStyle w:val="BodyText"/>
        <w:spacing w:line="224" w:lineRule="exact"/>
        <w:ind w:right="0"/>
        <w:jc w:val="left"/>
      </w:pPr>
      <w:r>
        <w:rPr/>
        <w:t>的行为或者事实，而且在过往行使作为公司股东的表决权之时均依照各自的意思表示，独立行使表决权，不存在共同提案、</w:t>
      </w:r>
    </w:p>
    <w:p>
      <w:pPr>
        <w:pStyle w:val="BodyText"/>
        <w:spacing w:line="319" w:lineRule="auto" w:before="76"/>
        <w:ind w:right="1131"/>
        <w:jc w:val="both"/>
      </w:pPr>
      <w:r>
        <w:rPr>
          <w:spacing w:val="-2"/>
        </w:rPr>
        <w:t>共同推荐董事、委托行使未注明投票意向的表决权等共同意思表示的情形。据此不全面的认识，王海鹏、王治军双方未将对</w:t>
      </w:r>
      <w:r>
        <w:rPr>
          <w:spacing w:val="-66"/>
        </w:rPr>
        <w:t> </w:t>
      </w:r>
      <w:r>
        <w:rPr>
          <w:spacing w:val="-66"/>
        </w:rPr>
      </w:r>
      <w:r>
        <w:rPr>
          <w:spacing w:val="-2"/>
        </w:rPr>
        <w:t>方作为一致行动人。因此，双方在发生持有公司权益变动中未能按照相关法律法规关于投资者及其一致行动人持股应合并计</w:t>
      </w:r>
      <w:r>
        <w:rPr>
          <w:spacing w:val="-64"/>
        </w:rPr>
        <w:t> </w:t>
      </w:r>
      <w:r>
        <w:rPr>
          <w:spacing w:val="-64"/>
        </w:rPr>
      </w:r>
      <w:r>
        <w:rPr/>
        <w:t>算而履行报告和公告义务。</w:t>
      </w:r>
    </w:p>
    <w:p>
      <w:pPr>
        <w:pStyle w:val="BodyText"/>
        <w:spacing w:line="319" w:lineRule="auto" w:before="55"/>
        <w:ind w:right="1130" w:firstLine="360"/>
        <w:jc w:val="both"/>
      </w:pPr>
      <w:r>
        <w:rPr>
          <w:spacing w:val="-2"/>
        </w:rPr>
        <w:t>后经认真学习并深入理解相关法律法规，两位股东认识到双方符合相关法律法规关于一致行动人认定的情形，应作为一</w:t>
      </w:r>
      <w:r>
        <w:rPr/>
        <w:t> </w:t>
      </w:r>
      <w:r>
        <w:rPr>
          <w:spacing w:val="-2"/>
        </w:rPr>
        <w:t>致行动人而遵守上市公司股东权益变动的相关规定。本次权益变动未能严格履行报告和公告义务系股东对法律、法规的适用</w:t>
      </w:r>
      <w:r>
        <w:rPr>
          <w:spacing w:val="-64"/>
        </w:rPr>
        <w:t> </w:t>
      </w:r>
      <w:r>
        <w:rPr>
          <w:spacing w:val="-64"/>
        </w:rPr>
      </w:r>
      <w:r>
        <w:rPr/>
        <w:t>和认知存在误解所致。”</w:t>
      </w:r>
    </w:p>
    <w:p>
      <w:pPr>
        <w:pStyle w:val="BodyText"/>
        <w:spacing w:line="240" w:lineRule="auto" w:before="55"/>
        <w:ind w:left="0" w:right="1039"/>
        <w:jc w:val="right"/>
      </w:pPr>
      <w:r>
        <w:rPr>
          <w:spacing w:val="-1"/>
        </w:rPr>
        <w:t>针对深圳证监局指出的上述问题及采取出具警示函措施的决定，公司将加强持有公司股份</w:t>
      </w:r>
      <w:r>
        <w:rPr>
          <w:rFonts w:ascii="Times New Roman" w:hAnsi="Times New Roman" w:cs="Times New Roman" w:eastAsia="Times New Roman" w:hint="default"/>
          <w:spacing w:val="-1"/>
        </w:rPr>
        <w:t>5%</w:t>
      </w:r>
      <w:r>
        <w:rPr>
          <w:spacing w:val="-1"/>
        </w:rPr>
        <w:t>以上的股东对《公司法》、</w:t>
      </w:r>
    </w:p>
    <w:p>
      <w:pPr>
        <w:pStyle w:val="BodyText"/>
        <w:spacing w:line="312" w:lineRule="auto" w:before="63"/>
        <w:ind w:right="1033"/>
        <w:jc w:val="left"/>
      </w:pPr>
      <w:r>
        <w:rPr>
          <w:spacing w:val="-2"/>
        </w:rPr>
        <w:t>《证券法》、《上市公司收购管理办法》等相关法律、法规的学习，坚决避免此类事项再次发生；王海鹏、王治军承诺未来</w:t>
      </w:r>
      <w:r>
        <w:rPr>
          <w:spacing w:val="-67"/>
        </w:rPr>
        <w:t> </w:t>
      </w:r>
      <w:r>
        <w:rPr>
          <w:spacing w:val="-67"/>
        </w:rPr>
      </w:r>
      <w:r>
        <w:rPr/>
        <w:t>在持有公司股份权益变动过程中，严格按照《证券法》、《上市公司收购管理办法》的有关规定履行报告和信息披露义务。 公司股东及时做出了包括承诺整改、公开致歉等整改措施。前述相关整改措施，公司已经在《关于持股</w:t>
      </w:r>
      <w:r>
        <w:rPr>
          <w:rFonts w:ascii="Times New Roman" w:hAnsi="Times New Roman" w:cs="Times New Roman" w:eastAsia="Times New Roman" w:hint="default"/>
        </w:rPr>
        <w:t>5%</w:t>
      </w:r>
      <w:r>
        <w:rPr/>
        <w:t>以上股东权益变 动情况的说明公告》中予以披露。</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bookmarkStart w:name="十五、公司子公司重要事项" w:id="92"/>
      <w:bookmarkEnd w:id="92"/>
      <w:r>
        <w:rPr>
          <w:b w:val="0"/>
          <w:bCs w:val="0"/>
        </w:rPr>
      </w:r>
      <w:r>
        <w:rPr/>
        <w:t>十五、公司子公司重要事项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pStyle w:val="BodyText"/>
        <w:spacing w:line="300" w:lineRule="auto" w:before="116"/>
        <w:ind w:right="1130"/>
        <w:jc w:val="both"/>
      </w:pPr>
      <w:r>
        <w:rPr/>
        <w:t>公司全资子公司美盈森（香港）国际控股有限公司以人民币</w:t>
      </w:r>
      <w:r>
        <w:rPr>
          <w:rFonts w:ascii="Times New Roman" w:hAnsi="Times New Roman" w:cs="Times New Roman" w:eastAsia="Times New Roman" w:hint="default"/>
        </w:rPr>
        <w:t>3,264</w:t>
      </w:r>
      <w:r>
        <w:rPr/>
        <w:t>万元对应的美元金额收购汇天云网集团有限公司</w:t>
      </w:r>
      <w:r>
        <w:rPr>
          <w:rFonts w:ascii="Times New Roman" w:hAnsi="Times New Roman" w:cs="Times New Roman" w:eastAsia="Times New Roman" w:hint="default"/>
        </w:rPr>
        <w:t>51%</w:t>
      </w:r>
      <w:r>
        <w:rPr/>
        <w:t>的股</w:t>
      </w:r>
      <w:r>
        <w:rPr>
          <w:spacing w:val="-15"/>
        </w:rPr>
        <w:t> </w:t>
      </w:r>
      <w:r>
        <w:rPr/>
        <w:t>权。具体内容详见公司于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日在《证券时报》及巨潮资讯网（</w:t>
      </w:r>
      <w:hyperlink r:id="rId11">
        <w:r>
          <w:rPr>
            <w:rFonts w:ascii="Times New Roman" w:hAnsi="Times New Roman" w:cs="Times New Roman" w:eastAsia="Times New Roman" w:hint="default"/>
          </w:rPr>
          <w:t>www.cninfo.com.cn</w:t>
        </w:r>
      </w:hyperlink>
      <w:r>
        <w:rPr/>
        <w:t>）披露的《关于全资子公司美</w:t>
      </w:r>
      <w:r>
        <w:rPr>
          <w:spacing w:val="-29"/>
        </w:rPr>
        <w:t> </w:t>
      </w:r>
      <w:r>
        <w:rPr>
          <w:spacing w:val="-29"/>
        </w:rPr>
      </w:r>
      <w:r>
        <w:rPr/>
        <w:t>盈森（香港）国际控股有限公司收购汇天云网集团有限公司</w:t>
      </w:r>
      <w:r>
        <w:rPr>
          <w:rFonts w:ascii="Times New Roman" w:hAnsi="Times New Roman" w:cs="Times New Roman" w:eastAsia="Times New Roman" w:hint="default"/>
        </w:rPr>
        <w:t>51%</w:t>
      </w:r>
      <w:r>
        <w:rPr/>
        <w:t>股权的公告》（公告编号：</w:t>
      </w:r>
      <w:r>
        <w:rPr>
          <w:rFonts w:ascii="Times New Roman" w:hAnsi="Times New Roman" w:cs="Times New Roman" w:eastAsia="Times New Roman" w:hint="default"/>
        </w:rPr>
        <w:t>2014-049</w:t>
      </w:r>
      <w:r>
        <w:rPr/>
        <w:t>）。</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十六、公司发行公司债券的情况" w:id="93"/>
      <w:bookmarkEnd w:id="93"/>
      <w:r>
        <w:rPr>
          <w:b w:val="0"/>
          <w:bCs w:val="0"/>
        </w:rPr>
      </w:r>
      <w:r>
        <w:rPr/>
        <w:t>十六、公司发行公司债券的情况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94"/>
      <w:bookmarkEnd w:id="94"/>
      <w:r>
        <w:rPr>
          <w:b w:val="0"/>
          <w:bCs w:val="0"/>
        </w:rPr>
      </w:r>
      <w:bookmarkStart w:name="_bookmark5" w:id="95"/>
      <w:bookmarkEnd w:id="9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96"/>
      <w:bookmarkEnd w:id="96"/>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2"/>
        <w:gridCol w:w="842"/>
        <w:gridCol w:w="842"/>
        <w:gridCol w:w="842"/>
        <w:gridCol w:w="844"/>
        <w:gridCol w:w="842"/>
        <w:gridCol w:w="844"/>
        <w:gridCol w:w="842"/>
        <w:gridCol w:w="815"/>
        <w:gridCol w:w="820"/>
      </w:tblGrid>
      <w:tr>
        <w:trPr>
          <w:trHeight w:val="402"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2" w:type="dxa"/>
            <w:vMerge/>
            <w:tcBorders>
              <w:left w:val="single" w:sz="4" w:space="0" w:color="000000"/>
              <w:bottom w:val="nil" w:sz="6" w:space="0" w:color="auto"/>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2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177,525,8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49.64%</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177,525,8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15,000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177,540,8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355,066,6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49.64%</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177,525,8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49.64%</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177,525,8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15,000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177,540,8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355,066,6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49.64%</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177,525,8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49.64%</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177,525,8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15,000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177,540,8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355,066,6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49.64%</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180,074,1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50.36%</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180,074,1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-15,000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180,059,1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360,133,3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50.35%</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180,074,1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50.36%</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180,074,1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-15,000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180,059,1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360,133,3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50.35%</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715,200,0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84" w:firstLine="434"/>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日，根据公司</w:t>
      </w:r>
      <w:r>
        <w:rPr>
          <w:rFonts w:ascii="Times New Roman" w:hAnsi="Times New Roman" w:cs="Times New Roman" w:eastAsia="Times New Roman" w:hint="default"/>
        </w:rPr>
        <w:t>2013</w:t>
      </w:r>
      <w:r>
        <w:rPr/>
        <w:t>年度利润分配和资本公积转增股本方案</w:t>
      </w:r>
      <w:r>
        <w:rPr>
          <w:rFonts w:ascii="Times New Roman" w:hAnsi="Times New Roman" w:cs="Times New Roman" w:eastAsia="Times New Roman" w:hint="default"/>
        </w:rPr>
        <w:t>,</w:t>
      </w:r>
      <w:r>
        <w:rPr/>
        <w:t>以</w:t>
      </w:r>
      <w:r>
        <w:rPr>
          <w:rFonts w:ascii="Times New Roman" w:hAnsi="Times New Roman" w:cs="Times New Roman" w:eastAsia="Times New Roman" w:hint="default"/>
        </w:rPr>
        <w:t>357,600,000</w:t>
      </w:r>
      <w:r>
        <w:rPr/>
        <w:t>股为基数，向全体股东每</w:t>
      </w:r>
      <w:r>
        <w:rPr>
          <w:rFonts w:ascii="Times New Roman" w:hAnsi="Times New Roman" w:cs="Times New Roman" w:eastAsia="Times New Roman" w:hint="default"/>
        </w:rPr>
        <w:t>10</w:t>
      </w:r>
      <w:r>
        <w:rPr/>
        <w:t>股转 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357,600,000</w:t>
      </w:r>
      <w:r>
        <w:rPr/>
        <w:t>股，转增后公司总股本增加至</w:t>
      </w:r>
      <w:r>
        <w:rPr>
          <w:rFonts w:ascii="Times New Roman" w:hAnsi="Times New Roman" w:cs="Times New Roman" w:eastAsia="Times New Roman" w:hint="default"/>
        </w:rPr>
        <w:t>715,200,000</w:t>
      </w:r>
      <w:r>
        <w:rPr/>
        <w:t>股。</w:t>
      </w:r>
    </w:p>
    <w:p>
      <w:pPr>
        <w:pStyle w:val="BodyText"/>
        <w:spacing w:line="240" w:lineRule="auto" w:before="53"/>
        <w:ind w:right="0"/>
        <w:jc w:val="left"/>
      </w:pPr>
      <w:r>
        <w:rPr/>
        <w:t>股份变动的批准情况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033" w:firstLine="434"/>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w:t>
      </w:r>
      <w:r>
        <w:rPr>
          <w:rFonts w:ascii="Times New Roman" w:hAnsi="Times New Roman" w:cs="Times New Roman" w:eastAsia="Times New Roman" w:hint="default"/>
        </w:rPr>
        <w:t>2013</w:t>
      </w:r>
      <w:r>
        <w:rPr/>
        <w:t>年度股东大会审议通过《</w:t>
      </w:r>
      <w:r>
        <w:rPr>
          <w:rFonts w:ascii="Times New Roman" w:hAnsi="Times New Roman" w:cs="Times New Roman" w:eastAsia="Times New Roman" w:hint="default"/>
        </w:rPr>
        <w:t>2013</w:t>
      </w:r>
      <w:r>
        <w:rPr/>
        <w:t>年度利润分配和资本公积转增股本预案》：以截止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357,600,000</w:t>
      </w:r>
      <w:r>
        <w:rPr/>
        <w:t>股为基数，进行资本公积金转增股本，向全体股东每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357,600,000</w:t>
      </w:r>
      <w:r>
        <w:rPr/>
        <w:t>股， 转增后公司总股本增加至</w:t>
      </w:r>
      <w:r>
        <w:rPr>
          <w:rFonts w:ascii="Times New Roman" w:hAnsi="Times New Roman" w:cs="Times New Roman" w:eastAsia="Times New Roman" w:hint="default"/>
        </w:rPr>
        <w:t>715,200,000</w:t>
      </w:r>
      <w:r>
        <w:rPr/>
        <w:t>股。</w:t>
      </w:r>
    </w:p>
    <w:p>
      <w:pPr>
        <w:pStyle w:val="BodyText"/>
        <w:spacing w:line="240" w:lineRule="auto" w:before="53"/>
        <w:ind w:right="0"/>
        <w:jc w:val="left"/>
      </w:pPr>
      <w:r>
        <w:rPr/>
        <w:t>股份变动的过户情况</w:t>
      </w:r>
    </w:p>
    <w:p>
      <w:pPr>
        <w:pStyle w:val="BodyText"/>
        <w:spacing w:line="357" w:lineRule="auto" w:before="117"/>
        <w:ind w:left="154" w:right="4182"/>
        <w:jc w:val="left"/>
      </w:pPr>
      <w:r>
        <w:rPr/>
        <w:t>√ 适用 □ 不适用 本报告期，由资本公积金转增股本所引起的股本变动已于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日完成过户。</w:t>
      </w:r>
    </w:p>
    <w:p>
      <w:pPr>
        <w:pStyle w:val="BodyText"/>
        <w:spacing w:line="240" w:lineRule="auto" w:before="6"/>
        <w:ind w:right="0"/>
        <w:jc w:val="left"/>
      </w:pPr>
      <w:r>
        <w:rPr/>
        <w:t>股份变动对最近一年和最近一期基本每股收益和稀释每股收益、归属于公司普通股股东的每股净资产等财务指标的影响</w:t>
      </w:r>
    </w:p>
    <w:p>
      <w:pPr>
        <w:pStyle w:val="BodyText"/>
        <w:spacing w:line="338" w:lineRule="auto" w:before="117"/>
        <w:ind w:left="444" w:right="1118"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因股本变动，</w:t>
      </w:r>
      <w:r>
        <w:rPr>
          <w:rFonts w:ascii="Times New Roman" w:hAnsi="Times New Roman" w:cs="Times New Roman" w:eastAsia="Times New Roman" w:hint="default"/>
          <w:spacing w:val="-1"/>
        </w:rPr>
        <w:t>2013</w:t>
      </w:r>
      <w:r>
        <w:rPr>
          <w:spacing w:val="-1"/>
        </w:rPr>
        <w:t>年半年度基本每股收益和稀释每股收益由</w:t>
      </w:r>
      <w:r>
        <w:rPr>
          <w:rFonts w:ascii="Times New Roman" w:hAnsi="Times New Roman" w:cs="Times New Roman" w:eastAsia="Times New Roman" w:hint="default"/>
          <w:spacing w:val="-1"/>
        </w:rPr>
        <w:t>0.4141</w:t>
      </w:r>
      <w:r>
        <w:rPr>
          <w:spacing w:val="-1"/>
        </w:rPr>
        <w:t>元调整为</w:t>
      </w:r>
      <w:r>
        <w:rPr>
          <w:rFonts w:ascii="Times New Roman" w:hAnsi="Times New Roman" w:cs="Times New Roman" w:eastAsia="Times New Roman" w:hint="default"/>
          <w:spacing w:val="-1"/>
        </w:rPr>
        <w:t>0.2071</w:t>
      </w:r>
      <w:r>
        <w:rPr>
          <w:spacing w:val="-1"/>
        </w:rPr>
        <w:t>元，归属于公司普通股东的每股净资</w:t>
      </w:r>
    </w:p>
    <w:p>
      <w:pPr>
        <w:pStyle w:val="BodyText"/>
        <w:spacing w:line="230" w:lineRule="exact"/>
        <w:ind w:right="0"/>
        <w:jc w:val="left"/>
      </w:pPr>
      <w:r>
        <w:rPr/>
        <w:t>产由</w:t>
      </w:r>
      <w:r>
        <w:rPr>
          <w:rFonts w:ascii="Times New Roman" w:hAnsi="Times New Roman" w:cs="Times New Roman" w:eastAsia="Times New Roman" w:hint="default"/>
        </w:rPr>
        <w:t>10.4271</w:t>
      </w:r>
      <w:r>
        <w:rPr/>
        <w:t>元调整为</w:t>
      </w:r>
      <w:r>
        <w:rPr>
          <w:rFonts w:ascii="Times New Roman" w:hAnsi="Times New Roman" w:cs="Times New Roman" w:eastAsia="Times New Roman" w:hint="default"/>
        </w:rPr>
        <w:t>5.2135</w:t>
      </w:r>
      <w:r>
        <w:rPr/>
        <w:t>元。公司</w:t>
      </w:r>
      <w:r>
        <w:rPr>
          <w:rFonts w:ascii="Times New Roman" w:hAnsi="Times New Roman" w:cs="Times New Roman" w:eastAsia="Times New Roman" w:hint="default"/>
        </w:rPr>
        <w:t>2013</w:t>
      </w:r>
      <w:r>
        <w:rPr/>
        <w:t>年度基本每股收益和稀释每股收益由</w:t>
      </w:r>
      <w:r>
        <w:rPr>
          <w:rFonts w:ascii="Times New Roman" w:hAnsi="Times New Roman" w:cs="Times New Roman" w:eastAsia="Times New Roman" w:hint="default"/>
        </w:rPr>
        <w:t>0.4868</w:t>
      </w:r>
      <w:r>
        <w:rPr/>
        <w:t>元调整为</w:t>
      </w:r>
      <w:r>
        <w:rPr>
          <w:rFonts w:ascii="Times New Roman" w:hAnsi="Times New Roman" w:cs="Times New Roman" w:eastAsia="Times New Roman" w:hint="default"/>
        </w:rPr>
        <w:t>0.2434</w:t>
      </w:r>
      <w:r>
        <w:rPr/>
        <w:t>元，归属于公司普通股</w:t>
      </w:r>
    </w:p>
    <w:p>
      <w:pPr>
        <w:pStyle w:val="BodyText"/>
        <w:spacing w:line="340" w:lineRule="auto" w:before="63"/>
        <w:ind w:left="154" w:right="6792"/>
        <w:jc w:val="left"/>
      </w:pPr>
      <w:r>
        <w:rPr/>
        <w:t>东的每股净资产由</w:t>
      </w:r>
      <w:r>
        <w:rPr>
          <w:rFonts w:ascii="Times New Roman" w:hAnsi="Times New Roman" w:cs="Times New Roman" w:eastAsia="Times New Roman" w:hint="default"/>
        </w:rPr>
        <w:t>5.4914</w:t>
      </w:r>
      <w:r>
        <w:rPr/>
        <w:t>元调整为</w:t>
      </w:r>
      <w:r>
        <w:rPr>
          <w:rFonts w:ascii="Times New Roman" w:hAnsi="Times New Roman" w:cs="Times New Roman" w:eastAsia="Times New Roman" w:hint="default"/>
        </w:rPr>
        <w:t>2.7457</w:t>
      </w:r>
      <w:r>
        <w:rPr/>
        <w:t>元。 公司认为必要或证券监管机构要求披露的其他内容</w:t>
      </w:r>
    </w:p>
    <w:p>
      <w:pPr>
        <w:spacing w:after="0" w:line="3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证券发行与上市情况" w:id="97"/>
      <w:bookmarkEnd w:id="97"/>
      <w:r>
        <w:rPr>
          <w:b w:val="0"/>
          <w:bCs w:val="0"/>
        </w:rPr>
      </w:r>
      <w:r>
        <w:rPr/>
        <w:t>二、证券发行与上市情况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末近三年历次证券发行情况" w:id="98"/>
      <w:bookmarkEnd w:id="98"/>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公司股份总数及股东结构的变动、公司资产和负债结构的变动情况说明" w:id="99"/>
      <w:bookmarkEnd w:id="9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033" w:firstLine="506"/>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w:t>
      </w:r>
      <w:r>
        <w:rPr>
          <w:rFonts w:ascii="Times New Roman" w:hAnsi="Times New Roman" w:cs="Times New Roman" w:eastAsia="Times New Roman" w:hint="default"/>
        </w:rPr>
        <w:t>2013</w:t>
      </w:r>
      <w:r>
        <w:rPr/>
        <w:t>年度股东大会审议通过《</w:t>
      </w:r>
      <w:r>
        <w:rPr>
          <w:rFonts w:ascii="Times New Roman" w:hAnsi="Times New Roman" w:cs="Times New Roman" w:eastAsia="Times New Roman" w:hint="default"/>
        </w:rPr>
        <w:t>2013</w:t>
      </w:r>
      <w:r>
        <w:rPr/>
        <w:t>年度利润分配和资本公积转增股本预案》：以截止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357,600,000</w:t>
      </w:r>
      <w:r>
        <w:rPr/>
        <w:t>股为基数，进行资本公积金转增股本，向全体股东每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357,600,000</w:t>
      </w:r>
      <w:r>
        <w:rPr/>
        <w:t>股， 转增后公司总股本增加至</w:t>
      </w:r>
      <w:r>
        <w:rPr>
          <w:rFonts w:ascii="Times New Roman" w:hAnsi="Times New Roman" w:cs="Times New Roman" w:eastAsia="Times New Roman" w:hint="default"/>
        </w:rPr>
        <w:t>715,200,000</w:t>
      </w:r>
      <w:r>
        <w:rPr/>
        <w:t>股。该分配方案于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日实施完成。报告期内资本公积转增股本事项未导致公 司资产和负债结构发生变动。</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3、现存的内部职工股情况" w:id="100"/>
      <w:bookmarkEnd w:id="10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三、股东和实际控制人情况" w:id="101"/>
      <w:bookmarkEnd w:id="101"/>
      <w:r>
        <w:rPr>
          <w:b w:val="0"/>
          <w:bCs w:val="0"/>
        </w:rPr>
      </w:r>
      <w:r>
        <w:rPr/>
        <w:t>三、股东和实际控制人情况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102"/>
      <w:bookmarkEnd w:id="10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2"/>
        <w:gridCol w:w="233"/>
        <w:gridCol w:w="1134"/>
        <w:gridCol w:w="473"/>
        <w:gridCol w:w="389"/>
        <w:gridCol w:w="798"/>
        <w:gridCol w:w="383"/>
        <w:gridCol w:w="414"/>
        <w:gridCol w:w="797"/>
        <w:gridCol w:w="406"/>
        <w:gridCol w:w="445"/>
        <w:gridCol w:w="1128"/>
        <w:gridCol w:w="241"/>
        <w:gridCol w:w="1367"/>
      </w:tblGrid>
      <w:tr>
        <w:trPr>
          <w:trHeight w:val="161" w:hRule="exact"/>
        </w:trPr>
        <w:tc>
          <w:tcPr>
            <w:tcW w:w="1595" w:type="dxa"/>
            <w:gridSpan w:val="2"/>
            <w:vMerge w:val="restart"/>
            <w:tcBorders>
              <w:top w:val="single" w:sz="4" w:space="0" w:color="000000"/>
              <w:left w:val="single" w:sz="4" w:space="0" w:color="000000"/>
              <w:right w:val="single" w:sz="4" w:space="0" w:color="000000"/>
            </w:tcBorders>
            <w:shd w:val="clear" w:color="auto" w:fill="D2D2D2"/>
          </w:tcPr>
          <w:p>
            <w:pPr/>
          </w:p>
        </w:tc>
        <w:tc>
          <w:tcPr>
            <w:tcW w:w="16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2"/>
                <w:sz w:val="18"/>
              </w:rPr>
              <w:t>14,711</w:t>
            </w:r>
          </w:p>
        </w:tc>
        <w:tc>
          <w:tcPr>
            <w:tcW w:w="157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7" w:type="dxa"/>
            <w:gridSpan w:val="3"/>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21,921</w:t>
            </w: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95" w:type="dxa"/>
            <w:gridSpan w:val="2"/>
            <w:vMerge/>
            <w:tcBorders>
              <w:left w:val="single" w:sz="4" w:space="0" w:color="000000"/>
              <w:bottom w:val="nil" w:sz="6" w:space="0" w:color="auto"/>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1"/>
              <w:ind w:left="11" w:right="107"/>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704" w:hRule="exact"/>
        </w:trPr>
        <w:tc>
          <w:tcPr>
            <w:tcW w:w="159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56" w:hRule="exact"/>
        </w:trPr>
        <w:tc>
          <w:tcPr>
            <w:tcW w:w="1595" w:type="dxa"/>
            <w:gridSpan w:val="2"/>
            <w:vMerge w:val="restart"/>
            <w:tcBorders>
              <w:top w:val="nil" w:sz="6" w:space="0" w:color="auto"/>
              <w:left w:val="single" w:sz="4" w:space="0" w:color="000000"/>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bottom w:val="nil" w:sz="6" w:space="0" w:color="auto"/>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66" w:hRule="exact"/>
        </w:trPr>
        <w:tc>
          <w:tcPr>
            <w:tcW w:w="1595"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9" w:space="0" w:color="D2D2D2"/>
              <w:bottom w:val="single" w:sz="4" w:space="0" w:color="000000"/>
              <w:right w:val="single" w:sz="9" w:space="0" w:color="D2D2D2"/>
            </w:tcBorders>
          </w:tcPr>
          <w:p>
            <w:pPr/>
          </w:p>
        </w:tc>
        <w:tc>
          <w:tcPr>
            <w:tcW w:w="157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3"/>
            <w:vMerge/>
            <w:tcBorders>
              <w:left w:val="single" w:sz="9" w:space="0" w:color="D2D2D2"/>
              <w:bottom w:val="single" w:sz="4" w:space="0" w:color="000000"/>
              <w:right w:val="single" w:sz="13" w:space="0" w:color="D2D2D2"/>
            </w:tcBorders>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13" w:space="0" w:color="D2D2D2"/>
              <w:bottom w:val="single" w:sz="4" w:space="0" w:color="000000"/>
              <w:right w:val="single" w:sz="4" w:space="0" w:color="000000"/>
            </w:tcBorders>
          </w:tcPr>
          <w:p>
            <w:pPr/>
          </w:p>
        </w:tc>
      </w:tr>
      <w:tr>
        <w:trPr>
          <w:trHeight w:val="392"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62" w:type="dxa"/>
            <w:vMerge w:val="restart"/>
            <w:tcBorders>
              <w:top w:val="single" w:sz="4" w:space="0" w:color="000000"/>
              <w:left w:val="single" w:sz="4" w:space="0" w:color="000000"/>
              <w:right w:val="single" w:sz="4" w:space="0" w:color="000000"/>
            </w:tcBorders>
            <w:shd w:val="clear" w:color="auto" w:fill="D2D2D2"/>
          </w:tcPr>
          <w:p>
            <w:pP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
        </w:tc>
        <w:tc>
          <w:tcPr>
            <w:tcW w:w="863" w:type="dxa"/>
            <w:gridSpan w:val="2"/>
            <w:vMerge w:val="restart"/>
            <w:tcBorders>
              <w:top w:val="single" w:sz="4" w:space="0" w:color="000000"/>
              <w:left w:val="single" w:sz="4" w:space="0" w:color="000000"/>
              <w:right w:val="single" w:sz="4" w:space="0" w:color="FFFFFF"/>
            </w:tcBorders>
            <w:shd w:val="clear" w:color="auto" w:fill="D2D2D2"/>
          </w:tcPr>
          <w:p>
            <w:pPr/>
          </w:p>
        </w:tc>
        <w:tc>
          <w:tcPr>
            <w:tcW w:w="798" w:type="dxa"/>
            <w:tcBorders>
              <w:top w:val="single" w:sz="4" w:space="0" w:color="000000"/>
              <w:left w:val="single" w:sz="4" w:space="0" w:color="FFFFFF"/>
              <w:bottom w:val="nil" w:sz="6" w:space="0" w:color="auto"/>
              <w:right w:val="single" w:sz="4" w:space="0" w:color="000000"/>
            </w:tcBorders>
            <w:shd w:val="clear" w:color="auto" w:fill="D2D2D2"/>
          </w:tcPr>
          <w:p>
            <w:pPr/>
          </w:p>
        </w:tc>
        <w:tc>
          <w:tcPr>
            <w:tcW w:w="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3" w:right="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3"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59" w:right="5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FFFFFF"/>
            </w:tcBorders>
            <w:shd w:val="clear" w:color="auto" w:fill="D2D2D2"/>
          </w:tcPr>
          <w:p>
            <w:pPr/>
          </w:p>
        </w:tc>
        <w:tc>
          <w:tcPr>
            <w:tcW w:w="798" w:type="dxa"/>
            <w:vMerge w:val="restart"/>
            <w:tcBorders>
              <w:top w:val="nil" w:sz="6" w:space="0" w:color="auto"/>
              <w:left w:val="single" w:sz="4" w:space="0" w:color="FFFFFF"/>
              <w:right w:val="single" w:sz="4" w:space="0" w:color="000000"/>
            </w:tcBorders>
            <w:shd w:val="clear" w:color="auto" w:fill="D2D2D2"/>
          </w:tcPr>
          <w:p>
            <w:pPr>
              <w:pStyle w:val="TableParagraph"/>
              <w:spacing w:line="319" w:lineRule="auto" w:before="51"/>
              <w:ind w:left="34" w:right="33"/>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right w:val="single" w:sz="4" w:space="0" w:color="000000"/>
            </w:tcBorders>
            <w:shd w:val="clear" w:color="auto" w:fill="D2D2D2"/>
          </w:tcPr>
          <w:p>
            <w:pPr/>
          </w:p>
        </w:tc>
      </w:tr>
      <w:tr>
        <w:trPr>
          <w:trHeight w:val="141" w:hRule="exact"/>
        </w:trPr>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gridSpan w:val="2"/>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8" w:type="dxa"/>
            <w:vMerge/>
            <w:tcBorders>
              <w:left w:val="single" w:sz="4" w:space="0" w:color="FFFFFF"/>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FFFFFF"/>
            </w:tcBorders>
            <w:shd w:val="clear" w:color="auto" w:fill="D2D2D2"/>
          </w:tcPr>
          <w:p>
            <w:pPr/>
          </w:p>
        </w:tc>
        <w:tc>
          <w:tcPr>
            <w:tcW w:w="798" w:type="dxa"/>
            <w:vMerge/>
            <w:tcBorders>
              <w:left w:val="single" w:sz="4" w:space="0" w:color="FFFFFF"/>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1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2" w:type="dxa"/>
            <w:vMerge w:val="restart"/>
            <w:tcBorders>
              <w:top w:val="nil" w:sz="6" w:space="0" w:color="auto"/>
              <w:left w:val="single" w:sz="4" w:space="0" w:color="000000"/>
              <w:right w:val="single" w:sz="4" w:space="0" w:color="000000"/>
            </w:tcBorders>
            <w:shd w:val="clear" w:color="auto" w:fill="D2D2D2"/>
          </w:tcPr>
          <w:p>
            <w:pPr/>
          </w:p>
        </w:tc>
        <w:tc>
          <w:tcPr>
            <w:tcW w:w="1367" w:type="dxa"/>
            <w:gridSpan w:val="2"/>
            <w:vMerge w:val="restart"/>
            <w:tcBorders>
              <w:top w:val="nil" w:sz="6" w:space="0" w:color="auto"/>
              <w:left w:val="single" w:sz="4" w:space="0" w:color="000000"/>
              <w:right w:val="single" w:sz="4" w:space="0" w:color="000000"/>
            </w:tcBorders>
            <w:shd w:val="clear" w:color="auto" w:fill="D2D2D2"/>
          </w:tcPr>
          <w:p>
            <w:pPr/>
          </w:p>
        </w:tc>
        <w:tc>
          <w:tcPr>
            <w:tcW w:w="863" w:type="dxa"/>
            <w:gridSpan w:val="2"/>
            <w:vMerge w:val="restart"/>
            <w:tcBorders>
              <w:top w:val="nil" w:sz="6" w:space="0" w:color="auto"/>
              <w:left w:val="single" w:sz="4" w:space="0" w:color="000000"/>
              <w:right w:val="single" w:sz="4" w:space="0" w:color="FFFFFF"/>
            </w:tcBorders>
            <w:shd w:val="clear" w:color="auto" w:fill="D2D2D2"/>
          </w:tcPr>
          <w:p>
            <w:pPr/>
          </w:p>
        </w:tc>
        <w:tc>
          <w:tcPr>
            <w:tcW w:w="798" w:type="dxa"/>
            <w:vMerge/>
            <w:tcBorders>
              <w:left w:val="single" w:sz="4" w:space="0" w:color="FFFFFF"/>
              <w:bottom w:val="nil" w:sz="6" w:space="0" w:color="auto"/>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tcBorders>
              <w:left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61"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c>
          <w:tcPr>
            <w:tcW w:w="863" w:type="dxa"/>
            <w:gridSpan w:val="2"/>
            <w:vMerge/>
            <w:tcBorders>
              <w:left w:val="single" w:sz="4" w:space="0" w:color="000000"/>
              <w:bottom w:val="single" w:sz="4" w:space="0" w:color="000000"/>
              <w:right w:val="single" w:sz="4" w:space="0" w:color="FFFFFF"/>
            </w:tcBorders>
            <w:shd w:val="clear" w:color="auto" w:fill="D2D2D2"/>
          </w:tcPr>
          <w:p>
            <w:pPr/>
          </w:p>
        </w:tc>
        <w:tc>
          <w:tcPr>
            <w:tcW w:w="798" w:type="dxa"/>
            <w:tcBorders>
              <w:top w:val="nil" w:sz="6" w:space="0" w:color="auto"/>
              <w:left w:val="single" w:sz="4" w:space="0" w:color="FFFFFF"/>
              <w:bottom w:val="single" w:sz="4" w:space="0" w:color="000000"/>
              <w:right w:val="single" w:sz="4" w:space="0" w:color="000000"/>
            </w:tcBorders>
            <w:shd w:val="clear" w:color="auto" w:fill="D2D2D2"/>
          </w:tcPr>
          <w:p>
            <w:pPr/>
          </w:p>
        </w:tc>
        <w:tc>
          <w:tcPr>
            <w:tcW w:w="797"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49.15%</w:t>
            </w:r>
          </w:p>
        </w:tc>
        <w:tc>
          <w:tcPr>
            <w:tcW w:w="7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351,497,6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173,748,8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266,623,2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84,874,40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8" w:space="0" w:color="D2D2D2"/>
              <w:left w:val="single" w:sz="4" w:space="0" w:color="000000"/>
              <w:bottom w:val="single" w:sz="4" w:space="0" w:color="000000"/>
              <w:right w:val="single" w:sz="4" w:space="0" w:color="000000"/>
            </w:tcBorders>
          </w:tcPr>
          <w:p>
            <w:pPr/>
          </w:p>
        </w:tc>
        <w:tc>
          <w:tcPr>
            <w:tcW w:w="1367" w:type="dxa"/>
            <w:tcBorders>
              <w:top w:val="single" w:sz="48" w:space="0" w:color="D2D2D2"/>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13.79%</w:t>
            </w:r>
          </w:p>
        </w:tc>
        <w:tc>
          <w:tcPr>
            <w:tcW w:w="7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98,594,56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39,642,28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88,428,42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10,166,14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中国建设银行股 份有限公司－华 宝兴业新兴产业 股票型证券投资 基金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1.76%</w:t>
            </w:r>
          </w:p>
        </w:tc>
        <w:tc>
          <w:tcPr>
            <w:tcW w:w="79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12,568,69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8,435,190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12,568,69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93.399994pt;margin-top:446.649994pt;width:340.45pt;height:20.8pt;mso-position-horizontal-relative:page;mso-position-vertical-relative:page;z-index:-841696" coordorigin="3868,8933" coordsize="6809,416">
            <v:group style="position:absolute;left:3879;top:8944;width:2;height:393" coordorigin="3879,8944" coordsize="2,393">
              <v:shape style="position:absolute;left:3879;top:8944;width:2;height:393" coordorigin="3879,8944" coordsize="0,393" path="m3879,8944l3879,9337e" filled="false" stroked="true" strokeweight="1.140pt" strokecolor="#ffffff">
                <v:path arrowok="t"/>
              </v:shape>
            </v:group>
            <v:group style="position:absolute;left:3891;top:8944;width:6786;height:393" coordorigin="3891,8944" coordsize="6786,393">
              <v:shape style="position:absolute;left:3891;top:8944;width:6786;height:393" coordorigin="3891,8944" coordsize="6786,393" path="m3891,9337l10676,9337,10676,8944,3891,8944,3891,933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7"/>
        <w:gridCol w:w="863"/>
        <w:gridCol w:w="798"/>
        <w:gridCol w:w="797"/>
        <w:gridCol w:w="797"/>
        <w:gridCol w:w="851"/>
        <w:gridCol w:w="1368"/>
        <w:gridCol w:w="1367"/>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鞠成立</w:t>
            </w:r>
          </w:p>
        </w:tc>
        <w:tc>
          <w:tcPr>
            <w:tcW w:w="136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11,988,48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5,994,240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11,988,48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中国国际金融有 限公司</w:t>
            </w:r>
          </w:p>
        </w:tc>
        <w:tc>
          <w:tcPr>
            <w:tcW w:w="136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8,590,000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8,590,000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8,590,000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中国农业银行股 份有限公司－景 顺长城核心竞争 力股票型证券投 资基金</w:t>
            </w:r>
          </w:p>
        </w:tc>
        <w:tc>
          <w:tcPr>
            <w:tcW w:w="136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2,199,792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7,800,000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中国农业银行股 份有限公司－景 顺长城资源垄断 股票型证券投资 基金（</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6,066,976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3,592,435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6,066,976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郭军</w:t>
            </w:r>
          </w:p>
        </w:tc>
        <w:tc>
          <w:tcPr>
            <w:tcW w:w="136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6,038,700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4,218,700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6,038,700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景福证券投资基 金</w:t>
            </w:r>
          </w:p>
        </w:tc>
        <w:tc>
          <w:tcPr>
            <w:tcW w:w="136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5,801,596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5,801,596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5,801,596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中国工商银行－ 景顺长城精选蓝 筹股票型证券投 资基金</w:t>
            </w:r>
          </w:p>
        </w:tc>
        <w:tc>
          <w:tcPr>
            <w:tcW w:w="136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5,500,018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5,500,018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6" w:right="0"/>
              <w:jc w:val="center"/>
              <w:rPr>
                <w:rFonts w:ascii="Times New Roman" w:hAnsi="Times New Roman" w:cs="Times New Roman" w:eastAsia="Times New Roman" w:hint="default"/>
                <w:sz w:val="18"/>
                <w:szCs w:val="18"/>
              </w:rPr>
            </w:pPr>
            <w:r>
              <w:rPr>
                <w:rFonts w:ascii="Times New Roman"/>
                <w:sz w:val="18"/>
              </w:rPr>
              <w:t>5,500,018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29" w:type="dxa"/>
            <w:gridSpan w:val="2"/>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3" w:type="dxa"/>
            <w:tcBorders>
              <w:top w:val="single" w:sz="4" w:space="0" w:color="000000"/>
              <w:left w:val="single" w:sz="4" w:space="0" w:color="FFFFFF"/>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8" w:type="dxa"/>
            <w:tcBorders>
              <w:top w:val="single" w:sz="4" w:space="0" w:color="000000"/>
              <w:left w:val="single" w:sz="4" w:space="0" w:color="FFFFFF"/>
              <w:bottom w:val="single" w:sz="4" w:space="0" w:color="000000"/>
              <w:right w:val="nil" w:sz="6" w:space="0" w:color="auto"/>
            </w:tcBorders>
          </w:tcPr>
          <w:p>
            <w:pPr/>
          </w:p>
        </w:tc>
        <w:tc>
          <w:tcPr>
            <w:tcW w:w="797" w:type="dxa"/>
            <w:tcBorders>
              <w:top w:val="single" w:sz="4" w:space="0" w:color="000000"/>
              <w:left w:val="single" w:sz="4" w:space="0" w:color="FFFFFF"/>
              <w:bottom w:val="single" w:sz="4" w:space="0" w:color="000000"/>
              <w:right w:val="nil" w:sz="6" w:space="0" w:color="auto"/>
            </w:tcBorders>
          </w:tcPr>
          <w:p>
            <w:pPr/>
          </w:p>
        </w:tc>
        <w:tc>
          <w:tcPr>
            <w:tcW w:w="797" w:type="dxa"/>
            <w:tcBorders>
              <w:top w:val="single" w:sz="4" w:space="0" w:color="000000"/>
              <w:left w:val="single" w:sz="4" w:space="0" w:color="FFFFFF"/>
              <w:bottom w:val="single" w:sz="4" w:space="0" w:color="000000"/>
              <w:right w:val="nil" w:sz="6" w:space="0" w:color="auto"/>
            </w:tcBorders>
          </w:tcPr>
          <w:p>
            <w:pPr/>
          </w:p>
        </w:tc>
        <w:tc>
          <w:tcPr>
            <w:tcW w:w="851" w:type="dxa"/>
            <w:tcBorders>
              <w:top w:val="single" w:sz="4" w:space="0" w:color="000000"/>
              <w:left w:val="single" w:sz="4" w:space="0" w:color="FFFFFF"/>
              <w:bottom w:val="single" w:sz="4" w:space="0" w:color="000000"/>
              <w:right w:val="nil" w:sz="6" w:space="0" w:color="auto"/>
            </w:tcBorders>
          </w:tcPr>
          <w:p>
            <w:pPr/>
          </w:p>
        </w:tc>
        <w:tc>
          <w:tcPr>
            <w:tcW w:w="1368" w:type="dxa"/>
            <w:tcBorders>
              <w:top w:val="single" w:sz="4" w:space="0" w:color="000000"/>
              <w:left w:val="single" w:sz="4" w:space="0" w:color="FFFFFF"/>
              <w:bottom w:val="single" w:sz="4" w:space="0" w:color="000000"/>
              <w:right w:val="nil" w:sz="6" w:space="0" w:color="auto"/>
            </w:tcBorders>
          </w:tcPr>
          <w:p>
            <w:pPr/>
          </w:p>
        </w:tc>
        <w:tc>
          <w:tcPr>
            <w:tcW w:w="1367" w:type="dxa"/>
            <w:tcBorders>
              <w:top w:val="single" w:sz="4" w:space="0" w:color="000000"/>
              <w:left w:val="single" w:sz="4" w:space="0" w:color="FFFFFF"/>
              <w:bottom w:val="single" w:sz="4" w:space="0" w:color="000000"/>
              <w:right w:val="single" w:sz="4" w:space="0" w:color="000000"/>
            </w:tcBorders>
          </w:tcPr>
          <w:p>
            <w:pPr/>
          </w:p>
        </w:tc>
      </w:tr>
      <w:tr>
        <w:trPr>
          <w:trHeight w:val="473" w:hRule="exact"/>
        </w:trPr>
        <w:tc>
          <w:tcPr>
            <w:tcW w:w="2729" w:type="dxa"/>
            <w:gridSpan w:val="2"/>
            <w:tcBorders>
              <w:top w:val="single" w:sz="4" w:space="0" w:color="000000"/>
              <w:left w:val="single" w:sz="4" w:space="0" w:color="000000"/>
              <w:bottom w:val="nil" w:sz="6" w:space="0" w:color="auto"/>
              <w:right w:val="single" w:sz="4" w:space="0" w:color="FFFFFF"/>
            </w:tcBorders>
            <w:shd w:val="clear" w:color="auto" w:fill="D2D2D2"/>
          </w:tcPr>
          <w:p>
            <w:pPr/>
          </w:p>
        </w:tc>
        <w:tc>
          <w:tcPr>
            <w:tcW w:w="6841" w:type="dxa"/>
            <w:gridSpan w:val="7"/>
            <w:vMerge w:val="restart"/>
            <w:tcBorders>
              <w:top w:val="single" w:sz="4" w:space="0" w:color="000000"/>
              <w:left w:val="single" w:sz="4" w:space="0" w:color="FFFFFF"/>
              <w:right w:val="single" w:sz="4" w:space="0" w:color="000000"/>
            </w:tcBorders>
          </w:tcPr>
          <w:p>
            <w:pPr>
              <w:pStyle w:val="TableParagraph"/>
              <w:spacing w:line="314"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王海鹏为王治军之兄；景顺长城核心竞争力股票型证券投资基金、景顺长城资源垄断股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w w:val="99"/>
                <w:sz w:val="18"/>
                <w:szCs w:val="18"/>
              </w:rPr>
              <w:t>票型证券投资基金（</w:t>
            </w:r>
            <w:r>
              <w:rPr>
                <w:rFonts w:ascii="Times New Roman" w:hAnsi="Times New Roman" w:cs="Times New Roman" w:eastAsia="Times New Roman" w:hint="default"/>
                <w:spacing w:val="-3"/>
                <w:w w:val="99"/>
                <w:sz w:val="18"/>
                <w:szCs w:val="18"/>
              </w:rPr>
              <w:t>LOF</w:t>
            </w:r>
            <w:r>
              <w:rPr>
                <w:rFonts w:ascii="宋体" w:hAnsi="宋体" w:cs="宋体" w:eastAsia="宋体" w:hint="default"/>
                <w:spacing w:val="-3"/>
                <w:w w:val="99"/>
                <w:sz w:val="18"/>
                <w:szCs w:val="18"/>
              </w:rPr>
              <w:t>）、景顺长城精选蓝筹股票型证券投资基金同属景顺长城基金</w:t>
            </w:r>
            <w:r>
              <w:rPr>
                <w:rFonts w:ascii="宋体" w:hAnsi="宋体" w:cs="宋体" w:eastAsia="宋体" w:hint="default"/>
                <w:spacing w:val="-64"/>
                <w:w w:val="99"/>
                <w:sz w:val="18"/>
                <w:szCs w:val="18"/>
              </w:rPr>
              <w:t> </w:t>
            </w:r>
            <w:r>
              <w:rPr>
                <w:rFonts w:ascii="宋体" w:hAnsi="宋体" w:cs="宋体" w:eastAsia="宋体" w:hint="default"/>
                <w:spacing w:val="-64"/>
                <w:w w:val="99"/>
                <w:sz w:val="18"/>
                <w:szCs w:val="18"/>
              </w:rPr>
            </w:r>
            <w:r>
              <w:rPr>
                <w:rFonts w:ascii="宋体" w:hAnsi="宋体" w:cs="宋体" w:eastAsia="宋体" w:hint="default"/>
                <w:spacing w:val="-2"/>
                <w:sz w:val="18"/>
                <w:szCs w:val="18"/>
              </w:rPr>
              <w:t>管理有限公司旗下基金。除此之外，公司未知其他股东之间是否存在关联关系，也未知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其他股东之间是否属于《上市公司股东持股变动信息披露管理办法》中规定的一致行动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人。</w:t>
            </w:r>
          </w:p>
        </w:tc>
      </w:tr>
      <w:tr>
        <w:trPr>
          <w:trHeight w:val="704" w:hRule="exact"/>
        </w:trPr>
        <w:tc>
          <w:tcPr>
            <w:tcW w:w="2729" w:type="dxa"/>
            <w:gridSpan w:val="2"/>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7"/>
            <w:vMerge/>
            <w:tcBorders>
              <w:left w:val="single" w:sz="4" w:space="0" w:color="FFFFFF"/>
              <w:right w:val="single" w:sz="4" w:space="0" w:color="000000"/>
            </w:tcBorders>
          </w:tcPr>
          <w:p>
            <w:pPr/>
          </w:p>
        </w:tc>
      </w:tr>
      <w:tr>
        <w:trPr>
          <w:trHeight w:val="473" w:hRule="exact"/>
        </w:trPr>
        <w:tc>
          <w:tcPr>
            <w:tcW w:w="2729" w:type="dxa"/>
            <w:gridSpan w:val="2"/>
            <w:tcBorders>
              <w:top w:val="nil" w:sz="6" w:space="0" w:color="auto"/>
              <w:left w:val="single" w:sz="4" w:space="0" w:color="000000"/>
              <w:bottom w:val="single" w:sz="4" w:space="0" w:color="000000"/>
              <w:right w:val="single" w:sz="4" w:space="0" w:color="FFFFFF"/>
            </w:tcBorders>
            <w:shd w:val="clear" w:color="auto" w:fill="D2D2D2"/>
          </w:tcPr>
          <w:p>
            <w:pPr/>
          </w:p>
        </w:tc>
        <w:tc>
          <w:tcPr>
            <w:tcW w:w="6841" w:type="dxa"/>
            <w:gridSpan w:val="7"/>
            <w:vMerge/>
            <w:tcBorders>
              <w:left w:val="single" w:sz="4" w:space="0" w:color="FFFFFF"/>
              <w:bottom w:val="single" w:sz="4" w:space="0" w:color="000000"/>
              <w:right w:val="single" w:sz="4" w:space="0" w:color="000000"/>
            </w:tcBorders>
          </w:tcPr>
          <w:p>
            <w:pP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72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729" w:type="dxa"/>
            <w:gridSpan w:val="2"/>
            <w:vMerge/>
            <w:tcBorders>
              <w:left w:val="single" w:sz="4" w:space="0" w:color="000000"/>
              <w:bottom w:val="nil" w:sz="6" w:space="0" w:color="auto"/>
              <w:right w:val="single" w:sz="4" w:space="0" w:color="000000"/>
            </w:tcBorders>
            <w:shd w:val="clear" w:color="auto" w:fill="D2D2D2"/>
          </w:tcPr>
          <w:p>
            <w:pPr/>
          </w:p>
        </w:tc>
        <w:tc>
          <w:tcPr>
            <w:tcW w:w="4106" w:type="dxa"/>
            <w:gridSpan w:val="5"/>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84,874,400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84,874,400</w:t>
            </w:r>
          </w:p>
        </w:tc>
      </w:tr>
      <w:tr>
        <w:trPr>
          <w:trHeight w:val="1026"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中国建设银行股份有限公司－华 宝兴业新兴产业股票型证券投资 基金</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12,568,690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12,568,690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鞠成立</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11,988,480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11,988,480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10,166,140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10,166,140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中国国际金融有限公司</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29"/>
        <w:gridCol w:w="4106"/>
        <w:gridCol w:w="1368"/>
        <w:gridCol w:w="1367"/>
      </w:tblGrid>
      <w:tr>
        <w:trPr>
          <w:trHeight w:val="1026"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中国农业银行股份有限公司－景 顺长城核心竞争力股票型证券投 资基金</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7,800,000</w:t>
            </w:r>
          </w:p>
        </w:tc>
      </w:tr>
      <w:tr>
        <w:trPr>
          <w:trHeight w:val="1026"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中国农业银行股份有限公司－景 顺长城资源垄断股票型证券投资 基金（</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6,066,976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6,066,976</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郭军</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6,038,700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6,038,700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景福证券投资基金</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5,801,596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5,801,596</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中国工商银行－景顺长城精选蓝 筹股票型证券投资基金</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5,500,018</w:t>
            </w:r>
          </w:p>
        </w:tc>
      </w:tr>
      <w:tr>
        <w:trPr>
          <w:trHeight w:val="1650"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王海鹏为王治军之兄；景顺长城核心竞争力股票型证券投资基金、景顺长城资源垄断股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w w:val="99"/>
                <w:sz w:val="18"/>
                <w:szCs w:val="18"/>
              </w:rPr>
              <w:t>票型证券投资基金（</w:t>
            </w:r>
            <w:r>
              <w:rPr>
                <w:rFonts w:ascii="Times New Roman" w:hAnsi="Times New Roman" w:cs="Times New Roman" w:eastAsia="Times New Roman" w:hint="default"/>
                <w:spacing w:val="-3"/>
                <w:w w:val="99"/>
                <w:sz w:val="18"/>
                <w:szCs w:val="18"/>
              </w:rPr>
              <w:t>LOF</w:t>
            </w:r>
            <w:r>
              <w:rPr>
                <w:rFonts w:ascii="宋体" w:hAnsi="宋体" w:cs="宋体" w:eastAsia="宋体" w:hint="default"/>
                <w:spacing w:val="-3"/>
                <w:w w:val="99"/>
                <w:sz w:val="18"/>
                <w:szCs w:val="18"/>
              </w:rPr>
              <w:t>）、景顺长城精选蓝筹股票型证券投资基金同属景顺长城基金</w:t>
            </w:r>
            <w:r>
              <w:rPr>
                <w:rFonts w:ascii="宋体" w:hAnsi="宋体" w:cs="宋体" w:eastAsia="宋体" w:hint="default"/>
                <w:spacing w:val="-64"/>
                <w:w w:val="99"/>
                <w:sz w:val="18"/>
                <w:szCs w:val="18"/>
              </w:rPr>
              <w:t> </w:t>
            </w:r>
            <w:r>
              <w:rPr>
                <w:rFonts w:ascii="宋体" w:hAnsi="宋体" w:cs="宋体" w:eastAsia="宋体" w:hint="default"/>
                <w:spacing w:val="-64"/>
                <w:w w:val="99"/>
                <w:sz w:val="18"/>
                <w:szCs w:val="18"/>
              </w:rPr>
            </w:r>
            <w:r>
              <w:rPr>
                <w:rFonts w:ascii="宋体" w:hAnsi="宋体" w:cs="宋体" w:eastAsia="宋体" w:hint="default"/>
                <w:spacing w:val="-2"/>
                <w:sz w:val="18"/>
                <w:szCs w:val="18"/>
              </w:rPr>
              <w:t>管理有限公司旗下基金。除此之外，公司未知其他股东之间是否存在关联关系，也未知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其他股东之间是否属于《上市公司股东持股变动信息披露管理办法》中规定的一致行动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人。</w:t>
            </w:r>
          </w:p>
        </w:tc>
      </w:tr>
      <w:tr>
        <w:trPr>
          <w:trHeight w:val="1026"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名无限售条件普通股股东中郭军参与融资融券业务，其投资者信用账户持股</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5,200,000 </w:t>
            </w:r>
            <w:r>
              <w:rPr>
                <w:rFonts w:ascii="宋体" w:hAnsi="宋体" w:cs="宋体" w:eastAsia="宋体" w:hint="default"/>
                <w:sz w:val="18"/>
                <w:szCs w:val="18"/>
              </w:rPr>
              <w:t>股，普通证券账户持股 </w:t>
            </w:r>
            <w:r>
              <w:rPr>
                <w:rFonts w:ascii="Times New Roman" w:hAnsi="Times New Roman" w:cs="Times New Roman" w:eastAsia="Times New Roman" w:hint="default"/>
                <w:sz w:val="18"/>
                <w:szCs w:val="18"/>
              </w:rPr>
              <w:t>838,700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t>□ 是 √ 否</w:t>
      </w:r>
    </w:p>
    <w:p>
      <w:pPr>
        <w:pStyle w:val="BodyText"/>
        <w:spacing w:line="240" w:lineRule="auto" w:before="116"/>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公司控股股东情况" w:id="103"/>
      <w:bookmarkEnd w:id="10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44"/>
        <w:ind w:left="0" w:right="1141"/>
        <w:jc w:val="right"/>
      </w:pPr>
      <w:r>
        <w:rPr/>
        <w:pict>
          <v:shape style="position:absolute;margin-left:56.459999pt;margin-top:-72.188278pt;width:479.2pt;height:185.6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98"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王海鹏先生，男，</w:t>
                        </w:r>
                        <w:r>
                          <w:rPr>
                            <w:rFonts w:ascii="Times New Roman" w:hAnsi="Times New Roman" w:cs="Times New Roman" w:eastAsia="Times New Roman" w:hint="default"/>
                            <w:sz w:val="18"/>
                            <w:szCs w:val="18"/>
                          </w:rPr>
                          <w:t>1971 </w:t>
                        </w:r>
                        <w:r>
                          <w:rPr>
                            <w:rFonts w:ascii="宋体" w:hAnsi="宋体" w:cs="宋体" w:eastAsia="宋体" w:hint="default"/>
                            <w:sz w:val="18"/>
                            <w:szCs w:val="18"/>
                          </w:rPr>
                          <w:t>年生，中国国籍，无永久境外居留权，工商管理硕士。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年创办公司前身深圳市美盈森环保包装技术有限公司并历任董事长。现任 公司董事长兼总经理，中国包装联合会副会长、东莞市环保包装行业协会会长 并兼任东莞市美盈森环保科技有限公司董事长、美盈森（香港）国际控股有限 公司董事、中山市美盈森环保科技有限公司执行董事、苏州美盈森环保科技有 限公司执行董事、重庆市美盈森环保包装工程有限公司执行董事、武汉市美盈 森环保科技有限公司执行董事、成都市美盈森环保科技有限公司执行董事、广 东佳宝隆科技有限公司董事、广州信联智通实业股份有限公司董事、深圳市金 之彩文化创意有限公司董事、四川泸美供应链管理有限公司执行董事。</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154" w:right="0"/>
        <w:jc w:val="left"/>
      </w:pPr>
      <w:r>
        <w:rPr/>
        <w:t>控股股东报告期内变更</w:t>
      </w:r>
    </w:p>
    <w:p>
      <w:pPr>
        <w:pStyle w:val="BodyText"/>
        <w:spacing w:line="357" w:lineRule="auto" w:before="117"/>
        <w:ind w:left="154" w:right="8052"/>
        <w:jc w:val="left"/>
      </w:pPr>
      <w:r>
        <w:rPr/>
        <w:t>□ 适用 √ 不适用 公司报告期控股股东未发生变更。</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公司实际控制人情况" w:id="104"/>
      <w:bookmarkEnd w:id="104"/>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0" w:right="1139"/>
        <w:jc w:val="right"/>
      </w:pPr>
      <w:r>
        <w:rPr/>
        <w:pict>
          <v:shape style="position:absolute;margin-left:56.459999pt;margin-top:-43.298256pt;width:479.2pt;height:185.6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99"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3"/>
                          <w:jc w:val="left"/>
                          <w:rPr>
                            <w:rFonts w:ascii="宋体" w:hAnsi="宋体" w:cs="宋体" w:eastAsia="宋体" w:hint="default"/>
                            <w:sz w:val="18"/>
                            <w:szCs w:val="18"/>
                          </w:rPr>
                        </w:pPr>
                        <w:r>
                          <w:rPr>
                            <w:rFonts w:ascii="宋体" w:hAnsi="宋体" w:cs="宋体" w:eastAsia="宋体" w:hint="default"/>
                            <w:sz w:val="18"/>
                            <w:szCs w:val="18"/>
                          </w:rPr>
                          <w:t>王海鹏先生，男，</w:t>
                        </w:r>
                        <w:r>
                          <w:rPr>
                            <w:rFonts w:ascii="Times New Roman" w:hAnsi="Times New Roman" w:cs="Times New Roman" w:eastAsia="Times New Roman" w:hint="default"/>
                            <w:sz w:val="18"/>
                            <w:szCs w:val="18"/>
                          </w:rPr>
                          <w:t>1971</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年生，中国国籍，无永久境外居留权，工商管理硕士 </w:t>
                        </w:r>
                        <w:r>
                          <w:rPr>
                            <w:rFonts w:ascii="Times New Roman" w:hAnsi="Times New Roman" w:cs="Times New Roman" w:eastAsia="Times New Roman" w:hint="default"/>
                            <w:sz w:val="18"/>
                            <w:szCs w:val="18"/>
                          </w:rPr>
                          <w:t>2000 </w:t>
                        </w:r>
                        <w:r>
                          <w:rPr>
                            <w:rFonts w:ascii="宋体" w:hAnsi="宋体" w:cs="宋体" w:eastAsia="宋体" w:hint="default"/>
                            <w:sz w:val="18"/>
                            <w:szCs w:val="18"/>
                          </w:rPr>
                          <w:t>年创办公司前身深圳市美盈森环保包装技术有限公司并历任董事长。现 </w:t>
                        </w:r>
                        <w:r>
                          <w:rPr>
                            <w:rFonts w:ascii="宋体" w:hAnsi="宋体" w:cs="宋体" w:eastAsia="宋体" w:hint="default"/>
                            <w:spacing w:val="-1"/>
                            <w:sz w:val="18"/>
                            <w:szCs w:val="18"/>
                          </w:rPr>
                          <w:t>任公司董事长兼总经理，中国包装联合会副会长、东莞市环保包装行业协会会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长，并兼任东莞市美盈森环保科技有限公司董事长、美盈森（香港）国际控股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有限公司董事、中山市美盈森环保科技有限公司执行董事、苏州美盈森环保科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技有限公司执行董事、重庆市美盈森环保包装工程有限公司执行董事、武汉市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美盈森环保科技有限公司执行董事、成都市美盈森环保科技有限公司执行董 </w:t>
                        </w:r>
                        <w:r>
                          <w:rPr>
                            <w:rFonts w:ascii="宋体" w:hAnsi="宋体" w:cs="宋体" w:eastAsia="宋体" w:hint="default"/>
                            <w:spacing w:val="-1"/>
                            <w:sz w:val="18"/>
                            <w:szCs w:val="18"/>
                          </w:rPr>
                          <w:t>事、广东佳宝隆科技有限公司董事、广州信联智通实业股份有限公司董事、深</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圳市金之彩文化创意有限公司董事、四川泸美供应链管理有限公司执行董事。</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44"/>
        <w:ind w:left="154" w:right="0"/>
        <w:jc w:val="left"/>
      </w:pPr>
      <w:r>
        <w:rPr/>
        <w:t>实际控制人报告期内变更</w:t>
      </w:r>
    </w:p>
    <w:p>
      <w:pPr>
        <w:pStyle w:val="BodyText"/>
        <w:spacing w:line="360" w:lineRule="auto" w:before="116"/>
        <w:ind w:left="154" w:right="6792"/>
        <w:jc w:val="left"/>
      </w:pPr>
      <w:r>
        <w:rPr/>
        <w:t>□ 适用 √ 不适用 公司报告期实际控制人未发生变更。 公司与实际控制人之间的产权及控制关系的方框图</w:t>
      </w:r>
    </w:p>
    <w:p>
      <w:pPr>
        <w:spacing w:line="240" w:lineRule="auto" w:before="7"/>
        <w:rPr>
          <w:rFonts w:ascii="宋体" w:hAnsi="宋体" w:cs="宋体" w:eastAsia="宋体" w:hint="default"/>
          <w:sz w:val="22"/>
          <w:szCs w:val="22"/>
        </w:rPr>
      </w:pPr>
    </w:p>
    <w:p>
      <w:pPr>
        <w:spacing w:line="2559" w:lineRule="exact"/>
        <w:ind w:left="2110"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3629770" cy="1625346"/>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3629770" cy="1625346"/>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2"/>
        <w:rPr>
          <w:rFonts w:ascii="宋体" w:hAnsi="宋体" w:cs="宋体" w:eastAsia="宋体" w:hint="default"/>
          <w:sz w:val="22"/>
          <w:szCs w:val="22"/>
        </w:rPr>
      </w:pPr>
    </w:p>
    <w:p>
      <w:pPr>
        <w:spacing w:before="0"/>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持股在10%以上的法人股东" w:id="105"/>
      <w:bookmarkEnd w:id="10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四、公司股东及其一致行动人在报告期提出或实施股份增持计划的情况" w:id="106"/>
      <w:bookmarkEnd w:id="106"/>
      <w:r>
        <w:rPr>
          <w:b w:val="0"/>
          <w:bCs w:val="0"/>
        </w:rPr>
      </w: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left="154" w:right="3732"/>
        <w:jc w:val="left"/>
      </w:pPr>
      <w:r>
        <w:rPr/>
        <w:t>□ 适用 √ 不适用 在公司所知的范围内，没有公司股东及其一致行动人在报告期提出或实施股份增持计划。</w:t>
      </w:r>
    </w:p>
    <w:p>
      <w:pPr>
        <w:spacing w:after="0" w:line="36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07"/>
      <w:bookmarkEnd w:id="107"/>
      <w:r>
        <w:rPr>
          <w:b w:val="0"/>
          <w:bCs w:val="0"/>
        </w:rPr>
      </w:r>
      <w:bookmarkStart w:name="_bookmark6" w:id="108"/>
      <w:bookmarkEnd w:id="108"/>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4"/>
        <w:ind w:left="154" w:right="8592"/>
        <w:jc w:val="left"/>
      </w:pPr>
      <w:r>
        <w:rPr/>
        <w:t>□ 适用 √ 不适用 报告期公司不存在优先股。</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43.660004pt;margin-top:580.599976pt;width:43.05pt;height:15.6pt;mso-position-horizontal-relative:page;mso-position-vertical-relative:page;z-index:-841624" coordorigin="2873,11612" coordsize="861,312">
            <v:shape style="position:absolute;left:2873;top:11612;width:861;height:312" coordorigin="2873,11612" coordsize="861,312" path="m2873,11924l3734,11924,3734,11612,2873,11612,2873,11924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09"/>
      <w:bookmarkEnd w:id="109"/>
      <w:r>
        <w:rPr>
          <w:b w:val="0"/>
          <w:bCs w:val="0"/>
        </w:rPr>
      </w:r>
      <w:bookmarkStart w:name="_bookmark7" w:id="110"/>
      <w:bookmarkEnd w:id="110"/>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1"/>
      <w:bookmarkEnd w:id="11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177,748,80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351,497,60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58,952,280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98,594,560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冯达昌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郭万达</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陈骏德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蔡少龄</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王红婵</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both"/>
              <w:rPr>
                <w:rFonts w:ascii="宋体" w:hAnsi="宋体" w:cs="宋体" w:eastAsia="宋体" w:hint="default"/>
                <w:sz w:val="18"/>
                <w:szCs w:val="18"/>
              </w:rPr>
            </w:pPr>
            <w:r>
              <w:rPr>
                <w:rFonts w:ascii="宋体" w:hAnsi="宋体" w:cs="宋体" w:eastAsia="宋体" w:hint="default"/>
                <w:sz w:val="18"/>
                <w:szCs w:val="18"/>
              </w:rPr>
              <w:t>副总经理 董事会秘 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袁宏贵</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236,702,19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450,114,38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任职情况" w:id="112"/>
      <w:bookmarkEnd w:id="112"/>
      <w:r>
        <w:rPr>
          <w:b w:val="0"/>
          <w:bCs w:val="0"/>
        </w:rPr>
      </w:r>
      <w:r>
        <w:rPr/>
        <w:t>二、任职情况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444" w:right="0"/>
        <w:jc w:val="left"/>
      </w:pPr>
      <w:r>
        <w:rPr>
          <w:rFonts w:ascii="Times New Roman" w:hAnsi="Times New Roman" w:cs="Times New Roman" w:eastAsia="Times New Roman" w:hint="default"/>
          <w:b/>
          <w:bCs/>
        </w:rPr>
        <w:t>1</w:t>
      </w:r>
      <w:r>
        <w:rPr/>
        <w:t>、董事会成员</w:t>
      </w:r>
    </w:p>
    <w:p>
      <w:pPr>
        <w:spacing w:line="240" w:lineRule="auto" w:before="0"/>
        <w:rPr>
          <w:rFonts w:ascii="宋体" w:hAnsi="宋体" w:cs="宋体" w:eastAsia="宋体" w:hint="default"/>
          <w:sz w:val="18"/>
          <w:szCs w:val="18"/>
        </w:rPr>
      </w:pPr>
    </w:p>
    <w:p>
      <w:pPr>
        <w:pStyle w:val="BodyText"/>
        <w:spacing w:line="314" w:lineRule="auto" w:before="139"/>
        <w:ind w:left="154" w:right="1131" w:firstLine="290"/>
        <w:jc w:val="both"/>
      </w:pPr>
      <w:r>
        <w:rPr>
          <w:spacing w:val="-1"/>
        </w:rPr>
        <w:t>王海鹏先生，</w:t>
      </w:r>
      <w:r>
        <w:rPr>
          <w:rFonts w:ascii="Times New Roman" w:hAnsi="Times New Roman" w:cs="Times New Roman" w:eastAsia="Times New Roman" w:hint="default"/>
          <w:spacing w:val="-1"/>
        </w:rPr>
        <w:t>1971</w:t>
      </w:r>
      <w:r>
        <w:rPr>
          <w:spacing w:val="-1"/>
        </w:rPr>
        <w:t>年生，中国国籍，无永久境外居留权，工商管理硕士。</w:t>
      </w:r>
      <w:r>
        <w:rPr>
          <w:rFonts w:ascii="Times New Roman" w:hAnsi="Times New Roman" w:cs="Times New Roman" w:eastAsia="Times New Roman" w:hint="default"/>
          <w:spacing w:val="-1"/>
        </w:rPr>
        <w:t>2000</w:t>
      </w:r>
      <w:r>
        <w:rPr>
          <w:spacing w:val="-1"/>
        </w:rPr>
        <w:t>年创办公司前身深圳市美盈森环保包装技</w:t>
      </w:r>
      <w:r>
        <w:rPr/>
        <w:t> </w:t>
      </w:r>
      <w:r>
        <w:rPr>
          <w:spacing w:val="-2"/>
        </w:rPr>
        <w:t>术有限公司并历任董事长。现任公司董事长、总经理，中国包装联合会副会长、东莞市环保包装行业协会会长，并兼任东莞</w:t>
      </w:r>
      <w:r>
        <w:rPr>
          <w:spacing w:val="-66"/>
        </w:rPr>
        <w:t> </w:t>
      </w:r>
      <w:r>
        <w:rPr>
          <w:spacing w:val="-66"/>
        </w:rPr>
      </w:r>
      <w:r>
        <w:rPr>
          <w:spacing w:val="-2"/>
        </w:rPr>
        <w:t>市美盈森环保科技有限公司董事长、美盈森（香港）国际控股有限公司董事、中山市美盈森环保科技有限公司执行董事、苏</w:t>
      </w:r>
      <w:r>
        <w:rPr>
          <w:spacing w:val="-66"/>
        </w:rPr>
        <w:t> </w:t>
      </w:r>
      <w:r>
        <w:rPr>
          <w:spacing w:val="-66"/>
        </w:rPr>
      </w:r>
      <w:r>
        <w:rPr>
          <w:spacing w:val="-2"/>
        </w:rPr>
        <w:t>州美盈森环保科技有限公司执行董事、重庆市美盈森环保包装工程有限公司执行董事、武汉市美盈森环保科技有限公司执行</w:t>
      </w:r>
      <w:r>
        <w:rPr>
          <w:spacing w:val="-64"/>
        </w:rPr>
        <w:t> </w:t>
      </w:r>
      <w:r>
        <w:rPr>
          <w:spacing w:val="-64"/>
        </w:rPr>
      </w:r>
      <w:r>
        <w:rPr>
          <w:spacing w:val="-2"/>
        </w:rPr>
        <w:t>董事、成都市美盈森环保科技有限公司执行董事、广东佳宝隆科技有限公司董事、广州信联智通实业股份有限公司董事、深</w:t>
      </w:r>
      <w:r>
        <w:rPr>
          <w:spacing w:val="-66"/>
        </w:rPr>
        <w:t> </w:t>
      </w:r>
      <w:r>
        <w:rPr>
          <w:spacing w:val="-66"/>
        </w:rPr>
      </w:r>
      <w:r>
        <w:rPr/>
        <w:t>圳市金之彩文化创意有限公司董事。</w:t>
      </w:r>
    </w:p>
    <w:p>
      <w:pPr>
        <w:spacing w:line="240" w:lineRule="auto" w:before="6"/>
        <w:rPr>
          <w:rFonts w:ascii="宋体" w:hAnsi="宋体" w:cs="宋体" w:eastAsia="宋体" w:hint="default"/>
          <w:sz w:val="25"/>
          <w:szCs w:val="25"/>
        </w:rPr>
      </w:pPr>
    </w:p>
    <w:p>
      <w:pPr>
        <w:pStyle w:val="BodyText"/>
        <w:spacing w:line="309" w:lineRule="auto"/>
        <w:ind w:left="154" w:right="1130" w:firstLine="290"/>
        <w:jc w:val="both"/>
      </w:pPr>
      <w:r>
        <w:rPr>
          <w:spacing w:val="-1"/>
        </w:rPr>
        <w:t>王治军先生，</w:t>
      </w:r>
      <w:r>
        <w:rPr>
          <w:rFonts w:ascii="Times New Roman" w:hAnsi="Times New Roman" w:cs="Times New Roman" w:eastAsia="Times New Roman" w:hint="default"/>
          <w:spacing w:val="-1"/>
        </w:rPr>
        <w:t>1978</w:t>
      </w:r>
      <w:r>
        <w:rPr>
          <w:spacing w:val="-1"/>
        </w:rPr>
        <w:t>年生，中国国籍，无永久境外居留权，工商管理硕士。自美盈森技术创办以来历任董事。现任公司董</w:t>
      </w:r>
      <w:r>
        <w:rPr/>
        <w:t> </w:t>
      </w:r>
      <w:r>
        <w:rPr>
          <w:spacing w:val="-2"/>
        </w:rPr>
        <w:t>事、副总经理，并兼任美盈森（香港）国际控股有限公司董事、东莞市美芯龙物联网科技有限公司执行董事、深圳市金之彩</w:t>
      </w:r>
      <w:r>
        <w:rPr>
          <w:spacing w:val="-68"/>
        </w:rPr>
        <w:t> </w:t>
      </w:r>
      <w:r>
        <w:rPr>
          <w:spacing w:val="-68"/>
        </w:rPr>
      </w:r>
      <w:r>
        <w:rPr/>
        <w:t>文化创意有限公司董事。</w:t>
      </w:r>
    </w:p>
    <w:p>
      <w:pPr>
        <w:spacing w:line="240" w:lineRule="auto" w:before="9"/>
        <w:rPr>
          <w:rFonts w:ascii="宋体" w:hAnsi="宋体" w:cs="宋体" w:eastAsia="宋体" w:hint="default"/>
          <w:sz w:val="25"/>
          <w:szCs w:val="25"/>
        </w:rPr>
      </w:pPr>
    </w:p>
    <w:p>
      <w:pPr>
        <w:pStyle w:val="BodyText"/>
        <w:spacing w:line="309" w:lineRule="auto"/>
        <w:ind w:left="154" w:right="1111" w:firstLine="300"/>
        <w:jc w:val="both"/>
      </w:pPr>
      <w:r>
        <w:rPr/>
        <w:t>冯达昌先生，</w:t>
      </w:r>
      <w:r>
        <w:rPr>
          <w:rFonts w:ascii="Times New Roman" w:hAnsi="Times New Roman" w:cs="Times New Roman" w:eastAsia="Times New Roman" w:hint="default"/>
        </w:rPr>
        <w:t>1962</w:t>
      </w:r>
      <w:r>
        <w:rPr/>
        <w:t>年生，中国香港籍，工商管理硕士。曾任美福瓦通纸品（深圳）有限公司营销总监。现任公司董事、 </w:t>
      </w:r>
      <w:r>
        <w:rPr>
          <w:spacing w:val="-2"/>
        </w:rPr>
        <w:t>副总经理，并兼任东莞市美盈森环保科技有限公司董事、美盈森（香港）国际控股有限公司董事、常富润企业（香港）董事</w:t>
      </w:r>
      <w:r>
        <w:rPr>
          <w:spacing w:val="-72"/>
        </w:rPr>
        <w:t> </w:t>
      </w:r>
      <w:r>
        <w:rPr>
          <w:spacing w:val="-72"/>
        </w:rPr>
      </w:r>
      <w:r>
        <w:rPr/>
        <w:t>长、常富润科技（深圳）有限公司执行董事和总经理。</w:t>
      </w:r>
    </w:p>
    <w:p>
      <w:pPr>
        <w:spacing w:line="240" w:lineRule="auto" w:before="9"/>
        <w:rPr>
          <w:rFonts w:ascii="宋体" w:hAnsi="宋体" w:cs="宋体" w:eastAsia="宋体" w:hint="default"/>
          <w:sz w:val="25"/>
          <w:szCs w:val="25"/>
        </w:rPr>
      </w:pPr>
    </w:p>
    <w:p>
      <w:pPr>
        <w:pStyle w:val="BodyText"/>
        <w:spacing w:line="240" w:lineRule="auto"/>
        <w:ind w:left="444" w:right="0"/>
        <w:jc w:val="left"/>
      </w:pPr>
      <w:r>
        <w:rPr/>
        <w:t>陈骏德先生，</w:t>
      </w:r>
      <w:r>
        <w:rPr>
          <w:rFonts w:ascii="Times New Roman" w:hAnsi="Times New Roman" w:cs="Times New Roman" w:eastAsia="Times New Roman" w:hint="default"/>
        </w:rPr>
        <w:t>1970</w:t>
      </w:r>
      <w:r>
        <w:rPr/>
        <w:t>年出生，中国国籍，硕士学历，无永久境外居留权。</w:t>
      </w:r>
      <w:r>
        <w:rPr>
          <w:rFonts w:ascii="Times New Roman" w:hAnsi="Times New Roman" w:cs="Times New Roman" w:eastAsia="Times New Roman" w:hint="default"/>
        </w:rPr>
        <w:t>2007</w:t>
      </w:r>
      <w:r>
        <w:rPr/>
        <w:t>年至今任深圳中金投资管理有限公司董事长，</w:t>
      </w:r>
    </w:p>
    <w:p>
      <w:pPr>
        <w:pStyle w:val="BodyText"/>
        <w:spacing w:line="240" w:lineRule="auto" w:before="63"/>
        <w:ind w:left="154" w:right="0"/>
        <w:jc w:val="both"/>
      </w:pPr>
      <w:r>
        <w:rPr>
          <w:rFonts w:ascii="Times New Roman" w:hAnsi="Times New Roman" w:cs="Times New Roman" w:eastAsia="Times New Roman" w:hint="default"/>
        </w:rPr>
        <w:t>2012</w:t>
      </w:r>
      <w:r>
        <w:rPr/>
        <w:t>年至今任陕西省航空高技术创业投资基金（有限合伙）执行事务合伙人。现任公司独立董事。</w:t>
      </w:r>
    </w:p>
    <w:p>
      <w:pPr>
        <w:spacing w:line="240" w:lineRule="auto" w:before="0"/>
        <w:rPr>
          <w:rFonts w:ascii="宋体" w:hAnsi="宋体" w:cs="宋体" w:eastAsia="宋体" w:hint="default"/>
          <w:sz w:val="18"/>
          <w:szCs w:val="18"/>
        </w:rPr>
      </w:pPr>
    </w:p>
    <w:p>
      <w:pPr>
        <w:pStyle w:val="BodyText"/>
        <w:spacing w:line="309" w:lineRule="auto" w:before="139"/>
        <w:ind w:left="154" w:right="1131" w:firstLine="290"/>
        <w:jc w:val="both"/>
      </w:pPr>
      <w:r>
        <w:rPr>
          <w:spacing w:val="-1"/>
        </w:rPr>
        <w:t>张建军先生，</w:t>
      </w:r>
      <w:r>
        <w:rPr>
          <w:rFonts w:ascii="Times New Roman" w:hAnsi="Times New Roman" w:cs="Times New Roman" w:eastAsia="Times New Roman" w:hint="default"/>
          <w:spacing w:val="-1"/>
        </w:rPr>
        <w:t>1964</w:t>
      </w:r>
      <w:r>
        <w:rPr>
          <w:spacing w:val="-1"/>
        </w:rPr>
        <w:t>年出生，会计学教授，博士研究生。曾任江西财经大学会计学院副院长、深圳鹏元资信评估有限公司</w:t>
      </w:r>
      <w:r>
        <w:rPr/>
        <w:t> </w:t>
      </w:r>
      <w:r>
        <w:rPr>
          <w:spacing w:val="-2"/>
        </w:rPr>
        <w:t>副总裁、深圳大学经济学院院长、教授，现任深圳大学会计与财务研究所所长、教授，兼任中国南玻集团股份有限公司独立</w:t>
      </w:r>
      <w:r>
        <w:rPr>
          <w:spacing w:val="-65"/>
        </w:rPr>
        <w:t> </w:t>
      </w:r>
      <w:r>
        <w:rPr>
          <w:spacing w:val="-65"/>
        </w:rPr>
      </w:r>
      <w:r>
        <w:rPr/>
        <w:t>董事、深圳市天威视讯股份有限公司独立董事、深圳市机场股份有限公司独立董事。</w:t>
      </w:r>
    </w:p>
    <w:p>
      <w:pPr>
        <w:spacing w:line="240" w:lineRule="auto" w:before="9"/>
        <w:rPr>
          <w:rFonts w:ascii="宋体" w:hAnsi="宋体" w:cs="宋体" w:eastAsia="宋体" w:hint="default"/>
          <w:sz w:val="25"/>
          <w:szCs w:val="25"/>
        </w:rPr>
      </w:pPr>
    </w:p>
    <w:p>
      <w:pPr>
        <w:pStyle w:val="BodyText"/>
        <w:spacing w:line="300" w:lineRule="auto"/>
        <w:ind w:left="154" w:right="1132" w:firstLine="290"/>
        <w:jc w:val="both"/>
      </w:pPr>
      <w:r>
        <w:rPr>
          <w:spacing w:val="-1"/>
        </w:rPr>
        <w:t>李伟东先生，</w:t>
      </w:r>
      <w:r>
        <w:rPr>
          <w:rFonts w:ascii="Times New Roman" w:hAnsi="Times New Roman" w:cs="Times New Roman" w:eastAsia="Times New Roman" w:hint="default"/>
          <w:spacing w:val="-1"/>
        </w:rPr>
        <w:t>1968</w:t>
      </w:r>
      <w:r>
        <w:rPr>
          <w:spacing w:val="-1"/>
        </w:rPr>
        <w:t>年出生，法学博士、律师。自</w:t>
      </w:r>
      <w:r>
        <w:rPr>
          <w:rFonts w:ascii="Times New Roman" w:hAnsi="Times New Roman" w:cs="Times New Roman" w:eastAsia="Times New Roman" w:hint="default"/>
          <w:spacing w:val="-1"/>
        </w:rPr>
        <w:t>2003</w:t>
      </w:r>
      <w:r>
        <w:rPr>
          <w:spacing w:val="-1"/>
        </w:rPr>
        <w:t>年至今担任广东海派律师事务所执行合伙人，兼任华泰长城期货有</w:t>
      </w:r>
      <w:r>
        <w:rPr/>
        <w:t> 限公司独立董事、深圳市朗科科技股份有限公司独立董事。</w:t>
      </w:r>
    </w:p>
    <w:p>
      <w:pPr>
        <w:spacing w:line="240" w:lineRule="auto" w:before="3"/>
        <w:rPr>
          <w:rFonts w:ascii="宋体" w:hAnsi="宋体" w:cs="宋体" w:eastAsia="宋体" w:hint="default"/>
          <w:sz w:val="26"/>
          <w:szCs w:val="26"/>
        </w:rPr>
      </w:pPr>
    </w:p>
    <w:p>
      <w:pPr>
        <w:pStyle w:val="BodyText"/>
        <w:spacing w:line="300" w:lineRule="auto"/>
        <w:ind w:left="444" w:right="0" w:firstLine="325"/>
        <w:jc w:val="left"/>
      </w:pPr>
      <w:r>
        <w:rPr>
          <w:rFonts w:ascii="Times New Roman" w:hAnsi="Times New Roman" w:cs="Times New Roman" w:eastAsia="Times New Roman" w:hint="default"/>
          <w:b/>
          <w:bCs/>
        </w:rPr>
        <w:t>2</w:t>
      </w:r>
      <w:r>
        <w:rPr/>
        <w:t>、监事会成员 </w:t>
      </w:r>
      <w:r>
        <w:rPr>
          <w:spacing w:val="-1"/>
        </w:rPr>
        <w:t>蔡少龄先生，</w:t>
      </w:r>
      <w:r>
        <w:rPr>
          <w:rFonts w:ascii="Times New Roman" w:hAnsi="Times New Roman" w:cs="Times New Roman" w:eastAsia="Times New Roman" w:hint="default"/>
          <w:spacing w:val="-1"/>
        </w:rPr>
        <w:t>1942</w:t>
      </w:r>
      <w:r>
        <w:rPr>
          <w:spacing w:val="-1"/>
        </w:rPr>
        <w:t>年生，中国国籍，无永久境外居留权，本科学历，高级工程师，参与制定多项行业国家标准，出版了</w:t>
      </w:r>
    </w:p>
    <w:p>
      <w:pPr>
        <w:pStyle w:val="BodyText"/>
        <w:spacing w:line="300" w:lineRule="auto" w:before="13"/>
        <w:ind w:right="1130"/>
        <w:jc w:val="both"/>
      </w:pPr>
      <w:r>
        <w:rPr>
          <w:spacing w:val="-2"/>
        </w:rPr>
        <w:t>《运输包装设计手册》、《包装技术手册》、《化工百科全书》之包装器材卷等专著。</w:t>
      </w:r>
      <w:r>
        <w:rPr>
          <w:rFonts w:ascii="Times New Roman" w:hAnsi="Times New Roman" w:cs="Times New Roman" w:eastAsia="Times New Roman" w:hint="default"/>
          <w:spacing w:val="-2"/>
        </w:rPr>
        <w:t>1978</w:t>
      </w:r>
      <w:r>
        <w:rPr>
          <w:spacing w:val="-2"/>
        </w:rPr>
        <w:t>至</w:t>
      </w:r>
      <w:r>
        <w:rPr>
          <w:rFonts w:ascii="Times New Roman" w:hAnsi="Times New Roman" w:cs="Times New Roman" w:eastAsia="Times New Roman" w:hint="default"/>
          <w:spacing w:val="-2"/>
        </w:rPr>
        <w:t>1987</w:t>
      </w:r>
      <w:r>
        <w:rPr>
          <w:spacing w:val="-2"/>
        </w:rPr>
        <w:t>年任中国出口商品包装研</w:t>
      </w:r>
      <w:r>
        <w:rPr>
          <w:spacing w:val="-58"/>
        </w:rPr>
        <w:t> </w:t>
      </w:r>
      <w:r>
        <w:rPr>
          <w:spacing w:val="-58"/>
        </w:rPr>
      </w:r>
      <w:r>
        <w:rPr>
          <w:spacing w:val="-2"/>
        </w:rPr>
        <w:t>究所工程师，</w:t>
      </w:r>
      <w:r>
        <w:rPr>
          <w:rFonts w:ascii="Times New Roman" w:hAnsi="Times New Roman" w:cs="Times New Roman" w:eastAsia="Times New Roman" w:hint="default"/>
          <w:spacing w:val="-2"/>
        </w:rPr>
        <w:t>1987</w:t>
      </w:r>
      <w:r>
        <w:rPr>
          <w:spacing w:val="-2"/>
        </w:rPr>
        <w:t>至</w:t>
      </w:r>
      <w:r>
        <w:rPr>
          <w:rFonts w:ascii="Times New Roman" w:hAnsi="Times New Roman" w:cs="Times New Roman" w:eastAsia="Times New Roman" w:hint="default"/>
          <w:spacing w:val="-2"/>
        </w:rPr>
        <w:t>1991</w:t>
      </w:r>
      <w:r>
        <w:rPr>
          <w:spacing w:val="-2"/>
        </w:rPr>
        <w:t>年担任中国包装科研测试中心、国家运输包装质量监督检测中心技术负责人，</w:t>
      </w:r>
      <w:r>
        <w:rPr>
          <w:rFonts w:ascii="Times New Roman" w:hAnsi="Times New Roman" w:cs="Times New Roman" w:eastAsia="Times New Roman" w:hint="default"/>
          <w:spacing w:val="-2"/>
        </w:rPr>
        <w:t>1991</w:t>
      </w:r>
      <w:r>
        <w:rPr>
          <w:spacing w:val="-2"/>
        </w:rPr>
        <w:t>至</w:t>
      </w:r>
      <w:r>
        <w:rPr>
          <w:rFonts w:ascii="Times New Roman" w:hAnsi="Times New Roman" w:cs="Times New Roman" w:eastAsia="Times New Roman" w:hint="default"/>
          <w:spacing w:val="-2"/>
        </w:rPr>
        <w:t>2001</w:t>
      </w:r>
      <w:r>
        <w:rPr>
          <w:spacing w:val="-2"/>
        </w:rPr>
        <w:t>年任美福</w:t>
      </w:r>
      <w:r>
        <w:rPr>
          <w:spacing w:val="-49"/>
        </w:rPr>
        <w:t> </w:t>
      </w:r>
      <w:r>
        <w:rPr>
          <w:spacing w:val="-2"/>
        </w:rPr>
        <w:t>瓦通纸品（深圳）有限公司质管部经理，</w:t>
      </w:r>
      <w:r>
        <w:rPr>
          <w:rFonts w:ascii="Times New Roman" w:hAnsi="Times New Roman" w:cs="Times New Roman" w:eastAsia="Times New Roman" w:hint="default"/>
          <w:spacing w:val="-2"/>
        </w:rPr>
        <w:t>2001</w:t>
      </w:r>
      <w:r>
        <w:rPr>
          <w:spacing w:val="-2"/>
        </w:rPr>
        <w:t>至</w:t>
      </w:r>
      <w:r>
        <w:rPr>
          <w:rFonts w:ascii="Times New Roman" w:hAnsi="Times New Roman" w:cs="Times New Roman" w:eastAsia="Times New Roman" w:hint="default"/>
          <w:spacing w:val="-2"/>
        </w:rPr>
        <w:t>2002</w:t>
      </w:r>
      <w:r>
        <w:rPr>
          <w:spacing w:val="-2"/>
        </w:rPr>
        <w:t>年任深圳市诺恒管理策划有限公司顾问师，</w:t>
      </w:r>
      <w:r>
        <w:rPr>
          <w:rFonts w:ascii="Times New Roman" w:hAnsi="Times New Roman" w:cs="Times New Roman" w:eastAsia="Times New Roman" w:hint="default"/>
          <w:spacing w:val="-2"/>
        </w:rPr>
        <w:t>2002</w:t>
      </w:r>
      <w:r>
        <w:rPr>
          <w:spacing w:val="-2"/>
        </w:rPr>
        <w:t>至</w:t>
      </w:r>
      <w:r>
        <w:rPr>
          <w:rFonts w:ascii="Times New Roman" w:hAnsi="Times New Roman" w:cs="Times New Roman" w:eastAsia="Times New Roman" w:hint="default"/>
          <w:spacing w:val="-2"/>
        </w:rPr>
        <w:t>2004</w:t>
      </w:r>
      <w:r>
        <w:rPr>
          <w:spacing w:val="-2"/>
        </w:rPr>
        <w:t>年任深圳职业技</w:t>
      </w:r>
      <w:r>
        <w:rPr>
          <w:spacing w:val="-49"/>
        </w:rPr>
        <w:t> </w:t>
      </w:r>
      <w:r>
        <w:rPr>
          <w:spacing w:val="-2"/>
        </w:rPr>
        <w:t>术学院印刷传播系教师，</w:t>
      </w:r>
      <w:r>
        <w:rPr>
          <w:rFonts w:ascii="Times New Roman" w:hAnsi="Times New Roman" w:cs="Times New Roman" w:eastAsia="Times New Roman" w:hint="default"/>
          <w:spacing w:val="-2"/>
        </w:rPr>
        <w:t>2004</w:t>
      </w:r>
      <w:r>
        <w:rPr>
          <w:spacing w:val="-2"/>
        </w:rPr>
        <w:t>年加入公司，现任公司监事会主席、技术部顾问，并兼任东莞市美盈森环保科技有限公司监事</w:t>
      </w:r>
      <w:r>
        <w:rPr>
          <w:spacing w:val="-61"/>
        </w:rPr>
        <w:t> </w:t>
      </w:r>
      <w:r>
        <w:rPr>
          <w:spacing w:val="-61"/>
        </w:rPr>
      </w:r>
      <w:r>
        <w:rPr/>
        <w:t>会主席。</w:t>
      </w:r>
    </w:p>
    <w:p>
      <w:pPr>
        <w:spacing w:line="240" w:lineRule="auto" w:before="3"/>
        <w:rPr>
          <w:rFonts w:ascii="宋体" w:hAnsi="宋体" w:cs="宋体" w:eastAsia="宋体" w:hint="default"/>
          <w:sz w:val="26"/>
          <w:szCs w:val="26"/>
        </w:rPr>
      </w:pPr>
    </w:p>
    <w:p>
      <w:pPr>
        <w:pStyle w:val="BodyText"/>
        <w:spacing w:line="300" w:lineRule="auto"/>
        <w:ind w:right="1131" w:firstLine="290"/>
        <w:jc w:val="both"/>
      </w:pPr>
      <w:r>
        <w:rPr>
          <w:spacing w:val="-1"/>
        </w:rPr>
        <w:t>陈利科先生，</w:t>
      </w:r>
      <w:r>
        <w:rPr>
          <w:rFonts w:ascii="Times New Roman" w:hAnsi="Times New Roman" w:cs="Times New Roman" w:eastAsia="Times New Roman" w:hint="default"/>
          <w:spacing w:val="-1"/>
        </w:rPr>
        <w:t>1976</w:t>
      </w:r>
      <w:r>
        <w:rPr>
          <w:spacing w:val="-1"/>
        </w:rPr>
        <w:t>年生，中国国籍，无永久境外居留权，本科学历。</w:t>
      </w:r>
      <w:r>
        <w:rPr>
          <w:rFonts w:ascii="Times New Roman" w:hAnsi="Times New Roman" w:cs="Times New Roman" w:eastAsia="Times New Roman" w:hint="default"/>
          <w:spacing w:val="-1"/>
        </w:rPr>
        <w:t>2003</w:t>
      </w:r>
      <w:r>
        <w:rPr>
          <w:spacing w:val="-1"/>
        </w:rPr>
        <w:t>年加入公司。现任公司监事、技术部包装工程</w:t>
      </w:r>
      <w:r>
        <w:rPr/>
        <w:t> 师、技术部经理，并兼任东莞市美盈森环保科技有限公司监事。</w:t>
      </w:r>
    </w:p>
    <w:p>
      <w:pPr>
        <w:spacing w:line="240" w:lineRule="auto" w:before="3"/>
        <w:rPr>
          <w:rFonts w:ascii="宋体" w:hAnsi="宋体" w:cs="宋体" w:eastAsia="宋体" w:hint="default"/>
          <w:sz w:val="26"/>
          <w:szCs w:val="26"/>
        </w:rPr>
      </w:pPr>
    </w:p>
    <w:p>
      <w:pPr>
        <w:pStyle w:val="BodyText"/>
        <w:spacing w:line="300" w:lineRule="auto"/>
        <w:ind w:left="154" w:right="1132" w:firstLine="290"/>
        <w:jc w:val="both"/>
      </w:pPr>
      <w:r>
        <w:rPr>
          <w:spacing w:val="-1"/>
        </w:rPr>
        <w:t>王红婵女士，</w:t>
      </w:r>
      <w:r>
        <w:rPr>
          <w:rFonts w:ascii="Times New Roman" w:hAnsi="Times New Roman" w:cs="Times New Roman" w:eastAsia="Times New Roman" w:hint="default"/>
          <w:spacing w:val="-1"/>
        </w:rPr>
        <w:t>1980</w:t>
      </w:r>
      <w:r>
        <w:rPr>
          <w:spacing w:val="-1"/>
        </w:rPr>
        <w:t>年生，中国国籍，无永久境外居留权，本科学历。</w:t>
      </w:r>
      <w:r>
        <w:rPr>
          <w:rFonts w:ascii="Times New Roman" w:hAnsi="Times New Roman" w:cs="Times New Roman" w:eastAsia="Times New Roman" w:hint="default"/>
          <w:spacing w:val="-1"/>
        </w:rPr>
        <w:t>2005</w:t>
      </w:r>
      <w:r>
        <w:rPr>
          <w:spacing w:val="-1"/>
        </w:rPr>
        <w:t>年加入公司，现任公司副总经理助理及公司职</w:t>
      </w:r>
      <w:r>
        <w:rPr/>
        <w:t> 工代表监事。</w:t>
      </w:r>
    </w:p>
    <w:p>
      <w:pPr>
        <w:spacing w:line="240" w:lineRule="auto" w:before="4"/>
        <w:rPr>
          <w:rFonts w:ascii="宋体" w:hAnsi="宋体" w:cs="宋体" w:eastAsia="宋体" w:hint="default"/>
          <w:sz w:val="26"/>
          <w:szCs w:val="26"/>
        </w:rPr>
      </w:pPr>
    </w:p>
    <w:p>
      <w:pPr>
        <w:pStyle w:val="BodyText"/>
        <w:spacing w:line="600" w:lineRule="auto"/>
        <w:ind w:left="444" w:right="5782" w:firstLine="325"/>
        <w:jc w:val="left"/>
      </w:pPr>
      <w:r>
        <w:rPr>
          <w:rFonts w:ascii="Times New Roman" w:hAnsi="Times New Roman" w:cs="Times New Roman" w:eastAsia="Times New Roman" w:hint="default"/>
          <w:b/>
          <w:bCs/>
        </w:rPr>
        <w:t>3</w:t>
      </w:r>
      <w:r>
        <w:rPr/>
        <w:t>、其他高级管理人员 王海鹏先生，任本公司总经理，详见前述董事会成员简历。</w:t>
      </w:r>
    </w:p>
    <w:p>
      <w:pPr>
        <w:spacing w:after="0" w:line="6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636" w:lineRule="auto" w:before="44"/>
        <w:ind w:left="444" w:right="2183"/>
        <w:jc w:val="left"/>
      </w:pPr>
      <w:r>
        <w:rPr/>
        <w:t>王治军先生，任本公司副总经理，详见前述董事会成员简历。 冯达昌先生，任本公司副总经理，详见前述董事会成员简历。</w:t>
      </w:r>
    </w:p>
    <w:p>
      <w:pPr>
        <w:pStyle w:val="BodyText"/>
        <w:spacing w:line="309" w:lineRule="auto" w:before="92"/>
        <w:ind w:right="1033" w:firstLine="290"/>
        <w:jc w:val="left"/>
      </w:pPr>
      <w:r>
        <w:rPr/>
        <w:t>黄琳女士，</w:t>
      </w:r>
      <w:r>
        <w:rPr>
          <w:rFonts w:ascii="Times New Roman" w:hAnsi="Times New Roman" w:cs="Times New Roman" w:eastAsia="Times New Roman" w:hint="default"/>
        </w:rPr>
        <w:t>1969</w:t>
      </w:r>
      <w:r>
        <w:rPr/>
        <w:t>年生，中国国籍，无永久境外居留权，大学本科学历，曾任职于深圳怡宝食品公司，</w:t>
      </w:r>
      <w:r>
        <w:rPr>
          <w:rFonts w:ascii="Times New Roman" w:hAnsi="Times New Roman" w:cs="Times New Roman" w:eastAsia="Times New Roman" w:hint="default"/>
        </w:rPr>
        <w:t>2001</w:t>
      </w:r>
      <w:r>
        <w:rPr/>
        <w:t>年加入公司， 现任公司副总经理兼董事会秘书，并兼任东莞市美盈森环保科技有限公司董事、重庆市美盈森环保包装工程有限公司监事、 深圳市金之彩文化创意有限公司董事。</w:t>
      </w:r>
    </w:p>
    <w:p>
      <w:pPr>
        <w:spacing w:line="240" w:lineRule="auto" w:before="9"/>
        <w:rPr>
          <w:rFonts w:ascii="宋体" w:hAnsi="宋体" w:cs="宋体" w:eastAsia="宋体" w:hint="default"/>
          <w:sz w:val="25"/>
          <w:szCs w:val="25"/>
        </w:rPr>
      </w:pPr>
    </w:p>
    <w:p>
      <w:pPr>
        <w:pStyle w:val="BodyText"/>
        <w:spacing w:line="300" w:lineRule="auto"/>
        <w:ind w:left="154" w:right="0" w:firstLine="290"/>
        <w:jc w:val="left"/>
      </w:pPr>
      <w:r>
        <w:rPr>
          <w:spacing w:val="-1"/>
        </w:rPr>
        <w:t>袁宏贵先生，</w:t>
      </w:r>
      <w:r>
        <w:rPr>
          <w:rFonts w:ascii="Times New Roman" w:hAnsi="Times New Roman" w:cs="Times New Roman" w:eastAsia="Times New Roman" w:hint="default"/>
          <w:spacing w:val="-1"/>
        </w:rPr>
        <w:t>1979</w:t>
      </w:r>
      <w:r>
        <w:rPr>
          <w:spacing w:val="-1"/>
        </w:rPr>
        <w:t>年出生，中国国籍，无永久境外居留权，大学专科学历，中国注册会计师协会非执业会员，曾任职深</w:t>
      </w:r>
      <w:r>
        <w:rPr/>
        <w:t> 圳市鼎益投资有限公司、同方股份有限公司。</w:t>
      </w:r>
      <w:r>
        <w:rPr>
          <w:rFonts w:ascii="Times New Roman" w:hAnsi="Times New Roman" w:cs="Times New Roman" w:eastAsia="Times New Roman" w:hint="default"/>
        </w:rPr>
        <w:t>2010</w:t>
      </w:r>
      <w:r>
        <w:rPr/>
        <w:t>年加入公司，曾任审计部经理。</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在股东单位任职情况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广东佳宝隆科技有限公司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广州信联智通实业股份有限公司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陈骏德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深圳中金投资管理有限公司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陈骏德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深圳市得润电子股份有限公司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陈骏德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陕西省航空高技术创业投资基金（有限 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深圳大学会计与财务研究所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深圳赤湾港航股份有限公司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深圳市机场股份有限公司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中国南玻集团股份有限公司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广东海派律师事务所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华泰长城期货有限公司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202"/>
        <w:gridCol w:w="8367"/>
      </w:tblGrid>
      <w:tr>
        <w:trPr>
          <w:trHeight w:val="332" w:hRule="exact"/>
        </w:trPr>
        <w:tc>
          <w:tcPr>
            <w:tcW w:w="1202" w:type="dxa"/>
            <w:tcBorders>
              <w:top w:val="nil" w:sz="6" w:space="0" w:color="auto"/>
              <w:left w:val="nil" w:sz="6" w:space="0" w:color="auto"/>
              <w:bottom w:val="single" w:sz="4" w:space="0" w:color="000000"/>
              <w:right w:val="nil" w:sz="6" w:space="0" w:color="auto"/>
            </w:tcBorders>
          </w:tcPr>
          <w:p>
            <w:pPr/>
          </w:p>
        </w:tc>
        <w:tc>
          <w:tcPr>
            <w:tcW w:w="8367" w:type="dxa"/>
            <w:tcBorders>
              <w:top w:val="nil" w:sz="6" w:space="0" w:color="auto"/>
              <w:left w:val="nil" w:sz="6" w:space="0" w:color="auto"/>
              <w:bottom w:val="single" w:sz="4" w:space="0" w:color="000000"/>
              <w:right w:val="nil" w:sz="6" w:space="0" w:color="auto"/>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上述任期终止日期是指本届任期。</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r>
        <w:rPr/>
        <w:pict>
          <v:group style="position:absolute;margin-left:55.200001pt;margin-top:-64.424377pt;width:485pt;height:.1pt;mso-position-horizontal-relative:page;mso-position-vertical-relative:paragraph;z-index:-841600" coordorigin="1104,-1288" coordsize="9700,2">
            <v:shape style="position:absolute;left:1104;top:-1288;width:9700;height:2" coordorigin="1104,-1288" coordsize="9700,0" path="m1104,-1288l10804,-1288e" filled="false" stroked="true" strokeweight=".72pt" strokecolor="#000000">
              <v:path arrowok="t"/>
            </v:shape>
            <w10:wrap type="none"/>
          </v:group>
        </w:pict>
      </w:r>
      <w:bookmarkStart w:name="三、董事、监事、高级管理人员报酬情况" w:id="113"/>
      <w:bookmarkEnd w:id="113"/>
      <w:r>
        <w:rPr>
          <w:b w:val="0"/>
          <w:bCs w:val="0"/>
        </w:rPr>
      </w:r>
      <w:r>
        <w:rPr/>
        <w:t>三、董事、监事、高级管理人员报酬情况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483"/>
        <w:jc w:val="left"/>
      </w:pPr>
      <w:r>
        <w:rPr/>
        <w:t>董事、监事、高级管理人员报酬的决策程序、确定依据 董事、监事、高级管理人员报酬的决策程序、确定依据、实际支付情况 </w:t>
      </w:r>
      <w:r>
        <w:rPr>
          <w:rFonts w:ascii="Times New Roman" w:hAnsi="Times New Roman" w:cs="Times New Roman" w:eastAsia="Times New Roman" w:hint="default"/>
        </w:rPr>
        <w:t>1</w:t>
      </w:r>
      <w:r>
        <w:rPr/>
        <w:t>、根据《公司章程》的有关规定，公司董事、监事的津贴由股东大会审议决定；公司高管的报酬由董事会审议决定。</w:t>
      </w:r>
    </w:p>
    <w:p>
      <w:pPr>
        <w:pStyle w:val="BodyText"/>
        <w:spacing w:line="230" w:lineRule="exact"/>
        <w:ind w:right="0"/>
        <w:jc w:val="left"/>
      </w:pPr>
      <w:r>
        <w:rPr>
          <w:rFonts w:ascii="Times New Roman" w:hAnsi="Times New Roman" w:cs="Times New Roman" w:eastAsia="Times New Roman" w:hint="default"/>
        </w:rPr>
        <w:t>2</w:t>
      </w:r>
      <w:r>
        <w:rPr/>
        <w:t>、公司董事、监事、高管人员的报酬综合考虑公司经营情况、同行上市公司及地区薪酬标准确定。具体决策情况如下：</w:t>
      </w:r>
    </w:p>
    <w:p>
      <w:pPr>
        <w:pStyle w:val="BodyText"/>
        <w:spacing w:line="300" w:lineRule="auto" w:before="63"/>
        <w:ind w:right="1036"/>
        <w:jc w:val="left"/>
      </w:pPr>
      <w:r>
        <w:rPr>
          <w:spacing w:val="-4"/>
        </w:rPr>
        <w:t>公司</w:t>
      </w:r>
      <w:r>
        <w:rPr>
          <w:rFonts w:ascii="Times New Roman" w:hAnsi="Times New Roman" w:cs="Times New Roman" w:eastAsia="Times New Roman" w:hint="default"/>
          <w:spacing w:val="-4"/>
        </w:rPr>
        <w:t>2013</w:t>
      </w:r>
      <w:r>
        <w:rPr>
          <w:spacing w:val="-4"/>
        </w:rPr>
        <w:t>年第一次临时股东大会审议通过了《关于第三届董事会董事津贴的议案》、《关于第三届监事会监事津贴的议案》，</w:t>
      </w:r>
      <w:r>
        <w:rPr>
          <w:spacing w:val="-36"/>
        </w:rPr>
        <w:t> </w:t>
      </w:r>
      <w:r>
        <w:rPr>
          <w:spacing w:val="-36"/>
        </w:rPr>
      </w:r>
      <w:r>
        <w:rPr/>
        <w:t>同意支付给第三届董事会董事的津贴为每年</w:t>
      </w:r>
      <w:r>
        <w:rPr>
          <w:rFonts w:ascii="Times New Roman" w:hAnsi="Times New Roman" w:cs="Times New Roman" w:eastAsia="Times New Roman" w:hint="default"/>
        </w:rPr>
        <w:t>12</w:t>
      </w:r>
      <w:r>
        <w:rPr/>
        <w:t>万元（含税），支付给第三届监事会监事的津贴为每年</w:t>
      </w:r>
      <w:r>
        <w:rPr>
          <w:rFonts w:ascii="Times New Roman" w:hAnsi="Times New Roman" w:cs="Times New Roman" w:eastAsia="Times New Roman" w:hint="default"/>
        </w:rPr>
        <w:t>1</w:t>
      </w:r>
      <w:r>
        <w:rPr/>
        <w:t>万元（含税）；公司 </w:t>
      </w:r>
      <w:r>
        <w:rPr>
          <w:spacing w:val="-2"/>
        </w:rPr>
        <w:t>第三届董事会第一次会议审议通过公司高级管理人员基本年薪为：总经理王海鹏：</w:t>
      </w:r>
      <w:r>
        <w:rPr>
          <w:rFonts w:ascii="Times New Roman" w:hAnsi="Times New Roman" w:cs="Times New Roman" w:eastAsia="Times New Roman" w:hint="default"/>
          <w:spacing w:val="-2"/>
        </w:rPr>
        <w:t>60</w:t>
      </w:r>
      <w:r>
        <w:rPr>
          <w:spacing w:val="-2"/>
        </w:rPr>
        <w:t>万元，副总经理王治军：</w:t>
      </w:r>
      <w:r>
        <w:rPr>
          <w:rFonts w:ascii="Times New Roman" w:hAnsi="Times New Roman" w:cs="Times New Roman" w:eastAsia="Times New Roman" w:hint="default"/>
          <w:spacing w:val="-2"/>
        </w:rPr>
        <w:t>38</w:t>
      </w:r>
      <w:r>
        <w:rPr>
          <w:spacing w:val="-2"/>
        </w:rPr>
        <w:t>万元，副总</w:t>
      </w:r>
      <w:r>
        <w:rPr>
          <w:spacing w:val="-62"/>
        </w:rPr>
        <w:t> </w:t>
      </w:r>
      <w:r>
        <w:rPr>
          <w:spacing w:val="-62"/>
        </w:rPr>
      </w:r>
      <w:r>
        <w:rPr>
          <w:spacing w:val="-2"/>
        </w:rPr>
        <w:t>经理冯达昌：</w:t>
      </w:r>
      <w:r>
        <w:rPr>
          <w:rFonts w:ascii="Times New Roman" w:hAnsi="Times New Roman" w:cs="Times New Roman" w:eastAsia="Times New Roman" w:hint="default"/>
          <w:spacing w:val="-2"/>
        </w:rPr>
        <w:t>38</w:t>
      </w:r>
      <w:r>
        <w:rPr>
          <w:spacing w:val="-2"/>
        </w:rPr>
        <w:t>万元，副总经理兼董事会秘书黄琳：</w:t>
      </w:r>
      <w:r>
        <w:rPr>
          <w:rFonts w:ascii="Times New Roman" w:hAnsi="Times New Roman" w:cs="Times New Roman" w:eastAsia="Times New Roman" w:hint="default"/>
          <w:spacing w:val="-2"/>
        </w:rPr>
        <w:t>38</w:t>
      </w:r>
      <w:r>
        <w:rPr>
          <w:spacing w:val="-2"/>
        </w:rPr>
        <w:t>万元，财务总监袁宏贵：</w:t>
      </w:r>
      <w:r>
        <w:rPr>
          <w:rFonts w:ascii="Times New Roman" w:hAnsi="Times New Roman" w:cs="Times New Roman" w:eastAsia="Times New Roman" w:hint="default"/>
          <w:spacing w:val="-2"/>
        </w:rPr>
        <w:t>30</w:t>
      </w:r>
      <w:r>
        <w:rPr>
          <w:spacing w:val="-2"/>
        </w:rPr>
        <w:t>万元。（前述兼任董事的高管人员年薪含</w:t>
      </w:r>
      <w:r>
        <w:rPr>
          <w:spacing w:val="-61"/>
        </w:rPr>
        <w:t> </w:t>
      </w:r>
      <w:r>
        <w:rPr>
          <w:spacing w:val="-61"/>
        </w:rPr>
      </w:r>
      <w:r>
        <w:rPr/>
        <w:t>董事津贴）</w:t>
      </w:r>
    </w:p>
    <w:p>
      <w:pPr>
        <w:pStyle w:val="BodyText"/>
        <w:spacing w:line="240" w:lineRule="auto" w:before="31"/>
        <w:ind w:right="0"/>
        <w:jc w:val="left"/>
      </w:pPr>
      <w:r>
        <w:rPr/>
        <w:t>上述报酬实行按月发放，绩效奖金将于年底评定后一次性发放。</w:t>
      </w:r>
    </w:p>
    <w:p>
      <w:pPr>
        <w:pStyle w:val="BodyText"/>
        <w:spacing w:line="240" w:lineRule="auto" w:before="76"/>
        <w:ind w:left="15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年公司董事、监事和高级管理人员报酬实际支付</w:t>
      </w:r>
      <w:r>
        <w:rPr>
          <w:rFonts w:ascii="Times New Roman" w:hAnsi="Times New Roman" w:cs="Times New Roman" w:eastAsia="Times New Roman" w:hint="default"/>
        </w:rPr>
        <w:t>297</w:t>
      </w:r>
      <w:r>
        <w:rPr/>
        <w:t>万元（税前）。</w:t>
      </w:r>
    </w:p>
    <w:p>
      <w:pPr>
        <w:spacing w:line="240" w:lineRule="auto" w:before="5"/>
        <w:rPr>
          <w:rFonts w:ascii="宋体" w:hAnsi="宋体" w:cs="宋体" w:eastAsia="宋体" w:hint="default"/>
          <w:sz w:val="28"/>
          <w:szCs w:val="28"/>
        </w:rPr>
      </w:pPr>
    </w:p>
    <w:p>
      <w:pPr>
        <w:pStyle w:val="BodyText"/>
        <w:spacing w:line="240" w:lineRule="auto" w:before="44"/>
        <w:ind w:right="0"/>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 w:right="51"/>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冯达昌</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郭万达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陈骏德</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蔡少龄</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陈利科</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王红婵</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袁宏贵</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w:t>
            </w:r>
          </w:p>
        </w:tc>
      </w:tr>
    </w:tbl>
    <w:p>
      <w:pPr>
        <w:pStyle w:val="BodyText"/>
        <w:spacing w:line="240" w:lineRule="auto" w:before="51"/>
        <w:ind w:left="154" w:right="0"/>
        <w:jc w:val="left"/>
      </w:pPr>
      <w:r>
        <w:rPr/>
        <w:t>公司董事、监事、高级管理人员报告期内被授予的股权激励情况</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pStyle w:val="BodyText"/>
        <w:spacing w:line="240" w:lineRule="auto" w:before="44"/>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四、公司董事、监事、高级管理人员变动情况" w:id="114"/>
      <w:bookmarkEnd w:id="114"/>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郭万达</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pacing w:val="-5"/>
                <w:sz w:val="18"/>
                <w:szCs w:val="18"/>
              </w:rPr>
              <w:t>日，公司独立董事郭万达先生因个人原</w:t>
            </w:r>
            <w:r>
              <w:rPr>
                <w:rFonts w:ascii="宋体" w:hAnsi="宋体" w:cs="宋体" w:eastAsia="宋体" w:hint="default"/>
                <w:sz w:val="18"/>
                <w:szCs w:val="18"/>
              </w:rPr>
              <w:t> 因申请辞去公司独立董事职务并正式生效。</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115"/>
      <w:bookmarkEnd w:id="115"/>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报告期无核心技术团队或关键技术人员变动。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公司员工情况" w:id="116"/>
      <w:bookmarkEnd w:id="116"/>
      <w:r>
        <w:rPr>
          <w:b w:val="0"/>
          <w:bCs w:val="0"/>
        </w:rPr>
      </w:r>
      <w:r>
        <w:rPr/>
        <w:t>六、公司员工情况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tbl>
      <w:tblPr>
        <w:tblW w:w="0" w:type="auto"/>
        <w:jc w:val="left"/>
        <w:tblInd w:w="146" w:type="dxa"/>
        <w:tblLayout w:type="fixed"/>
        <w:tblCellMar>
          <w:top w:w="0" w:type="dxa"/>
          <w:left w:w="0" w:type="dxa"/>
          <w:bottom w:w="0" w:type="dxa"/>
          <w:right w:w="0" w:type="dxa"/>
        </w:tblCellMar>
        <w:tblLook w:val="01E0"/>
      </w:tblPr>
      <w:tblGrid>
        <w:gridCol w:w="4378"/>
        <w:gridCol w:w="4380"/>
      </w:tblGrid>
      <w:tr>
        <w:trPr>
          <w:trHeight w:val="3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在职员工的人数</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3537</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公司需承担费用的离退休职工人数</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深圳美盈森</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623</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东莞美盈森</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812</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苏州美盈森</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518</w:t>
            </w:r>
          </w:p>
        </w:tc>
      </w:tr>
      <w:tr>
        <w:trPr>
          <w:trHeight w:val="348" w:hRule="exact"/>
        </w:trPr>
        <w:tc>
          <w:tcPr>
            <w:tcW w:w="43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重庆美盈森</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193</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东莞美芯龙</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72</w:t>
            </w:r>
          </w:p>
        </w:tc>
      </w:tr>
      <w:tr>
        <w:trPr>
          <w:trHeight w:val="347" w:hRule="exact"/>
        </w:trPr>
        <w:tc>
          <w:tcPr>
            <w:tcW w:w="43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金之彩</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1300</w:t>
            </w:r>
          </w:p>
        </w:tc>
      </w:tr>
      <w:tr>
        <w:trPr>
          <w:trHeight w:val="348" w:hRule="exact"/>
        </w:trPr>
        <w:tc>
          <w:tcPr>
            <w:tcW w:w="43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四川泸美供应链管理有限公司</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b/>
          <w:bCs/>
          <w:sz w:val="21"/>
          <w:szCs w:val="21"/>
        </w:rPr>
      </w:pPr>
    </w:p>
    <w:p>
      <w:pPr>
        <w:pStyle w:val="BodyText"/>
        <w:spacing w:line="240" w:lineRule="auto" w:before="44"/>
        <w:ind w:left="154" w:right="0"/>
        <w:jc w:val="left"/>
      </w:pPr>
      <w:r>
        <w:rPr>
          <w:rFonts w:ascii="Times New Roman" w:hAnsi="Times New Roman" w:cs="Times New Roman" w:eastAsia="Times New Roman" w:hint="default"/>
        </w:rPr>
        <w:t>1</w:t>
      </w:r>
      <w:r>
        <w:rPr/>
        <w:t>、员工专业构成情况如下：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383"/>
        <w:gridCol w:w="4382"/>
      </w:tblGrid>
      <w:tr>
        <w:trPr>
          <w:trHeight w:val="347"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专业构成人数</w:t>
            </w:r>
          </w:p>
        </w:tc>
      </w:tr>
      <w:tr>
        <w:trPr>
          <w:trHeight w:val="347" w:hRule="exact"/>
        </w:trPr>
        <w:tc>
          <w:tcPr>
            <w:tcW w:w="43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2221</w:t>
            </w:r>
          </w:p>
        </w:tc>
      </w:tr>
      <w:tr>
        <w:trPr>
          <w:trHeight w:val="347" w:hRule="exact"/>
        </w:trPr>
        <w:tc>
          <w:tcPr>
            <w:tcW w:w="43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262</w:t>
            </w:r>
          </w:p>
        </w:tc>
      </w:tr>
      <w:tr>
        <w:trPr>
          <w:trHeight w:val="347" w:hRule="exact"/>
        </w:trPr>
        <w:tc>
          <w:tcPr>
            <w:tcW w:w="43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786</w:t>
            </w:r>
          </w:p>
        </w:tc>
      </w:tr>
      <w:tr>
        <w:trPr>
          <w:trHeight w:val="347" w:hRule="exact"/>
        </w:trPr>
        <w:tc>
          <w:tcPr>
            <w:tcW w:w="43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98</w:t>
            </w:r>
          </w:p>
        </w:tc>
      </w:tr>
      <w:tr>
        <w:trPr>
          <w:trHeight w:val="348" w:hRule="exact"/>
        </w:trPr>
        <w:tc>
          <w:tcPr>
            <w:tcW w:w="43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365</w:t>
            </w:r>
          </w:p>
        </w:tc>
      </w:tr>
    </w:tbl>
    <w:p>
      <w:pPr>
        <w:spacing w:line="240" w:lineRule="auto" w:before="2"/>
        <w:rPr>
          <w:rFonts w:ascii="宋体" w:hAnsi="宋体" w:cs="宋体" w:eastAsia="宋体" w:hint="default"/>
          <w:sz w:val="28"/>
          <w:szCs w:val="28"/>
        </w:rPr>
      </w:pPr>
    </w:p>
    <w:p>
      <w:pPr>
        <w:spacing w:line="2646" w:lineRule="exact"/>
        <w:ind w:left="2678" w:right="0" w:firstLine="0"/>
        <w:rPr>
          <w:rFonts w:ascii="宋体" w:hAnsi="宋体" w:cs="宋体" w:eastAsia="宋体" w:hint="default"/>
          <w:sz w:val="20"/>
          <w:szCs w:val="20"/>
        </w:rPr>
      </w:pPr>
      <w:r>
        <w:rPr>
          <w:rFonts w:ascii="宋体" w:hAnsi="宋体" w:cs="宋体" w:eastAsia="宋体" w:hint="default"/>
          <w:position w:val="-52"/>
          <w:sz w:val="20"/>
          <w:szCs w:val="20"/>
        </w:rPr>
        <w:drawing>
          <wp:inline distT="0" distB="0" distL="0" distR="0">
            <wp:extent cx="2864405" cy="168021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2864405" cy="1680210"/>
                    </a:xfrm>
                    <a:prstGeom prst="rect">
                      <a:avLst/>
                    </a:prstGeom>
                  </pic:spPr>
                </pic:pic>
              </a:graphicData>
            </a:graphic>
          </wp:inline>
        </w:drawing>
      </w:r>
      <w:r>
        <w:rPr>
          <w:rFonts w:ascii="宋体" w:hAnsi="宋体" w:cs="宋体" w:eastAsia="宋体" w:hint="default"/>
          <w:position w:val="-52"/>
          <w:sz w:val="20"/>
          <w:szCs w:val="20"/>
        </w:rPr>
      </w:r>
    </w:p>
    <w:p>
      <w:pPr>
        <w:spacing w:after="0" w:line="2646"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340.546967pt;margin-top:250.410995pt;width:6.85pt;height:6.85pt;mso-position-horizontal-relative:page;mso-position-vertical-relative:page;z-index:-841528" coordorigin="6811,5008" coordsize="137,137">
            <v:group style="position:absolute;left:6821;top:5018;width:118;height:118" coordorigin="6821,5018" coordsize="118,118">
              <v:shape style="position:absolute;left:6821;top:5018;width:118;height:118" coordorigin="6821,5018" coordsize="118,118" path="m6821,5135l6938,5135,6938,5018,6821,5018,6821,5135xe" filled="true" fillcolor="#9999ff" stroked="false">
                <v:path arrowok="t"/>
                <v:fill type="solid"/>
              </v:shape>
            </v:group>
            <v:group style="position:absolute;left:6821;top:5018;width:118;height:118" coordorigin="6821,5018" coordsize="118,118">
              <v:shape style="position:absolute;left:6821;top:5018;width:118;height:118" coordorigin="6821,5018" coordsize="118,118" path="m6821,5135l6938,5135,6938,5018,6821,5018,6821,5135xe" filled="false" stroked="true" strokeweight=".96033pt" strokecolor="#000000">
                <v:path arrowok="t"/>
              </v:shape>
            </v:group>
            <w10:wrap type="none"/>
          </v:group>
        </w:pict>
      </w:r>
    </w:p>
    <w:p>
      <w:pPr>
        <w:spacing w:line="240" w:lineRule="auto" w:before="10"/>
        <w:rPr>
          <w:rFonts w:ascii="宋体" w:hAnsi="宋体" w:cs="宋体" w:eastAsia="宋体" w:hint="default"/>
          <w:sz w:val="29"/>
          <w:szCs w:val="29"/>
        </w:rPr>
      </w:pPr>
    </w:p>
    <w:p>
      <w:pPr>
        <w:pStyle w:val="BodyText"/>
        <w:spacing w:line="240" w:lineRule="auto" w:before="44"/>
        <w:ind w:right="0"/>
        <w:jc w:val="left"/>
      </w:pPr>
      <w:r>
        <w:rPr>
          <w:rFonts w:ascii="Times New Roman" w:hAnsi="Times New Roman" w:cs="Times New Roman" w:eastAsia="Times New Roman" w:hint="default"/>
        </w:rPr>
        <w:t>2</w:t>
      </w:r>
      <w:r>
        <w:rPr/>
        <w:t>、员工教育程度如下：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383"/>
        <w:gridCol w:w="4382"/>
      </w:tblGrid>
      <w:tr>
        <w:trPr>
          <w:trHeight w:val="347"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347"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高中及以下</w:t>
            </w:r>
          </w:p>
        </w:tc>
        <w:tc>
          <w:tcPr>
            <w:tcW w:w="4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2649</w:t>
            </w:r>
          </w:p>
        </w:tc>
      </w:tr>
      <w:tr>
        <w:trPr>
          <w:trHeight w:val="347"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4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531</w:t>
            </w:r>
          </w:p>
        </w:tc>
      </w:tr>
      <w:tr>
        <w:trPr>
          <w:trHeight w:val="348"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本科及以上</w:t>
            </w:r>
          </w:p>
        </w:tc>
        <w:tc>
          <w:tcPr>
            <w:tcW w:w="4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tabs>
          <w:tab w:pos="5775" w:val="left" w:leader="none"/>
        </w:tabs>
        <w:spacing w:line="915" w:lineRule="exact"/>
        <w:ind w:left="3195" w:right="0"/>
        <w:jc w:val="left"/>
      </w:pPr>
      <w:r>
        <w:rPr>
          <w:position w:val="-17"/>
        </w:rPr>
        <w:drawing>
          <wp:inline distT="0" distB="0" distL="0" distR="0">
            <wp:extent cx="1443423" cy="58102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4" cstate="print"/>
                    <a:stretch>
                      <a:fillRect/>
                    </a:stretch>
                  </pic:blipFill>
                  <pic:spPr>
                    <a:xfrm>
                      <a:off x="0" y="0"/>
                      <a:ext cx="1443423" cy="581025"/>
                    </a:xfrm>
                    <a:prstGeom prst="rect">
                      <a:avLst/>
                    </a:prstGeom>
                  </pic:spPr>
                </pic:pic>
              </a:graphicData>
            </a:graphic>
          </wp:inline>
        </w:drawing>
      </w:r>
      <w:r>
        <w:rPr>
          <w:position w:val="-17"/>
        </w:rPr>
      </w:r>
      <w:r>
        <w:rPr>
          <w:position w:val="-17"/>
        </w:rPr>
        <w:tab/>
      </w:r>
      <w:r>
        <w:rPr>
          <w:position w:val="-12"/>
        </w:rPr>
        <w:pict>
          <v:shape style="width:60.2pt;height:40.4pt;mso-position-horizontal-relative:char;mso-position-vertical-relative:line" type="#_x0000_t202" filled="false" stroked="true" strokeweight=".960245pt" strokecolor="#000000">
            <w10:anchorlock/>
            <v:textbox inset="0,0,0,0">
              <w:txbxContent>
                <w:p>
                  <w:pPr>
                    <w:pStyle w:val="BodyText"/>
                    <w:spacing w:line="273" w:lineRule="auto"/>
                    <w:ind w:left="220" w:right="60"/>
                    <w:jc w:val="left"/>
                  </w:pPr>
                  <w:r>
                    <w:rPr/>
                    <w:t>高中及以下</w:t>
                  </w:r>
                  <w:r>
                    <w:rPr>
                      <w:w w:val="100"/>
                    </w:rPr>
                    <w:t> </w:t>
                  </w:r>
                  <w:r>
                    <w:rPr/>
                    <w:t>大专</w:t>
                  </w:r>
                  <w:r>
                    <w:rPr>
                      <w:w w:val="100"/>
                    </w:rPr>
                    <w:t> </w:t>
                  </w:r>
                  <w:r>
                    <w:rPr/>
                    <w:t>本科及以上</w:t>
                  </w:r>
                </w:p>
              </w:txbxContent>
            </v:textbox>
          </v:shape>
        </w:pict>
      </w:r>
      <w:r>
        <w:rPr>
          <w:position w:val="-1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300" w:lineRule="auto" w:before="44"/>
        <w:ind w:left="154" w:right="9222"/>
        <w:jc w:val="left"/>
      </w:pPr>
      <w:r>
        <w:rPr/>
        <w:pict>
          <v:group style="position:absolute;margin-left:340.546967pt;margin-top:-95.011757pt;width:6.85pt;height:6.85pt;mso-position-horizontal-relative:page;mso-position-vertical-relative:paragraph;z-index:-841504" coordorigin="6811,-1900" coordsize="137,137">
            <v:group style="position:absolute;left:6821;top:-1891;width:118;height:118" coordorigin="6821,-1891" coordsize="118,118">
              <v:shape style="position:absolute;left:6821;top:-1891;width:118;height:118" coordorigin="6821,-1891" coordsize="118,118" path="m6821,-1773l6938,-1773,6938,-1891,6821,-1891,6821,-1773xe" filled="true" fillcolor="#993366" stroked="false">
                <v:path arrowok="t"/>
                <v:fill type="solid"/>
              </v:shape>
            </v:group>
            <v:group style="position:absolute;left:6821;top:-1891;width:118;height:118" coordorigin="6821,-1891" coordsize="118,118">
              <v:shape style="position:absolute;left:6821;top:-1891;width:118;height:118" coordorigin="6821,-1891" coordsize="118,118" path="m6821,-1773l6938,-1773,6938,-1891,6821,-1891,6821,-1773xe" filled="false" stroked="true" strokeweight=".96033pt" strokecolor="#000000">
                <v:path arrowok="t"/>
              </v:shape>
            </v:group>
            <w10:wrap type="none"/>
          </v:group>
        </w:pict>
      </w:r>
      <w:r>
        <w:rPr/>
        <w:pict>
          <v:group style="position:absolute;margin-left:340.546967pt;margin-top:-81.570251pt;width:6.85pt;height:6.85pt;mso-position-horizontal-relative:page;mso-position-vertical-relative:paragraph;z-index:-841480" coordorigin="6811,-1631" coordsize="137,137">
            <v:group style="position:absolute;left:6821;top:-1622;width:118;height:118" coordorigin="6821,-1622" coordsize="118,118">
              <v:shape style="position:absolute;left:6821;top:-1622;width:118;height:118" coordorigin="6821,-1622" coordsize="118,118" path="m6821,-1504l6938,-1504,6938,-1622,6821,-1622,6821,-1504xe" filled="true" fillcolor="#ffffcc" stroked="false">
                <v:path arrowok="t"/>
                <v:fill type="solid"/>
              </v:shape>
            </v:group>
            <v:group style="position:absolute;left:6821;top:-1622;width:118;height:118" coordorigin="6821,-1622" coordsize="118,118">
              <v:shape style="position:absolute;left:6821;top:-1622;width:118;height:118" coordorigin="6821,-1622" coordsize="118,118" path="m6821,-1504l6938,-1504,6938,-1622,6821,-1622,6821,-1504xe" filled="false" stroked="true" strokeweight=".96033pt" strokecolor="#000000">
                <v:path arrowok="t"/>
              </v:shape>
            </v:group>
            <w10:wrap type="none"/>
          </v:group>
        </w:pict>
      </w:r>
      <w:r>
        <w:rPr>
          <w:rFonts w:ascii="Times New Roman" w:hAnsi="Times New Roman" w:cs="Times New Roman" w:eastAsia="Times New Roman" w:hint="default"/>
        </w:rPr>
        <w:t>3</w:t>
      </w:r>
      <w:r>
        <w:rPr/>
        <w:t>、公司薪酬政策： 薪资福利：</w:t>
      </w:r>
    </w:p>
    <w:p>
      <w:pPr>
        <w:pStyle w:val="BodyText"/>
        <w:spacing w:line="319" w:lineRule="auto" w:before="31"/>
        <w:ind w:right="4453"/>
        <w:jc w:val="left"/>
      </w:pPr>
      <w:r>
        <w:rPr/>
        <w:t>公司提供有市场竞争力的薪酬待遇，并依绩效考核结果每年提供一次加薪机会。 福利及保险： 公司为员工提供医疗保险、养老保险、失业保险、住房公积金及其他相关福利。 </w:t>
      </w:r>
      <w:r>
        <w:rPr>
          <w:rFonts w:ascii="Times New Roman" w:hAnsi="Times New Roman" w:cs="Times New Roman" w:eastAsia="Times New Roman" w:hint="default"/>
        </w:rPr>
        <w:t>4</w:t>
      </w:r>
      <w:r>
        <w:rPr/>
        <w:t>、员工培训计划：</w:t>
      </w:r>
    </w:p>
    <w:p>
      <w:pPr>
        <w:pStyle w:val="BodyText"/>
        <w:spacing w:line="316" w:lineRule="auto"/>
        <w:ind w:right="1118"/>
        <w:jc w:val="left"/>
      </w:pPr>
      <w:r>
        <w:rPr/>
        <w:t>教育培训： </w:t>
      </w:r>
      <w:r>
        <w:rPr>
          <w:spacing w:val="-2"/>
        </w:rPr>
        <w:t>公司高度重视员工的培训工作，在加强对全体员工高素质培训的同时，有重点有选择地对优秀员工进行培养，并大力支持对</w:t>
      </w:r>
      <w:r>
        <w:rPr>
          <w:spacing w:val="-66"/>
        </w:rPr>
        <w:t> </w:t>
      </w:r>
      <w:r>
        <w:rPr>
          <w:spacing w:val="-66"/>
        </w:rPr>
      </w:r>
      <w:r>
        <w:rPr/>
        <w:t>管理和技术人员的各类高级培训。 对于新加入的大学生，公司为其提供全方位培训计划，包括集中培训学习、不同岗位实习、岗位实践等。</w:t>
      </w:r>
    </w:p>
    <w:p>
      <w:pPr>
        <w:pStyle w:val="BodyText"/>
        <w:spacing w:line="316" w:lineRule="auto" w:before="19"/>
        <w:ind w:right="4093"/>
        <w:jc w:val="left"/>
      </w:pPr>
      <w:r>
        <w:rPr/>
        <w:t>职业发展： 公司重视员工职业发展，不断完善员工的职业发展体系，建立有效的绩效评估管理。</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201"/>
        <w:jc w:val="center"/>
        <w:rPr>
          <w:b w:val="0"/>
          <w:bCs w:val="0"/>
        </w:rPr>
      </w:pPr>
      <w:bookmarkStart w:name="第九节 公司治理" w:id="117"/>
      <w:bookmarkEnd w:id="117"/>
      <w:r>
        <w:rPr>
          <w:b w:val="0"/>
          <w:bCs w:val="0"/>
        </w:rPr>
      </w:r>
      <w:bookmarkStart w:name="_bookmark8" w:id="118"/>
      <w:bookmarkEnd w:id="118"/>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19"/>
      <w:bookmarkEnd w:id="119"/>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00"/>
        <w:jc w:val="both"/>
      </w:pPr>
      <w:r>
        <w:rPr>
          <w:spacing w:val="-1"/>
        </w:rPr>
        <w:t>公司上市以来，严格按照《公司法》、《证券法》、《上市公司治理准则》和深圳证券交易所《股票上市规则》及《中</w:t>
      </w:r>
      <w:r>
        <w:rPr/>
        <w:t> </w:t>
      </w:r>
      <w:r>
        <w:rPr>
          <w:spacing w:val="-2"/>
        </w:rPr>
        <w:t>小企业板上市公司规范运作指引》等相关法律、法规的规定，认真学习和落实中国证监会、深圳证监局、深圳证券交易所等</w:t>
      </w:r>
      <w:r>
        <w:rPr>
          <w:spacing w:val="-65"/>
        </w:rPr>
        <w:t> </w:t>
      </w:r>
      <w:r>
        <w:rPr>
          <w:spacing w:val="-65"/>
        </w:rPr>
      </w:r>
      <w:r>
        <w:rPr/>
        <w:t>监管机构的相关要求，不断完善公司法人治理结构，建立现代企业制度，持续深入规范公司运作。</w:t>
      </w:r>
    </w:p>
    <w:p>
      <w:pPr>
        <w:pStyle w:val="BodyText"/>
        <w:spacing w:line="240" w:lineRule="auto" w:before="139"/>
        <w:ind w:left="453"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日，公司已建立的各项制度及公开信息披露情况如下：</w:t>
      </w:r>
    </w:p>
    <w:p>
      <w:pPr>
        <w:spacing w:line="240" w:lineRule="auto" w:before="2"/>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748"/>
        <w:gridCol w:w="2600"/>
        <w:gridCol w:w="5042"/>
        <w:gridCol w:w="1268"/>
      </w:tblGrid>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制度名称</w:t>
            </w:r>
            <w:r>
              <w:rPr>
                <w:rFonts w:ascii="宋体" w:hAnsi="宋体" w:cs="宋体" w:eastAsia="宋体" w:hint="default"/>
                <w:sz w:val="18"/>
                <w:szCs w:val="18"/>
              </w:rPr>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公开信息披露情况</w:t>
            </w:r>
            <w:r>
              <w:rPr>
                <w:rFonts w:ascii="宋体" w:hAnsi="宋体" w:cs="宋体" w:eastAsia="宋体" w:hint="default"/>
                <w:sz w:val="18"/>
                <w:szCs w:val="18"/>
              </w:rPr>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生效时间</w:t>
            </w:r>
            <w:r>
              <w:rPr>
                <w:rFonts w:ascii="宋体" w:hAnsi="宋体" w:cs="宋体" w:eastAsia="宋体" w:hint="default"/>
                <w:sz w:val="18"/>
                <w:szCs w:val="18"/>
              </w:rPr>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对外投资管理制度</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经第一届董事会第二次会议制定</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2007.10.15</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资金管理制度</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经第一届董事会第八次会议制定</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2009.1.18</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突发事件处理制度</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经第一届董事会第十次会议制定并公告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2009.11.15</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重大信息内部报告制度</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经第一届董事会第十次会议制定并公告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2009.11.15</w:t>
            </w:r>
          </w:p>
        </w:tc>
      </w:tr>
      <w:tr>
        <w:trPr>
          <w:trHeight w:val="348"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经第一届董事会第十二次会议修订并公告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2009.12.24</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信息披露管理办法</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经第一届董事会第十二次会议修订并公告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2009.12.24</w:t>
            </w:r>
          </w:p>
        </w:tc>
      </w:tr>
      <w:tr>
        <w:trPr>
          <w:trHeight w:val="659"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
              <w:jc w:val="left"/>
              <w:rPr>
                <w:rFonts w:ascii="宋体" w:hAnsi="宋体" w:cs="宋体" w:eastAsia="宋体" w:hint="default"/>
                <w:sz w:val="18"/>
                <w:szCs w:val="18"/>
              </w:rPr>
            </w:pPr>
            <w:r>
              <w:rPr>
                <w:rFonts w:ascii="宋体" w:hAnsi="宋体" w:cs="宋体" w:eastAsia="宋体" w:hint="default"/>
                <w:spacing w:val="3"/>
                <w:sz w:val="18"/>
                <w:szCs w:val="18"/>
              </w:rPr>
              <w:t>董事、监事、高管人员所持本公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司股份及其变动管理制度</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年第一次临时股东大会制定并公告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2010.1.10</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印章使用管理办法</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经第二届董事会第二次会议制定并公告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2010.10.26</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会计师事务所选聘制度</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年第二次临时股东大会制定并公告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2010.2.9</w:t>
            </w:r>
          </w:p>
        </w:tc>
      </w:tr>
      <w:tr>
        <w:trPr>
          <w:trHeight w:val="659"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pacing w:val="3"/>
                <w:sz w:val="18"/>
                <w:szCs w:val="18"/>
              </w:rPr>
              <w:t>年报信息披露重大差错责任追究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制度</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经第一届董事会第十四次会议制定并公告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2010.3.23</w:t>
            </w:r>
          </w:p>
        </w:tc>
      </w:tr>
      <w:tr>
        <w:trPr>
          <w:trHeight w:val="348"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审计委员会年报工作规程</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经第一届董事会第十四次会议制定并公告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2010.3.23</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12</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远期结售汇交易内部控制制度</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经第一届董事会第十五次会议制定并公告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2010.4.14</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2010.9.21</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独立董事工作制度</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2010.9.21</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对外担保管理办法</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2010.9.21</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2010.9.21</w:t>
            </w:r>
          </w:p>
        </w:tc>
      </w:tr>
      <w:tr>
        <w:trPr>
          <w:trHeight w:val="348"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17</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关联交易管理办法</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2010.9.21</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18</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2010.9.21</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19</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累积投票制实施细则</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2010.9.21</w:t>
            </w:r>
          </w:p>
        </w:tc>
      </w:tr>
      <w:tr>
        <w:trPr>
          <w:trHeight w:val="659"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
              <w:jc w:val="left"/>
              <w:rPr>
                <w:rFonts w:ascii="宋体" w:hAnsi="宋体" w:cs="宋体" w:eastAsia="宋体" w:hint="default"/>
                <w:sz w:val="18"/>
                <w:szCs w:val="18"/>
              </w:rPr>
            </w:pPr>
            <w:r>
              <w:rPr>
                <w:rFonts w:ascii="宋体" w:hAnsi="宋体" w:cs="宋体" w:eastAsia="宋体" w:hint="default"/>
                <w:spacing w:val="3"/>
                <w:sz w:val="18"/>
                <w:szCs w:val="18"/>
              </w:rPr>
              <w:t>可能接触内幕信息的关键岗位人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员买卖公司股票相关规定</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经第二届董事会第四次（临时）会议制定并公告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2011.1.26</w:t>
            </w:r>
          </w:p>
        </w:tc>
      </w:tr>
      <w:tr>
        <w:trPr>
          <w:trHeight w:val="659"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21</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3"/>
                <w:sz w:val="18"/>
                <w:szCs w:val="18"/>
              </w:rPr>
              <w:t>防范控股股东及关联方资金占用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管理制度</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经第二届董事会第六次会议制定并公告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2011.4.25</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22</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投资者关系管理制度</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经第二届董事会第十次（临时）会议修订并公告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2011.9.17</w:t>
            </w:r>
          </w:p>
        </w:tc>
      </w:tr>
      <w:tr>
        <w:trPr>
          <w:trHeight w:val="659"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23</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
              <w:jc w:val="left"/>
              <w:rPr>
                <w:rFonts w:ascii="宋体" w:hAnsi="宋体" w:cs="宋体" w:eastAsia="宋体" w:hint="default"/>
                <w:sz w:val="18"/>
                <w:szCs w:val="18"/>
              </w:rPr>
            </w:pPr>
            <w:r>
              <w:rPr>
                <w:rFonts w:ascii="宋体" w:hAnsi="宋体" w:cs="宋体" w:eastAsia="宋体" w:hint="default"/>
                <w:spacing w:val="3"/>
                <w:sz w:val="18"/>
                <w:szCs w:val="18"/>
              </w:rPr>
              <w:t>内幕信息知情人报备及登记管理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制度</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经第二届董事会第十三次（临时）会议修订并公告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2012.1.15</w:t>
            </w:r>
          </w:p>
        </w:tc>
      </w:tr>
      <w:tr>
        <w:trPr>
          <w:trHeight w:val="348"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24</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财务会计相关负责人管理制度</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2012.4.23</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48"/>
        <w:gridCol w:w="2600"/>
        <w:gridCol w:w="5042"/>
        <w:gridCol w:w="1268"/>
      </w:tblGrid>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董事会审计委员会议事规则</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4"/>
              <w:jc w:val="right"/>
              <w:rPr>
                <w:rFonts w:ascii="Times New Roman" w:hAnsi="Times New Roman" w:cs="Times New Roman" w:eastAsia="Times New Roman" w:hint="default"/>
                <w:sz w:val="18"/>
                <w:szCs w:val="18"/>
              </w:rPr>
            </w:pPr>
            <w:r>
              <w:rPr>
                <w:rFonts w:ascii="Times New Roman"/>
                <w:sz w:val="18"/>
              </w:rPr>
              <w:t>2012.4.23</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26</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董事会提名委员会议事规则</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4"/>
              <w:jc w:val="right"/>
              <w:rPr>
                <w:rFonts w:ascii="Times New Roman" w:hAnsi="Times New Roman" w:cs="Times New Roman" w:eastAsia="Times New Roman" w:hint="default"/>
                <w:sz w:val="18"/>
                <w:szCs w:val="18"/>
              </w:rPr>
            </w:pPr>
            <w:r>
              <w:rPr>
                <w:rFonts w:ascii="Times New Roman"/>
                <w:sz w:val="18"/>
              </w:rPr>
              <w:t>2012.4.23</w:t>
            </w:r>
          </w:p>
        </w:tc>
      </w:tr>
      <w:tr>
        <w:trPr>
          <w:trHeight w:val="659"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27</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
              <w:jc w:val="left"/>
              <w:rPr>
                <w:rFonts w:ascii="宋体" w:hAnsi="宋体" w:cs="宋体" w:eastAsia="宋体" w:hint="default"/>
                <w:sz w:val="18"/>
                <w:szCs w:val="18"/>
              </w:rPr>
            </w:pPr>
            <w:r>
              <w:rPr>
                <w:rFonts w:ascii="宋体" w:hAnsi="宋体" w:cs="宋体" w:eastAsia="宋体" w:hint="default"/>
                <w:spacing w:val="3"/>
                <w:sz w:val="18"/>
                <w:szCs w:val="18"/>
              </w:rPr>
              <w:t>董事会薪酬与考核委员会议事规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则</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4"/>
              <w:jc w:val="right"/>
              <w:rPr>
                <w:rFonts w:ascii="Times New Roman" w:hAnsi="Times New Roman" w:cs="Times New Roman" w:eastAsia="Times New Roman" w:hint="default"/>
                <w:sz w:val="18"/>
                <w:szCs w:val="18"/>
              </w:rPr>
            </w:pPr>
            <w:r>
              <w:rPr>
                <w:rFonts w:ascii="Times New Roman"/>
                <w:sz w:val="18"/>
              </w:rPr>
              <w:t>2012.4.23</w:t>
            </w:r>
          </w:p>
        </w:tc>
      </w:tr>
      <w:tr>
        <w:trPr>
          <w:trHeight w:val="348"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28</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董事会战略委员会议事规则</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4"/>
              <w:jc w:val="right"/>
              <w:rPr>
                <w:rFonts w:ascii="Times New Roman" w:hAnsi="Times New Roman" w:cs="Times New Roman" w:eastAsia="Times New Roman" w:hint="default"/>
                <w:sz w:val="18"/>
                <w:szCs w:val="18"/>
              </w:rPr>
            </w:pPr>
            <w:r>
              <w:rPr>
                <w:rFonts w:ascii="Times New Roman"/>
                <w:sz w:val="18"/>
              </w:rPr>
              <w:t>2012.4.23</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29</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4"/>
              <w:jc w:val="right"/>
              <w:rPr>
                <w:rFonts w:ascii="Times New Roman" w:hAnsi="Times New Roman" w:cs="Times New Roman" w:eastAsia="Times New Roman" w:hint="default"/>
                <w:sz w:val="18"/>
                <w:szCs w:val="18"/>
              </w:rPr>
            </w:pPr>
            <w:r>
              <w:rPr>
                <w:rFonts w:ascii="Times New Roman"/>
                <w:sz w:val="18"/>
              </w:rPr>
              <w:t>2012.4.23</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募集资金管理制度</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年第二次临时股东大会修订并公告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4"/>
              <w:jc w:val="right"/>
              <w:rPr>
                <w:rFonts w:ascii="Times New Roman" w:hAnsi="Times New Roman" w:cs="Times New Roman" w:eastAsia="Times New Roman" w:hint="default"/>
                <w:sz w:val="18"/>
                <w:szCs w:val="18"/>
              </w:rPr>
            </w:pPr>
            <w:r>
              <w:rPr>
                <w:rFonts w:ascii="Times New Roman"/>
                <w:sz w:val="18"/>
              </w:rPr>
              <w:t>2012.8.23</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31</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财务管理制度</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经第二届董事会第十六次（临时）会议修订并公告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09"/>
              <w:jc w:val="right"/>
              <w:rPr>
                <w:rFonts w:ascii="Times New Roman" w:hAnsi="Times New Roman" w:cs="Times New Roman" w:eastAsia="Times New Roman" w:hint="default"/>
                <w:sz w:val="18"/>
                <w:szCs w:val="18"/>
              </w:rPr>
            </w:pPr>
            <w:r>
              <w:rPr>
                <w:rFonts w:ascii="Times New Roman"/>
                <w:sz w:val="18"/>
              </w:rPr>
              <w:t>2012.8.3</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32</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子公司管理制度</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经第二届董事会第十六次（临时）会议修订并公告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09"/>
              <w:jc w:val="right"/>
              <w:rPr>
                <w:rFonts w:ascii="Times New Roman" w:hAnsi="Times New Roman" w:cs="Times New Roman" w:eastAsia="Times New Roman" w:hint="default"/>
                <w:sz w:val="18"/>
                <w:szCs w:val="18"/>
              </w:rPr>
            </w:pPr>
            <w:r>
              <w:rPr>
                <w:rFonts w:ascii="Times New Roman"/>
                <w:sz w:val="18"/>
              </w:rPr>
              <w:t>2012.8.3</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33</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经第二届董事会第十六次（临时）会议修订并公告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09"/>
              <w:jc w:val="right"/>
              <w:rPr>
                <w:rFonts w:ascii="Times New Roman" w:hAnsi="Times New Roman" w:cs="Times New Roman" w:eastAsia="Times New Roman" w:hint="default"/>
                <w:sz w:val="18"/>
                <w:szCs w:val="18"/>
              </w:rPr>
            </w:pPr>
            <w:r>
              <w:rPr>
                <w:rFonts w:ascii="Times New Roman"/>
                <w:sz w:val="18"/>
              </w:rPr>
              <w:t>2012.8.3</w:t>
            </w:r>
          </w:p>
        </w:tc>
      </w:tr>
      <w:tr>
        <w:trPr>
          <w:trHeight w:val="348"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34</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投资理财管理制度</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经第三届董事会第四次会议制定并公告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4"/>
              <w:jc w:val="right"/>
              <w:rPr>
                <w:rFonts w:ascii="Times New Roman" w:hAnsi="Times New Roman" w:cs="Times New Roman" w:eastAsia="Times New Roman" w:hint="default"/>
                <w:sz w:val="18"/>
                <w:szCs w:val="18"/>
              </w:rPr>
            </w:pPr>
            <w:r>
              <w:rPr>
                <w:rFonts w:ascii="Times New Roman"/>
                <w:sz w:val="18"/>
              </w:rPr>
              <w:t>2014.3.27</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35</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年度股东大会修订并公告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4"/>
              <w:jc w:val="right"/>
              <w:rPr>
                <w:rFonts w:ascii="Times New Roman" w:hAnsi="Times New Roman" w:cs="Times New Roman" w:eastAsia="Times New Roman" w:hint="default"/>
                <w:sz w:val="18"/>
                <w:szCs w:val="18"/>
              </w:rPr>
            </w:pPr>
            <w:r>
              <w:rPr>
                <w:rFonts w:ascii="Times New Roman"/>
                <w:sz w:val="18"/>
              </w:rPr>
              <w:t>2014.4.24</w:t>
            </w:r>
          </w:p>
        </w:tc>
      </w:tr>
    </w:tbl>
    <w:p>
      <w:pPr>
        <w:pStyle w:val="BodyText"/>
        <w:spacing w:line="316" w:lineRule="auto" w:before="10"/>
        <w:ind w:left="154" w:right="0" w:firstLine="300"/>
        <w:jc w:val="left"/>
      </w:pPr>
      <w:r>
        <w:rPr>
          <w:spacing w:val="-1"/>
        </w:rPr>
        <w:t>截至报告期末，公司认为，公司治理的实际情况基本符合规范性文件的要求，已经形成了决策机构、监督机构与管理层</w:t>
      </w:r>
      <w:r>
        <w:rPr/>
        <w:t> 之间权责分明、各司其职、相互制衡、科学决策、协调运作的法人治理结构。</w:t>
      </w:r>
    </w:p>
    <w:p>
      <w:pPr>
        <w:pStyle w:val="BodyText"/>
        <w:spacing w:line="432" w:lineRule="exact" w:before="3"/>
        <w:ind w:left="453" w:right="0" w:hanging="300"/>
        <w:jc w:val="left"/>
      </w:pPr>
      <w:r>
        <w:rPr>
          <w:rFonts w:ascii="Times New Roman" w:hAnsi="Times New Roman" w:cs="Times New Roman" w:eastAsia="Times New Roman" w:hint="default"/>
          <w:b/>
          <w:bCs/>
        </w:rPr>
        <w:t>1</w:t>
      </w:r>
      <w:r>
        <w:rPr>
          <w:rFonts w:ascii="宋体" w:hAnsi="宋体" w:cs="宋体" w:eastAsia="宋体" w:hint="default"/>
          <w:b/>
          <w:bCs/>
        </w:rPr>
        <w:t>、关于股东与股东大会</w:t>
      </w:r>
      <w:r>
        <w:rPr>
          <w:rFonts w:ascii="宋体" w:hAnsi="宋体" w:cs="宋体" w:eastAsia="宋体" w:hint="default"/>
          <w:b/>
          <w:bCs/>
          <w:w w:val="99"/>
        </w:rPr>
        <w:t> </w:t>
      </w:r>
      <w:r>
        <w:rPr>
          <w:spacing w:val="-1"/>
        </w:rPr>
        <w:t>报告期内，公司严格按照《公司法》、《上市公司股东大会规则》、《公司章程》、《股东大会议事规则》等法律法规</w:t>
      </w:r>
    </w:p>
    <w:p>
      <w:pPr>
        <w:pStyle w:val="BodyText"/>
        <w:spacing w:line="316" w:lineRule="auto" w:before="15"/>
        <w:ind w:right="1133"/>
        <w:jc w:val="both"/>
      </w:pPr>
      <w:r>
        <w:rPr>
          <w:spacing w:val="-2"/>
        </w:rPr>
        <w:t>的要求，规范股东大会的召集、召开及表决程序，确保所有股东享有平等地位，充分行使自己权利，并通过聘请律师见证保</w:t>
      </w:r>
      <w:r>
        <w:rPr>
          <w:spacing w:val="-66"/>
        </w:rPr>
        <w:t> </w:t>
      </w:r>
      <w:r>
        <w:rPr>
          <w:spacing w:val="-66"/>
        </w:rPr>
      </w:r>
      <w:r>
        <w:rPr/>
        <w:t>证会议召集、召开和表决程序的合法性，维护了公司和股东的合法权益。</w:t>
      </w:r>
    </w:p>
    <w:p>
      <w:pPr>
        <w:spacing w:line="432" w:lineRule="exact" w:before="3"/>
        <w:ind w:left="453" w:right="0" w:hanging="30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、关于控股股东与公司关系</w:t>
      </w:r>
      <w:r>
        <w:rPr>
          <w:rFonts w:ascii="宋体" w:hAnsi="宋体" w:cs="宋体" w:eastAsia="宋体" w:hint="default"/>
          <w:b/>
          <w:bCs/>
          <w:w w:val="99"/>
          <w:sz w:val="18"/>
          <w:szCs w:val="18"/>
        </w:rPr>
        <w:t> </w:t>
      </w:r>
      <w:r>
        <w:rPr>
          <w:rFonts w:ascii="宋体" w:hAnsi="宋体" w:cs="宋体" w:eastAsia="宋体" w:hint="default"/>
          <w:spacing w:val="-1"/>
          <w:sz w:val="18"/>
          <w:szCs w:val="18"/>
        </w:rPr>
        <w:t>公司控股股东为自然人王海鹏先生，王海鹏先生在公司担任董事长兼总经理职务。作为控股股东，王海鹏先生对公司依</w:t>
      </w:r>
    </w:p>
    <w:p>
      <w:pPr>
        <w:pStyle w:val="BodyText"/>
        <w:spacing w:line="316" w:lineRule="auto" w:before="15"/>
        <w:ind w:right="1129"/>
        <w:jc w:val="both"/>
      </w:pPr>
      <w:r>
        <w:rPr>
          <w:spacing w:val="-2"/>
        </w:rPr>
        <w:t>法通过股东大会行使出资人的权利；作为董事长兼总经理，王海鹏先生严格履行《公司法》和《公司章程》所赋予的权利和</w:t>
      </w:r>
      <w:r>
        <w:rPr>
          <w:spacing w:val="-67"/>
        </w:rPr>
        <w:t> </w:t>
      </w:r>
      <w:r>
        <w:rPr>
          <w:spacing w:val="-67"/>
        </w:rPr>
      </w:r>
      <w:r>
        <w:rPr>
          <w:spacing w:val="-2"/>
        </w:rPr>
        <w:t>义务，公司重大事项的决策及生产经营均按照公司内部控制制度由公司经营层、董事会、股东大会讨论决定，不存在控股股</w:t>
      </w:r>
      <w:r>
        <w:rPr>
          <w:spacing w:val="-66"/>
        </w:rPr>
        <w:t> </w:t>
      </w:r>
      <w:r>
        <w:rPr>
          <w:spacing w:val="-66"/>
        </w:rPr>
      </w:r>
      <w:r>
        <w:rPr/>
        <w:t>东及实际控制人控制公司的情况。</w:t>
      </w:r>
    </w:p>
    <w:p>
      <w:pPr>
        <w:pStyle w:val="BodyText"/>
        <w:spacing w:line="432" w:lineRule="exact" w:before="3"/>
        <w:ind w:left="453" w:right="1093" w:hanging="300"/>
        <w:jc w:val="left"/>
      </w:pPr>
      <w:r>
        <w:rPr>
          <w:rFonts w:ascii="Times New Roman" w:hAnsi="Times New Roman" w:cs="Times New Roman" w:eastAsia="Times New Roman" w:hint="default"/>
          <w:b/>
          <w:bCs/>
        </w:rPr>
        <w:t>3</w:t>
      </w:r>
      <w:r>
        <w:rPr>
          <w:rFonts w:ascii="宋体" w:hAnsi="宋体" w:cs="宋体" w:eastAsia="宋体" w:hint="default"/>
          <w:b/>
          <w:bCs/>
        </w:rPr>
        <w:t>、关于董事与董事会</w:t>
      </w:r>
      <w:r>
        <w:rPr>
          <w:rFonts w:ascii="宋体" w:hAnsi="宋体" w:cs="宋体" w:eastAsia="宋体" w:hint="default"/>
          <w:b/>
          <w:bCs/>
          <w:w w:val="99"/>
        </w:rPr>
        <w:t> </w:t>
      </w:r>
      <w:r>
        <w:rPr/>
        <w:t>报告期内，公司董事会成员</w:t>
      </w:r>
      <w:r>
        <w:rPr>
          <w:rFonts w:ascii="Times New Roman" w:hAnsi="Times New Roman" w:cs="Times New Roman" w:eastAsia="Times New Roman" w:hint="default"/>
        </w:rPr>
        <w:t>7</w:t>
      </w:r>
      <w:r>
        <w:rPr/>
        <w:t>人，其中独立董事</w:t>
      </w:r>
      <w:r>
        <w:rPr>
          <w:rFonts w:ascii="Times New Roman" w:hAnsi="Times New Roman" w:cs="Times New Roman" w:eastAsia="Times New Roman" w:hint="default"/>
        </w:rPr>
        <w:t>4</w:t>
      </w:r>
      <w:r>
        <w:rPr/>
        <w:t>人，董事会的人数及人员构成符合法律、法规和《公司章程》的要求。</w:t>
      </w:r>
    </w:p>
    <w:p>
      <w:pPr>
        <w:pStyle w:val="BodyText"/>
        <w:spacing w:line="316" w:lineRule="auto" w:before="15"/>
        <w:ind w:left="154" w:right="1050"/>
        <w:jc w:val="both"/>
      </w:pPr>
      <w:r>
        <w:rPr/>
        <w:t>公司全体董事能够依据《董事会议事规则》、深圳证券交易所《中小企业板上市公司规范运作指引》等法律法规开展工作， 认真出席董事会和股东大会，积极参加培训，学习有关法律法规。独立董事能够不受影响地独立履行职责。</w:t>
      </w:r>
    </w:p>
    <w:p>
      <w:pPr>
        <w:pStyle w:val="BodyText"/>
        <w:spacing w:line="316" w:lineRule="auto" w:before="139"/>
        <w:ind w:right="0" w:firstLine="300"/>
        <w:jc w:val="left"/>
      </w:pPr>
      <w:r>
        <w:rPr>
          <w:spacing w:val="-1"/>
        </w:rPr>
        <w:t>截至报告期末，公司董事会下设四个专门委员会，即审计委员会、提名委员会、薪酬与考核委员会、战略委员会，并制</w:t>
      </w:r>
      <w:r>
        <w:rPr/>
        <w:t> 定各委员会议事规则，指导各委员会有效运行。</w:t>
      </w:r>
    </w:p>
    <w:p>
      <w:pPr>
        <w:pStyle w:val="BodyText"/>
        <w:spacing w:line="432" w:lineRule="exact" w:before="3"/>
        <w:ind w:left="453" w:right="1129" w:hanging="300"/>
        <w:jc w:val="left"/>
      </w:pPr>
      <w:r>
        <w:rPr>
          <w:rFonts w:ascii="Times New Roman" w:hAnsi="Times New Roman" w:cs="Times New Roman" w:eastAsia="Times New Roman" w:hint="default"/>
          <w:b/>
          <w:bCs/>
        </w:rPr>
        <w:t>4</w:t>
      </w:r>
      <w:r>
        <w:rPr>
          <w:rFonts w:ascii="宋体" w:hAnsi="宋体" w:cs="宋体" w:eastAsia="宋体" w:hint="default"/>
          <w:b/>
          <w:bCs/>
        </w:rPr>
        <w:t>、关于监事与监事会</w:t>
      </w:r>
      <w:r>
        <w:rPr>
          <w:rFonts w:ascii="宋体" w:hAnsi="宋体" w:cs="宋体" w:eastAsia="宋体" w:hint="default"/>
          <w:b/>
          <w:bCs/>
          <w:w w:val="99"/>
        </w:rPr>
        <w:t> </w:t>
      </w:r>
      <w:r>
        <w:rPr>
          <w:spacing w:val="-4"/>
        </w:rPr>
        <w:t>报告期内，公司监事会成员</w:t>
      </w:r>
      <w:r>
        <w:rPr>
          <w:rFonts w:ascii="Times New Roman" w:hAnsi="Times New Roman" w:cs="Times New Roman" w:eastAsia="Times New Roman" w:hint="default"/>
          <w:spacing w:val="-4"/>
        </w:rPr>
        <w:t>3</w:t>
      </w:r>
      <w:r>
        <w:rPr>
          <w:spacing w:val="-4"/>
        </w:rPr>
        <w:t>人，其中</w:t>
      </w:r>
      <w:r>
        <w:rPr>
          <w:rFonts w:ascii="Times New Roman" w:hAnsi="Times New Roman" w:cs="Times New Roman" w:eastAsia="Times New Roman" w:hint="default"/>
          <w:spacing w:val="-4"/>
        </w:rPr>
        <w:t>1</w:t>
      </w:r>
      <w:r>
        <w:rPr>
          <w:spacing w:val="-4"/>
        </w:rPr>
        <w:t>人为职工代表，监事会的人数及构成符合法律、法规的要求。公司监事会依据《公</w:t>
      </w:r>
    </w:p>
    <w:p>
      <w:pPr>
        <w:pStyle w:val="BodyText"/>
        <w:spacing w:line="316" w:lineRule="auto" w:before="15"/>
        <w:ind w:left="154" w:right="1042"/>
        <w:jc w:val="both"/>
      </w:pPr>
      <w:r>
        <w:rPr>
          <w:spacing w:val="-4"/>
        </w:rPr>
        <w:t>司章程》、《监事会议事规则》等法律法规认真履行自己的职责，按规定的程序召开了监事会，对公司重大事项、财务状况、</w:t>
      </w:r>
      <w:r>
        <w:rPr>
          <w:spacing w:val="-46"/>
        </w:rPr>
        <w:t> </w:t>
      </w:r>
      <w:r>
        <w:rPr>
          <w:spacing w:val="-46"/>
        </w:rPr>
      </w:r>
      <w:r>
        <w:rPr/>
        <w:t>董事和高级管理人员履行职责的合法合规性进行监督，维护公司及股东的合法权益。</w:t>
      </w:r>
    </w:p>
    <w:p>
      <w:pPr>
        <w:spacing w:line="432" w:lineRule="exact" w:before="3"/>
        <w:ind w:left="453" w:right="0" w:hanging="30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、关于绩效评价与激励约束机制</w:t>
      </w:r>
      <w:r>
        <w:rPr>
          <w:rFonts w:ascii="宋体" w:hAnsi="宋体" w:cs="宋体" w:eastAsia="宋体" w:hint="default"/>
          <w:b/>
          <w:bCs/>
          <w:w w:val="99"/>
          <w:sz w:val="18"/>
          <w:szCs w:val="18"/>
        </w:rPr>
        <w:t> </w:t>
      </w:r>
      <w:r>
        <w:rPr>
          <w:rFonts w:ascii="宋体" w:hAnsi="宋体" w:cs="宋体" w:eastAsia="宋体" w:hint="default"/>
          <w:spacing w:val="-1"/>
          <w:sz w:val="18"/>
          <w:szCs w:val="18"/>
        </w:rPr>
        <w:t>公司董事、监事和高级管理人员的聘任公开、透明，符合相关法律法规的规定，并已初步建立董事、监事和高级管理人</w:t>
      </w:r>
    </w:p>
    <w:p>
      <w:pPr>
        <w:pStyle w:val="BodyText"/>
        <w:spacing w:line="240" w:lineRule="auto" w:before="15"/>
        <w:ind w:right="0"/>
        <w:jc w:val="left"/>
      </w:pPr>
      <w:r>
        <w:rPr/>
        <w:t>员的绩效评价标准和激励约束机制。</w:t>
      </w:r>
    </w:p>
    <w:p>
      <w:pPr>
        <w:spacing w:line="240" w:lineRule="auto" w:before="0"/>
        <w:rPr>
          <w:rFonts w:ascii="宋体" w:hAnsi="宋体" w:cs="宋体" w:eastAsia="宋体" w:hint="default"/>
          <w:sz w:val="15"/>
          <w:szCs w:val="15"/>
        </w:rPr>
      </w:pPr>
    </w:p>
    <w:p>
      <w:pPr>
        <w:pStyle w:val="Heading5"/>
        <w:spacing w:line="240" w:lineRule="auto"/>
        <w:ind w:left="153" w:right="0"/>
        <w:jc w:val="left"/>
        <w:rPr>
          <w:b w:val="0"/>
          <w:bCs w:val="0"/>
        </w:rPr>
      </w:pPr>
      <w:r>
        <w:rPr>
          <w:rFonts w:ascii="Times New Roman" w:hAnsi="Times New Roman" w:cs="Times New Roman" w:eastAsia="Times New Roman" w:hint="default"/>
        </w:rPr>
        <w:t>6</w:t>
      </w:r>
      <w:r>
        <w:rPr/>
        <w:t>、关于相关利益者</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634" w:right="0"/>
        <w:jc w:val="left"/>
      </w:pPr>
      <w:r>
        <w:rPr/>
        <w:t>公司充分尊重和维护相关利益者的合法权益，加强与各方的沟通与交流，实现社会、股东、公司、员工等各方面利益</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6"/>
        <w:jc w:val="left"/>
      </w:pPr>
      <w:r>
        <w:rPr>
          <w:spacing w:val="-4"/>
        </w:rPr>
        <w:t>的协调平衡，诚信对待供应商和客户，认真培养每一位员工，坚持与相关利益者互利共赢的原则，共同推动公司持续、健康、</w:t>
      </w:r>
      <w:r>
        <w:rPr>
          <w:spacing w:val="-44"/>
        </w:rPr>
        <w:t> </w:t>
      </w:r>
      <w:r>
        <w:rPr>
          <w:spacing w:val="-44"/>
        </w:rPr>
      </w:r>
      <w:r>
        <w:rPr/>
        <w:t>快速发展。</w:t>
      </w:r>
    </w:p>
    <w:p>
      <w:pPr>
        <w:pStyle w:val="BodyText"/>
        <w:spacing w:line="432" w:lineRule="exact" w:before="3"/>
        <w:ind w:left="453" w:right="0" w:hanging="300"/>
        <w:jc w:val="left"/>
      </w:pPr>
      <w:r>
        <w:rPr>
          <w:rFonts w:ascii="Times New Roman" w:hAnsi="Times New Roman" w:cs="Times New Roman" w:eastAsia="Times New Roman" w:hint="default"/>
          <w:b/>
          <w:bCs/>
        </w:rPr>
        <w:t>7</w:t>
      </w:r>
      <w:r>
        <w:rPr>
          <w:rFonts w:ascii="宋体" w:hAnsi="宋体" w:cs="宋体" w:eastAsia="宋体" w:hint="default"/>
          <w:b/>
          <w:bCs/>
        </w:rPr>
        <w:t>、关于信息披露与透明度</w:t>
      </w:r>
      <w:r>
        <w:rPr>
          <w:rFonts w:ascii="宋体" w:hAnsi="宋体" w:cs="宋体" w:eastAsia="宋体" w:hint="default"/>
          <w:b/>
          <w:bCs/>
          <w:w w:val="99"/>
        </w:rPr>
        <w:t> </w:t>
      </w:r>
      <w:r>
        <w:rPr>
          <w:spacing w:val="-1"/>
        </w:rPr>
        <w:t>公司严格按照有关法律法规及公司《信息披露管理办法》、《投资者关系管理制度》、《内幕信息知情人报备和登记管</w:t>
      </w:r>
    </w:p>
    <w:p>
      <w:pPr>
        <w:pStyle w:val="BodyText"/>
        <w:spacing w:line="240" w:lineRule="auto" w:before="15"/>
        <w:ind w:right="0"/>
        <w:jc w:val="left"/>
      </w:pPr>
      <w:r>
        <w:rPr/>
        <w:t>理制度》等系列制度的要求，真实、准确、完整、及时、公平地披露信息，确保所有股东有平等的机会获得信息。</w:t>
      </w:r>
    </w:p>
    <w:p>
      <w:pPr>
        <w:spacing w:line="240" w:lineRule="auto" w:before="0"/>
        <w:rPr>
          <w:rFonts w:ascii="宋体" w:hAnsi="宋体" w:cs="宋体" w:eastAsia="宋体" w:hint="default"/>
          <w:sz w:val="15"/>
          <w:szCs w:val="15"/>
        </w:rPr>
      </w:pPr>
    </w:p>
    <w:p>
      <w:pPr>
        <w:pStyle w:val="BodyText"/>
        <w:spacing w:line="316" w:lineRule="auto"/>
        <w:ind w:right="0" w:firstLine="300"/>
        <w:jc w:val="left"/>
      </w:pPr>
      <w:r>
        <w:rPr/>
        <w:t>公司指定董事会秘书负责公司的信息披露事务与投资者关系的管理，证券部为信息披露事务和投资者关系管理执行部 </w:t>
      </w:r>
      <w:r>
        <w:rPr>
          <w:spacing w:val="-2"/>
        </w:rPr>
        <w:t>门。公司注重与投资者沟通交流，通过电话、电子邮件、投资者关系互动平台等各种方式，加强与投资者的沟通。公司指定</w:t>
      </w:r>
    </w:p>
    <w:p>
      <w:pPr>
        <w:pStyle w:val="BodyText"/>
        <w:spacing w:line="316" w:lineRule="auto" w:before="19"/>
        <w:ind w:right="1118"/>
        <w:jc w:val="left"/>
      </w:pPr>
      <w:r>
        <w:rPr>
          <w:spacing w:val="-2"/>
        </w:rPr>
        <w:t>《证券时报》和巨潮资讯网为公司信息披露媒体，接受各方监督，不断加强信息披露管理，确保信息披露的透明度、完整性</w:t>
      </w:r>
      <w:r>
        <w:rPr>
          <w:spacing w:val="-66"/>
        </w:rPr>
        <w:t> </w:t>
      </w:r>
      <w:r>
        <w:rPr>
          <w:spacing w:val="-66"/>
        </w:rPr>
      </w:r>
      <w:r>
        <w:rPr/>
        <w:t>和公平性。</w:t>
      </w:r>
    </w:p>
    <w:p>
      <w:pPr>
        <w:pStyle w:val="BodyText"/>
        <w:spacing w:line="240" w:lineRule="auto" w:before="140"/>
        <w:ind w:right="0"/>
        <w:jc w:val="left"/>
      </w:pPr>
      <w:r>
        <w:rPr/>
        <w:t>公司治理与《公司法》和中国证监会相关规定的要求是否存在差异</w:t>
      </w:r>
    </w:p>
    <w:p>
      <w:pPr>
        <w:pStyle w:val="BodyText"/>
        <w:spacing w:line="340" w:lineRule="auto" w:before="116"/>
        <w:ind w:right="55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240" w:lineRule="auto" w:before="40"/>
        <w:ind w:right="0"/>
        <w:jc w:val="left"/>
      </w:pPr>
      <w:r>
        <w:rPr/>
        <w:t>公司治理专项活动开展情况以及内幕信息知情人登记管理制度的制定、实施情况</w:t>
      </w:r>
    </w:p>
    <w:p>
      <w:pPr>
        <w:pStyle w:val="BodyText"/>
        <w:spacing w:line="240" w:lineRule="auto" w:before="115"/>
        <w:ind w:right="0"/>
        <w:jc w:val="left"/>
      </w:pPr>
      <w:r>
        <w:rPr>
          <w:rFonts w:ascii="Times New Roman" w:hAnsi="Times New Roman" w:cs="Times New Roman" w:eastAsia="Times New Roman" w:hint="default"/>
        </w:rPr>
        <w:t>1</w:t>
      </w:r>
      <w:r>
        <w:rPr/>
        <w:t>、公司治理专项活动开展情况：公司治理专项活动开展情况详见公司于</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日披露于巨潮资讯网的《关于公司</w:t>
      </w:r>
    </w:p>
    <w:p>
      <w:pPr>
        <w:pStyle w:val="BodyText"/>
        <w:tabs>
          <w:tab w:pos="5014" w:val="left" w:leader="none"/>
        </w:tabs>
        <w:spacing w:line="304" w:lineRule="auto" w:before="63"/>
        <w:ind w:right="1131"/>
        <w:jc w:val="left"/>
        <w:rPr>
          <w:rFonts w:ascii="Times New Roman" w:hAnsi="Times New Roman" w:cs="Times New Roman" w:eastAsia="Times New Roman" w:hint="default"/>
        </w:rPr>
      </w:pPr>
      <w:r>
        <w:rPr>
          <w:spacing w:val="-6"/>
          <w:w w:val="100"/>
        </w:rPr>
        <w:t>治理的自查报告和整改计划》（公告编号：</w:t>
      </w:r>
      <w:r>
        <w:rPr>
          <w:rFonts w:ascii="Times New Roman" w:hAnsi="Times New Roman" w:cs="Times New Roman" w:eastAsia="Times New Roman" w:hint="default"/>
          <w:spacing w:val="-6"/>
          <w:w w:val="100"/>
        </w:rPr>
        <w:t>2010-045</w:t>
      </w:r>
      <w:r>
        <w:rPr>
          <w:spacing w:val="-6"/>
          <w:w w:val="100"/>
        </w:rPr>
        <w:t>）、《</w:t>
      </w:r>
      <w:r>
        <w:rPr>
          <w:rFonts w:ascii="Times New Roman" w:hAnsi="Times New Roman" w:cs="Times New Roman" w:eastAsia="Times New Roman" w:hint="default"/>
          <w:spacing w:val="-6"/>
          <w:w w:val="100"/>
        </w:rPr>
        <w:t>“</w:t>
      </w:r>
      <w:r>
        <w:rPr>
          <w:spacing w:val="-6"/>
          <w:w w:val="100"/>
        </w:rPr>
        <w:t>公司治理专项活动</w:t>
      </w:r>
      <w:r>
        <w:rPr>
          <w:rFonts w:ascii="Times New Roman" w:hAnsi="Times New Roman" w:cs="Times New Roman" w:eastAsia="Times New Roman" w:hint="default"/>
          <w:spacing w:val="-6"/>
          <w:w w:val="100"/>
        </w:rPr>
        <w:t>”</w:t>
      </w:r>
      <w:r>
        <w:rPr>
          <w:spacing w:val="-6"/>
          <w:w w:val="100"/>
        </w:rPr>
        <w:t>自查情况说明》以及于</w:t>
      </w:r>
      <w:r>
        <w:rPr>
          <w:spacing w:val="-43"/>
          <w:w w:val="10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日披露</w:t>
      </w:r>
      <w:r>
        <w:rPr>
          <w:spacing w:val="-84"/>
        </w:rPr>
        <w:t> </w:t>
      </w:r>
      <w:r>
        <w:rPr>
          <w:spacing w:val="-84"/>
        </w:rPr>
      </w:r>
      <w:r>
        <w:rPr>
          <w:spacing w:val="-4"/>
        </w:rPr>
        <w:t>于巨潮资讯网的《关于公司治理专项活动的整改报告》。</w:t>
        <w:tab/>
      </w:r>
      <w:r>
        <w:rPr>
          <w:rFonts w:ascii="Times New Roman" w:hAnsi="Times New Roman" w:cs="Times New Roman" w:eastAsia="Times New Roman" w:hint="default"/>
        </w:rPr>
        <w:t>2</w:t>
      </w:r>
      <w:r>
        <w:rPr/>
        <w:t>、公司内幕信息知情人登记管理制度的制定、实施情况：公 司于</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4"/>
        </w:rPr>
        <w:t>日召开的第一届董事会第十次会议审议通过《内幕信息知情人报备制度》。为进一步规范公司的内幕信</w:t>
      </w:r>
      <w:r>
        <w:rPr/>
        <w:t> </w:t>
      </w:r>
      <w:r>
        <w:rPr>
          <w:spacing w:val="-2"/>
        </w:rPr>
        <w:t>息管理，加强内幕信息保密工作，以维护信息披露的公平原则，根据中国证监会《关于上市公司建立内幕信息知情人登记管</w:t>
      </w:r>
      <w:r>
        <w:rPr>
          <w:spacing w:val="-66"/>
        </w:rPr>
        <w:t> </w:t>
      </w:r>
      <w:r>
        <w:rPr>
          <w:spacing w:val="-66"/>
        </w:rPr>
      </w:r>
      <w:r>
        <w:rPr>
          <w:spacing w:val="-5"/>
        </w:rPr>
        <w:t>理制度的规定》（中国证监会公告</w:t>
      </w:r>
      <w:r>
        <w:rPr>
          <w:rFonts w:ascii="Times New Roman" w:hAnsi="Times New Roman" w:cs="Times New Roman" w:eastAsia="Times New Roman" w:hint="default"/>
          <w:spacing w:val="-5"/>
        </w:rPr>
        <w:t>[2011]30</w:t>
      </w:r>
      <w:r>
        <w:rPr>
          <w:rFonts w:ascii="Times New Roman" w:hAnsi="Times New Roman" w:cs="Times New Roman" w:eastAsia="Times New Roman" w:hint="default"/>
          <w:spacing w:val="4"/>
        </w:rPr>
        <w:t> </w:t>
      </w:r>
      <w:r>
        <w:rPr>
          <w:spacing w:val="-2"/>
        </w:rPr>
        <w:t>号，</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spacing w:val="-4"/>
        </w:rPr>
        <w:t>日起实施）、深圳证券交易所《中小企业板信息披露业务备</w:t>
      </w:r>
      <w:r>
        <w:rPr>
          <w:spacing w:val="-81"/>
        </w:rPr>
        <w:t> </w:t>
      </w:r>
      <w:r>
        <w:rPr>
          <w:spacing w:val="-81"/>
        </w:rPr>
      </w:r>
      <w:r>
        <w:rPr/>
        <w:t>忘录第</w:t>
      </w:r>
      <w:r>
        <w:rPr>
          <w:spacing w:val="-44"/>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spacing w:val="-6"/>
        </w:rPr>
        <w:t>号：内幕信息知情人员登记管理相关事项》（</w:t>
      </w:r>
      <w:r>
        <w:rPr>
          <w:rFonts w:ascii="Times New Roman" w:hAnsi="Times New Roman" w:cs="Times New Roman" w:eastAsia="Times New Roman" w:hint="default"/>
          <w:spacing w:val="-6"/>
        </w:rPr>
        <w:t>2011</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3"/>
        </w:rPr>
        <w:t>日最新修订）等的有关规定和要求，公司于</w:t>
      </w:r>
      <w:r>
        <w:rPr>
          <w:spacing w:val="-4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w:t>
      </w:r>
    </w:p>
    <w:p>
      <w:pPr>
        <w:pStyle w:val="BodyText"/>
        <w:spacing w:line="240" w:lineRule="auto" w:before="9"/>
        <w:ind w:left="154" w:right="0"/>
        <w:jc w:val="left"/>
      </w:pP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日召开</w:t>
      </w:r>
      <w:r>
        <w:rPr>
          <w:spacing w:val="1"/>
        </w:rPr>
        <w:t>的</w:t>
      </w:r>
      <w:r>
        <w:rPr/>
        <w:t>第二届董事会第十三次（临时）会议审议通过《关于修订</w:t>
      </w:r>
      <w:r>
        <w:rPr>
          <w:rFonts w:ascii="Times New Roman" w:hAnsi="Times New Roman" w:cs="Times New Roman" w:eastAsia="Times New Roman" w:hint="default"/>
        </w:rPr>
        <w:t>&lt;</w:t>
      </w:r>
      <w:r>
        <w:rPr/>
        <w:t>内幕信息知情人报备制度</w:t>
      </w:r>
      <w:r>
        <w:rPr>
          <w:rFonts w:ascii="Times New Roman" w:hAnsi="Times New Roman" w:cs="Times New Roman" w:eastAsia="Times New Roman" w:hint="default"/>
        </w:rPr>
        <w:t>&gt;</w:t>
      </w:r>
      <w:r>
        <w:rPr/>
        <w:t>的议案</w:t>
      </w:r>
      <w:r>
        <w:rPr>
          <w:spacing w:val="-90"/>
        </w:rPr>
        <w:t>》</w:t>
      </w:r>
      <w:r>
        <w:rPr/>
        <w:t>，在对制度相</w:t>
      </w:r>
    </w:p>
    <w:p>
      <w:pPr>
        <w:pStyle w:val="BodyText"/>
        <w:spacing w:line="300" w:lineRule="auto" w:before="63"/>
        <w:ind w:left="154" w:right="1118"/>
        <w:jc w:val="left"/>
      </w:pPr>
      <w:r>
        <w:rPr/>
        <w:t>关条款进行修订的同时，将制度名称修订为</w:t>
      </w:r>
      <w:r>
        <w:rPr>
          <w:rFonts w:ascii="Times New Roman" w:hAnsi="Times New Roman" w:cs="Times New Roman" w:eastAsia="Times New Roman" w:hint="default"/>
        </w:rPr>
        <w:t>“</w:t>
      </w:r>
      <w:r>
        <w:rPr/>
        <w:t>内幕信息知情人报备及登记管理制度</w:t>
      </w:r>
      <w:r>
        <w:rPr>
          <w:rFonts w:ascii="Times New Roman" w:hAnsi="Times New Roman" w:cs="Times New Roman" w:eastAsia="Times New Roman" w:hint="default"/>
        </w:rPr>
        <w:t>”</w:t>
      </w:r>
      <w:r>
        <w:rPr/>
        <w:t>。公司于</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56"/>
        </w:rPr>
        <w:t> </w:t>
      </w:r>
      <w:r>
        <w:rPr>
          <w:rFonts w:ascii="Times New Roman" w:hAnsi="Times New Roman" w:cs="Times New Roman" w:eastAsia="Times New Roman" w:hint="default"/>
        </w:rPr>
        <w:t>26</w:t>
      </w:r>
      <w:r>
        <w:rPr>
          <w:rFonts w:ascii="Times New Roman" w:hAnsi="Times New Roman" w:cs="Times New Roman" w:eastAsia="Times New Roman" w:hint="default"/>
          <w:spacing w:val="-11"/>
        </w:rPr>
        <w:t> </w:t>
      </w:r>
      <w:r>
        <w:rPr/>
        <w:t>日召开的第二届 </w:t>
      </w:r>
      <w:r>
        <w:rPr>
          <w:spacing w:val="-2"/>
        </w:rPr>
        <w:t>董事会第四次（临时）会议审议通过《关于制定</w:t>
      </w:r>
      <w:r>
        <w:rPr>
          <w:rFonts w:ascii="Times New Roman" w:hAnsi="Times New Roman" w:cs="Times New Roman" w:eastAsia="Times New Roman" w:hint="default"/>
          <w:spacing w:val="-2"/>
        </w:rPr>
        <w:t>&lt;</w:t>
      </w:r>
      <w:r>
        <w:rPr>
          <w:spacing w:val="-2"/>
        </w:rPr>
        <w:t>可能接触内幕信息的关键岗位人员买卖公司股票相关规定</w:t>
      </w:r>
      <w:r>
        <w:rPr>
          <w:rFonts w:ascii="Times New Roman" w:hAnsi="Times New Roman" w:cs="Times New Roman" w:eastAsia="Times New Roman" w:hint="default"/>
          <w:spacing w:val="-2"/>
        </w:rPr>
        <w:t>&gt;</w:t>
      </w:r>
      <w:r>
        <w:rPr>
          <w:spacing w:val="-2"/>
        </w:rPr>
        <w:t>的议案》。公司</w:t>
      </w:r>
    </w:p>
    <w:p>
      <w:pPr>
        <w:pStyle w:val="BodyText"/>
        <w:spacing w:line="319" w:lineRule="auto" w:before="13"/>
        <w:ind w:left="154" w:right="1131"/>
        <w:jc w:val="both"/>
      </w:pPr>
      <w:r>
        <w:rPr>
          <w:spacing w:val="-5"/>
        </w:rPr>
        <w:t>《内幕信息知情人报备及登记管理制度》、《可能接触内幕信息关键岗位人员买卖公司股票相关规定》，规范了重大信息的内</w:t>
      </w:r>
      <w:r>
        <w:rPr>
          <w:spacing w:val="-85"/>
        </w:rPr>
        <w:t> </w:t>
      </w:r>
      <w:r>
        <w:rPr>
          <w:spacing w:val="-85"/>
        </w:rPr>
      </w:r>
      <w:r>
        <w:rPr/>
        <w:t>部流转程序及外部信息报送的有关要求。</w:t>
      </w:r>
      <w:r>
        <w:rPr>
          <w:spacing w:val="7"/>
        </w:rPr>
        <w:t> </w:t>
      </w:r>
      <w:r>
        <w:rPr/>
        <w:t>公司在定期报告和重大信息披露前，做好内幕信息知情人的登记备案工作；在</w:t>
      </w:r>
      <w:r>
        <w:rPr/>
        <w:t> </w:t>
      </w:r>
      <w:r>
        <w:rPr>
          <w:spacing w:val="-2"/>
        </w:rPr>
        <w:t>对外报送信息时，做好外部信息使用方的登记工作。报告期内，公司未发现有内幕信息知情人买卖公司股票的情况，也未受</w:t>
      </w:r>
      <w:r>
        <w:rPr>
          <w:spacing w:val="-66"/>
        </w:rPr>
        <w:t> </w:t>
      </w:r>
      <w:r>
        <w:rPr>
          <w:spacing w:val="-66"/>
        </w:rPr>
      </w:r>
      <w:r>
        <w:rPr/>
        <w:t>到监管部门的查处。</w:t>
      </w:r>
    </w:p>
    <w:p>
      <w:pPr>
        <w:spacing w:line="240" w:lineRule="auto" w:before="7"/>
        <w:rPr>
          <w:rFonts w:ascii="宋体" w:hAnsi="宋体" w:cs="宋体" w:eastAsia="宋体" w:hint="default"/>
          <w:sz w:val="20"/>
          <w:szCs w:val="20"/>
        </w:rPr>
      </w:pPr>
    </w:p>
    <w:p>
      <w:pPr>
        <w:pStyle w:val="Heading2"/>
        <w:spacing w:line="240" w:lineRule="auto"/>
        <w:ind w:left="154" w:right="0"/>
        <w:jc w:val="left"/>
        <w:rPr>
          <w:b w:val="0"/>
          <w:bCs w:val="0"/>
        </w:rPr>
      </w:pPr>
      <w:bookmarkStart w:name="二、报告期内召开的年度股东大会和临时股东大会的有关情况" w:id="120"/>
      <w:bookmarkEnd w:id="120"/>
      <w:r>
        <w:rPr>
          <w:b w:val="0"/>
          <w:bCs w:val="0"/>
        </w:rPr>
      </w: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报告期年度股东大会情况" w:id="121"/>
      <w:bookmarkEnd w:id="121"/>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85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3" w:right="7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 </w:t>
            </w:r>
            <w:r>
              <w:rPr>
                <w:rFonts w:ascii="宋体" w:hAnsi="宋体" w:cs="宋体" w:eastAsia="宋体" w:hint="default"/>
                <w:spacing w:val="-17"/>
                <w:sz w:val="18"/>
                <w:szCs w:val="18"/>
              </w:rPr>
              <w:t>工作报告》、《</w:t>
            </w:r>
            <w:r>
              <w:rPr>
                <w:rFonts w:ascii="Times New Roman" w:hAnsi="Times New Roman" w:cs="Times New Roman" w:eastAsia="Times New Roman" w:hint="default"/>
                <w:spacing w:val="-17"/>
                <w:sz w:val="18"/>
                <w:szCs w:val="18"/>
              </w:rPr>
              <w:t>2013</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年度监事会工作报 </w:t>
            </w:r>
            <w:r>
              <w:rPr>
                <w:rFonts w:ascii="宋体" w:hAnsi="宋体" w:cs="宋体" w:eastAsia="宋体" w:hint="default"/>
                <w:spacing w:val="-23"/>
                <w:sz w:val="18"/>
                <w:szCs w:val="18"/>
              </w:rPr>
              <w:t>告》、《</w:t>
            </w:r>
            <w:r>
              <w:rPr>
                <w:rFonts w:ascii="Times New Roman" w:hAnsi="Times New Roman" w:cs="Times New Roman" w:eastAsia="Times New Roman" w:hint="default"/>
                <w:spacing w:val="-23"/>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 </w:t>
            </w:r>
            <w:r>
              <w:rPr>
                <w:rFonts w:ascii="宋体" w:hAnsi="宋体" w:cs="宋体" w:eastAsia="宋体" w:hint="default"/>
                <w:spacing w:val="-12"/>
                <w:sz w:val="18"/>
                <w:szCs w:val="18"/>
              </w:rPr>
              <w:t>报告及其摘要》、</w:t>
            </w:r>
          </w:p>
          <w:p>
            <w:pPr>
              <w:pStyle w:val="TableParagraph"/>
              <w:spacing w:line="307" w:lineRule="auto" w:before="28"/>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 金存放与使用情况 </w:t>
            </w:r>
            <w:r>
              <w:rPr>
                <w:rFonts w:ascii="宋体" w:hAnsi="宋体" w:cs="宋体" w:eastAsia="宋体" w:hint="default"/>
                <w:spacing w:val="-22"/>
                <w:sz w:val="18"/>
                <w:szCs w:val="18"/>
              </w:rPr>
              <w:t>的专项报告》、《</w:t>
            </w:r>
            <w:r>
              <w:rPr>
                <w:rFonts w:ascii="Times New Roman" w:hAnsi="Times New Roman" w:cs="Times New Roman" w:eastAsia="Times New Roman" w:hint="default"/>
                <w:spacing w:val="-22"/>
                <w:sz w:val="18"/>
                <w:szCs w:val="18"/>
              </w:rPr>
              <w:t>2013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年度利润分配和资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235,579,065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股同</w:t>
            </w:r>
          </w:p>
          <w:p>
            <w:pPr>
              <w:pStyle w:val="TableParagraph"/>
              <w:spacing w:line="309" w:lineRule="auto" w:before="61"/>
              <w:ind w:left="22" w:right="30"/>
              <w:jc w:val="left"/>
              <w:rPr>
                <w:rFonts w:ascii="宋体" w:hAnsi="宋体" w:cs="宋体" w:eastAsia="宋体" w:hint="default"/>
                <w:sz w:val="18"/>
                <w:szCs w:val="18"/>
              </w:rPr>
            </w:pPr>
            <w:r>
              <w:rPr>
                <w:rFonts w:ascii="宋体" w:hAnsi="宋体" w:cs="宋体" w:eastAsia="宋体" w:hint="default"/>
                <w:sz w:val="18"/>
                <w:szCs w:val="18"/>
              </w:rPr>
              <w:t>意，</w:t>
            </w:r>
            <w:r>
              <w:rPr>
                <w:rFonts w:ascii="Times New Roman" w:hAnsi="Times New Roman" w:cs="Times New Roman" w:eastAsia="Times New Roman" w:hint="default"/>
                <w:sz w:val="18"/>
                <w:szCs w:val="18"/>
              </w:rPr>
              <w:t>0 </w:t>
            </w:r>
            <w:r>
              <w:rPr>
                <w:rFonts w:ascii="宋体" w:hAnsi="宋体" w:cs="宋体" w:eastAsia="宋体" w:hint="default"/>
                <w:sz w:val="18"/>
                <w:szCs w:val="18"/>
              </w:rPr>
              <w:t>股反对，</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 弃权的表决结果审 议通过全部议案。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09" w:lineRule="auto"/>
              <w:ind w:left="23" w:right="2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 </w:t>
            </w:r>
            <w:r>
              <w:rPr>
                <w:rFonts w:ascii="宋体" w:hAnsi="宋体" w:cs="宋体" w:eastAsia="宋体" w:hint="default"/>
                <w:spacing w:val="-10"/>
                <w:sz w:val="18"/>
                <w:szCs w:val="18"/>
              </w:rPr>
              <w:t>东大会决议公告》于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日刊 载于证券时报及巨 潮资讯网</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2"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）（公告编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pacing w:val="-18"/>
                <w:sz w:val="18"/>
                <w:szCs w:val="18"/>
              </w:rPr>
              <w:t>2014-018</w:t>
            </w:r>
            <w:r>
              <w:rPr>
                <w:rFonts w:ascii="宋体" w:hAnsi="宋体" w:cs="宋体" w:eastAsia="宋体" w:hint="default"/>
                <w:spacing w:val="-18"/>
                <w:sz w:val="18"/>
                <w:szCs w:val="18"/>
              </w:rPr>
              <w:t>）。</w:t>
            </w:r>
            <w:r>
              <w:rPr>
                <w:rFonts w:ascii="宋体" w:hAnsi="宋体" w:cs="宋体" w:eastAsia="宋体" w:hint="default"/>
                <w:sz w:val="18"/>
                <w:szCs w:val="18"/>
              </w:rPr>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本公积转增股本预</w:t>
            </w: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公</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《关于部分募集资</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金项目完成后节余</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资金变更为永久补</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充流动资金的议</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3"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《关于续聘会计</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57" w:hRule="exact"/>
        </w:trPr>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师事务所的议案》</w:t>
            </w: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本报告期临时股东大会情况" w:id="122"/>
      <w:bookmarkEnd w:id="122"/>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表决权恢夊的优先股股东请求召开临时股东大会" w:id="123"/>
      <w:bookmarkEnd w:id="123"/>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报告期内独立董事履行职责的情况" w:id="124"/>
      <w:bookmarkEnd w:id="124"/>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独立董事出席董事会及股东大会的情况" w:id="125"/>
      <w:bookmarkEnd w:id="12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郭万达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陈骏德</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51"/>
        <w:ind w:left="154" w:right="8052"/>
        <w:jc w:val="left"/>
      </w:pPr>
      <w:r>
        <w:rPr/>
        <w:t>连续两次未亲自出席董事会的说明 不适用</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独立董事对公司有关事项提出异议的情况" w:id="126"/>
      <w:bookmarkEnd w:id="12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独立董事履行职责的其他说明" w:id="127"/>
      <w:bookmarkEnd w:id="12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42"/>
        <w:ind w:right="1131" w:firstLine="290"/>
        <w:jc w:val="both"/>
      </w:pPr>
      <w:r>
        <w:rPr>
          <w:spacing w:val="-1"/>
        </w:rPr>
        <w:t>报告期内，公司四名独立董事忠实勤勉、依法严格履行了职责，亲自出席或委托其他独立董事代为出席了公司召开的历</w:t>
      </w:r>
      <w:r>
        <w:rPr/>
        <w:t> </w:t>
      </w:r>
      <w:r>
        <w:rPr>
          <w:spacing w:val="-2"/>
        </w:rPr>
        <w:t>次董事会会议并独立、客观的发表独立董事意见；定期了解公司经营情况，关注外部环境变化对公司造成的影响，对公司的</w:t>
      </w:r>
      <w:r>
        <w:rPr>
          <w:spacing w:val="-66"/>
        </w:rPr>
        <w:t> </w:t>
      </w:r>
      <w:r>
        <w:rPr>
          <w:spacing w:val="-66"/>
        </w:rPr>
      </w:r>
      <w:r>
        <w:rPr/>
        <w:t>发展战略、内部控制、重大经营决策等提供了专业性意见，提高了决策的科学性。</w:t>
      </w:r>
    </w:p>
    <w:p>
      <w:pPr>
        <w:pStyle w:val="BodyText"/>
        <w:spacing w:line="300" w:lineRule="auto" w:before="17"/>
        <w:ind w:right="1130" w:firstLine="290"/>
        <w:jc w:val="both"/>
      </w:pPr>
      <w:r>
        <w:rPr>
          <w:spacing w:val="-1"/>
        </w:rPr>
        <w:t>报告期内，独立董事对公司续聘会计师事务所、</w:t>
      </w:r>
      <w:r>
        <w:rPr>
          <w:rFonts w:ascii="Times New Roman" w:hAnsi="Times New Roman" w:cs="Times New Roman" w:eastAsia="Times New Roman" w:hint="default"/>
          <w:spacing w:val="-1"/>
        </w:rPr>
        <w:t>2013</w:t>
      </w:r>
      <w:r>
        <w:rPr>
          <w:spacing w:val="-1"/>
        </w:rPr>
        <w:t>年度内部控制自我评价报告、</w:t>
      </w:r>
      <w:r>
        <w:rPr>
          <w:rFonts w:ascii="Times New Roman" w:hAnsi="Times New Roman" w:cs="Times New Roman" w:eastAsia="Times New Roman" w:hint="default"/>
          <w:spacing w:val="-1"/>
        </w:rPr>
        <w:t>2013</w:t>
      </w:r>
      <w:r>
        <w:rPr>
          <w:spacing w:val="-1"/>
        </w:rPr>
        <w:t>年度募集资金存放与使用情况的</w:t>
      </w:r>
      <w:r>
        <w:rPr/>
        <w:t> </w:t>
      </w:r>
      <w:r>
        <w:rPr>
          <w:spacing w:val="-2"/>
        </w:rPr>
        <w:t>专项报告、</w:t>
      </w:r>
      <w:r>
        <w:rPr>
          <w:rFonts w:ascii="Times New Roman" w:hAnsi="Times New Roman" w:cs="Times New Roman" w:eastAsia="Times New Roman" w:hint="default"/>
          <w:spacing w:val="-2"/>
        </w:rPr>
        <w:t>2013</w:t>
      </w:r>
      <w:r>
        <w:rPr>
          <w:spacing w:val="-2"/>
        </w:rPr>
        <w:t>年度利润分配和资本公积转增股本预案、使用部分自有闲置资金投资理财产品、部分募集资金项目完成后节</w:t>
      </w:r>
      <w:r>
        <w:rPr>
          <w:spacing w:val="-62"/>
        </w:rPr>
        <w:t> </w:t>
      </w:r>
      <w:r>
        <w:rPr>
          <w:spacing w:val="-62"/>
        </w:rPr>
      </w:r>
      <w:r>
        <w:rPr/>
        <w:t>余资金变更为永久补充流动资金、</w:t>
      </w:r>
      <w:r>
        <w:rPr>
          <w:rFonts w:ascii="Times New Roman" w:hAnsi="Times New Roman" w:cs="Times New Roman" w:eastAsia="Times New Roman" w:hint="default"/>
        </w:rPr>
        <w:t>2014</w:t>
      </w:r>
      <w:r>
        <w:rPr/>
        <w:t>年半年度募集资金存放与使用情况的专项报告等事项发表独立意见。</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四、董事会下设专门委员会在报告期内履行职责情况" w:id="128"/>
      <w:bookmarkEnd w:id="128"/>
      <w:r>
        <w:rPr>
          <w:b w:val="0"/>
          <w:bCs w:val="0"/>
        </w:rPr>
      </w: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b/>
          <w:bCs/>
        </w:rPr>
        <w:t>1</w:t>
      </w:r>
      <w:r>
        <w:rPr/>
        <w:t>、审计委员会的履职情况</w:t>
      </w:r>
    </w:p>
    <w:p>
      <w:pPr>
        <w:pStyle w:val="BodyText"/>
        <w:spacing w:line="240" w:lineRule="auto" w:before="63"/>
        <w:ind w:left="154" w:right="0"/>
        <w:jc w:val="left"/>
      </w:pPr>
      <w:r>
        <w:rPr/>
        <w:t>（</w:t>
      </w:r>
      <w:r>
        <w:rPr>
          <w:rFonts w:ascii="Times New Roman" w:hAnsi="Times New Roman" w:cs="Times New Roman" w:eastAsia="Times New Roman" w:hint="default"/>
          <w:b/>
          <w:bCs/>
        </w:rPr>
        <w:t>1</w:t>
      </w:r>
      <w:r>
        <w:rPr/>
        <w:t>）报告期召开会议的情况</w:t>
      </w:r>
    </w:p>
    <w:p>
      <w:pPr>
        <w:pStyle w:val="BodyText"/>
        <w:spacing w:line="240" w:lineRule="auto" w:before="63"/>
        <w:ind w:left="154" w:right="0"/>
        <w:jc w:val="left"/>
      </w:pPr>
      <w:r>
        <w:rPr>
          <w:rFonts w:ascii="Times New Roman" w:hAnsi="Times New Roman" w:cs="Times New Roman" w:eastAsia="Times New Roman" w:hint="default"/>
        </w:rPr>
        <w:t>2014</w:t>
      </w:r>
      <w:r>
        <w:rPr/>
        <w:t>年，董事会审计委员会共召开</w:t>
      </w:r>
      <w:r>
        <w:rPr>
          <w:rFonts w:ascii="Times New Roman" w:hAnsi="Times New Roman" w:cs="Times New Roman" w:eastAsia="Times New Roman" w:hint="default"/>
        </w:rPr>
        <w:t>7</w:t>
      </w:r>
      <w:r>
        <w:rPr/>
        <w:t>次会议，分别如下：</w:t>
      </w:r>
    </w:p>
    <w:p>
      <w:pPr>
        <w:spacing w:line="271" w:lineRule="auto" w:before="46"/>
        <w:ind w:left="153" w:right="1036" w:firstLine="0"/>
        <w:jc w:val="left"/>
        <w:rPr>
          <w:rFonts w:ascii="宋体" w:hAnsi="宋体" w:cs="宋体" w:eastAsia="宋体" w:hint="default"/>
          <w:sz w:val="20"/>
          <w:szCs w:val="20"/>
        </w:rPr>
      </w:pP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日召开第三届董事会审计委员会第三次会议，审议通过</w:t>
      </w:r>
      <w:r>
        <w:rPr>
          <w:rFonts w:ascii="宋体" w:hAnsi="宋体" w:cs="宋体" w:eastAsia="宋体" w:hint="default"/>
          <w:spacing w:val="-1"/>
          <w:sz w:val="20"/>
          <w:szCs w:val="20"/>
        </w:rPr>
        <w:t>《审计部</w:t>
      </w: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年度工作总结和</w:t>
      </w: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年度工作计划》</w:t>
      </w:r>
      <w:r>
        <w:rPr>
          <w:rFonts w:ascii="宋体" w:hAnsi="宋体" w:cs="宋体" w:eastAsia="宋体" w:hint="default"/>
          <w:spacing w:val="-44"/>
          <w:sz w:val="20"/>
          <w:szCs w:val="20"/>
        </w:rPr>
        <w:t> </w:t>
      </w:r>
      <w:r>
        <w:rPr>
          <w:rFonts w:ascii="宋体" w:hAnsi="宋体" w:cs="宋体" w:eastAsia="宋体" w:hint="default"/>
          <w:spacing w:val="-44"/>
          <w:sz w:val="20"/>
          <w:szCs w:val="20"/>
        </w:rPr>
      </w:r>
      <w:r>
        <w:rPr>
          <w:rFonts w:ascii="宋体" w:hAnsi="宋体" w:cs="宋体" w:eastAsia="宋体" w:hint="default"/>
          <w:sz w:val="20"/>
          <w:szCs w:val="20"/>
        </w:rPr>
        <w:t>的议案</w:t>
      </w:r>
    </w:p>
    <w:p>
      <w:pPr>
        <w:pStyle w:val="BodyText"/>
        <w:spacing w:line="300" w:lineRule="auto" w:before="40"/>
        <w:ind w:right="4543"/>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日召开第三届董事会审计委员会第四次会议，审议通过以下议案：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2013</w:t>
      </w:r>
      <w:r>
        <w:rPr/>
        <w:t>年年度财务报告》</w:t>
      </w:r>
    </w:p>
    <w:p>
      <w:pPr>
        <w:pStyle w:val="BodyText"/>
        <w:spacing w:line="300" w:lineRule="auto" w:before="13"/>
        <w:ind w:right="4543"/>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2013</w:t>
      </w:r>
      <w:r>
        <w:rPr/>
        <w:t>年第四季度有关事项的检查报告》 </w:t>
      </w:r>
      <w:r>
        <w:rPr>
          <w:rFonts w:ascii="Times New Roman" w:hAnsi="Times New Roman" w:cs="Times New Roman" w:eastAsia="Times New Roman" w:hint="default"/>
        </w:rPr>
        <w:t>C</w:t>
      </w:r>
      <w:r>
        <w:rPr/>
        <w:t>、《关于大信会计师事务所（特殊普通合伙）</w:t>
      </w:r>
      <w:r>
        <w:rPr>
          <w:rFonts w:ascii="Times New Roman" w:hAnsi="Times New Roman" w:cs="Times New Roman" w:eastAsia="Times New Roman" w:hint="default"/>
        </w:rPr>
        <w:t>2013</w:t>
      </w:r>
      <w:r>
        <w:rPr/>
        <w:t>年度审计工作总结》 </w:t>
      </w:r>
      <w:r>
        <w:rPr>
          <w:rFonts w:ascii="Times New Roman" w:hAnsi="Times New Roman" w:cs="Times New Roman" w:eastAsia="Times New Roman" w:hint="default"/>
        </w:rPr>
        <w:t>D</w:t>
      </w:r>
      <w:r>
        <w:rPr/>
        <w:t>、《</w:t>
      </w:r>
      <w:r>
        <w:rPr>
          <w:rFonts w:ascii="Times New Roman" w:hAnsi="Times New Roman" w:cs="Times New Roman" w:eastAsia="Times New Roman" w:hint="default"/>
        </w:rPr>
        <w:t>2013</w:t>
      </w:r>
      <w:r>
        <w:rPr/>
        <w:t>年度内部控制自我评价报告》 </w:t>
      </w:r>
      <w:r>
        <w:rPr>
          <w:rFonts w:ascii="Times New Roman" w:hAnsi="Times New Roman" w:cs="Times New Roman" w:eastAsia="Times New Roman" w:hint="default"/>
        </w:rPr>
        <w:t>E</w:t>
      </w:r>
      <w:r>
        <w:rPr/>
        <w:t>、《审计部</w:t>
      </w:r>
      <w:r>
        <w:rPr>
          <w:rFonts w:ascii="Times New Roman" w:hAnsi="Times New Roman" w:cs="Times New Roman" w:eastAsia="Times New Roman" w:hint="default"/>
        </w:rPr>
        <w:t>2014</w:t>
      </w:r>
      <w:r>
        <w:rPr/>
        <w:t>年第一季度工作总结及第二季度工作计划》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日召开第三届董事会审计委员会第五次会议，审议通过以下议案：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2014</w:t>
      </w:r>
      <w:r>
        <w:rPr/>
        <w:t>年第一季度财务报告》</w:t>
      </w:r>
    </w:p>
    <w:p>
      <w:pPr>
        <w:pStyle w:val="BodyText"/>
        <w:spacing w:line="300" w:lineRule="auto" w:before="13"/>
        <w:ind w:right="1036"/>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2014</w:t>
      </w:r>
      <w:r>
        <w:rPr/>
        <w:t>年第一季度有关事项的检查报告》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10</w:t>
      </w:r>
      <w:r>
        <w:rPr>
          <w:spacing w:val="-2"/>
        </w:rPr>
        <w:t>日召开第三届董事会审计委员会第六次会议，审议通过《审计部</w:t>
      </w:r>
      <w:r>
        <w:rPr>
          <w:rFonts w:ascii="Times New Roman" w:hAnsi="Times New Roman" w:cs="Times New Roman" w:eastAsia="Times New Roman" w:hint="default"/>
          <w:spacing w:val="-2"/>
        </w:rPr>
        <w:t>2014</w:t>
      </w:r>
      <w:r>
        <w:rPr>
          <w:spacing w:val="-2"/>
        </w:rPr>
        <w:t>年第二季度工作总结和第三季度工作计划》</w:t>
      </w:r>
      <w:r>
        <w:rPr>
          <w:spacing w:val="-52"/>
        </w:rPr>
        <w:t> </w:t>
      </w:r>
      <w:r>
        <w:rPr/>
        <w:t>的议案</w:t>
      </w:r>
    </w:p>
    <w:p>
      <w:pPr>
        <w:pStyle w:val="BodyText"/>
        <w:spacing w:line="300" w:lineRule="auto" w:before="31"/>
        <w:ind w:right="4543"/>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日召开第三届董事会审计委员会第七次会议，审议通过以下议案：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2014</w:t>
      </w:r>
      <w:r>
        <w:rPr/>
        <w:t>年半年度财务报告》</w:t>
      </w:r>
    </w:p>
    <w:p>
      <w:pPr>
        <w:pStyle w:val="BodyText"/>
        <w:spacing w:line="300" w:lineRule="auto" w:before="13"/>
        <w:ind w:right="1036"/>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2014</w:t>
      </w:r>
      <w:r>
        <w:rPr/>
        <w:t>年第二季度有关事项的检查报告》 </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10</w:t>
      </w:r>
      <w:r>
        <w:rPr>
          <w:spacing w:val="-3"/>
        </w:rPr>
        <w:t>日召开第三届董事会审计委员会第八次会议，审议通过《审计部</w:t>
      </w:r>
      <w:r>
        <w:rPr>
          <w:rFonts w:ascii="Times New Roman" w:hAnsi="Times New Roman" w:cs="Times New Roman" w:eastAsia="Times New Roman" w:hint="default"/>
          <w:spacing w:val="-3"/>
        </w:rPr>
        <w:t>2014</w:t>
      </w:r>
      <w:r>
        <w:rPr>
          <w:spacing w:val="-3"/>
        </w:rPr>
        <w:t>年第三季度工作总结和第四季度工作计划》</w:t>
      </w:r>
      <w:r>
        <w:rPr>
          <w:spacing w:val="-80"/>
        </w:rPr>
        <w:t> </w:t>
      </w:r>
      <w:r>
        <w:rPr/>
        <w:t>的议案</w:t>
      </w:r>
    </w:p>
    <w:p>
      <w:pPr>
        <w:pStyle w:val="BodyText"/>
        <w:spacing w:line="300" w:lineRule="auto" w:before="31"/>
        <w:ind w:right="4453"/>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日召开第三届董事会审计委员会第九次会议，审议通过以下议案：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2014</w:t>
      </w:r>
      <w:r>
        <w:rPr/>
        <w:t>年第三季度财务报告》</w:t>
      </w:r>
    </w:p>
    <w:p>
      <w:pPr>
        <w:pStyle w:val="BodyText"/>
        <w:spacing w:line="240" w:lineRule="auto" w:before="13"/>
        <w:ind w:right="0"/>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2014</w:t>
      </w:r>
      <w:r>
        <w:rPr/>
        <w:t>年第三季度有关事项的检查报告》</w:t>
      </w:r>
    </w:p>
    <w:p>
      <w:pPr>
        <w:pStyle w:val="BodyText"/>
        <w:spacing w:line="307" w:lineRule="auto" w:before="63"/>
        <w:ind w:right="0"/>
        <w:jc w:val="left"/>
      </w:pPr>
      <w:r>
        <w:rPr/>
        <w:t>（</w:t>
      </w:r>
      <w:r>
        <w:rPr>
          <w:rFonts w:ascii="Times New Roman" w:hAnsi="Times New Roman" w:cs="Times New Roman" w:eastAsia="Times New Roman" w:hint="default"/>
          <w:b/>
          <w:bCs/>
        </w:rPr>
        <w:t>2</w:t>
      </w:r>
      <w:r>
        <w:rPr/>
        <w:t>）开展年报工作的情况 </w:t>
      </w:r>
      <w:r>
        <w:rPr>
          <w:spacing w:val="-4"/>
        </w:rPr>
        <w:t>公司</w:t>
      </w:r>
      <w:r>
        <w:rPr>
          <w:rFonts w:ascii="Times New Roman" w:hAnsi="Times New Roman" w:cs="Times New Roman" w:eastAsia="Times New Roman" w:hint="default"/>
          <w:spacing w:val="-4"/>
        </w:rPr>
        <w:t>2014</w:t>
      </w:r>
      <w:r>
        <w:rPr>
          <w:spacing w:val="-4"/>
        </w:rPr>
        <w:t>年度报告审计工作期间，公司审计委员会与年报审计会计师事务所、公司高管、财务人员就年报审计事项保持沟通，</w:t>
      </w:r>
      <w:r>
        <w:rPr>
          <w:spacing w:val="-36"/>
        </w:rPr>
        <w:t> </w:t>
      </w:r>
      <w:r>
        <w:rPr>
          <w:spacing w:val="-36"/>
        </w:rPr>
      </w:r>
      <w:r>
        <w:rPr>
          <w:spacing w:val="-2"/>
        </w:rPr>
        <w:t>并就相关问题深入交换意见。审计委员会分别在年审注册会计师进场前、年审注册会计师出具初步意见后、年审注册会计师</w:t>
      </w:r>
      <w:r>
        <w:rPr>
          <w:spacing w:val="-66"/>
        </w:rPr>
        <w:t> </w:t>
      </w:r>
      <w:r>
        <w:rPr>
          <w:spacing w:val="-66"/>
        </w:rPr>
      </w:r>
      <w:r>
        <w:rPr/>
        <w:t>出具审计报告后召开会议，对报表发表书面意见。</w:t>
      </w:r>
    </w:p>
    <w:p>
      <w:pPr>
        <w:pStyle w:val="BodyText"/>
        <w:spacing w:line="314" w:lineRule="auto" w:before="26"/>
        <w:ind w:right="1033"/>
        <w:jc w:val="left"/>
      </w:pPr>
      <w:r>
        <w:rPr/>
        <w:t>（</w:t>
      </w:r>
      <w:r>
        <w:rPr>
          <w:rFonts w:ascii="Times New Roman" w:hAnsi="Times New Roman" w:cs="Times New Roman" w:eastAsia="Times New Roman" w:hint="default"/>
          <w:b/>
          <w:bCs/>
        </w:rPr>
        <w:t>3</w:t>
      </w:r>
      <w:r>
        <w:rPr/>
        <w:t>）关于会计师事务所从事上年度公司审计工作的总结和续聘建议 大信会计师事务所（特殊普通合伙）在为公司提供审计服务的过程中，审计人员能够严格遵守《中国注册会计师审计准则》 </w:t>
      </w:r>
      <w:r>
        <w:rPr>
          <w:spacing w:val="-2"/>
        </w:rPr>
        <w:t>相关要求，保持独立性和严谨性，在审计过程中，注册会计师积极保持与审计委员会委员、独立董事、公司高管等人员的沟</w:t>
      </w:r>
      <w:r>
        <w:rPr>
          <w:spacing w:val="-66"/>
        </w:rPr>
        <w:t> </w:t>
      </w:r>
      <w:r>
        <w:rPr>
          <w:spacing w:val="-66"/>
        </w:rPr>
      </w:r>
      <w:r>
        <w:rPr>
          <w:spacing w:val="-2"/>
        </w:rPr>
        <w:t>通，坚持以公允、客观的态度进行审计，完成了所有必要的审计程序，表现了良好的职业操守和专业素质。为保持审计工作</w:t>
      </w:r>
      <w:r>
        <w:rPr>
          <w:spacing w:val="-66"/>
        </w:rPr>
        <w:t> </w:t>
      </w:r>
      <w:r>
        <w:rPr>
          <w:spacing w:val="-66"/>
        </w:rPr>
      </w:r>
      <w:r>
        <w:rPr/>
        <w:t>开展的连续性，董事会审计委员会建议续聘大信会计师事务所（特殊普通合伙）为公司</w:t>
      </w:r>
      <w:r>
        <w:rPr>
          <w:rFonts w:ascii="Times New Roman" w:hAnsi="Times New Roman" w:cs="Times New Roman" w:eastAsia="Times New Roman" w:hint="default"/>
        </w:rPr>
        <w:t>2015</w:t>
      </w:r>
      <w:r>
        <w:rPr/>
        <w:t>年度财务审计机构。</w:t>
      </w:r>
    </w:p>
    <w:p>
      <w:pPr>
        <w:spacing w:after="0" w:line="314"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07" w:lineRule="auto" w:before="44"/>
        <w:ind w:right="7693"/>
        <w:jc w:val="left"/>
      </w:pPr>
      <w:r>
        <w:rPr>
          <w:rFonts w:ascii="Times New Roman" w:hAnsi="Times New Roman" w:cs="Times New Roman" w:eastAsia="Times New Roman" w:hint="default"/>
          <w:b/>
          <w:bCs/>
        </w:rPr>
        <w:t>2</w:t>
      </w:r>
      <w:r>
        <w:rPr/>
        <w:t>、薪酬与考核委员会的履职情况 报告期内公司战略委员会未召开会议。 </w:t>
      </w:r>
      <w:r>
        <w:rPr>
          <w:rFonts w:ascii="Times New Roman" w:hAnsi="Times New Roman" w:cs="Times New Roman" w:eastAsia="Times New Roman" w:hint="default"/>
          <w:b/>
          <w:bCs/>
        </w:rPr>
        <w:t>3</w:t>
      </w:r>
      <w:r>
        <w:rPr/>
        <w:t>、战略委员会的履职情况 报告期内公司战略委员会未召开会议。 </w:t>
      </w:r>
      <w:r>
        <w:rPr>
          <w:rFonts w:ascii="Times New Roman" w:hAnsi="Times New Roman" w:cs="Times New Roman" w:eastAsia="Times New Roman" w:hint="default"/>
          <w:b/>
          <w:bCs/>
        </w:rPr>
        <w:t>4</w:t>
      </w:r>
      <w:r>
        <w:rPr/>
        <w:t>、提名委员会的履职情况 报告期内公司战略委员会未召开会议。</w:t>
      </w:r>
    </w:p>
    <w:p>
      <w:pPr>
        <w:spacing w:line="240" w:lineRule="auto" w:before="4"/>
        <w:rPr>
          <w:rFonts w:ascii="宋体" w:hAnsi="宋体" w:cs="宋体" w:eastAsia="宋体" w:hint="default"/>
          <w:sz w:val="21"/>
          <w:szCs w:val="21"/>
        </w:rPr>
      </w:pPr>
    </w:p>
    <w:p>
      <w:pPr>
        <w:pStyle w:val="Heading2"/>
        <w:spacing w:line="240" w:lineRule="auto"/>
        <w:ind w:left="154" w:right="0"/>
        <w:jc w:val="left"/>
        <w:rPr>
          <w:b w:val="0"/>
          <w:bCs w:val="0"/>
        </w:rPr>
      </w:pPr>
      <w:bookmarkStart w:name="五、监事会工作情况" w:id="129"/>
      <w:bookmarkEnd w:id="129"/>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监事会在报告期内的监督活动中发现公司是否存在风险</w:t>
      </w:r>
    </w:p>
    <w:p>
      <w:pPr>
        <w:pStyle w:val="BodyText"/>
        <w:spacing w:line="360" w:lineRule="auto" w:before="116"/>
        <w:ind w:right="7693"/>
        <w:jc w:val="left"/>
      </w:pPr>
      <w:r>
        <w:rPr/>
        <w:t>□ 是 √ 否 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六、公司相对于控股股东在业务、人员、资产、机构、财务等方面的独立完整情况" w:id="130"/>
      <w:bookmarkEnd w:id="130"/>
      <w:r>
        <w:rPr>
          <w:b w:val="0"/>
          <w:bCs w:val="0"/>
        </w:rPr>
      </w: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033"/>
        <w:jc w:val="left"/>
      </w:pPr>
      <w:r>
        <w:rPr/>
        <w:t>公司与控股股东在业务、人员、资产、机构、财务等方面完全分开，具有完整的业务及自主经营能力。相关情况说明如下： </w:t>
      </w:r>
      <w:r>
        <w:rPr>
          <w:rFonts w:ascii="Times New Roman" w:hAnsi="Times New Roman" w:cs="Times New Roman" w:eastAsia="Times New Roman" w:hint="default"/>
        </w:rPr>
        <w:t>1</w:t>
      </w:r>
      <w:r>
        <w:rPr/>
        <w:t>、资产独立 </w:t>
      </w:r>
      <w:r>
        <w:rPr>
          <w:spacing w:val="-2"/>
        </w:rPr>
        <w:t>本公司资产独立，不存在资产、资金被控股股东占用的情形，不存在以资产、权益为控股股东担保的情形，本公司现有的资</w:t>
      </w:r>
      <w:r>
        <w:rPr>
          <w:spacing w:val="-66"/>
        </w:rPr>
        <w:t> </w:t>
      </w:r>
      <w:r>
        <w:rPr>
          <w:spacing w:val="-66"/>
        </w:rPr>
      </w:r>
      <w:r>
        <w:rPr/>
        <w:t>产独立、完整，没有以其资产为股东或个人债务以及其他法人或自然人提供任何形式的担保。</w:t>
      </w:r>
    </w:p>
    <w:p>
      <w:pPr>
        <w:pStyle w:val="BodyText"/>
        <w:spacing w:line="312" w:lineRule="auto" w:before="22"/>
        <w:ind w:right="1118"/>
        <w:jc w:val="left"/>
      </w:pPr>
      <w:r>
        <w:rPr>
          <w:rFonts w:ascii="Times New Roman" w:hAnsi="Times New Roman" w:cs="Times New Roman" w:eastAsia="Times New Roman" w:hint="default"/>
        </w:rPr>
        <w:t>2</w:t>
      </w:r>
      <w:r>
        <w:rPr/>
        <w:t>、人员独立 </w:t>
      </w:r>
      <w:r>
        <w:rPr>
          <w:spacing w:val="-2"/>
        </w:rPr>
        <w:t>本公司总经理、副总经理、财务总监、董事会秘书等高级管理人员专职在公司工作、领取薪酬，不存在在控股股东及其控制</w:t>
      </w:r>
      <w:r>
        <w:rPr>
          <w:spacing w:val="-66"/>
        </w:rPr>
        <w:t> </w:t>
      </w:r>
      <w:r>
        <w:rPr>
          <w:spacing w:val="-66"/>
        </w:rPr>
      </w:r>
      <w:r>
        <w:rPr>
          <w:spacing w:val="-2"/>
        </w:rPr>
        <w:t>的其他企业中兼任除董事、监事之外职务及领取薪酬的情形。本公司财务人员不存在在控股股东及其控制的其他企业中兼职</w:t>
      </w:r>
      <w:r>
        <w:rPr>
          <w:spacing w:val="-64"/>
        </w:rPr>
        <w:t> </w:t>
      </w:r>
      <w:r>
        <w:rPr>
          <w:spacing w:val="-64"/>
        </w:rPr>
      </w:r>
      <w:r>
        <w:rPr/>
        <w:t>的情形。</w:t>
      </w:r>
    </w:p>
    <w:p>
      <w:pPr>
        <w:pStyle w:val="BodyText"/>
        <w:spacing w:line="309" w:lineRule="auto" w:before="22"/>
        <w:ind w:right="1118"/>
        <w:jc w:val="left"/>
      </w:pPr>
      <w:r>
        <w:rPr>
          <w:rFonts w:ascii="Times New Roman" w:hAnsi="Times New Roman" w:cs="Times New Roman" w:eastAsia="Times New Roman" w:hint="default"/>
        </w:rPr>
        <w:t>3</w:t>
      </w:r>
      <w:r>
        <w:rPr/>
        <w:t>、财务独立 </w:t>
      </w:r>
      <w:r>
        <w:rPr>
          <w:spacing w:val="-2"/>
        </w:rPr>
        <w:t>本公司设有独立的财务会计部门，配备了专门的财务人员，建立了独立的会计核算体系和财务管理制度。本公司独立在银行</w:t>
      </w:r>
      <w:r>
        <w:rPr>
          <w:spacing w:val="-66"/>
        </w:rPr>
        <w:t> </w:t>
      </w:r>
      <w:r>
        <w:rPr>
          <w:spacing w:val="-66"/>
        </w:rPr>
      </w:r>
      <w:r>
        <w:rPr/>
        <w:t>开户，依法独立纳税，独立做出财务决策，不存在资金被控股股东及其控制的其他企业占用的情形。</w:t>
      </w:r>
    </w:p>
    <w:p>
      <w:pPr>
        <w:pStyle w:val="BodyText"/>
        <w:spacing w:line="309" w:lineRule="auto" w:before="24"/>
        <w:ind w:right="1036"/>
        <w:jc w:val="left"/>
      </w:pPr>
      <w:r>
        <w:rPr>
          <w:rFonts w:ascii="Times New Roman" w:hAnsi="Times New Roman" w:cs="Times New Roman" w:eastAsia="Times New Roman" w:hint="default"/>
        </w:rPr>
        <w:t>4</w:t>
      </w:r>
      <w:r>
        <w:rPr/>
        <w:t>、机构独立 </w:t>
      </w:r>
      <w:r>
        <w:rPr>
          <w:spacing w:val="-4"/>
        </w:rPr>
        <w:t>本公司依法设立股东大会、董事会、监事会等机构，各项规章制度完善，法人治理结构规范有效。本公司建立了独立于股东、</w:t>
      </w:r>
      <w:r>
        <w:rPr>
          <w:spacing w:val="-44"/>
        </w:rPr>
        <w:t> </w:t>
      </w:r>
      <w:r>
        <w:rPr>
          <w:spacing w:val="-44"/>
        </w:rPr>
      </w:r>
      <w:r>
        <w:rPr/>
        <w:t>适应自身发展需要的组织机构，各部门职能明确，形成了独立且完善的管理机构。</w:t>
      </w:r>
    </w:p>
    <w:p>
      <w:pPr>
        <w:pStyle w:val="BodyText"/>
        <w:spacing w:line="309" w:lineRule="auto" w:before="24"/>
        <w:ind w:right="1118"/>
        <w:jc w:val="left"/>
      </w:pPr>
      <w:r>
        <w:rPr>
          <w:rFonts w:ascii="Times New Roman" w:hAnsi="Times New Roman" w:cs="Times New Roman" w:eastAsia="Times New Roman" w:hint="default"/>
        </w:rPr>
        <w:t>5</w:t>
      </w:r>
      <w:r>
        <w:rPr/>
        <w:t>、业务独立 </w:t>
      </w:r>
      <w:r>
        <w:rPr>
          <w:spacing w:val="-2"/>
        </w:rPr>
        <w:t>本公司具有独立完整的业务体系和直接面向市场经营的能力，拥有独立的生产经营场所，独立对外签订合同，开展业务，不</w:t>
      </w:r>
      <w:r>
        <w:rPr>
          <w:spacing w:val="-66"/>
        </w:rPr>
        <w:t> </w:t>
      </w:r>
      <w:r>
        <w:rPr>
          <w:spacing w:val="-66"/>
        </w:rPr>
      </w:r>
      <w:r>
        <w:rPr/>
        <w:t>存在对公司控股股东及其控制的其他企业或者第三方重大依赖的情形，与控股股东及其控制的其他企业不存在同业竞争。</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七、同业竞争情况" w:id="131"/>
      <w:bookmarkEnd w:id="131"/>
      <w:r>
        <w:rPr>
          <w:b w:val="0"/>
          <w:bCs w:val="0"/>
        </w:rPr>
      </w: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4" w:right="3012"/>
        <w:jc w:val="left"/>
      </w:pPr>
      <w:r>
        <w:rPr/>
        <w:t>√ 适用 □ 不适用 公司不存在因部分改制、行业特性、国家政策或收购兼并等原因导致的同业竞争和关联交易问题。</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八、高级管理人员的考评及激励情况" w:id="132"/>
      <w:bookmarkEnd w:id="132"/>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290"/>
        <w:jc w:val="both"/>
      </w:pPr>
      <w:r>
        <w:rPr>
          <w:spacing w:val="-1"/>
        </w:rPr>
        <w:t>公司建立了高级管理人员的选择、考评、激励与约束机制，公司高管人员全部由董事会聘任，对董事会负责，承担董事</w:t>
      </w:r>
      <w:r>
        <w:rPr/>
        <w:t> </w:t>
      </w:r>
      <w:r>
        <w:rPr>
          <w:spacing w:val="-2"/>
        </w:rPr>
        <w:t>会下达的经营指标，董事会及下设的薪酬与考核委员会负责对高级管理人员进行考评。报告期内，公司根据相关法律法规对</w:t>
      </w:r>
      <w:r>
        <w:rPr>
          <w:spacing w:val="-66"/>
        </w:rPr>
        <w:t> </w:t>
      </w:r>
      <w:r>
        <w:rPr>
          <w:spacing w:val="-66"/>
        </w:rPr>
      </w:r>
      <w:r>
        <w:rPr/>
        <w:t>高级管理人员进行约束，高级管理人员的年度报酬总额与工作绩效挂钩。</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201"/>
        <w:jc w:val="center"/>
        <w:rPr>
          <w:b w:val="0"/>
          <w:bCs w:val="0"/>
        </w:rPr>
      </w:pPr>
      <w:bookmarkStart w:name="第十节 内部控制" w:id="133"/>
      <w:bookmarkEnd w:id="133"/>
      <w:r>
        <w:rPr>
          <w:b w:val="0"/>
          <w:bCs w:val="0"/>
        </w:rPr>
      </w:r>
      <w:bookmarkStart w:name="_bookmark9" w:id="134"/>
      <w:bookmarkEnd w:id="134"/>
      <w:r>
        <w:rPr>
          <w:b w:val="0"/>
          <w:bCs w:val="0"/>
        </w:rPr>
      </w:r>
      <w:r>
        <w:rPr/>
        <w:t>第十节</w:t>
      </w:r>
      <w:r>
        <w:rPr>
          <w:spacing w:val="-3"/>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内部控制建设情况" w:id="135"/>
      <w:bookmarkEnd w:id="135"/>
      <w:r>
        <w:rPr>
          <w:b w:val="0"/>
          <w:bCs w:val="0"/>
        </w:rPr>
      </w:r>
      <w:r>
        <w:rPr/>
        <w:t>一、内部控制建设情况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54" w:right="0"/>
        <w:jc w:val="left"/>
      </w:pPr>
      <w:r>
        <w:rPr>
          <w:rFonts w:ascii="Times New Roman" w:hAnsi="Times New Roman" w:cs="Times New Roman" w:eastAsia="Times New Roman" w:hint="default"/>
        </w:rPr>
        <w:t>1</w:t>
      </w:r>
      <w:r>
        <w:rPr/>
        <w:t>、法人治理结构 </w:t>
      </w:r>
      <w:r>
        <w:rPr>
          <w:spacing w:val="-4"/>
        </w:rPr>
        <w:t>公司按照《中华人民共和国公司法》、《中华人民共和国证券法》等相关法律法规的要求，建立了较为规范的公司治理结构，</w:t>
      </w:r>
      <w:r>
        <w:rPr>
          <w:spacing w:val="-44"/>
        </w:rPr>
        <w:t> </w:t>
      </w:r>
      <w:r>
        <w:rPr>
          <w:spacing w:val="-44"/>
        </w:rPr>
      </w:r>
      <w:r>
        <w:rPr>
          <w:spacing w:val="-2"/>
        </w:rPr>
        <w:t>明确决策、执行、监督等方面的职责权限，确保股东大会、董事会、监事会等机构有效合规运作，形成较为科学的职责分工</w:t>
      </w:r>
      <w:r>
        <w:rPr>
          <w:spacing w:val="-67"/>
        </w:rPr>
        <w:t> </w:t>
      </w:r>
      <w:r>
        <w:rPr>
          <w:spacing w:val="-67"/>
        </w:rPr>
      </w:r>
      <w:r>
        <w:rPr>
          <w:spacing w:val="-2"/>
        </w:rPr>
        <w:t>和制衡机制，为内部控制制度的制定与执行提供了一个良好的内部环境。公司股东大会、董事会、监事会、管理层等严格按</w:t>
      </w:r>
      <w:r>
        <w:rPr>
          <w:spacing w:val="-66"/>
        </w:rPr>
        <w:t> </w:t>
      </w:r>
      <w:r>
        <w:rPr>
          <w:spacing w:val="-66"/>
        </w:rPr>
      </w:r>
      <w:r>
        <w:rPr/>
        <w:t>照各议事规则的规定召开，行使决策、管理等权力。</w:t>
      </w:r>
    </w:p>
    <w:p>
      <w:pPr>
        <w:pStyle w:val="BodyText"/>
        <w:spacing w:line="300" w:lineRule="auto" w:before="20"/>
        <w:ind w:left="154" w:right="1122"/>
        <w:jc w:val="left"/>
      </w:pPr>
      <w:r>
        <w:rPr/>
        <w:t>（</w:t>
      </w:r>
      <w:r>
        <w:rPr>
          <w:rFonts w:ascii="Times New Roman" w:hAnsi="Times New Roman" w:cs="Times New Roman" w:eastAsia="Times New Roman" w:hint="default"/>
        </w:rPr>
        <w:t>1</w:t>
      </w:r>
      <w:r>
        <w:rPr/>
        <w:t>）公司股东大会是公司的最高权力机构，依法行使如决定公司经营方针和重大投资计划、利润分配等《公司章程》中规 定的事项，确保全体股东特别是中小股东充分行使自己的权利。</w:t>
      </w:r>
    </w:p>
    <w:p>
      <w:pPr>
        <w:pStyle w:val="BodyText"/>
        <w:spacing w:line="312" w:lineRule="auto" w:before="31"/>
        <w:ind w:right="0"/>
        <w:jc w:val="left"/>
      </w:pPr>
      <w:r>
        <w:rPr>
          <w:spacing w:val="-4"/>
        </w:rPr>
        <w:t>（</w:t>
      </w:r>
      <w:r>
        <w:rPr>
          <w:rFonts w:ascii="Times New Roman" w:hAnsi="Times New Roman" w:cs="Times New Roman" w:eastAsia="Times New Roman" w:hint="default"/>
          <w:spacing w:val="-4"/>
        </w:rPr>
        <w:t>2</w:t>
      </w:r>
      <w:r>
        <w:rPr>
          <w:spacing w:val="-4"/>
        </w:rPr>
        <w:t>）公司董事会对股东大会负责，依法行使公司的经营决策权。公司董事会由</w:t>
      </w:r>
      <w:r>
        <w:rPr>
          <w:rFonts w:ascii="Times New Roman" w:hAnsi="Times New Roman" w:cs="Times New Roman" w:eastAsia="Times New Roman" w:hint="default"/>
          <w:spacing w:val="-4"/>
        </w:rPr>
        <w:t>7 </w:t>
      </w:r>
      <w:r>
        <w:rPr>
          <w:spacing w:val="-4"/>
        </w:rPr>
        <w:t>名董事组成，设董事长</w:t>
      </w:r>
      <w:r>
        <w:rPr>
          <w:rFonts w:ascii="Times New Roman" w:hAnsi="Times New Roman" w:cs="Times New Roman" w:eastAsia="Times New Roman" w:hint="default"/>
          <w:spacing w:val="-4"/>
        </w:rPr>
        <w:t>1 </w:t>
      </w:r>
      <w:r>
        <w:rPr>
          <w:spacing w:val="-7"/>
        </w:rPr>
        <w:t>名，独立董事</w:t>
      </w:r>
      <w:r>
        <w:rPr>
          <w:rFonts w:ascii="Times New Roman" w:hAnsi="Times New Roman" w:cs="Times New Roman" w:eastAsia="Times New Roman" w:hint="default"/>
          <w:spacing w:val="-7"/>
        </w:rPr>
        <w:t>4</w:t>
      </w:r>
      <w:r>
        <w:rPr>
          <w:rFonts w:ascii="Times New Roman" w:hAnsi="Times New Roman" w:cs="Times New Roman" w:eastAsia="Times New Roman" w:hint="default"/>
          <w:spacing w:val="-5"/>
        </w:rPr>
        <w:t> </w:t>
      </w:r>
      <w:r>
        <w:rPr/>
        <w:t>名。</w:t>
      </w:r>
      <w:r>
        <w:rPr>
          <w:spacing w:val="1"/>
        </w:rPr>
        <w:t> </w:t>
      </w:r>
      <w:r>
        <w:rPr>
          <w:spacing w:val="-2"/>
        </w:rPr>
        <w:t>下设战略、审计、薪酬与考核、提名四个专门委员会。提名委员会、审计委员会和薪酬与考核委员会均由独立董事担任召集</w:t>
      </w:r>
      <w:r>
        <w:rPr>
          <w:spacing w:val="-66"/>
        </w:rPr>
        <w:t> </w:t>
      </w:r>
      <w:r>
        <w:rPr>
          <w:spacing w:val="-66"/>
        </w:rPr>
      </w:r>
      <w:r>
        <w:rPr>
          <w:spacing w:val="-2"/>
        </w:rPr>
        <w:t>人及主任，涉及专门事项的需经各专门委员会审核后才提交董事会审议，以保证独立董事、专门委员能够正常履职、发挥作</w:t>
      </w:r>
      <w:r>
        <w:rPr>
          <w:spacing w:val="-66"/>
        </w:rPr>
        <w:t> </w:t>
      </w:r>
      <w:r>
        <w:rPr>
          <w:spacing w:val="-66"/>
        </w:rPr>
      </w:r>
      <w:r>
        <w:rPr/>
        <w:t>用。公司董事会秘书负责信息披露工作，证券部具体办理公司的信息披露、投资者关系管理等相关工作。</w:t>
      </w:r>
    </w:p>
    <w:p>
      <w:pPr>
        <w:pStyle w:val="BodyText"/>
        <w:spacing w:line="300" w:lineRule="auto" w:before="22"/>
        <w:ind w:left="154" w:right="0"/>
        <w:jc w:val="left"/>
      </w:pPr>
      <w:r>
        <w:rPr>
          <w:spacing w:val="-2"/>
        </w:rPr>
        <w:t>（</w:t>
      </w:r>
      <w:r>
        <w:rPr>
          <w:rFonts w:ascii="Times New Roman" w:hAnsi="Times New Roman" w:cs="Times New Roman" w:eastAsia="Times New Roman" w:hint="default"/>
          <w:spacing w:val="-2"/>
        </w:rPr>
        <w:t>3</w:t>
      </w:r>
      <w:r>
        <w:rPr>
          <w:spacing w:val="-2"/>
        </w:rPr>
        <w:t>）公司监事会对股东大会负责，是公司的监督机构，对董事、高级管理人员履行职责的情况和公司的财务状况进行监督、</w:t>
      </w:r>
      <w:r>
        <w:rPr>
          <w:spacing w:val="-64"/>
        </w:rPr>
        <w:t> </w:t>
      </w:r>
      <w:r>
        <w:rPr>
          <w:spacing w:val="-64"/>
        </w:rPr>
      </w:r>
      <w:r>
        <w:rPr/>
        <w:t>检查，审议相关事项及定期报告；公司监事会由</w:t>
      </w:r>
      <w:r>
        <w:rPr>
          <w:rFonts w:ascii="Times New Roman" w:hAnsi="Times New Roman" w:cs="Times New Roman" w:eastAsia="Times New Roman" w:hint="default"/>
        </w:rPr>
        <w:t>3  </w:t>
      </w:r>
      <w:r>
        <w:rPr/>
        <w:t>名监事组成，其中职工监事</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名。</w:t>
      </w:r>
    </w:p>
    <w:p>
      <w:pPr>
        <w:pStyle w:val="BodyText"/>
        <w:spacing w:line="309" w:lineRule="auto" w:before="13"/>
        <w:ind w:left="154" w:right="1133"/>
        <w:jc w:val="both"/>
      </w:pPr>
      <w:r>
        <w:rPr/>
        <w:t>（</w:t>
      </w:r>
      <w:r>
        <w:rPr>
          <w:rFonts w:ascii="Times New Roman" w:hAnsi="Times New Roman" w:cs="Times New Roman" w:eastAsia="Times New Roman" w:hint="default"/>
        </w:rPr>
        <w:t>4</w:t>
      </w:r>
      <w:r>
        <w:rPr/>
        <w:t>）公司管理层负责实施股东大会和董事会决议，主持公司的日常生产经营与管理工作。公司定期召开总经理办公会，公 </w:t>
      </w:r>
      <w:r>
        <w:rPr>
          <w:spacing w:val="-2"/>
        </w:rPr>
        <w:t>司管理层及相关部门经理参加，讨论公司目标实现情况、决议执行情况、经营中出现的问题及解决方案并形成决议由相关部</w:t>
      </w:r>
      <w:r>
        <w:rPr>
          <w:spacing w:val="-66"/>
        </w:rPr>
        <w:t> </w:t>
      </w:r>
      <w:r>
        <w:rPr>
          <w:spacing w:val="-66"/>
        </w:rPr>
      </w:r>
      <w:r>
        <w:rPr/>
        <w:t>门执行。</w:t>
      </w:r>
    </w:p>
    <w:p>
      <w:pPr>
        <w:pStyle w:val="BodyText"/>
        <w:spacing w:line="312" w:lineRule="auto" w:before="24"/>
        <w:ind w:left="154" w:right="0"/>
        <w:jc w:val="left"/>
      </w:pPr>
      <w:r>
        <w:rPr>
          <w:spacing w:val="-2"/>
        </w:rPr>
        <w:t>（</w:t>
      </w:r>
      <w:r>
        <w:rPr>
          <w:rFonts w:ascii="Times New Roman" w:hAnsi="Times New Roman" w:cs="Times New Roman" w:eastAsia="Times New Roman" w:hint="default"/>
          <w:spacing w:val="-2"/>
        </w:rPr>
        <w:t>5</w:t>
      </w:r>
      <w:r>
        <w:rPr>
          <w:spacing w:val="-2"/>
        </w:rPr>
        <w:t>）公司根据职责划分，结合公司实际情况，设立了营销部、生产部、采购部、品质与环保部、证券部、审计部、研发部、</w:t>
      </w:r>
      <w:r>
        <w:rPr>
          <w:spacing w:val="-67"/>
        </w:rPr>
        <w:t> </w:t>
      </w:r>
      <w:r>
        <w:rPr>
          <w:spacing w:val="-67"/>
        </w:rPr>
      </w:r>
      <w:r>
        <w:rPr>
          <w:spacing w:val="-2"/>
        </w:rPr>
        <w:t>财务部、人事部、物流部等部门，制订了相应的岗位职责，各部门及生产单位职责明确，相互牵制，公司管理层对内部控制</w:t>
      </w:r>
      <w:r>
        <w:rPr>
          <w:spacing w:val="-68"/>
        </w:rPr>
        <w:t> </w:t>
      </w:r>
      <w:r>
        <w:rPr>
          <w:spacing w:val="-68"/>
        </w:rPr>
      </w:r>
      <w:r>
        <w:rPr>
          <w:spacing w:val="-2"/>
        </w:rPr>
        <w:t>制度的制定和有效执行负责。公司对下属全资子公司的经营、资金、人员、财务等重大方面，按照法律法规及其公司章程的</w:t>
      </w:r>
      <w:r>
        <w:rPr>
          <w:spacing w:val="-66"/>
        </w:rPr>
        <w:t> </w:t>
      </w:r>
      <w:r>
        <w:rPr>
          <w:spacing w:val="-66"/>
        </w:rPr>
      </w:r>
      <w:r>
        <w:rPr/>
        <w:t>规定，通过严谨的制度设计履行必要的管控。</w:t>
      </w:r>
    </w:p>
    <w:p>
      <w:pPr>
        <w:pStyle w:val="BodyText"/>
        <w:spacing w:line="240" w:lineRule="auto" w:before="22"/>
        <w:ind w:left="154" w:right="0"/>
        <w:jc w:val="left"/>
      </w:pPr>
      <w:r>
        <w:rPr>
          <w:rFonts w:ascii="Times New Roman" w:hAnsi="Times New Roman" w:cs="Times New Roman" w:eastAsia="Times New Roman" w:hint="default"/>
        </w:rPr>
        <w:t>2</w:t>
      </w:r>
      <w:r>
        <w:rPr/>
        <w:t>、重点控制活动</w:t>
      </w:r>
    </w:p>
    <w:p>
      <w:pPr>
        <w:pStyle w:val="BodyText"/>
        <w:spacing w:line="312" w:lineRule="auto" w:before="63"/>
        <w:ind w:right="1118"/>
        <w:jc w:val="left"/>
      </w:pPr>
      <w:r>
        <w:rPr/>
        <w:t>（</w:t>
      </w:r>
      <w:r>
        <w:rPr>
          <w:rFonts w:ascii="Times New Roman" w:hAnsi="Times New Roman" w:cs="Times New Roman" w:eastAsia="Times New Roman" w:hint="default"/>
        </w:rPr>
        <w:t>1</w:t>
      </w:r>
      <w:r>
        <w:rPr/>
        <w:t>）销售业务 </w:t>
      </w:r>
      <w:r>
        <w:rPr>
          <w:spacing w:val="-2"/>
        </w:rPr>
        <w:t>公司制订了客户导入评审、产品导入评审、业务销售、收款管理等销售管理制度和流程，细化了对销售收款等高风险环节的</w:t>
      </w:r>
      <w:r>
        <w:rPr>
          <w:spacing w:val="-66"/>
        </w:rPr>
        <w:t> </w:t>
      </w:r>
      <w:r>
        <w:rPr>
          <w:spacing w:val="-66"/>
        </w:rPr>
      </w:r>
      <w:r>
        <w:rPr>
          <w:spacing w:val="-2"/>
        </w:rPr>
        <w:t>控制流程，加强了对销售费用管理的控制力度。同时销售业务内部控制中也设计了复核、例会、检查监督和责任追究、考核</w:t>
      </w:r>
      <w:r>
        <w:rPr>
          <w:spacing w:val="-65"/>
        </w:rPr>
        <w:t> </w:t>
      </w:r>
      <w:r>
        <w:rPr>
          <w:spacing w:val="-65"/>
        </w:rPr>
      </w:r>
      <w:r>
        <w:rPr/>
        <w:t>机制，从而进一步完善了对业务操作的管控。</w:t>
      </w:r>
    </w:p>
    <w:p>
      <w:pPr>
        <w:pStyle w:val="BodyText"/>
        <w:spacing w:line="314" w:lineRule="auto" w:before="22"/>
        <w:ind w:right="1118"/>
        <w:jc w:val="left"/>
      </w:pPr>
      <w:r>
        <w:rPr/>
        <w:t>（</w:t>
      </w:r>
      <w:r>
        <w:rPr>
          <w:rFonts w:ascii="Times New Roman" w:hAnsi="Times New Roman" w:cs="Times New Roman" w:eastAsia="Times New Roman" w:hint="default"/>
        </w:rPr>
        <w:t>2</w:t>
      </w:r>
      <w:r>
        <w:rPr/>
        <w:t>）采购业务 </w:t>
      </w:r>
      <w:r>
        <w:rPr>
          <w:spacing w:val="-2"/>
        </w:rPr>
        <w:t>公司已制定包括询价、比价、议价、采购、付款等相关采购管理制度，对供应商的评估与选择、供应商后续管理、采购需求</w:t>
      </w:r>
      <w:r>
        <w:rPr>
          <w:spacing w:val="-71"/>
        </w:rPr>
        <w:t> </w:t>
      </w:r>
      <w:r>
        <w:rPr>
          <w:spacing w:val="-71"/>
        </w:rPr>
      </w:r>
      <w:r>
        <w:rPr>
          <w:spacing w:val="-2"/>
        </w:rPr>
        <w:t>预测与采购计划、采购申请与审批、采购合同订立、到货验收入库、采购付款等流程和授权审批事宜进行了明确的规定。公</w:t>
      </w:r>
      <w:r>
        <w:rPr>
          <w:spacing w:val="-66"/>
        </w:rPr>
        <w:t> </w:t>
      </w:r>
      <w:r>
        <w:rPr>
          <w:spacing w:val="-66"/>
        </w:rPr>
      </w:r>
      <w:r>
        <w:rPr>
          <w:spacing w:val="-2"/>
        </w:rPr>
        <w:t>司的供应商评估、采购、货物验收和存货仓储保管由不同的部门进行，保证了不相容岗位相分离。公司审计部定期或不定期</w:t>
      </w:r>
      <w:r>
        <w:rPr>
          <w:spacing w:val="-66"/>
        </w:rPr>
        <w:t> </w:t>
      </w:r>
      <w:r>
        <w:rPr>
          <w:spacing w:val="-66"/>
        </w:rPr>
      </w:r>
      <w:r>
        <w:rPr/>
        <w:t>的对上述制度的有效性和执行情况进行审查。</w:t>
      </w:r>
    </w:p>
    <w:p>
      <w:pPr>
        <w:pStyle w:val="BodyText"/>
        <w:spacing w:line="309" w:lineRule="auto" w:before="19"/>
        <w:ind w:right="1118"/>
        <w:jc w:val="left"/>
      </w:pPr>
      <w:r>
        <w:rPr/>
        <w:t>（</w:t>
      </w:r>
      <w:r>
        <w:rPr>
          <w:rFonts w:ascii="Times New Roman" w:hAnsi="Times New Roman" w:cs="Times New Roman" w:eastAsia="Times New Roman" w:hint="default"/>
        </w:rPr>
        <w:t>3</w:t>
      </w:r>
      <w:r>
        <w:rPr/>
        <w:t>）资金活动 </w:t>
      </w:r>
      <w:r>
        <w:rPr>
          <w:spacing w:val="-2"/>
        </w:rPr>
        <w:t>公司已制定《资金管理制度》，明确公司资金管理、结算的要求，对资金业务进行管理和控制，从而降低资金使用成本并保</w:t>
      </w:r>
      <w:r>
        <w:rPr>
          <w:spacing w:val="-68"/>
        </w:rPr>
        <w:t> </w:t>
      </w:r>
      <w:r>
        <w:rPr>
          <w:spacing w:val="-68"/>
        </w:rPr>
      </w:r>
      <w:r>
        <w:rPr/>
        <w:t>证资金安全。公司还制定了包括《对外投资管理制度》在内的管理制度，对资金活动建立了严格的审查和决策程序。</w:t>
      </w:r>
    </w:p>
    <w:p>
      <w:pPr>
        <w:pStyle w:val="BodyText"/>
        <w:spacing w:line="312" w:lineRule="auto" w:before="24"/>
        <w:ind w:left="154" w:right="0"/>
        <w:jc w:val="left"/>
      </w:pPr>
      <w:r>
        <w:rPr/>
        <w:t>（</w:t>
      </w:r>
      <w:r>
        <w:rPr>
          <w:rFonts w:ascii="Times New Roman" w:hAnsi="Times New Roman" w:cs="Times New Roman" w:eastAsia="Times New Roman" w:hint="default"/>
        </w:rPr>
        <w:t>4</w:t>
      </w:r>
      <w:r>
        <w:rPr/>
        <w:t>）人力资源管理 </w:t>
      </w:r>
      <w:r>
        <w:rPr>
          <w:spacing w:val="-2"/>
        </w:rPr>
        <w:t>为加强公司劳动人事管理，遵照国家颁发的《劳动法》及有关法律、法规，并遵循《公司章程》制定公司人事管理制度。公</w:t>
      </w:r>
      <w:r>
        <w:rPr>
          <w:spacing w:val="-67"/>
        </w:rPr>
        <w:t> </w:t>
      </w:r>
      <w:r>
        <w:rPr>
          <w:spacing w:val="-67"/>
        </w:rPr>
      </w:r>
      <w:r>
        <w:rPr>
          <w:spacing w:val="-2"/>
        </w:rPr>
        <w:t>司人事管理制度对员工录用、培训、考核制度、劳动合同的解除、退休、福利待遇等做了明确规定，使公司劳动人事管理得</w:t>
      </w:r>
      <w:r>
        <w:rPr>
          <w:spacing w:val="-68"/>
        </w:rPr>
        <w:t> </w:t>
      </w:r>
      <w:r>
        <w:rPr>
          <w:spacing w:val="-68"/>
        </w:rPr>
      </w:r>
      <w:r>
        <w:rPr/>
        <w:t>到进一步完善。</w:t>
      </w:r>
    </w:p>
    <w:p>
      <w:pPr>
        <w:pStyle w:val="BodyText"/>
        <w:spacing w:line="240" w:lineRule="auto" w:before="22"/>
        <w:ind w:right="0"/>
        <w:jc w:val="left"/>
      </w:pPr>
      <w:r>
        <w:rPr/>
        <w:t>（</w:t>
      </w:r>
      <w:r>
        <w:rPr>
          <w:rFonts w:ascii="Times New Roman" w:hAnsi="Times New Roman" w:cs="Times New Roman" w:eastAsia="Times New Roman" w:hint="default"/>
        </w:rPr>
        <w:t>5</w:t>
      </w:r>
      <w:r>
        <w:rPr/>
        <w:t>）对外投资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公司已制定《对外投资管理制度》。公司对外投资均按照相关法律法规、《公司章程》及《对外投资管理制度》等的相关规</w:t>
      </w:r>
      <w:r>
        <w:rPr>
          <w:spacing w:val="-66"/>
        </w:rPr>
        <w:t> </w:t>
      </w:r>
      <w:r>
        <w:rPr>
          <w:spacing w:val="-66"/>
        </w:rPr>
      </w:r>
      <w:r>
        <w:rPr/>
        <w:t>定履行了必要的审批程序，并按照《信息披露管理办法》的规定及时进行信息披露。</w:t>
      </w:r>
    </w:p>
    <w:p>
      <w:pPr>
        <w:pStyle w:val="BodyText"/>
        <w:spacing w:line="300" w:lineRule="auto" w:before="19"/>
        <w:ind w:right="2653"/>
        <w:jc w:val="left"/>
      </w:pPr>
      <w:r>
        <w:rPr/>
        <w:t>（</w:t>
      </w:r>
      <w:r>
        <w:rPr>
          <w:rFonts w:ascii="Times New Roman" w:hAnsi="Times New Roman" w:cs="Times New Roman" w:eastAsia="Times New Roman" w:hint="default"/>
        </w:rPr>
        <w:t>6</w:t>
      </w:r>
      <w:r>
        <w:rPr/>
        <w:t>）关联交易 公司已制定《关联交易管理办法》，明确了关联交易的审批权限，建立了关联交易独立董事审查机制。</w:t>
      </w:r>
    </w:p>
    <w:p>
      <w:pPr>
        <w:pStyle w:val="BodyText"/>
        <w:spacing w:line="309" w:lineRule="auto" w:before="32"/>
        <w:ind w:right="1118"/>
        <w:jc w:val="left"/>
      </w:pPr>
      <w:r>
        <w:rPr/>
        <w:t>（</w:t>
      </w:r>
      <w:r>
        <w:rPr>
          <w:rFonts w:ascii="Times New Roman" w:hAnsi="Times New Roman" w:cs="Times New Roman" w:eastAsia="Times New Roman" w:hint="default"/>
        </w:rPr>
        <w:t>7</w:t>
      </w:r>
      <w:r>
        <w:rPr/>
        <w:t>）募集资金 </w:t>
      </w:r>
      <w:r>
        <w:rPr>
          <w:spacing w:val="-2"/>
        </w:rPr>
        <w:t>公司制定并严格按照《募集资金管理制度》的规定使用募集资金，公司的募集资金实行专户存储、专款专用。审计部每季度</w:t>
      </w:r>
      <w:r>
        <w:rPr>
          <w:spacing w:val="-66"/>
        </w:rPr>
        <w:t> </w:t>
      </w:r>
      <w:r>
        <w:rPr>
          <w:spacing w:val="-66"/>
        </w:rPr>
      </w:r>
      <w:r>
        <w:rPr/>
        <w:t>对募集资金存放及使用情况进行审计，形成审计报告后报审计委员会审议。</w:t>
      </w:r>
    </w:p>
    <w:p>
      <w:pPr>
        <w:pStyle w:val="BodyText"/>
        <w:spacing w:line="307" w:lineRule="auto" w:before="24"/>
        <w:ind w:right="1118"/>
        <w:jc w:val="left"/>
      </w:pPr>
      <w:r>
        <w:rPr/>
        <w:t>（</w:t>
      </w:r>
      <w:r>
        <w:rPr>
          <w:rFonts w:ascii="Times New Roman" w:hAnsi="Times New Roman" w:cs="Times New Roman" w:eastAsia="Times New Roman" w:hint="default"/>
        </w:rPr>
        <w:t>8</w:t>
      </w:r>
      <w:r>
        <w:rPr/>
        <w:t>）信息披露 </w:t>
      </w:r>
      <w:r>
        <w:rPr>
          <w:spacing w:val="-2"/>
        </w:rPr>
        <w:t>公司根据《中华人民共和国公司法》、《中华人民共和国证券法》、《深圳证券交易所上市规则》、《公司章程》等有关规</w:t>
      </w:r>
      <w:r>
        <w:rPr>
          <w:spacing w:val="-70"/>
        </w:rPr>
        <w:t> </w:t>
      </w:r>
      <w:r>
        <w:rPr>
          <w:spacing w:val="-70"/>
        </w:rPr>
      </w:r>
      <w:r>
        <w:rPr/>
        <w:t>定，制定了《信息披露管理办法》等多项内部控制制度，规范信息披露。</w:t>
      </w:r>
      <w:r>
        <w:rPr>
          <w:rFonts w:ascii="Times New Roman" w:hAnsi="Times New Roman" w:cs="Times New Roman" w:eastAsia="Times New Roman" w:hint="default"/>
        </w:rPr>
        <w:t>2014</w:t>
      </w:r>
      <w:r>
        <w:rPr>
          <w:rFonts w:ascii="Times New Roman" w:hAnsi="Times New Roman" w:cs="Times New Roman" w:eastAsia="Times New Roman" w:hint="default"/>
          <w:spacing w:val="26"/>
        </w:rPr>
        <w:t> </w:t>
      </w:r>
      <w:r>
        <w:rPr/>
        <w:t>年，公司依法履行信息披露义务，真实、准 确、完整、及时、公平地对外披露所有需要披露的信息，切实维护公司和广大投资者的合法权益。</w:t>
      </w:r>
    </w:p>
    <w:p>
      <w:pPr>
        <w:pStyle w:val="BodyText"/>
        <w:spacing w:line="309" w:lineRule="auto" w:before="26"/>
        <w:ind w:right="1118"/>
        <w:jc w:val="left"/>
      </w:pPr>
      <w:r>
        <w:rPr/>
        <w:t>（</w:t>
      </w:r>
      <w:r>
        <w:rPr>
          <w:rFonts w:ascii="Times New Roman" w:hAnsi="Times New Roman" w:cs="Times New Roman" w:eastAsia="Times New Roman" w:hint="default"/>
        </w:rPr>
        <w:t>9</w:t>
      </w:r>
      <w:r>
        <w:rPr/>
        <w:t>）担保业务 </w:t>
      </w:r>
      <w:r>
        <w:rPr>
          <w:spacing w:val="-2"/>
        </w:rPr>
        <w:t>公司已制定《对外担保管理办法》，明确了对外担保的相关规定并在日常经营管理中严格执行，保证了公司对外担保业务内</w:t>
      </w:r>
      <w:r>
        <w:rPr>
          <w:spacing w:val="-66"/>
        </w:rPr>
        <w:t> </w:t>
      </w:r>
      <w:r>
        <w:rPr>
          <w:spacing w:val="-66"/>
        </w:rPr>
      </w:r>
      <w:r>
        <w:rPr/>
        <w:t>部控制制度的严格、充分、有效。</w:t>
      </w:r>
    </w:p>
    <w:p>
      <w:pPr>
        <w:pStyle w:val="BodyText"/>
        <w:spacing w:line="314" w:lineRule="auto" w:before="24"/>
        <w:ind w:left="154" w:right="0"/>
        <w:jc w:val="left"/>
      </w:pPr>
      <w:r>
        <w:rPr/>
        <w:t>（</w:t>
      </w:r>
      <w:r>
        <w:rPr>
          <w:rFonts w:ascii="Times New Roman" w:hAnsi="Times New Roman" w:cs="Times New Roman" w:eastAsia="Times New Roman" w:hint="default"/>
        </w:rPr>
        <w:t>10</w:t>
      </w:r>
      <w:r>
        <w:rPr/>
        <w:t>）对子公司管理制度 </w:t>
      </w:r>
      <w:r>
        <w:rPr>
          <w:spacing w:val="-2"/>
        </w:rPr>
        <w:t>公司制定了《子公司管理制度》，规定了母公司对子公司的管理权限。对部分重要项目如对外投资、担保、借款等限定在由</w:t>
      </w:r>
      <w:r>
        <w:rPr>
          <w:spacing w:val="-70"/>
        </w:rPr>
        <w:t> </w:t>
      </w:r>
      <w:r>
        <w:rPr>
          <w:spacing w:val="-70"/>
        </w:rPr>
      </w:r>
      <w:r>
        <w:rPr>
          <w:spacing w:val="-2"/>
        </w:rPr>
        <w:t>母公司决定。如：公司制定的各项经营管理制度子公司必须严格执行，同时为防范子公司产生重大经营风险和财务风险，如</w:t>
      </w:r>
      <w:r>
        <w:rPr>
          <w:spacing w:val="-66"/>
        </w:rPr>
        <w:t> </w:t>
      </w:r>
      <w:r>
        <w:rPr>
          <w:spacing w:val="-66"/>
        </w:rPr>
      </w:r>
      <w:r>
        <w:rPr>
          <w:spacing w:val="-2"/>
        </w:rPr>
        <w:t>银行借款和重大投资等都必须经过公司批准后方可实施。子公司必须按时报送财务报表和各项内部管理报表，并对子公司实</w:t>
      </w:r>
      <w:r>
        <w:rPr>
          <w:spacing w:val="-64"/>
        </w:rPr>
        <w:t> </w:t>
      </w:r>
      <w:r>
        <w:rPr>
          <w:spacing w:val="-64"/>
        </w:rPr>
      </w:r>
      <w:r>
        <w:rPr/>
        <w:t>施年度审计监督。对子公司关键部门负责人实行委派制，并执行重大事项报告制度。</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bookmarkStart w:name="二、董事会关于内部控制责任的声明" w:id="136"/>
      <w:bookmarkEnd w:id="136"/>
      <w:r>
        <w:rPr>
          <w:b w:val="0"/>
          <w:bCs w:val="0"/>
        </w:rPr>
      </w:r>
      <w:r>
        <w:rPr/>
        <w:t>二、董事会关于内部控制责任的声明</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54" w:right="1032"/>
        <w:jc w:val="left"/>
      </w:pPr>
      <w:r>
        <w:rPr/>
        <w:t>公司董事会负责根据《企业内部控制基本规范》（财会</w:t>
      </w:r>
      <w:r>
        <w:rPr>
          <w:rFonts w:ascii="Times New Roman" w:hAnsi="Times New Roman" w:cs="Times New Roman" w:eastAsia="Times New Roman" w:hint="default"/>
        </w:rPr>
        <w:t>[2008]7</w:t>
      </w:r>
      <w:r>
        <w:rPr>
          <w:rFonts w:ascii="Times New Roman" w:hAnsi="Times New Roman" w:cs="Times New Roman" w:eastAsia="Times New Roman" w:hint="default"/>
          <w:spacing w:val="24"/>
        </w:rPr>
        <w:t> </w:t>
      </w:r>
      <w:r>
        <w:rPr/>
        <w:t>号）、《企业内部控制应用指引》、《企业内部控制评价指 </w:t>
      </w:r>
      <w:r>
        <w:rPr>
          <w:spacing w:val="-2"/>
        </w:rPr>
        <w:t>引》、中国证监会《上市公司治理准则》、深圳证券交易所《中小企业板上市公司规范运作指引》等有关规定建立健全公司</w:t>
      </w:r>
      <w:r>
        <w:rPr>
          <w:spacing w:val="-71"/>
        </w:rPr>
        <w:t> </w:t>
      </w:r>
      <w:r>
        <w:rPr>
          <w:spacing w:val="-71"/>
        </w:rPr>
      </w:r>
      <w:r>
        <w:rPr>
          <w:spacing w:val="-4"/>
        </w:rPr>
        <w:t>内部控制制度、对内部控制的有效性进行评价，并对评价结论负责。董事会认为，公司已经建立起的内部控制体系在完整性、</w:t>
      </w:r>
      <w:r>
        <w:rPr>
          <w:spacing w:val="-46"/>
        </w:rPr>
        <w:t> </w:t>
      </w:r>
      <w:r>
        <w:rPr>
          <w:spacing w:val="-46"/>
        </w:rPr>
      </w:r>
      <w:r>
        <w:rPr>
          <w:spacing w:val="-2"/>
        </w:rPr>
        <w:t>合规性、有效性等方面不存在重大缺陷。但由于内部控制固有的局限性，内部环境、宏观环境以及政策法规的重大变化，可</w:t>
      </w:r>
      <w:r>
        <w:rPr>
          <w:spacing w:val="-66"/>
        </w:rPr>
        <w:t> </w:t>
      </w:r>
      <w:r>
        <w:rPr>
          <w:spacing w:val="-66"/>
        </w:rPr>
      </w:r>
      <w:r>
        <w:rPr/>
        <w:t>能导致原有控制活动不适用或出现偏差，对此公司将及时进行内部控制体系的补充和完善，为财务报告的真实性、完整性， 以及公司战略、经营目标等的实现提供合理保障。</w:t>
      </w:r>
    </w:p>
    <w:p>
      <w:pPr>
        <w:spacing w:line="240" w:lineRule="auto" w:before="12"/>
        <w:rPr>
          <w:rFonts w:ascii="宋体" w:hAnsi="宋体" w:cs="宋体" w:eastAsia="宋体" w:hint="default"/>
          <w:sz w:val="20"/>
          <w:szCs w:val="20"/>
        </w:rPr>
      </w:pPr>
    </w:p>
    <w:p>
      <w:pPr>
        <w:pStyle w:val="Heading2"/>
        <w:spacing w:line="240" w:lineRule="auto"/>
        <w:ind w:left="154" w:right="0"/>
        <w:jc w:val="left"/>
        <w:rPr>
          <w:b w:val="0"/>
          <w:bCs w:val="0"/>
        </w:rPr>
      </w:pPr>
      <w:bookmarkStart w:name="三、建立财务报告内部控制的依据" w:id="137"/>
      <w:bookmarkEnd w:id="137"/>
      <w:r>
        <w:rPr>
          <w:b w:val="0"/>
          <w:bCs w:val="0"/>
        </w:rPr>
      </w: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4" w:right="1032"/>
        <w:jc w:val="left"/>
      </w:pPr>
      <w:r>
        <w:rPr>
          <w:spacing w:val="-2"/>
        </w:rPr>
        <w:t>公司根据相关法律法规的要求制定了《财务管理制度》、《资金管理制度》等相关内控制度。通过合理设置会计岗位，明确</w:t>
      </w:r>
      <w:r>
        <w:rPr>
          <w:spacing w:val="-70"/>
        </w:rPr>
        <w:t> </w:t>
      </w:r>
      <w:r>
        <w:rPr>
          <w:spacing w:val="-70"/>
        </w:rPr>
      </w:r>
      <w:r>
        <w:rPr/>
        <w:t>岗位职责及审批制度，严格按照《企业会计准则》、企业会计制度的规定进行会计核算工作，通过不同人员的审核、稽核， 确保财务报告信息的真实、可靠、完整。报告期内，公司未发现存在财务报告内部控制重大缺陷的情形。</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四、内部控制评价报告" w:id="138"/>
      <w:bookmarkEnd w:id="138"/>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《深圳市美盈森环保科技股份有限公司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度内部控制自我评价报告</w:t>
            </w:r>
            <w:r>
              <w:rPr>
                <w:rFonts w:ascii="宋体" w:hAnsi="宋体" w:cs="宋体" w:eastAsia="宋体" w:hint="default"/>
                <w:spacing w:val="-90"/>
                <w:sz w:val="18"/>
                <w:szCs w:val="18"/>
              </w:rPr>
              <w:t>》</w:t>
            </w:r>
            <w:r>
              <w:rPr>
                <w:rFonts w:ascii="宋体" w:hAnsi="宋体" w:cs="宋体" w:eastAsia="宋体" w:hint="default"/>
                <w:sz w:val="18"/>
                <w:szCs w:val="18"/>
              </w:rPr>
              <w:t>（公告编号：</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2015-026</w:t>
            </w:r>
            <w:r>
              <w:rPr>
                <w:rFonts w:ascii="宋体" w:hAnsi="宋体" w:cs="宋体" w:eastAsia="宋体" w:hint="default"/>
                <w:spacing w:val="-90"/>
                <w:sz w:val="18"/>
                <w:szCs w:val="18"/>
              </w:rPr>
              <w:t>）</w:t>
            </w:r>
            <w:r>
              <w:rPr>
                <w:rFonts w:ascii="宋体" w:hAnsi="宋体" w:cs="宋体" w:eastAsia="宋体" w:hint="default"/>
                <w:sz w:val="18"/>
                <w:szCs w:val="18"/>
              </w:rPr>
              <w:t>，详见巨潮资讯网（</w:t>
            </w:r>
            <w:hyperlink r:id="rId11">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z w:val="18"/>
                  <w:szCs w:val="18"/>
                </w:rPr>
                <w:t>o</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90"/>
                <w:sz w:val="18"/>
                <w:szCs w:val="18"/>
              </w:rPr>
              <w:t>）。</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五、内部控制审计报告或鉴证报告" w:id="139"/>
      <w:bookmarkEnd w:id="139"/>
      <w:r>
        <w:rPr>
          <w:b w:val="0"/>
          <w:bCs w:val="0"/>
        </w:rPr>
      </w: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我们认为，贵公司按照《企业内部控制基本规范》和相关规定于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日在所有重大方面保持了有效的财务报 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公司《内部控制鉴证报告》于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日刊载于巨潮资讯网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pStyle w:val="BodyText"/>
        <w:spacing w:line="240" w:lineRule="auto" w:before="51"/>
        <w:ind w:left="154" w:right="0"/>
        <w:jc w:val="both"/>
      </w:pPr>
      <w:r>
        <w:rPr/>
        <w:t>会计师事务所是否出具非标准意见的内部控制鉴证报告</w:t>
      </w:r>
    </w:p>
    <w:p>
      <w:pPr>
        <w:pStyle w:val="BodyText"/>
        <w:spacing w:line="360" w:lineRule="auto" w:before="116"/>
        <w:ind w:right="4633"/>
        <w:jc w:val="left"/>
      </w:pPr>
      <w:r>
        <w:rPr/>
        <w:t>□ 是 √ 否 会计师事务所出具的内部控制鉴证报告与董事会的自我评价报告意见是否一致</w:t>
      </w:r>
    </w:p>
    <w:p>
      <w:pPr>
        <w:pStyle w:val="BodyText"/>
        <w:spacing w:line="240" w:lineRule="auto" w:before="26"/>
        <w:ind w:right="0"/>
        <w:jc w:val="both"/>
      </w:pPr>
      <w:r>
        <w:rPr/>
        <w:t>√ 是 □ 否</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六、年度报告重大差错责任追究制度的建立与执行情况" w:id="140"/>
      <w:bookmarkEnd w:id="140"/>
      <w:r>
        <w:rPr>
          <w:b w:val="0"/>
          <w:bCs w:val="0"/>
        </w:rPr>
      </w: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4" w:right="1130"/>
        <w:jc w:val="both"/>
      </w:pPr>
      <w:r>
        <w:rPr/>
        <w:t>公司于</w:t>
      </w:r>
      <w:r>
        <w:rPr>
          <w:rFonts w:ascii="Times New Roman" w:hAnsi="Times New Roman" w:cs="Times New Roman" w:eastAsia="Times New Roman" w:hint="default"/>
        </w:rPr>
        <w:t>2010 </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23</w:t>
      </w:r>
      <w:r>
        <w:rPr>
          <w:rFonts w:ascii="Times New Roman" w:hAnsi="Times New Roman" w:cs="Times New Roman" w:eastAsia="Times New Roman" w:hint="default"/>
          <w:spacing w:val="29"/>
        </w:rPr>
        <w:t> </w:t>
      </w:r>
      <w:r>
        <w:rPr/>
        <w:t>日召开的第一届董事会第十四次会议审议通过《关于制定</w:t>
      </w:r>
      <w:r>
        <w:rPr>
          <w:rFonts w:ascii="Times New Roman" w:hAnsi="Times New Roman" w:cs="Times New Roman" w:eastAsia="Times New Roman" w:hint="default"/>
        </w:rPr>
        <w:t>&lt;</w:t>
      </w:r>
      <w:r>
        <w:rPr/>
        <w:t>年报信息披露重大差错责任追究制度</w:t>
      </w:r>
      <w:r>
        <w:rPr>
          <w:rFonts w:ascii="Times New Roman" w:hAnsi="Times New Roman" w:cs="Times New Roman" w:eastAsia="Times New Roman" w:hint="default"/>
        </w:rPr>
        <w:t>&gt;</w:t>
      </w:r>
      <w:r>
        <w:rPr/>
        <w:t>的议 </w:t>
      </w:r>
      <w:r>
        <w:rPr>
          <w:spacing w:val="-2"/>
        </w:rPr>
        <w:t>案》。公司《年报信息披露重大差错责任追究制度》明确了财务报告重大会计差错的认定标准、发生财务报告重大会计差错</w:t>
      </w:r>
      <w:r>
        <w:rPr>
          <w:spacing w:val="-66"/>
        </w:rPr>
        <w:t> </w:t>
      </w:r>
      <w:r>
        <w:rPr>
          <w:spacing w:val="-66"/>
        </w:rPr>
      </w:r>
      <w:r>
        <w:rPr>
          <w:spacing w:val="-2"/>
        </w:rPr>
        <w:t>后的处理程序以及对年报信息披露责任人的问责机制，有利于提高年报信息披露质量和透明度。报告期内，公司未发生重大</w:t>
      </w:r>
      <w:r>
        <w:rPr>
          <w:spacing w:val="-65"/>
        </w:rPr>
        <w:t> </w:t>
      </w:r>
      <w:r>
        <w:rPr>
          <w:spacing w:val="-65"/>
        </w:rPr>
      </w:r>
      <w:r>
        <w:rPr/>
        <w:t>会计差错更正、重大遗漏信息补充以及年报业绩预告修正的情况。</w:t>
      </w:r>
    </w:p>
    <w:p>
      <w:pPr>
        <w:spacing w:line="240" w:lineRule="auto" w:before="1"/>
        <w:rPr>
          <w:rFonts w:ascii="宋体" w:hAnsi="宋体" w:cs="宋体" w:eastAsia="宋体" w:hint="default"/>
          <w:sz w:val="21"/>
          <w:szCs w:val="21"/>
        </w:rPr>
      </w:pPr>
    </w:p>
    <w:p>
      <w:pPr>
        <w:pStyle w:val="Heading2"/>
        <w:spacing w:line="240" w:lineRule="auto"/>
        <w:ind w:left="154" w:right="0"/>
        <w:jc w:val="both"/>
        <w:rPr>
          <w:b w:val="0"/>
          <w:bCs w:val="0"/>
        </w:rPr>
      </w:pPr>
      <w:bookmarkStart w:name="七、公司上存在向大股东、实际控制人提供未公开信息等治理非规范情况的说明" w:id="141"/>
      <w:bookmarkEnd w:id="141"/>
      <w:r>
        <w:rPr>
          <w:b w:val="0"/>
          <w:bCs w:val="0"/>
        </w:rPr>
      </w:r>
      <w:r>
        <w:rPr/>
        <w:t>七、公司不存在向大股东、实际控制人提供未公开信息等治理非规范情况的说明</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4" w:right="0"/>
        <w:jc w:val="left"/>
      </w:pPr>
      <w:r>
        <w:rPr/>
        <w:t>公司现任董事长、总经理是公司控股股东，其依据相关法律法规履行股东的权利及董事长、总经理的职权。 </w:t>
      </w:r>
      <w:r>
        <w:rPr>
          <w:spacing w:val="-4"/>
        </w:rPr>
        <w:t>公司不存在向大股东提供未公开信息的情况；公司控股股东担任公司董事长、总经理，其依据《公司法》、《公司章程》</w:t>
      </w:r>
    </w:p>
    <w:p>
      <w:pPr>
        <w:pStyle w:val="BodyText"/>
        <w:spacing w:line="225" w:lineRule="exact"/>
        <w:ind w:left="154" w:right="0"/>
        <w:jc w:val="both"/>
      </w:pPr>
      <w:r>
        <w:rPr/>
        <w:t>的有关规定，正常参与公司的生产及经营管理工作，不存在治理非规范的情况。</w:t>
      </w:r>
    </w:p>
    <w:p>
      <w:pPr>
        <w:spacing w:after="0" w:line="225" w:lineRule="exact"/>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十一节 财务报告" w:id="142"/>
      <w:bookmarkEnd w:id="142"/>
      <w:r>
        <w:rPr>
          <w:b w:val="0"/>
          <w:bCs w:val="0"/>
        </w:rPr>
      </w:r>
      <w:bookmarkStart w:name="_bookmark10" w:id="143"/>
      <w:bookmarkEnd w:id="143"/>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4"/>
      <w:bookmarkEnd w:id="14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大信审字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5-00202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陈菁佩 、陈鹏</w:t>
            </w:r>
          </w:p>
        </w:tc>
      </w:tr>
    </w:tbl>
    <w:p>
      <w:pPr>
        <w:pStyle w:val="BodyText"/>
        <w:spacing w:line="240" w:lineRule="auto" w:before="51"/>
        <w:ind w:left="1223" w:right="2199"/>
        <w:jc w:val="center"/>
      </w:pPr>
      <w:r>
        <w:rPr/>
        <w:t>审计报告正文</w:t>
      </w:r>
    </w:p>
    <w:p>
      <w:pPr>
        <w:pStyle w:val="Heading5"/>
        <w:spacing w:line="240" w:lineRule="auto" w:before="115"/>
        <w:ind w:left="153" w:right="0"/>
        <w:jc w:val="left"/>
        <w:rPr>
          <w:b w:val="0"/>
          <w:bCs w:val="0"/>
        </w:rPr>
      </w:pPr>
      <w:r>
        <w:rPr/>
        <w:t>深圳市美盈森环保科技股份有限公司全体股东：</w:t>
      </w:r>
      <w:r>
        <w:rPr>
          <w:b w:val="0"/>
          <w:bCs w:val="0"/>
        </w:rPr>
      </w:r>
    </w:p>
    <w:p>
      <w:pPr>
        <w:pStyle w:val="BodyText"/>
        <w:spacing w:line="300" w:lineRule="auto" w:before="76"/>
        <w:ind w:right="1131" w:firstLine="420"/>
        <w:jc w:val="both"/>
      </w:pPr>
      <w:r>
        <w:rPr/>
        <w:t>我们审计了后附的深圳市美盈森环保科技股份有限公司（以下简称</w:t>
      </w:r>
      <w:r>
        <w:rPr>
          <w:rFonts w:ascii="Times New Roman" w:hAnsi="Times New Roman" w:cs="Times New Roman" w:eastAsia="Times New Roman" w:hint="default"/>
        </w:rPr>
        <w:t>“</w:t>
      </w:r>
      <w:r>
        <w:rPr/>
        <w:t>贵公司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 </w:t>
      </w:r>
      <w:r>
        <w:rPr>
          <w:spacing w:val="-2"/>
        </w:rPr>
        <w:t>及母公司资产负债表，</w:t>
      </w:r>
      <w:r>
        <w:rPr>
          <w:rFonts w:ascii="Times New Roman" w:hAnsi="Times New Roman" w:cs="Times New Roman" w:eastAsia="Times New Roman" w:hint="default"/>
          <w:spacing w:val="-2"/>
        </w:rPr>
        <w:t>2014</w:t>
      </w:r>
      <w:r>
        <w:rPr>
          <w:spacing w:val="-2"/>
        </w:rPr>
        <w:t>年度的合并及母公司利润表、合并及母公司现金流量表、合并及母公司股东权益变动表，以及财</w:t>
      </w:r>
      <w:r>
        <w:rPr>
          <w:spacing w:val="-61"/>
        </w:rPr>
        <w:t> </w:t>
      </w:r>
      <w:r>
        <w:rPr>
          <w:spacing w:val="-61"/>
        </w:rPr>
      </w:r>
      <w:r>
        <w:rPr/>
        <w:t>务报表附注。</w:t>
      </w:r>
    </w:p>
    <w:p>
      <w:pPr>
        <w:spacing w:line="240" w:lineRule="auto" w:before="3"/>
        <w:rPr>
          <w:rFonts w:ascii="宋体" w:hAnsi="宋体" w:cs="宋体" w:eastAsia="宋体" w:hint="default"/>
          <w:sz w:val="26"/>
          <w:szCs w:val="26"/>
        </w:rPr>
      </w:pPr>
    </w:p>
    <w:p>
      <w:pPr>
        <w:pStyle w:val="BodyText"/>
        <w:spacing w:line="316" w:lineRule="auto"/>
        <w:ind w:left="573" w:right="0" w:hanging="60"/>
        <w:jc w:val="left"/>
      </w:pPr>
      <w:r>
        <w:rPr/>
        <w:t>一、管理层对财务报表的责任 </w:t>
      </w:r>
      <w:r>
        <w:rPr>
          <w:spacing w:val="-2"/>
        </w:rPr>
        <w:t>编制和公允列报财务报表是贵公司管理层的责任，这种责任包括：（</w:t>
      </w:r>
      <w:r>
        <w:rPr>
          <w:rFonts w:ascii="Times New Roman" w:hAnsi="Times New Roman" w:cs="Times New Roman" w:eastAsia="Times New Roman" w:hint="default"/>
          <w:spacing w:val="-2"/>
        </w:rPr>
        <w:t>1</w:t>
      </w:r>
      <w:r>
        <w:rPr>
          <w:spacing w:val="-2"/>
        </w:rPr>
        <w:t>）按照企业会计准则的规定编制财务报表，并使</w:t>
      </w:r>
    </w:p>
    <w:p>
      <w:pPr>
        <w:pStyle w:val="BodyText"/>
        <w:spacing w:line="248" w:lineRule="exact"/>
        <w:ind w:right="0"/>
        <w:jc w:val="left"/>
      </w:pPr>
      <w:r>
        <w:rPr/>
        <w:t>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39"/>
        <w:ind w:left="513" w:right="0"/>
        <w:jc w:val="left"/>
      </w:pPr>
      <w:r>
        <w:rPr/>
        <w:t>二、注册会计师的责任 </w:t>
      </w:r>
      <w:r>
        <w:rPr>
          <w:spacing w:val="-2"/>
        </w:rPr>
        <w:t>我们的责任是在执行审计工作的基础上对财务报表发表审计意见。我们按照中国注册会计师审计准则的规定执行了审计</w:t>
      </w:r>
    </w:p>
    <w:p>
      <w:pPr>
        <w:pStyle w:val="BodyText"/>
        <w:spacing w:line="316" w:lineRule="auto" w:before="19"/>
        <w:ind w:right="0"/>
        <w:jc w:val="left"/>
      </w:pPr>
      <w:r>
        <w:rPr>
          <w:spacing w:val="-2"/>
        </w:rPr>
        <w:t>工作。中国注册会计师审计准则要求我们遵守中国注册会计师职业道德守则，计划和执行审计工作以对财务报表是否不存在</w:t>
      </w:r>
      <w:r>
        <w:rPr>
          <w:spacing w:val="-63"/>
        </w:rPr>
        <w:t> </w:t>
      </w:r>
      <w:r>
        <w:rPr>
          <w:spacing w:val="-63"/>
        </w:rPr>
      </w:r>
      <w:r>
        <w:rPr/>
        <w:t>重大错报获取合理保证。</w:t>
      </w:r>
    </w:p>
    <w:p>
      <w:pPr>
        <w:pStyle w:val="BodyText"/>
        <w:spacing w:line="316" w:lineRule="auto" w:before="19"/>
        <w:ind w:right="1033"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240" w:lineRule="auto" w:before="19"/>
        <w:ind w:left="513" w:right="0"/>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316" w:lineRule="auto" w:before="153"/>
        <w:ind w:left="633" w:right="1118" w:hanging="120"/>
        <w:jc w:val="left"/>
      </w:pPr>
      <w:r>
        <w:rPr/>
        <w:t>三、审计意见 </w:t>
      </w:r>
      <w:r>
        <w:rPr>
          <w:spacing w:val="-1"/>
        </w:rPr>
        <w:t>我们认为，贵公司财务报表在所有重大方面按照企业会计准则的规定编制，公允反映了贵公司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日的财务</w:t>
      </w:r>
    </w:p>
    <w:p>
      <w:pPr>
        <w:pStyle w:val="BodyText"/>
        <w:tabs>
          <w:tab w:pos="4193" w:val="left" w:leader="none"/>
        </w:tabs>
        <w:spacing w:line="600" w:lineRule="auto"/>
        <w:ind w:left="517" w:right="5292" w:hanging="364"/>
        <w:jc w:val="left"/>
      </w:pPr>
      <w:r>
        <w:rPr/>
        <w:t>状况以及</w:t>
      </w:r>
      <w:r>
        <w:rPr>
          <w:rFonts w:ascii="Times New Roman" w:hAnsi="Times New Roman" w:cs="Times New Roman" w:eastAsia="Times New Roman" w:hint="default"/>
        </w:rPr>
        <w:t>2014</w:t>
      </w:r>
      <w:r>
        <w:rPr/>
        <w:t>年度的经营成果和现金流量。 大信会计师事务所（特殊普通合伙）</w:t>
        <w:tab/>
        <w:t>中国注册会计师：</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BodyText"/>
        <w:tabs>
          <w:tab w:pos="3819" w:val="left" w:leader="none"/>
        </w:tabs>
        <w:spacing w:line="240" w:lineRule="auto"/>
        <w:ind w:left="1234" w:right="0"/>
        <w:jc w:val="left"/>
      </w:pPr>
      <w:r>
        <w:rPr/>
        <w:t>中 国  </w:t>
      </w:r>
      <w:r>
        <w:rPr>
          <w:rFonts w:ascii="Times New Roman" w:hAnsi="Times New Roman" w:cs="Times New Roman" w:eastAsia="Times New Roman" w:hint="default"/>
        </w:rPr>
        <w:t>·   </w:t>
      </w:r>
      <w:r>
        <w:rPr/>
        <w:t>北</w:t>
      </w:r>
      <w:r>
        <w:rPr>
          <w:spacing w:val="-62"/>
        </w:rPr>
        <w:t> </w:t>
      </w:r>
      <w:r>
        <w:rPr/>
        <w:t>京</w:t>
        <w:tab/>
        <w:t>中国注册会计师：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BodyText"/>
        <w:spacing w:line="240" w:lineRule="auto"/>
        <w:ind w:left="0" w:right="1130"/>
        <w:jc w:val="right"/>
      </w:pPr>
      <w:r>
        <w:rPr/>
        <w:t>二○一五年四月二十三日</w:t>
      </w:r>
    </w:p>
    <w:p>
      <w:pPr>
        <w:spacing w:after="0" w:line="240" w:lineRule="auto"/>
        <w:jc w:val="righ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45"/>
      <w:bookmarkEnd w:id="145"/>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46"/>
      <w:bookmarkEnd w:id="14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编制单位：深圳市美盈森环保科技股份有限公司</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953,702,887.72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730,197,241.95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43,470,917.05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43,944,694.23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401,780,455.05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365,374,846.10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6,181,223.58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15,301,313.35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22,081,165.54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17,055,621.04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296,551,102.41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246,619,885.04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431,298.62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1,724,199,049.97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1,418,493,601.71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6,315,997.02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5,440,616.01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7,481,835.66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7,428,188.45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741,172,530.91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782,892,412.64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29,759,342.14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27,840,268.26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210,919,147.02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216,142,327.88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174,891,428.47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174,891,428.47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11,730,187.43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10,195,025.44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4,209,404.86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4,329,095.60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14,942,819.34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1,201,422,692.85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1,229,159,362.75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2,925,621,742.82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2,647,652,964.46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217,935,866.81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186,502,918.34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277,788,465.05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254,787,658.41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8,190,077.19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7,074,679.46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7,673,383.31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7,009,751.07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21,403,869.63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24,828,955.61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163,232.33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127,859,145.81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131,062,525.35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660,850,807.80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626,049,720.57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7,412,852.57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7,738,888.89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7,412,852.57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7,738,888.89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668,263,660.37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633,788,609.46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357,600,000.00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516,797,900.40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874,397,900.40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-1,988,290.69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-2,020,343.89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81,793,721.42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70,289,988.54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884,902,823.95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663,474,075.58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2,196,706,155.08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1,963,741,620.63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60,651,927.37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50,122,734.37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2,257,358,082.45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2,013,864,355.00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2,925,621,742.82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2,647,652,964.46</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法定代表人：王海鹏</w:t>
        <w:tab/>
        <w:t>主管会计工作负责人：袁宏贵</w:t>
        <w:tab/>
        <w:t>会计机构负责人：袁宏贵</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47"/>
      <w:bookmarkEnd w:id="14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557,561,297.17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281,673,703.61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14,920,608.53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6,039,725.77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157,052,773.58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137,824,609.49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3,146,758.95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7,061,648.05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85,123,986.50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202,565,592.62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63,506,214.92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63,591,346.13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881,311,639.65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698,756,625.67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1,387,442,970.00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1,380,442,970.00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49,095,380.33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55,384,269.97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4,008,231.94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607,734.00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12,510,442.35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13,410,604.37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2,090,858.14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2,409,901.01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1,166,873.97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1,059,401.16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5,531,250.00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1,461,846,006.73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1,453,314,880.51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2,343,157,646.38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2,152,071,506.18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44,320,591.29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40,679,242.81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132,982,458.65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108,883,215.77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521,244.86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98,650.59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4,217,305.28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4,157,136.21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10,023,017.49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6,804,014.79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197,165,283.78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123,871,460.18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389,229,901.35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284,493,720.35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4,120,630.40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4,120,630.40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393,350,531.75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288,693,720.35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357,600,000.00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516,797,900.40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874,397,900.40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81,793,721.42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70,289,988.54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636,015,492.81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561,089,896.89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1,949,807,114.63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1,863,377,785.83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2,343,157,646.38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2,152,071,506.18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48"/>
      <w:bookmarkEnd w:id="14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1,563,222,281.96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1,305,636,964.84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1,563,222,281.96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1,305,636,964.84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1,268,079,176.50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1,099,759,189.34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1,017,806,160.53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871,569,044.17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11,342,382.01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4,606,715.06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98,966,522.56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95,760,309.65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152,355,838.94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123,188,243.55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-13,722,875.26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3,044,912.70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1,331,147.72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1,589,964.21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875,381.01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626,937.04</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296,018,486.47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206,504,712.54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17,648,358.08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13,514,017.60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423,730.96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327,336.25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313,243,113.59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219,691,393.89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45,673,439.34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43,479,303.23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267,569,674.25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176,212,090.66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261,540,481.25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174,070,348.95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6,029,193.00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2,141,741.71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32,053.20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-675,299.49</w:t>
            </w:r>
            <w:r>
              <w:rPr>
                <w:rFonts w:ascii="Times New Roman"/>
                <w:sz w:val="18"/>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32,053.20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-675,299.49</w:t>
            </w:r>
            <w:r>
              <w:rPr>
                <w:rFonts w:ascii="Times New Roman"/>
                <w:sz w:val="18"/>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32,053.20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-675,299.49</w:t>
            </w:r>
            <w:r>
              <w:rPr>
                <w:rFonts w:ascii="Times New Roman"/>
                <w:sz w:val="18"/>
              </w:rPr>
            </w: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32,053.20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-675,299.49</w:t>
            </w:r>
            <w:r>
              <w:rPr>
                <w:rFonts w:ascii="Times New Roman"/>
                <w:sz w:val="18"/>
              </w:rPr>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267,601,727.45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175,536,791.17</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261,572,534.45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173,395,049.46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6,029,193.00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2,141,741.71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0.3657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0.2434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0.3657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0.2434</w:t>
            </w:r>
          </w:p>
        </w:tc>
      </w:tr>
    </w:tbl>
    <w:p>
      <w:pPr>
        <w:pStyle w:val="BodyText"/>
        <w:tabs>
          <w:tab w:pos="357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法定代表人：王海鹏</w:t>
        <w:tab/>
        <w:t>主管会计工作负责人：袁宏贵</w:t>
        <w:tab/>
        <w:t>会计机构负责人：袁宏贵</w:t>
      </w:r>
    </w:p>
    <w:p>
      <w:pPr>
        <w:pStyle w:val="Heading3"/>
        <w:spacing w:line="240" w:lineRule="auto" w:before="63"/>
        <w:ind w:left="153" w:right="0"/>
        <w:jc w:val="left"/>
        <w:rPr>
          <w:b w:val="0"/>
          <w:bCs w:val="0"/>
        </w:rPr>
      </w:pPr>
      <w:bookmarkStart w:name="4、母公司利润表" w:id="149"/>
      <w:bookmarkEnd w:id="14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501,087,645.13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457,752,876.22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305,863,898.94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279,503,365.26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3,533,156.06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3,127,091.06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31,448,697.58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34,644,690.05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38,755,661.47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37,831,626.94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05.339996pt;margin-top:219.22998pt;width:163.35pt;height:20.8pt;mso-position-horizontal-relative:page;mso-position-vertical-relative:page;z-index:-841456" coordorigin="4107,4385" coordsize="3267,416">
            <v:group style="position:absolute;left:4118;top:4396;width:2;height:393" coordorigin="4118,4396" coordsize="2,393">
              <v:shape style="position:absolute;left:4118;top:4396;width:2;height:393" coordorigin="4118,4396" coordsize="0,393" path="m4118,4396l4118,4788e" filled="false" stroked="true" strokeweight="1.140pt" strokecolor="#ffffff">
                <v:path arrowok="t"/>
              </v:shape>
            </v:group>
            <v:group style="position:absolute;left:4130;top:4396;width:3244;height:393" coordorigin="4130,4396" coordsize="3244,393">
              <v:shape style="position:absolute;left:4130;top:4396;width:3244;height:393" coordorigin="4130,4396" coordsize="3244,393" path="m4130,4788l7374,4788,7374,4396,4130,4396,4130,4788xe" filled="true" fillcolor="#ffffff" stroked="false">
                <v:path arrowok="t"/>
                <v:fill type="solid"/>
              </v:shape>
            </v:group>
            <w10:wrap type="none"/>
          </v:group>
        </w:pict>
      </w:r>
      <w:r>
        <w:rPr/>
        <w:pict>
          <v:group style="position:absolute;margin-left:205.339996pt;margin-top:375.529968pt;width:163.35pt;height:20.8pt;mso-position-horizontal-relative:page;mso-position-vertical-relative:page;z-index:-841432" coordorigin="4107,7511" coordsize="3267,416">
            <v:group style="position:absolute;left:4118;top:7522;width:2;height:393" coordorigin="4118,7522" coordsize="2,393">
              <v:shape style="position:absolute;left:4118;top:7522;width:2;height:393" coordorigin="4118,7522" coordsize="0,393" path="m4118,7522l4118,7914e" filled="false" stroked="true" strokeweight="1.140pt" strokecolor="#ffffff">
                <v:path arrowok="t"/>
              </v:shape>
            </v:group>
            <v:group style="position:absolute;left:4130;top:7522;width:3244;height:393" coordorigin="4130,7522" coordsize="3244,393">
              <v:shape style="position:absolute;left:4130;top:7522;width:3244;height:393" coordorigin="4130,7522" coordsize="3244,393" path="m4130,7914l7374,7914,7374,7522,4130,7522,4130,791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1105"/>
        <w:gridCol w:w="2196"/>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8" w:right="0"/>
              <w:jc w:val="left"/>
              <w:rPr>
                <w:rFonts w:ascii="Times New Roman" w:hAnsi="Times New Roman" w:cs="Times New Roman" w:eastAsia="Times New Roman" w:hint="default"/>
                <w:sz w:val="18"/>
                <w:szCs w:val="18"/>
              </w:rPr>
            </w:pPr>
            <w:r>
              <w:rPr>
                <w:rFonts w:ascii="Times New Roman"/>
                <w:sz w:val="18"/>
              </w:rPr>
              <w:t>-11,467,399.25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-812,928.71</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716,485.39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120,568.83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132,237,144.94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103,338,462.79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1,744,169.08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2,001,778.96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76,382.83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119,109.20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42" w:right="0"/>
              <w:jc w:val="left"/>
              <w:rPr>
                <w:rFonts w:ascii="Times New Roman" w:hAnsi="Times New Roman" w:cs="Times New Roman" w:eastAsia="Times New Roman" w:hint="default"/>
                <w:sz w:val="18"/>
                <w:szCs w:val="18"/>
              </w:rPr>
            </w:pPr>
            <w:r>
              <w:rPr>
                <w:rFonts w:ascii="Times New Roman"/>
                <w:sz w:val="18"/>
              </w:rPr>
              <w:t>133,904,931.19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105,221,132.55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18,867,602.39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14,922,699.60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1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115,037,328.80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90,298,432.95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115,037,328.80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90,298,432.95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0.1263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50"/>
      <w:bookmarkEnd w:id="15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1,618,729,198.07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1,365,766,108.17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7,110,353.82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21,827,801.08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44,642,366.38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27,573,928.68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1,670,481,918.27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1,415,167,837.93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940,067,646.10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844,916,481.69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202,031,660.85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150,380,840.45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169,420,705.97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93,644,585.87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66,343,453.51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57,118,811.67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1,377,863,466.43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1,146,060,719.68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292,618,451.84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269,107,118.25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212,034.22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212,034.22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29,676,292.90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31,768,463.39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146,868,574.76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29,676,292.90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178,637,038.15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-29,011,292.90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-178,425,003.93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27,706,735.15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18,657,781.87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2,385,497.68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2,094,648.55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44,712,232.83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21,252,430.42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-40,212,232.83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-19,252,430.42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110,719.66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-9,247,313.45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223,505,645.77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62,182,370.45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730,197,241.95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668,014,871.50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953,702,887.72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730,197,241.95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51"/>
      <w:bookmarkEnd w:id="15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500,520,620.22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464,420,951.81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352,508.55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65,517.57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26,144,968.94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9,747,229.96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527,018,097.71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474,233,699.34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283,189,065.25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254,908,859.24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48,249,769.85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47,152,192.95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63,960,684.23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55,857,836.86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20,842,179.34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21,661,568.10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416,241,698.67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379,580,457.15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110,776,399.04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94,653,242.19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226,971,700.00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33,415,096.16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226,991,700.00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33,415,096.16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9,887,397.06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2,739,394.00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17,407,799.28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12,415,096.16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34,295,196.34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178,654,490.16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192,696,503.66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-145,239,394.00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27,333,602.76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17,860,674.87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385,497.68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194,648.55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27,719,100.44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18,055,323.42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-27,719,100.44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-18,055,323.42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133,791.30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-3,937,500.23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275,887,593.56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-72,578,975.46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281,673,703.61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354,252,679.07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557,561,297.17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281,673,703.61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52"/>
      <w:bookmarkEnd w:id="15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0"/>
        <w:gridCol w:w="551"/>
        <w:gridCol w:w="530"/>
        <w:gridCol w:w="532"/>
        <w:gridCol w:w="530"/>
        <w:gridCol w:w="665"/>
        <w:gridCol w:w="665"/>
        <w:gridCol w:w="665"/>
        <w:gridCol w:w="665"/>
        <w:gridCol w:w="664"/>
        <w:gridCol w:w="666"/>
        <w:gridCol w:w="665"/>
        <w:gridCol w:w="665"/>
        <w:gridCol w:w="659"/>
      </w:tblGrid>
      <w:tr>
        <w:trPr>
          <w:trHeight w:val="402" w:hRule="exact"/>
        </w:trPr>
        <w:tc>
          <w:tcPr>
            <w:tcW w:w="1450"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50" w:type="dxa"/>
            <w:vMerge/>
            <w:tcBorders>
              <w:left w:val="single" w:sz="4" w:space="0" w:color="000000"/>
              <w:right w:val="single" w:sz="4" w:space="0" w:color="000000"/>
            </w:tcBorders>
            <w:shd w:val="clear" w:color="auto" w:fill="D2D2D2"/>
          </w:tcPr>
          <w:p>
            <w:pPr/>
          </w:p>
        </w:tc>
        <w:tc>
          <w:tcPr>
            <w:tcW w:w="679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6798"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51"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50" w:type="dxa"/>
            <w:vMerge/>
            <w:tcBorders>
              <w:left w:val="single" w:sz="4" w:space="0" w:color="000000"/>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50" w:type="dxa"/>
            <w:vMerge/>
            <w:tcBorders>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55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1" w:type="dxa"/>
            <w:vMerge w:val="restart"/>
            <w:tcBorders>
              <w:top w:val="single" w:sz="4" w:space="0" w:color="000000"/>
              <w:left w:val="single" w:sz="9" w:space="0" w:color="D2D2D2"/>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357,60</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874,397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,900.40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-2,020,3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43.89</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70,289,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988.54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663,474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,075.58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50,122,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734.37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64,355.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1"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1"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357,60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874,397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,900.40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-2,020,3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43.89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70,289,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988.54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663,474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,075.58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50,122,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734.37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64,355.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8"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319" w:lineRule="auto" w:before="51"/>
              <w:ind w:left="22" w:right="15"/>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9"/>
                <w:sz w:val="18"/>
                <w:szCs w:val="18"/>
              </w:rPr>
              <w:t>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357,60</w:t>
            </w:r>
          </w:p>
          <w:p>
            <w:pPr>
              <w:pStyle w:val="TableParagraph"/>
              <w:spacing w:line="240" w:lineRule="auto" w:before="65"/>
              <w:ind w:left="-130"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0,000.</w:t>
            </w:r>
          </w:p>
          <w:p>
            <w:pPr>
              <w:pStyle w:val="TableParagraph"/>
              <w:spacing w:line="240" w:lineRule="auto" w:before="104"/>
              <w:ind w:left="343"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312"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25.3pt;height:15.6pt;mso-position-horizontal-relative:char;mso-position-vertical-relative:line" coordorigin="0,0" coordsize="506,312">
                  <v:group style="position:absolute;left:0;top:0;width:506;height:312" coordorigin="0,0" coordsize="506,312">
                    <v:shape style="position:absolute;left:0;top:0;width:506;height:312" coordorigin="0,0" coordsize="506,312" path="m0,312l505,312,505,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11,503,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732.88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221,428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,748.37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10,529,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193.00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243,493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,727.45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261,540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,481.25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6,029,1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93.00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267,601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,727.45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11,503,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732.88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-40,111,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732.88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-28,608,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11,503,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732.88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-11,503,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732.88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-28,608,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-28,608,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357,60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357,60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-357,60</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715,20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516,797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,900.40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-1,988,2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90.69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81,793,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721.42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884,902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,823.95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60,651,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927.37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2,257,3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58,082.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45</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178,80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97,900.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-1,345,0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44.40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61,920,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108.81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516,021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,473.39</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94,438.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-659,96</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3.57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-659,96</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3.57</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178,80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97,900.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-1,345,0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44.40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61,260,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145.24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516,021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,473.39</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34,474.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319" w:lineRule="auto" w:before="51"/>
              <w:ind w:left="11" w:right="15"/>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9"/>
                <w:sz w:val="18"/>
                <w:szCs w:val="18"/>
              </w:rPr>
              <w:t>金额（减少以“－</w:t>
            </w:r>
            <w:r>
              <w:rPr>
                <w:rFonts w:ascii="宋体" w:hAnsi="宋体" w:cs="宋体" w:eastAsia="宋体" w:hint="default"/>
                <w:sz w:val="18"/>
                <w:szCs w:val="18"/>
              </w:rPr>
              <w:t> 号填列）</w:t>
            </w:r>
          </w:p>
        </w:tc>
        <w:tc>
          <w:tcPr>
            <w:tcW w:w="56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178,80</w:t>
            </w:r>
          </w:p>
          <w:p>
            <w:pPr>
              <w:pStyle w:val="TableParagraph"/>
              <w:spacing w:line="240" w:lineRule="auto" w:before="65"/>
              <w:ind w:left="-148"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0,000.</w:t>
            </w:r>
          </w:p>
          <w:p>
            <w:pPr>
              <w:pStyle w:val="TableParagraph"/>
              <w:spacing w:line="240" w:lineRule="auto" w:before="104"/>
              <w:ind w:left="325"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3"/>
              <w:ind w:right="0"/>
              <w:jc w:val="left"/>
              <w:rPr>
                <w:rFonts w:ascii="宋体" w:hAnsi="宋体" w:cs="宋体" w:eastAsia="宋体" w:hint="default"/>
                <w:sz w:val="26"/>
                <w:szCs w:val="26"/>
              </w:rPr>
            </w:pPr>
          </w:p>
          <w:p>
            <w:pPr>
              <w:pStyle w:val="TableParagraph"/>
              <w:spacing w:line="312" w:lineRule="exact"/>
              <w:ind w:left="-1" w:right="-28"/>
              <w:jc w:val="left"/>
              <w:rPr>
                <w:rFonts w:ascii="宋体" w:hAnsi="宋体" w:cs="宋体" w:eastAsia="宋体" w:hint="default"/>
                <w:sz w:val="20"/>
                <w:szCs w:val="20"/>
              </w:rPr>
            </w:pPr>
            <w:r>
              <w:rPr>
                <w:rFonts w:ascii="宋体" w:hAnsi="宋体" w:cs="宋体" w:eastAsia="宋体" w:hint="default"/>
                <w:position w:val="-5"/>
                <w:sz w:val="20"/>
                <w:szCs w:val="20"/>
              </w:rPr>
              <w:pict>
                <v:group style="width:25.35pt;height:15.6pt;mso-position-horizontal-relative:char;mso-position-vertical-relative:line" coordorigin="0,0" coordsize="507,312">
                  <v:group style="position:absolute;left:0;top:0;width:507;height:312" coordorigin="0,0" coordsize="507,312">
                    <v:shape style="position:absolute;left:0;top:0;width:507;height:312" coordorigin="0,0" coordsize="507,312" path="m0,312l506,312,506,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11"/>
              <w:ind w:right="0"/>
              <w:jc w:val="left"/>
              <w:rPr>
                <w:rFonts w:ascii="宋体" w:hAnsi="宋体" w:cs="宋体" w:eastAsia="宋体" w:hint="default"/>
                <w:sz w:val="26"/>
                <w:szCs w:val="26"/>
              </w:rPr>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-675,29</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9.49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9,029,8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43.30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147,452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,602.19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50,122,</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734.37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205,929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,880.37</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8"/>
                <w:sz w:val="18"/>
                <w:szCs w:val="18"/>
              </w:rPr>
              <w:t>（一）综合收益总</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-675,29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174,070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2,141,7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 w:right="0"/>
              <w:jc w:val="left"/>
              <w:rPr>
                <w:rFonts w:ascii="Times New Roman" w:hAnsi="Times New Roman" w:cs="Times New Roman" w:eastAsia="Times New Roman" w:hint="default"/>
                <w:sz w:val="18"/>
                <w:szCs w:val="18"/>
              </w:rPr>
            </w:pPr>
            <w:r>
              <w:rPr>
                <w:rFonts w:ascii="Times New Roman"/>
                <w:sz w:val="18"/>
              </w:rPr>
              <w:t>175,536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6" w:right="0"/>
              <w:jc w:val="left"/>
              <w:rPr>
                <w:rFonts w:ascii="Times New Roman" w:hAnsi="Times New Roman" w:cs="Times New Roman" w:eastAsia="Times New Roman" w:hint="default"/>
                <w:sz w:val="18"/>
                <w:szCs w:val="18"/>
              </w:rPr>
            </w:pPr>
            <w:r>
              <w:rPr>
                <w:rFonts w:ascii="Times New Roman"/>
                <w:sz w:val="18"/>
              </w:rPr>
              <w:t>9.49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,348.95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4" w:right="0"/>
              <w:jc w:val="left"/>
              <w:rPr>
                <w:rFonts w:ascii="Times New Roman" w:hAnsi="Times New Roman" w:cs="Times New Roman" w:eastAsia="Times New Roman" w:hint="default"/>
                <w:sz w:val="18"/>
                <w:szCs w:val="18"/>
              </w:rPr>
            </w:pPr>
            <w:r>
              <w:rPr>
                <w:rFonts w:ascii="Times New Roman"/>
                <w:sz w:val="18"/>
              </w:rPr>
              <w:t>41.71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sz w:val="18"/>
              </w:rPr>
              <w:t>,791.17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292,096</w:t>
            </w:r>
          </w:p>
          <w:p>
            <w:pPr>
              <w:pStyle w:val="TableParagraph"/>
              <w:spacing w:line="240" w:lineRule="auto" w:before="105"/>
              <w:ind w:left="419" w:right="0"/>
              <w:jc w:val="left"/>
              <w:rPr>
                <w:rFonts w:ascii="Times New Roman" w:hAnsi="Times New Roman" w:cs="Times New Roman" w:eastAsia="Times New Roman" w:hint="default"/>
                <w:sz w:val="18"/>
                <w:szCs w:val="18"/>
              </w:rPr>
            </w:pPr>
            <w:r>
              <w:rPr>
                <w:rFonts w:ascii="Times New Roman"/>
                <w:sz w:val="18"/>
              </w:rPr>
              <w:t>.54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47,980,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992.66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48,273,</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089.20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48,046,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530.65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48,046,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530.65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292,096</w:t>
            </w:r>
          </w:p>
          <w:p>
            <w:pPr>
              <w:pStyle w:val="TableParagraph"/>
              <w:spacing w:line="240" w:lineRule="auto" w:before="105"/>
              <w:ind w:left="419" w:right="0"/>
              <w:jc w:val="left"/>
              <w:rPr>
                <w:rFonts w:ascii="Times New Roman" w:hAnsi="Times New Roman" w:cs="Times New Roman" w:eastAsia="Times New Roman" w:hint="default"/>
                <w:sz w:val="18"/>
                <w:szCs w:val="18"/>
              </w:rPr>
            </w:pPr>
            <w:r>
              <w:rPr>
                <w:rFonts w:ascii="Times New Roman"/>
                <w:sz w:val="18"/>
              </w:rPr>
              <w:t>.54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-65,537</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226,558</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.55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9,029,8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43.30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-26,909,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843.30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-17,880,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9,029,8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43.30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-9,029,8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43.30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-17,880,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-17,880,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178,80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-178,80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178,80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-178,80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357,60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874,397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,900.40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-2,020,3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43.89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70,289,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988.54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663,474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,075.58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50,122,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734.37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2,013,8</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64,355.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61"/>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53"/>
      <w:bookmarkEnd w:id="15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357,600,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874,397,9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00.40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70,289,98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8.54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561,089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,896.89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1,863,377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,785.83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357,600,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874,397,9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00.40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70,289,98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8.54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561,089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,896.89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1,863,377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,785.83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19"/>
                <w:sz w:val="18"/>
                <w:szCs w:val="18"/>
              </w:rPr>
              <w:t>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61" w:lineRule="exact"/>
              <w:ind w:left="8" w:right="0"/>
              <w:jc w:val="center"/>
              <w:rPr>
                <w:rFonts w:ascii="Times New Roman" w:hAnsi="Times New Roman" w:cs="Times New Roman" w:eastAsia="Times New Roman" w:hint="default"/>
                <w:sz w:val="18"/>
                <w:szCs w:val="18"/>
              </w:rPr>
            </w:pPr>
            <w:r>
              <w:rPr>
                <w:rFonts w:ascii="Times New Roman"/>
                <w:sz w:val="18"/>
              </w:rPr>
              <w:t>357,600,</w:t>
            </w:r>
          </w:p>
          <w:p>
            <w:pPr>
              <w:pStyle w:val="TableParagraph"/>
              <w:spacing w:line="170"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144"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
              <w:ind w:right="0"/>
              <w:jc w:val="left"/>
              <w:rPr>
                <w:rFonts w:ascii="宋体" w:hAnsi="宋体" w:cs="宋体" w:eastAsia="宋体" w:hint="default"/>
                <w:sz w:val="11"/>
                <w:szCs w:val="11"/>
              </w:rPr>
            </w:pPr>
          </w:p>
          <w:p>
            <w:pPr>
              <w:pStyle w:val="TableParagraph"/>
              <w:spacing w:line="727" w:lineRule="exact"/>
              <w:ind w:left="4" w:right="-14"/>
              <w:jc w:val="left"/>
              <w:rPr>
                <w:rFonts w:ascii="宋体" w:hAnsi="宋体" w:cs="宋体" w:eastAsia="宋体" w:hint="default"/>
                <w:sz w:val="20"/>
                <w:szCs w:val="20"/>
              </w:rPr>
            </w:pPr>
            <w:r>
              <w:rPr>
                <w:rFonts w:ascii="宋体" w:hAnsi="宋体" w:cs="宋体" w:eastAsia="宋体" w:hint="default"/>
                <w:position w:val="-14"/>
                <w:sz w:val="20"/>
                <w:szCs w:val="20"/>
              </w:rPr>
              <w:pict>
                <v:group style="width:32.9pt;height:36.4pt;mso-position-horizontal-relative:char;mso-position-vertical-relative:line" coordorigin="0,0" coordsize="658,728">
                  <v:group style="position:absolute;left:11;top:11;width:2;height:705" coordorigin="11,11" coordsize="2,705">
                    <v:shape style="position:absolute;left:11;top:11;width:2;height:705" coordorigin="11,11" coordsize="0,705" path="m11,11l11,716e" filled="false" stroked="true" strokeweight="1.140pt" strokecolor="#ffffff">
                      <v:path arrowok="t"/>
                    </v:shape>
                  </v:group>
                  <v:group style="position:absolute;left:23;top:11;width:635;height:352" coordorigin="23,11" coordsize="635,352">
                    <v:shape style="position:absolute;left:23;top:11;width:635;height:352" coordorigin="23,11" coordsize="635,352" path="m23,363l658,363,658,11,23,11,23,363xe" filled="true" fillcolor="#ffffff" stroked="false">
                      <v:path arrowok="t"/>
                      <v:fill type="solid"/>
                    </v:shape>
                  </v:group>
                  <v:group style="position:absolute;left:23;top:363;width:635;height:354" coordorigin="23,363" coordsize="635,354">
                    <v:shape style="position:absolute;left:23;top:363;width:635;height:354" coordorigin="23,363" coordsize="635,354" path="m23,716l658,716,658,363,23,363,23,716xe" filled="true" fillcolor="#ffffff" stroked="false">
                      <v:path arrowok="t"/>
                      <v:fill type="solid"/>
                    </v:shape>
                  </v:group>
                </v:group>
              </w:pict>
            </w:r>
            <w:r>
              <w:rPr>
                <w:rFonts w:ascii="宋体" w:hAnsi="宋体" w:cs="宋体" w:eastAsia="宋体" w:hint="default"/>
                <w:position w:val="-14"/>
                <w:sz w:val="20"/>
                <w:szCs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-357,600,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11,503,73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2.88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74,925,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595.92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86,429,32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8.80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115,037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,328.80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115,037,3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28.80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11,503,73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2.88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-40,111,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732.88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-28,608,0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11,503,73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2.88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-11,503,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732.88</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-28,608,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-28,608,0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357,600,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-357,600,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357,600,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-357,600,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715,200,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516,797,9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81,793,72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1.42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636,015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,492.81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1,949,807</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,114.63</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178,800,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1,053,197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,900.40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61,260,14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5.24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497,701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,307.24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1,790,959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,352.88</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178,800,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1,053,197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,900.40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61,260,14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5.24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497,701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,307.24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1,790,959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,352.88</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19"/>
                <w:sz w:val="18"/>
                <w:szCs w:val="18"/>
              </w:rPr>
              <w:t>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161" w:lineRule="exact"/>
              <w:ind w:right="1"/>
              <w:jc w:val="center"/>
              <w:rPr>
                <w:rFonts w:ascii="Times New Roman" w:hAnsi="Times New Roman" w:cs="Times New Roman" w:eastAsia="Times New Roman" w:hint="default"/>
                <w:sz w:val="18"/>
                <w:szCs w:val="18"/>
              </w:rPr>
            </w:pPr>
            <w:r>
              <w:rPr>
                <w:rFonts w:ascii="Times New Roman"/>
                <w:sz w:val="18"/>
              </w:rPr>
              <w:t>178,800,</w:t>
            </w:r>
          </w:p>
          <w:p>
            <w:pPr>
              <w:pStyle w:val="TableParagraph"/>
              <w:spacing w:line="170"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132"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2"/>
              <w:ind w:right="0"/>
              <w:jc w:val="left"/>
              <w:rPr>
                <w:rFonts w:ascii="宋体" w:hAnsi="宋体" w:cs="宋体" w:eastAsia="宋体" w:hint="default"/>
                <w:sz w:val="11"/>
                <w:szCs w:val="11"/>
              </w:rPr>
            </w:pPr>
          </w:p>
          <w:p>
            <w:pPr>
              <w:pStyle w:val="TableParagraph"/>
              <w:spacing w:line="726" w:lineRule="exact"/>
              <w:ind w:left="-8" w:right="-14"/>
              <w:jc w:val="left"/>
              <w:rPr>
                <w:rFonts w:ascii="宋体" w:hAnsi="宋体" w:cs="宋体" w:eastAsia="宋体" w:hint="default"/>
                <w:sz w:val="20"/>
                <w:szCs w:val="20"/>
              </w:rPr>
            </w:pPr>
            <w:r>
              <w:rPr>
                <w:rFonts w:ascii="宋体" w:hAnsi="宋体" w:cs="宋体" w:eastAsia="宋体" w:hint="default"/>
                <w:position w:val="-14"/>
                <w:sz w:val="20"/>
                <w:szCs w:val="20"/>
              </w:rPr>
              <w:pict>
                <v:group style="width:32.9pt;height:36.3pt;mso-position-horizontal-relative:char;mso-position-vertical-relative:line" coordorigin="0,0" coordsize="658,726">
                  <v:group style="position:absolute;left:11;top:11;width:2;height:704" coordorigin="11,11" coordsize="2,704">
                    <v:shape style="position:absolute;left:11;top:11;width:2;height:704" coordorigin="11,11" coordsize="0,704" path="m11,11l11,715e" filled="false" stroked="true" strokeweight="1.140pt" strokecolor="#ffffff">
                      <v:path arrowok="t"/>
                    </v:shape>
                  </v:group>
                  <v:group style="position:absolute;left:23;top:11;width:635;height:352" coordorigin="23,11" coordsize="635,352">
                    <v:shape style="position:absolute;left:23;top:11;width:635;height:352" coordorigin="23,11" coordsize="635,352" path="m23,363l658,363,658,11,23,11,23,363xe" filled="true" fillcolor="#ffffff" stroked="false">
                      <v:path arrowok="t"/>
                      <v:fill type="solid"/>
                    </v:shape>
                  </v:group>
                  <v:group style="position:absolute;left:23;top:363;width:635;height:352" coordorigin="23,363" coordsize="635,352">
                    <v:shape style="position:absolute;left:23;top:363;width:635;height:352" coordorigin="23,363" coordsize="635,352" path="m23,715l658,715,658,363,23,363,23,715xe" filled="true" fillcolor="#ffffff" stroked="false">
                      <v:path arrowok="t"/>
                      <v:fill type="solid"/>
                    </v:shape>
                  </v:group>
                </v:group>
              </w:pict>
            </w:r>
            <w:r>
              <w:rPr>
                <w:rFonts w:ascii="宋体" w:hAnsi="宋体" w:cs="宋体" w:eastAsia="宋体" w:hint="default"/>
                <w:position w:val="-14"/>
                <w:sz w:val="20"/>
                <w:szCs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-178,800,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9,029,843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63,388,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589.65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72,418,43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2.95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90,298,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432.95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90,298,43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2.95</w:t>
            </w:r>
          </w:p>
        </w:tc>
      </w:tr>
      <w:tr>
        <w:trPr>
          <w:trHeight w:val="715"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9,029,843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-26,909,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843.30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-17,880,0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9,029,843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-9,029,8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43.30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-17,880,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-17,880,0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178,800,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-178,800,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178,800,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-178,800,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357,600,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874,397,9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70,289,98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561,089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,896.89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1,863,377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,785.83</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both"/>
        <w:rPr>
          <w:b w:val="0"/>
          <w:bCs w:val="0"/>
        </w:rPr>
      </w:pPr>
      <w:bookmarkStart w:name="三、公司基本情况" w:id="154"/>
      <w:bookmarkEnd w:id="154"/>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1"/>
        <w:jc w:val="both"/>
      </w:pPr>
      <w:r>
        <w:rPr>
          <w:spacing w:val="-1"/>
        </w:rPr>
        <w:t>深圳市美盈森环保科技股份有限公司（以下简称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）是由深圳市美盈森环保包装技术有限公司整体变更设立</w:t>
      </w:r>
      <w:r>
        <w:rPr>
          <w:spacing w:val="-78"/>
        </w:rPr>
        <w:t> </w:t>
      </w:r>
      <w:r>
        <w:rPr>
          <w:spacing w:val="-78"/>
        </w:rPr>
      </w:r>
      <w:r>
        <w:rPr>
          <w:spacing w:val="-1"/>
        </w:rPr>
        <w:t>的股份有限公司，公司设立时股本为</w:t>
      </w:r>
      <w:r>
        <w:rPr>
          <w:rFonts w:ascii="Times New Roman" w:hAnsi="Times New Roman" w:cs="Times New Roman" w:eastAsia="Times New Roman" w:hint="default"/>
          <w:spacing w:val="-1"/>
        </w:rPr>
        <w:t>13,380.00</w:t>
      </w:r>
      <w:r>
        <w:rPr>
          <w:spacing w:val="-1"/>
        </w:rPr>
        <w:t>万股</w:t>
      </w:r>
      <w:r>
        <w:rPr>
          <w:rFonts w:ascii="Times New Roman" w:hAnsi="Times New Roman" w:cs="Times New Roman" w:eastAsia="Times New Roman" w:hint="default"/>
          <w:spacing w:val="-1"/>
        </w:rPr>
        <w:t>,</w:t>
      </w:r>
      <w:r>
        <w:rPr>
          <w:spacing w:val="-1"/>
        </w:rPr>
        <w:t>其中</w:t>
      </w:r>
      <w:r>
        <w:rPr>
          <w:rFonts w:ascii="Times New Roman" w:hAnsi="Times New Roman" w:cs="Times New Roman" w:eastAsia="Times New Roman" w:hint="default"/>
          <w:spacing w:val="-1"/>
        </w:rPr>
        <w:t>:</w:t>
      </w:r>
      <w:r>
        <w:rPr>
          <w:spacing w:val="-1"/>
        </w:rPr>
        <w:t>自然人股东王海鹏持有</w:t>
      </w:r>
      <w:r>
        <w:rPr>
          <w:rFonts w:ascii="Times New Roman" w:hAnsi="Times New Roman" w:cs="Times New Roman" w:eastAsia="Times New Roman" w:hint="default"/>
          <w:spacing w:val="-1"/>
        </w:rPr>
        <w:t>8,857.56</w:t>
      </w:r>
      <w:r>
        <w:rPr>
          <w:spacing w:val="-1"/>
        </w:rPr>
        <w:t>万股</w:t>
      </w:r>
      <w:r>
        <w:rPr>
          <w:rFonts w:ascii="Times New Roman" w:hAnsi="Times New Roman" w:cs="Times New Roman" w:eastAsia="Times New Roman" w:hint="default"/>
          <w:spacing w:val="-1"/>
        </w:rPr>
        <w:t>,</w:t>
      </w:r>
      <w:r>
        <w:rPr>
          <w:spacing w:val="-1"/>
        </w:rPr>
        <w:t>持股比例为</w:t>
      </w:r>
      <w:r>
        <w:rPr>
          <w:rFonts w:ascii="Times New Roman" w:hAnsi="Times New Roman" w:cs="Times New Roman" w:eastAsia="Times New Roman" w:hint="default"/>
          <w:spacing w:val="-1"/>
        </w:rPr>
        <w:t>66.20%,</w:t>
      </w:r>
      <w:r>
        <w:rPr>
          <w:spacing w:val="-1"/>
        </w:rPr>
        <w:t>为公司的实</w:t>
      </w:r>
      <w:r>
        <w:rPr>
          <w:spacing w:val="-43"/>
        </w:rPr>
        <w:t> </w:t>
      </w:r>
      <w:r>
        <w:rPr>
          <w:spacing w:val="-43"/>
        </w:rPr>
      </w:r>
      <w:r>
        <w:rPr>
          <w:spacing w:val="-1"/>
        </w:rPr>
        <w:t>际控制人</w:t>
      </w:r>
      <w:r>
        <w:rPr>
          <w:rFonts w:ascii="Times New Roman" w:hAnsi="Times New Roman" w:cs="Times New Roman" w:eastAsia="Times New Roman" w:hint="default"/>
          <w:spacing w:val="-1"/>
        </w:rPr>
        <w:t>;</w:t>
      </w:r>
      <w:r>
        <w:rPr>
          <w:spacing w:val="-1"/>
        </w:rPr>
        <w:t>王治军、王丽等</w:t>
      </w:r>
      <w:r>
        <w:rPr>
          <w:rFonts w:ascii="Times New Roman" w:hAnsi="Times New Roman" w:cs="Times New Roman" w:eastAsia="Times New Roman" w:hint="default"/>
          <w:spacing w:val="-1"/>
        </w:rPr>
        <w:t>23</w:t>
      </w:r>
      <w:r>
        <w:rPr>
          <w:spacing w:val="-1"/>
        </w:rPr>
        <w:t>名自然人股东持有</w:t>
      </w:r>
      <w:r>
        <w:rPr>
          <w:rFonts w:ascii="Times New Roman" w:hAnsi="Times New Roman" w:cs="Times New Roman" w:eastAsia="Times New Roman" w:hint="default"/>
          <w:spacing w:val="-1"/>
        </w:rPr>
        <w:t>4,522.44</w:t>
      </w:r>
      <w:r>
        <w:rPr>
          <w:spacing w:val="-1"/>
        </w:rPr>
        <w:t>万股</w:t>
      </w:r>
      <w:r>
        <w:rPr>
          <w:rFonts w:ascii="Times New Roman" w:hAnsi="Times New Roman" w:cs="Times New Roman" w:eastAsia="Times New Roman" w:hint="default"/>
          <w:spacing w:val="-1"/>
        </w:rPr>
        <w:t>,</w:t>
      </w:r>
      <w:r>
        <w:rPr>
          <w:spacing w:val="-1"/>
        </w:rPr>
        <w:t>持股比例为</w:t>
      </w:r>
      <w:r>
        <w:rPr>
          <w:rFonts w:ascii="Times New Roman" w:hAnsi="Times New Roman" w:cs="Times New Roman" w:eastAsia="Times New Roman" w:hint="default"/>
          <w:spacing w:val="-1"/>
        </w:rPr>
        <w:t>33.80%</w:t>
      </w:r>
      <w:r>
        <w:rPr>
          <w:spacing w:val="-1"/>
        </w:rPr>
        <w:t>。于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25</w:t>
      </w:r>
      <w:r>
        <w:rPr>
          <w:spacing w:val="-1"/>
        </w:rPr>
        <w:t>日取得深圳市工商行政管理</w:t>
      </w:r>
      <w:r>
        <w:rPr>
          <w:spacing w:val="-42"/>
        </w:rPr>
        <w:t> </w:t>
      </w:r>
      <w:r>
        <w:rPr/>
        <w:t>局颁发的企业法人营业执照。</w:t>
      </w:r>
    </w:p>
    <w:p>
      <w:pPr>
        <w:pStyle w:val="BodyText"/>
        <w:spacing w:line="300" w:lineRule="auto" w:before="151"/>
        <w:ind w:left="154" w:right="0" w:firstLine="289"/>
        <w:jc w:val="left"/>
      </w:pPr>
      <w:r>
        <w:rPr>
          <w:spacing w:val="6"/>
        </w:rPr>
        <w:t>经中国证券监督管理委员会证监许可</w:t>
      </w:r>
      <w:r>
        <w:rPr>
          <w:rFonts w:ascii="Times New Roman" w:hAnsi="Times New Roman" w:cs="Times New Roman" w:eastAsia="Times New Roman" w:hint="default"/>
          <w:spacing w:val="6"/>
        </w:rPr>
        <w:t>[2009]1013</w:t>
      </w:r>
      <w:r>
        <w:rPr>
          <w:spacing w:val="6"/>
        </w:rPr>
        <w:t>号文核准，</w:t>
      </w:r>
      <w:r>
        <w:rPr>
          <w:rFonts w:ascii="Times New Roman" w:hAnsi="Times New Roman" w:cs="Times New Roman" w:eastAsia="Times New Roman" w:hint="default"/>
          <w:spacing w:val="6"/>
        </w:rPr>
        <w:t>2009</w:t>
      </w:r>
      <w:r>
        <w:rPr>
          <w:spacing w:val="6"/>
        </w:rPr>
        <w:t>年</w:t>
      </w:r>
      <w:r>
        <w:rPr>
          <w:rFonts w:ascii="Times New Roman" w:hAnsi="Times New Roman" w:cs="Times New Roman" w:eastAsia="Times New Roman" w:hint="default"/>
          <w:spacing w:val="6"/>
        </w:rPr>
        <w:t>10</w:t>
      </w:r>
      <w:r>
        <w:rPr>
          <w:spacing w:val="6"/>
        </w:rPr>
        <w:t>月</w:t>
      </w:r>
      <w:r>
        <w:rPr>
          <w:rFonts w:ascii="Times New Roman" w:hAnsi="Times New Roman" w:cs="Times New Roman" w:eastAsia="Times New Roman" w:hint="default"/>
          <w:spacing w:val="6"/>
        </w:rPr>
        <w:t>20</w:t>
      </w:r>
      <w:r>
        <w:rPr>
          <w:spacing w:val="6"/>
        </w:rPr>
        <w:t>日公司向社会公众公开发行人民币普通股</w:t>
      </w:r>
      <w:r>
        <w:rPr/>
        <w:t> </w:t>
      </w:r>
      <w:r>
        <w:rPr>
          <w:rFonts w:ascii="Times New Roman" w:hAnsi="Times New Roman" w:cs="Times New Roman" w:eastAsia="Times New Roman" w:hint="default"/>
        </w:rPr>
        <w:t>4,500.00</w:t>
      </w:r>
      <w:r>
        <w:rPr/>
        <w:t>万股，每股发行价格为</w:t>
      </w:r>
      <w:r>
        <w:rPr>
          <w:rFonts w:ascii="Times New Roman" w:hAnsi="Times New Roman" w:cs="Times New Roman" w:eastAsia="Times New Roman" w:hint="default"/>
        </w:rPr>
        <w:t>25.36</w:t>
      </w:r>
      <w:r>
        <w:rPr/>
        <w:t>元</w:t>
      </w:r>
      <w:r>
        <w:rPr>
          <w:rFonts w:ascii="Times New Roman" w:hAnsi="Times New Roman" w:cs="Times New Roman" w:eastAsia="Times New Roman" w:hint="default"/>
        </w:rPr>
        <w:t>,</w:t>
      </w:r>
      <w:r>
        <w:rPr/>
        <w:t>每股面值为</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发行后公司股本变更为</w:t>
      </w:r>
      <w:r>
        <w:rPr>
          <w:rFonts w:ascii="Times New Roman" w:hAnsi="Times New Roman" w:cs="Times New Roman" w:eastAsia="Times New Roman" w:hint="default"/>
        </w:rPr>
        <w:t>17,880.00</w:t>
      </w:r>
      <w:r>
        <w:rPr/>
        <w:t>万元。</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日公司股票在深</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t>圳证劵交易所挂牌交易。股票简称</w:t>
      </w:r>
      <w:r>
        <w:rPr>
          <w:rFonts w:ascii="Times New Roman" w:hAnsi="Times New Roman" w:cs="Times New Roman" w:eastAsia="Times New Roman" w:hint="default"/>
        </w:rPr>
        <w:t>“</w:t>
      </w:r>
      <w:r>
        <w:rPr/>
        <w:t>美盈森</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“002303”</w:t>
      </w:r>
      <w:r>
        <w:rPr/>
        <w:t>。股票发行后，自然人股东王海鹏持有公司股票</w:t>
      </w:r>
      <w:r>
        <w:rPr>
          <w:rFonts w:ascii="Times New Roman" w:hAnsi="Times New Roman" w:cs="Times New Roman" w:eastAsia="Times New Roman" w:hint="default"/>
        </w:rPr>
        <w:t>8,857.56</w:t>
      </w:r>
      <w:r>
        <w:rPr/>
        <w:t>万</w:t>
      </w:r>
      <w:r>
        <w:rPr>
          <w:spacing w:val="-51"/>
        </w:rPr>
        <w:t> </w:t>
      </w:r>
      <w:r>
        <w:rPr/>
        <w:t>股</w:t>
      </w:r>
      <w:r>
        <w:rPr>
          <w:rFonts w:ascii="Times New Roman" w:hAnsi="Times New Roman" w:cs="Times New Roman" w:eastAsia="Times New Roman" w:hint="default"/>
        </w:rPr>
        <w:t>,</w:t>
      </w:r>
      <w:r>
        <w:rPr/>
        <w:t>持股比例为</w:t>
      </w:r>
      <w:r>
        <w:rPr>
          <w:rFonts w:ascii="Times New Roman" w:hAnsi="Times New Roman" w:cs="Times New Roman" w:eastAsia="Times New Roman" w:hint="default"/>
        </w:rPr>
        <w:t>49.54%,</w:t>
      </w:r>
      <w:r>
        <w:rPr/>
        <w:t>为公司的实际控制人。</w:t>
      </w:r>
    </w:p>
    <w:p>
      <w:pPr>
        <w:pStyle w:val="BodyText"/>
        <w:spacing w:line="300" w:lineRule="auto" w:before="133"/>
        <w:ind w:right="1132" w:firstLine="290"/>
        <w:jc w:val="both"/>
      </w:pPr>
      <w:r>
        <w:rPr/>
        <w:t>根据公司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08</w:t>
      </w:r>
      <w:r>
        <w:rPr/>
        <w:t>月</w:t>
      </w:r>
      <w:r>
        <w:rPr>
          <w:rFonts w:ascii="Times New Roman" w:hAnsi="Times New Roman" w:cs="Times New Roman" w:eastAsia="Times New Roman" w:hint="default"/>
        </w:rPr>
        <w:t>26</w:t>
      </w:r>
      <w:r>
        <w:rPr/>
        <w:t>日第二届董事会第二十二次会议决议并经股东大会审议批准，同意公司以截止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w:t>
      </w:r>
      <w:r>
        <w:rPr>
          <w:spacing w:val="1"/>
        </w:rPr>
        <w:t> </w:t>
      </w:r>
      <w:r>
        <w:rPr/>
        <w:t>司的总股本</w:t>
      </w:r>
      <w:r>
        <w:rPr>
          <w:rFonts w:ascii="Times New Roman" w:hAnsi="Times New Roman" w:cs="Times New Roman" w:eastAsia="Times New Roman" w:hint="default"/>
        </w:rPr>
        <w:t>178,800,000</w:t>
      </w:r>
      <w:r>
        <w:rPr/>
        <w:t>股为基数，进行资本公积转增资本，向全体股东每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股，并对公司经营范围进行变更。</w:t>
      </w:r>
    </w:p>
    <w:p>
      <w:pPr>
        <w:pStyle w:val="BodyText"/>
        <w:spacing w:line="300" w:lineRule="auto" w:before="133"/>
        <w:ind w:right="1130" w:firstLine="290"/>
        <w:jc w:val="both"/>
      </w:pPr>
      <w:r>
        <w:rPr/>
        <w:t>根据公司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日第三届董事会第四次会议决议并经股东大会审议批准，同意公司以截止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 </w:t>
      </w:r>
      <w:r>
        <w:rPr>
          <w:spacing w:val="-2"/>
        </w:rPr>
        <w:t>总股本为基数，进行资本公积金转增股本，向全体股东每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股，共计转增股本</w:t>
      </w:r>
      <w:r>
        <w:rPr>
          <w:rFonts w:ascii="Times New Roman" w:hAnsi="Times New Roman" w:cs="Times New Roman" w:eastAsia="Times New Roman" w:hint="default"/>
          <w:spacing w:val="-2"/>
        </w:rPr>
        <w:t>357,600,000</w:t>
      </w:r>
      <w:r>
        <w:rPr>
          <w:spacing w:val="-2"/>
        </w:rPr>
        <w:t>股，转增后公司总股本增</w:t>
      </w:r>
      <w:r>
        <w:rPr>
          <w:spacing w:val="-52"/>
        </w:rPr>
        <w:t> </w:t>
      </w:r>
      <w:r>
        <w:rPr>
          <w:spacing w:val="-52"/>
        </w:rPr>
      </w:r>
      <w:r>
        <w:rPr/>
        <w:t>加至</w:t>
      </w:r>
      <w:r>
        <w:rPr>
          <w:rFonts w:ascii="Times New Roman" w:hAnsi="Times New Roman" w:cs="Times New Roman" w:eastAsia="Times New Roman" w:hint="default"/>
        </w:rPr>
        <w:t>715,200,000</w:t>
      </w:r>
      <w:r>
        <w:rPr/>
        <w:t>股。本次变更已向深圳市市场监督管理局备案。目前的公司工商登记情况如下：</w:t>
      </w:r>
    </w:p>
    <w:p>
      <w:pPr>
        <w:pStyle w:val="BodyText"/>
        <w:spacing w:line="424" w:lineRule="auto" w:before="133"/>
        <w:ind w:left="444" w:right="6732"/>
        <w:jc w:val="left"/>
      </w:pPr>
      <w:r>
        <w:rPr/>
        <w:t>企业法人营业执照注册号：</w:t>
      </w:r>
      <w:r>
        <w:rPr>
          <w:rFonts w:ascii="Times New Roman" w:hAnsi="Times New Roman" w:cs="Times New Roman" w:eastAsia="Times New Roman" w:hint="default"/>
        </w:rPr>
        <w:t>440306102876659 </w:t>
      </w:r>
      <w:r>
        <w:rPr/>
        <w:t>住所：深圳市光明新区新陂头村美盈森厂区</w:t>
      </w:r>
      <w:r>
        <w:rPr>
          <w:rFonts w:ascii="Times New Roman" w:hAnsi="Times New Roman" w:cs="Times New Roman" w:eastAsia="Times New Roman" w:hint="default"/>
        </w:rPr>
        <w:t>A</w:t>
      </w:r>
      <w:r>
        <w:rPr/>
        <w:t>栋 法定代表人：王海鹏 注册资本：人民币柒亿壹仟伍佰贰拾万元整</w:t>
      </w:r>
    </w:p>
    <w:p>
      <w:pPr>
        <w:pStyle w:val="BodyText"/>
        <w:spacing w:line="319" w:lineRule="auto" w:before="58"/>
        <w:ind w:left="154" w:right="0" w:firstLine="290"/>
        <w:jc w:val="left"/>
      </w:pPr>
      <w:r>
        <w:rPr/>
        <w:t>经营范围：一般经营项目：轻型环保包装制品、重型环保包装制品、包装材料、包装机械的技术开发及销售；一体化包 </w:t>
      </w:r>
      <w:r>
        <w:rPr>
          <w:spacing w:val="-2"/>
        </w:rPr>
        <w:t>装方案的技术开发；隐藏信息防伪技术的开发，特种标签材质的精密模切，智能卡终端读写设备的开发与销售；货物及技术</w:t>
      </w:r>
      <w:r>
        <w:rPr>
          <w:spacing w:val="-66"/>
        </w:rPr>
        <w:t> </w:t>
      </w:r>
      <w:r>
        <w:rPr>
          <w:spacing w:val="-66"/>
        </w:rPr>
      </w:r>
      <w:r>
        <w:rPr>
          <w:spacing w:val="-2"/>
        </w:rPr>
        <w:t>进出口；（以上均不含法律、行政法规、国务院决定禁止及规定需前置审批项目），纸制品休闲家居、办公用品、玩具用品</w:t>
      </w:r>
      <w:r>
        <w:rPr>
          <w:spacing w:val="-66"/>
        </w:rPr>
        <w:t> </w:t>
      </w:r>
      <w:r>
        <w:rPr>
          <w:spacing w:val="-66"/>
        </w:rPr>
      </w:r>
      <w:r>
        <w:rPr>
          <w:spacing w:val="-4"/>
        </w:rPr>
        <w:t>的研发、生产和销售。许可经营项目：纸箱、木箱的生产及销售；无线射频标签，高新材料的研发与生产；包装装潢印刷品、</w:t>
      </w:r>
      <w:r>
        <w:rPr>
          <w:spacing w:val="-49"/>
        </w:rPr>
        <w:t> </w:t>
      </w:r>
      <w:r>
        <w:rPr>
          <w:spacing w:val="-49"/>
        </w:rPr>
      </w:r>
      <w:r>
        <w:rPr/>
        <w:t>其他印刷品印刷；从事普通货运。</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02" w:lineRule="auto"/>
        <w:ind w:left="154" w:right="1133" w:firstLine="290"/>
        <w:jc w:val="both"/>
      </w:pPr>
      <w:r>
        <w:rPr/>
        <w:t>在上年度财务报告编制的基础上，公司本年度将泸美新纳入合并报表范围。公司于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月份与相关公司合资设立四 川泸美供应链管理有限公司，公司持有泸美</w:t>
      </w:r>
      <w:r>
        <w:rPr>
          <w:rFonts w:ascii="Times New Roman" w:hAnsi="Times New Roman" w:cs="Times New Roman" w:eastAsia="Times New Roman" w:hint="default"/>
        </w:rPr>
        <w:t>60.87%</w:t>
      </w:r>
      <w:r>
        <w:rPr/>
        <w:t>股权，泸美为公司控股子公司，按照相应的会计编制规则，公司将泸美</w:t>
      </w:r>
      <w:r>
        <w:rPr>
          <w:spacing w:val="-21"/>
        </w:rPr>
        <w:t> </w:t>
      </w:r>
      <w:r>
        <w:rPr>
          <w:spacing w:val="-21"/>
        </w:rPr>
      </w:r>
      <w:r>
        <w:rPr/>
        <w:t>纳入合并报表范围。</w:t>
      </w:r>
    </w:p>
    <w:p>
      <w:pPr>
        <w:spacing w:line="240" w:lineRule="auto" w:before="5"/>
        <w:rPr>
          <w:rFonts w:ascii="宋体" w:hAnsi="宋体" w:cs="宋体" w:eastAsia="宋体" w:hint="default"/>
          <w:sz w:val="21"/>
          <w:szCs w:val="21"/>
        </w:rPr>
      </w:pPr>
    </w:p>
    <w:p>
      <w:pPr>
        <w:pStyle w:val="Heading2"/>
        <w:spacing w:line="240" w:lineRule="auto"/>
        <w:ind w:left="154" w:right="0"/>
        <w:jc w:val="left"/>
        <w:rPr>
          <w:b w:val="0"/>
          <w:bCs w:val="0"/>
        </w:rPr>
      </w:pPr>
      <w:bookmarkStart w:name="四、财务报表的编制基础" w:id="155"/>
      <w:bookmarkEnd w:id="155"/>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56"/>
      <w:bookmarkEnd w:id="15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1079" w:firstLine="450"/>
        <w:jc w:val="both"/>
      </w:pPr>
      <w:r>
        <w:rPr/>
        <w:t>本公司财务报表以持续经营假设为基础，根据实际发生的交易和事项，按照财政部颁布的《企业会计准则</w:t>
      </w:r>
      <w:r>
        <w:rPr>
          <w:rFonts w:ascii="Times New Roman" w:hAnsi="Times New Roman" w:cs="Times New Roman" w:eastAsia="Times New Roman" w:hint="default"/>
        </w:rPr>
        <w:t>-</w:t>
      </w:r>
      <w:r>
        <w:rPr/>
        <w:t>基本准则》 </w:t>
      </w:r>
      <w:r>
        <w:rPr>
          <w:spacing w:val="-2"/>
        </w:rPr>
        <w:t>和具体会计准则，以及企业会计准则应用指南、企业会计准则解释及其他规定，并基于以下所述重要会计政策、会计估计进</w:t>
      </w:r>
      <w:r>
        <w:rPr>
          <w:spacing w:val="-66"/>
        </w:rPr>
        <w:t> </w:t>
      </w:r>
      <w:r>
        <w:rPr>
          <w:spacing w:val="-66"/>
        </w:rPr>
      </w:r>
      <w:r>
        <w:rPr/>
        <w:t>行编制。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1"/>
        <w:ind w:right="0"/>
        <w:jc w:val="left"/>
        <w:rPr>
          <w:b w:val="0"/>
          <w:bCs w:val="0"/>
        </w:rPr>
      </w:pPr>
      <w:bookmarkStart w:name="2、持续经营" w:id="157"/>
      <w:bookmarkEnd w:id="15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firstLine="290"/>
        <w:jc w:val="both"/>
      </w:pPr>
      <w:r>
        <w:rPr>
          <w:spacing w:val="-2"/>
        </w:rPr>
        <w:t>本公司无影响持续经营能力的事项，预计未来</w:t>
      </w:r>
      <w:r>
        <w:rPr>
          <w:rFonts w:ascii="Times New Roman" w:hAnsi="Times New Roman" w:cs="Times New Roman" w:eastAsia="Times New Roman" w:hint="default"/>
          <w:spacing w:val="-2"/>
        </w:rPr>
        <w:t>12</w:t>
      </w:r>
      <w:r>
        <w:rPr>
          <w:spacing w:val="-2"/>
        </w:rPr>
        <w:t>个月内具备持续经营的能力</w:t>
      </w:r>
      <w:r>
        <w:rPr>
          <w:rFonts w:ascii="Times New Roman" w:hAnsi="Times New Roman" w:cs="Times New Roman" w:eastAsia="Times New Roman" w:hint="default"/>
          <w:spacing w:val="-2"/>
        </w:rPr>
        <w:t>,</w:t>
      </w:r>
      <w:r>
        <w:rPr>
          <w:spacing w:val="-2"/>
        </w:rPr>
        <w:t>本公司的财务报表系在持续经营为假设的基</w:t>
      </w:r>
      <w:r>
        <w:rPr/>
        <w:t> 础上编制。</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五、重要会计政策及会计估计" w:id="158"/>
      <w:bookmarkEnd w:id="158"/>
      <w:r>
        <w:rPr>
          <w:b w:val="0"/>
          <w:bCs w:val="0"/>
        </w:rPr>
      </w:r>
      <w:r>
        <w:rPr/>
        <w:t>五、重要会计政策及会计估计</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444" w:right="0" w:hanging="291"/>
        <w:jc w:val="left"/>
      </w:pPr>
      <w:r>
        <w:rPr/>
        <w:t>具体会计政策和会计估计提示： </w:t>
      </w:r>
      <w:r>
        <w:rPr>
          <w:spacing w:val="-1"/>
        </w:rPr>
        <w:t>公司根据实际发生的交易和事项，按照财政部颁布的《企业会计准则</w:t>
      </w:r>
      <w:r>
        <w:rPr>
          <w:rFonts w:ascii="Times New Roman" w:hAnsi="Times New Roman" w:cs="Times New Roman" w:eastAsia="Times New Roman" w:hint="default"/>
          <w:spacing w:val="-1"/>
        </w:rPr>
        <w:t>——</w:t>
      </w:r>
      <w:r>
        <w:rPr>
          <w:spacing w:val="-1"/>
        </w:rPr>
        <w:t>基本准则》和各项具体会计准则、企业会计准</w:t>
      </w:r>
    </w:p>
    <w:p>
      <w:pPr>
        <w:pStyle w:val="BodyText"/>
        <w:spacing w:line="214" w:lineRule="exact"/>
        <w:ind w:right="0"/>
        <w:jc w:val="left"/>
      </w:pPr>
      <w:r>
        <w:rPr/>
        <w:t>则应用指南、企业会计准则解释及其他相关规定（以下合称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w:t>
      </w:r>
      <w:r>
        <w:rPr>
          <w:rFonts w:ascii="Times New Roman" w:hAnsi="Times New Roman" w:cs="Times New Roman" w:eastAsia="Times New Roman" w:hint="default"/>
        </w:rPr>
        <w:t>2014</w:t>
      </w:r>
      <w:r>
        <w:rPr/>
        <w:t>年修订的</w:t>
      </w:r>
    </w:p>
    <w:p>
      <w:pPr>
        <w:pStyle w:val="BodyText"/>
        <w:spacing w:line="240" w:lineRule="auto" w:before="63"/>
        <w:ind w:right="0"/>
        <w:jc w:val="left"/>
      </w:pPr>
      <w:r>
        <w:rPr/>
        <w:t>《公开发行证券的公司信息披露编报规则第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财务报告的一般规定》的披露要求编制财务报表。</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遵循企业会计准则的声明" w:id="159"/>
      <w:bookmarkEnd w:id="15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08"/>
        <w:jc w:val="both"/>
      </w:pPr>
      <w:r>
        <w:rPr>
          <w:spacing w:val="-1"/>
        </w:rPr>
        <w:t>本公司编制的财务报表符合企业会计准则的要求，真实、完整地反映了本公司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日的财务状况及</w:t>
      </w:r>
      <w:r>
        <w:rPr>
          <w:rFonts w:ascii="Times New Roman" w:hAnsi="Times New Roman" w:cs="Times New Roman" w:eastAsia="Times New Roman" w:hint="default"/>
          <w:spacing w:val="-1"/>
        </w:rPr>
        <w:t>2014</w:t>
      </w:r>
      <w:r>
        <w:rPr>
          <w:spacing w:val="-1"/>
        </w:rPr>
        <w:t>年度的</w:t>
      </w:r>
      <w:r>
        <w:rPr/>
        <w:t> </w:t>
      </w:r>
      <w:r>
        <w:rPr>
          <w:spacing w:val="-2"/>
        </w:rPr>
        <w:t>经营成果和现金流量等有关信息。此外，本公司的财务报表所有重大方面符合中国证券监督管理委员会</w:t>
      </w:r>
      <w:r>
        <w:rPr>
          <w:rFonts w:ascii="Times New Roman" w:hAnsi="Times New Roman" w:cs="Times New Roman" w:eastAsia="Times New Roman" w:hint="default"/>
          <w:spacing w:val="-2"/>
        </w:rPr>
        <w:t>2014</w:t>
      </w:r>
      <w:r>
        <w:rPr>
          <w:spacing w:val="-2"/>
        </w:rPr>
        <w:t>年修订的《公开</w:t>
      </w:r>
      <w:r>
        <w:rPr>
          <w:spacing w:val="-61"/>
        </w:rPr>
        <w:t> </w:t>
      </w:r>
      <w:r>
        <w:rPr>
          <w:spacing w:val="-61"/>
        </w:rPr>
      </w:r>
      <w:r>
        <w:rPr/>
        <w:t>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2、会计期间" w:id="160"/>
      <w:bookmarkEnd w:id="16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23" w:right="0"/>
        <w:jc w:val="left"/>
      </w:pPr>
      <w:r>
        <w:rPr/>
        <w:t>本公司会计年度为公历年度，即每年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53" w:right="0"/>
        <w:jc w:val="left"/>
        <w:rPr>
          <w:b w:val="0"/>
          <w:bCs w:val="0"/>
        </w:rPr>
      </w:pPr>
      <w:bookmarkStart w:name="3、营业周期" w:id="161"/>
      <w:bookmarkEnd w:id="16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本公司以一年</w:t>
      </w:r>
      <w:r>
        <w:rPr>
          <w:rFonts w:ascii="Times New Roman" w:hAnsi="Times New Roman" w:cs="Times New Roman" w:eastAsia="Times New Roman" w:hint="default"/>
        </w:rPr>
        <w:t>12</w:t>
      </w:r>
      <w:r>
        <w:rPr/>
        <w:t>个月作为正常营业周期，并以营业周期作为资产和负债的流动性划分标准。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bookmarkStart w:name="4、记账本位币" w:id="162"/>
      <w:bookmarkEnd w:id="16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本公司以人民币为记账本位币。</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同一控制下和非同一控制下企业合并的会计处理方法" w:id="163"/>
      <w:bookmarkEnd w:id="16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290"/>
        <w:jc w:val="both"/>
      </w:pPr>
      <w:r>
        <w:rPr>
          <w:spacing w:val="-1"/>
        </w:rPr>
        <w:t>企业合并，是指将两个或两个以上单独的企业合并形成一个报告主体的交易或事项。企业合并分为同一控制下企业合并</w:t>
      </w:r>
      <w:r>
        <w:rPr/>
        <w:t> 和非同一控制下企业合并。</w:t>
      </w:r>
    </w:p>
    <w:p>
      <w:pPr>
        <w:pStyle w:val="BodyText"/>
        <w:spacing w:line="300" w:lineRule="auto" w:before="19"/>
        <w:ind w:left="444" w:right="0"/>
        <w:jc w:val="left"/>
      </w:pPr>
      <w:r>
        <w:rPr/>
        <w:t>（</w:t>
      </w:r>
      <w:r>
        <w:rPr>
          <w:rFonts w:ascii="Times New Roman" w:hAnsi="Times New Roman" w:cs="Times New Roman" w:eastAsia="Times New Roman" w:hint="default"/>
        </w:rPr>
        <w:t>1</w:t>
      </w:r>
      <w:r>
        <w:rPr/>
        <w:t>）同一控制下企业合并 </w:t>
      </w:r>
      <w:r>
        <w:rPr>
          <w:spacing w:val="-1"/>
        </w:rPr>
        <w:t>参与合并的企业在合并前后均受同一方或相同的多方最终控制，且该控制并非暂时性的，为同一控制下的企业合并。同</w:t>
      </w:r>
    </w:p>
    <w:p>
      <w:pPr>
        <w:pStyle w:val="BodyText"/>
        <w:spacing w:line="316" w:lineRule="auto" w:before="31"/>
        <w:ind w:left="154" w:right="0"/>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left="154" w:right="1050" w:firstLine="290"/>
        <w:jc w:val="both"/>
      </w:pPr>
      <w:r>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BodyText"/>
        <w:spacing w:line="240" w:lineRule="auto" w:before="19"/>
        <w:ind w:left="444" w:right="0"/>
        <w:jc w:val="left"/>
      </w:pPr>
      <w:r>
        <w:rPr/>
        <w:t>合并方为进行企业合并发生的各项直接费用，于发生时计入当期损益。</w:t>
      </w:r>
    </w:p>
    <w:p>
      <w:pPr>
        <w:pStyle w:val="BodyText"/>
        <w:spacing w:line="300" w:lineRule="auto" w:before="76"/>
        <w:ind w:left="444" w:right="0"/>
        <w:jc w:val="left"/>
      </w:pPr>
      <w:r>
        <w:rPr/>
        <w:t>（</w:t>
      </w:r>
      <w:r>
        <w:rPr>
          <w:rFonts w:ascii="Times New Roman" w:hAnsi="Times New Roman" w:cs="Times New Roman" w:eastAsia="Times New Roman" w:hint="default"/>
        </w:rPr>
        <w:t>2</w:t>
      </w:r>
      <w:r>
        <w:rPr/>
        <w:t>）非同一控制下企业合并 </w:t>
      </w:r>
      <w:r>
        <w:rPr>
          <w:spacing w:val="-1"/>
        </w:rPr>
        <w:t>参与合并的企业在合并前后不受同一方或相同的多方最终控制的，为非同一控制下的企业合并。非同一控制下的企业合</w:t>
      </w:r>
    </w:p>
    <w:p>
      <w:pPr>
        <w:pStyle w:val="BodyText"/>
        <w:spacing w:line="316" w:lineRule="auto" w:before="31"/>
        <w:ind w:left="154" w:right="0"/>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316" w:lineRule="auto" w:before="19"/>
        <w:ind w:left="154" w:right="1131" w:firstLine="290"/>
        <w:jc w:val="both"/>
      </w:pPr>
      <w:r>
        <w:rPr>
          <w:spacing w:val="-1"/>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5"/>
        </w:rPr>
        <w:t> </w:t>
      </w:r>
      <w:r>
        <w:rPr>
          <w:spacing w:val="-65"/>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130" w:firstLine="290"/>
        <w:jc w:val="both"/>
      </w:pPr>
      <w:r>
        <w:rPr>
          <w:spacing w:val="-1"/>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1"/>
        </w:rPr>
        <w:t>12</w:t>
      </w:r>
      <w:r>
        <w:rPr>
          <w:spacing w:val="-1"/>
        </w:rPr>
        <w:t>个</w:t>
      </w:r>
      <w:r>
        <w:rPr/>
        <w:t> </w:t>
      </w:r>
      <w:r>
        <w:rPr>
          <w:spacing w:val="-2"/>
        </w:rPr>
        <w:t>月内，如取得新的或进一步的信息表明购买日的相关情况已经存在，预期被购买方在购买日可抵扣暂时性差异带来的经济利</w:t>
      </w:r>
      <w:r>
        <w:rPr>
          <w:spacing w:val="-64"/>
        </w:rPr>
        <w:t> </w:t>
      </w:r>
      <w:r>
        <w:rPr>
          <w:spacing w:val="-64"/>
        </w:rPr>
      </w:r>
      <w:r>
        <w:rPr>
          <w:spacing w:val="-2"/>
        </w:rPr>
        <w:t>益能够实现的，则确认相关的递延所得税资产，同时减少商誉，商誉不足冲减的，差额部分确认为当期损益；除上述情况以</w:t>
      </w:r>
      <w:r>
        <w:rPr>
          <w:spacing w:val="-66"/>
        </w:rPr>
        <w:t> </w:t>
      </w:r>
      <w:r>
        <w:rPr>
          <w:spacing w:val="-66"/>
        </w:rPr>
      </w:r>
      <w:r>
        <w:rPr/>
        <w:t>外，确认与企业合并相关的递延所得税资产的，计入当期损益。</w:t>
      </w:r>
    </w:p>
    <w:p>
      <w:pPr>
        <w:pStyle w:val="BodyText"/>
        <w:spacing w:line="300" w:lineRule="auto" w:before="23"/>
        <w:ind w:right="0" w:firstLine="290"/>
        <w:jc w:val="left"/>
      </w:pPr>
      <w:r>
        <w:rPr>
          <w:spacing w:val="-4"/>
        </w:rPr>
        <w:t>通过多次交易分步实现的非同一控制下企业合并，根据《财政部关于印发企业会计准则解释第</w:t>
      </w:r>
      <w:r>
        <w:rPr>
          <w:rFonts w:ascii="Times New Roman" w:hAnsi="Times New Roman" w:cs="Times New Roman" w:eastAsia="Times New Roman" w:hint="default"/>
          <w:spacing w:val="-4"/>
        </w:rPr>
        <w:t>5</w:t>
      </w:r>
      <w:r>
        <w:rPr>
          <w:spacing w:val="-4"/>
        </w:rPr>
        <w:t>号的通知》（财会〔</w:t>
      </w:r>
      <w:r>
        <w:rPr>
          <w:rFonts w:ascii="Times New Roman" w:hAnsi="Times New Roman" w:cs="Times New Roman" w:eastAsia="Times New Roman" w:hint="default"/>
          <w:spacing w:val="-4"/>
        </w:rPr>
        <w:t>2012</w:t>
      </w:r>
      <w:r>
        <w:rPr>
          <w:spacing w:val="-4"/>
        </w:rPr>
        <w:t>〕</w:t>
      </w:r>
      <w:r>
        <w:rPr/>
        <w:t> </w:t>
      </w:r>
      <w:r>
        <w:rPr>
          <w:rFonts w:ascii="Times New Roman" w:hAnsi="Times New Roman" w:cs="Times New Roman" w:eastAsia="Times New Roman" w:hint="default"/>
          <w:spacing w:val="-3"/>
        </w:rPr>
        <w:t>19</w:t>
      </w:r>
      <w:r>
        <w:rPr>
          <w:spacing w:val="-3"/>
        </w:rPr>
        <w:t>号）和《企业会计准则第</w:t>
      </w:r>
      <w:r>
        <w:rPr>
          <w:rFonts w:ascii="Times New Roman" w:hAnsi="Times New Roman" w:cs="Times New Roman" w:eastAsia="Times New Roman" w:hint="default"/>
          <w:spacing w:val="-3"/>
        </w:rPr>
        <w:t>33</w:t>
      </w:r>
      <w:r>
        <w:rPr>
          <w:spacing w:val="-3"/>
        </w:rPr>
        <w:t>号</w:t>
      </w:r>
      <w:r>
        <w:rPr>
          <w:rFonts w:ascii="Times New Roman" w:hAnsi="Times New Roman" w:cs="Times New Roman" w:eastAsia="Times New Roman" w:hint="default"/>
          <w:spacing w:val="-3"/>
        </w:rPr>
        <w:t>——</w:t>
      </w:r>
      <w:r>
        <w:rPr>
          <w:spacing w:val="-3"/>
        </w:rPr>
        <w:t>合并财务报表》第五十一条关于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的判断标准，判断该多次交易是否属于</w:t>
      </w:r>
      <w:r>
        <w:rPr>
          <w:rFonts w:ascii="Times New Roman" w:hAnsi="Times New Roman" w:cs="Times New Roman" w:eastAsia="Times New Roman" w:hint="default"/>
          <w:spacing w:val="-3"/>
        </w:rPr>
        <w:t>“</w:t>
      </w:r>
      <w:r>
        <w:rPr>
          <w:spacing w:val="-3"/>
        </w:rPr>
        <w:t>一</w:t>
      </w:r>
      <w:r>
        <w:rPr>
          <w:spacing w:val="-60"/>
        </w:rPr>
        <w:t> </w:t>
      </w:r>
      <w:r>
        <w:rPr/>
        <w:t>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 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1131" w:firstLine="290"/>
        <w:jc w:val="both"/>
      </w:pPr>
      <w:r>
        <w:rPr>
          <w:spacing w:val="-1"/>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6" w:lineRule="auto" w:before="59"/>
        <w:ind w:right="1131"/>
        <w:jc w:val="both"/>
      </w:pPr>
      <w:r>
        <w:rPr>
          <w:spacing w:val="-2"/>
        </w:rPr>
        <w:t>在合并财务报表中，对于购买日之前持有的被购买方的股权，按照该股权在购买日的公允价值进行重新计量，公允价值与其</w:t>
      </w:r>
      <w:r>
        <w:rPr>
          <w:spacing w:val="-66"/>
        </w:rPr>
        <w:t> </w:t>
      </w:r>
      <w:r>
        <w:rPr>
          <w:spacing w:val="-66"/>
        </w:rPr>
      </w:r>
      <w:r>
        <w:rPr>
          <w:spacing w:val="-2"/>
        </w:rPr>
        <w:t>账面价值的差额计入当期投资收益；购买日之前持有的被购买方的股权涉及其他综合收益的，与其相关的其他综合收益应当</w:t>
      </w:r>
      <w:r>
        <w:rPr>
          <w:spacing w:val="-64"/>
        </w:rPr>
        <w:t> </w:t>
      </w:r>
      <w:r>
        <w:rPr>
          <w:spacing w:val="-64"/>
        </w:rPr>
      </w:r>
      <w:r>
        <w:rPr>
          <w:spacing w:val="-2"/>
        </w:rPr>
        <w:t>采用与被购买方直接处置相关资产或负债相同的基础进行会计处理（即，除了按照权益法核算的在被购买方重新计量设定受</w:t>
      </w:r>
      <w:r>
        <w:rPr>
          <w:spacing w:val="-64"/>
        </w:rPr>
        <w:t> </w:t>
      </w:r>
      <w:r>
        <w:rPr>
          <w:spacing w:val="-64"/>
        </w:rPr>
      </w:r>
      <w:r>
        <w:rPr/>
        <w:t>益计划净负债或净资产导致的变动中的相应份额以外，其余转为购买日所属当期投资收益）。</w:t>
      </w:r>
    </w:p>
    <w:p>
      <w:pPr>
        <w:spacing w:line="240" w:lineRule="auto" w:before="6"/>
        <w:rPr>
          <w:rFonts w:ascii="宋体" w:hAnsi="宋体" w:cs="宋体" w:eastAsia="宋体" w:hint="default"/>
          <w:sz w:val="22"/>
          <w:szCs w:val="22"/>
        </w:rPr>
      </w:pPr>
    </w:p>
    <w:p>
      <w:pPr>
        <w:pStyle w:val="Heading3"/>
        <w:spacing w:line="240" w:lineRule="auto"/>
        <w:ind w:left="153" w:right="0"/>
        <w:jc w:val="left"/>
        <w:rPr>
          <w:b w:val="0"/>
          <w:bCs w:val="0"/>
        </w:rPr>
      </w:pPr>
      <w:bookmarkStart w:name="6、合并财务报表的编制方法" w:id="164"/>
      <w:bookmarkEnd w:id="16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本公司将全部子公司（包括本公司所控制的单独主体）纳入合并财务报表范围，包括被本公司控制的企业、被投资单 位中可分割的部分以及结构化主体。</w:t>
      </w:r>
    </w:p>
    <w:p>
      <w:pPr>
        <w:pStyle w:val="BodyText"/>
        <w:spacing w:line="300" w:lineRule="auto" w:before="19"/>
        <w:ind w:right="1050" w:firstLine="420"/>
        <w:jc w:val="both"/>
      </w:pPr>
      <w:r>
        <w:rPr/>
        <w:t>本公司合并财务报表按照《企业会计准则第</w:t>
      </w:r>
      <w:r>
        <w:rPr>
          <w:rFonts w:ascii="Times New Roman" w:hAnsi="Times New Roman" w:cs="Times New Roman" w:eastAsia="Times New Roman" w:hint="default"/>
        </w:rPr>
        <w:t>33</w:t>
      </w:r>
      <w:r>
        <w:rPr/>
        <w:t>号－合并财务报表》及相关规定的要求编制，合并时抵销合并范围内的 所有重大内部交易和往来。子公司的股东权益中不属于母公司所拥有的部分作为少数股东权益在合并财务报表中单独列示。</w:t>
      </w:r>
    </w:p>
    <w:p>
      <w:pPr>
        <w:pStyle w:val="BodyText"/>
        <w:spacing w:line="316" w:lineRule="auto" w:before="31"/>
        <w:ind w:left="154" w:right="1133" w:firstLine="420"/>
        <w:jc w:val="both"/>
      </w:pPr>
      <w:r>
        <w:rPr/>
        <w:t>子公司与本公司采用的会计政策或会计期间不一致的，在编制合并财务报表时，按照本公司的会计政策或会计期间对 子公司财务报表进行必要的调整。</w:t>
      </w:r>
    </w:p>
    <w:p>
      <w:pPr>
        <w:pStyle w:val="BodyText"/>
        <w:spacing w:line="312" w:lineRule="auto" w:before="19"/>
        <w:ind w:left="154" w:right="1131" w:firstLine="420"/>
        <w:jc w:val="both"/>
      </w:pPr>
      <w:r>
        <w:rPr/>
        <w:t>合并财务报表以母公司和子公司的资产负债表为基础，已抵销了母公司与子公司、子公司相互之间发生的内部交易。 </w:t>
      </w:r>
      <w:r>
        <w:rPr>
          <w:spacing w:val="2"/>
        </w:rPr>
        <w:t>子公司所有者权益中不属于母公司的份额，作为少数股东权益，在合并资产负债表中所有者权益项目下以</w:t>
      </w:r>
      <w:r>
        <w:rPr>
          <w:rFonts w:ascii="Times New Roman" w:hAnsi="Times New Roman" w:cs="Times New Roman" w:eastAsia="Times New Roman" w:hint="default"/>
          <w:spacing w:val="2"/>
        </w:rPr>
        <w:t>“</w:t>
      </w:r>
      <w:r>
        <w:rPr>
          <w:spacing w:val="2"/>
        </w:rPr>
        <w:t>少数股东权益</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spacing w:val="-2"/>
        </w:rPr>
        <w:t>项目列示。子公司持有母公司的长期股权投资，视为企业集团的库存股，作为所有者权益的减项，在合并资产负债表中所有</w:t>
      </w:r>
      <w:r>
        <w:rPr>
          <w:spacing w:val="-66"/>
        </w:rPr>
        <w:t> </w:t>
      </w:r>
      <w:r>
        <w:rPr>
          <w:spacing w:val="-66"/>
        </w:rPr>
      </w:r>
      <w:r>
        <w:rPr/>
        <w:t>者权益项目下以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w:t>
      </w:r>
    </w:p>
    <w:p>
      <w:pPr>
        <w:pStyle w:val="BodyText"/>
        <w:spacing w:line="316" w:lineRule="auto" w:before="3"/>
        <w:ind w:right="1131" w:firstLine="420"/>
        <w:jc w:val="both"/>
      </w:pPr>
      <w:r>
        <w:rPr/>
        <w:t>对于同一控制下企业合并取得的子公司，视同该企业合并于自最终控制方开始实时控制时已经发生，从合并当期的期 </w:t>
      </w:r>
      <w:r>
        <w:rPr>
          <w:spacing w:val="-2"/>
        </w:rPr>
        <w:t>初起将其资产、负债、经营成果和现金流量纳入合并财务报表；对于非同一控制下企业合并取得的子公司，在编制合并财务</w:t>
      </w:r>
      <w:r>
        <w:rPr>
          <w:spacing w:val="-66"/>
        </w:rPr>
        <w:t> </w:t>
      </w:r>
      <w:r>
        <w:rPr>
          <w:spacing w:val="-66"/>
        </w:rPr>
      </w:r>
      <w:r>
        <w:rPr/>
        <w:t>报表时，以购买日可辨认净资产公允价值为基础对其个别财务报表进行调整。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3"/>
        <w:spacing w:line="240" w:lineRule="auto"/>
        <w:ind w:left="153" w:right="0"/>
        <w:jc w:val="left"/>
        <w:rPr>
          <w:b w:val="0"/>
          <w:bCs w:val="0"/>
        </w:rPr>
      </w:pPr>
      <w:bookmarkStart w:name="7、合营安排分类及共同经营会计处理方法" w:id="165"/>
      <w:bookmarkEnd w:id="16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732" w:right="0"/>
        <w:jc w:val="left"/>
      </w:pPr>
      <w:r>
        <w:rPr>
          <w:rFonts w:ascii="Times New Roman" w:hAnsi="Times New Roman" w:cs="Times New Roman" w:eastAsia="Times New Roman" w:hint="default"/>
        </w:rPr>
        <w:t>1</w:t>
      </w:r>
      <w:r>
        <w:rPr/>
        <w:t>、合营安排的分类 合营安排分为共同经营和合营企业。未通过单独主体达成的合营安排，划分为共同经营。单独主体，是指具有单独</w:t>
      </w:r>
    </w:p>
    <w:p>
      <w:pPr>
        <w:pStyle w:val="BodyText"/>
        <w:spacing w:line="319" w:lineRule="auto" w:before="2"/>
        <w:ind w:right="1033"/>
        <w:jc w:val="left"/>
      </w:pPr>
      <w:r>
        <w:rPr/>
        <w:t>可辨认的财务架构的主体，包括单独的法人主体和不具备法人主体资格但法律认可的主体。通过单独主体达成的合营安排， </w:t>
      </w:r>
      <w:r>
        <w:rPr>
          <w:spacing w:val="-2"/>
        </w:rPr>
        <w:t>通常划分为合营企业。相关事实和情况变化导致合营方在合营安排中享有的权利和承担的义务发生变化的，合营方对合营安</w:t>
      </w:r>
      <w:r>
        <w:rPr>
          <w:spacing w:val="-64"/>
        </w:rPr>
        <w:t> </w:t>
      </w:r>
      <w:r>
        <w:rPr>
          <w:spacing w:val="-64"/>
        </w:rPr>
      </w:r>
      <w:r>
        <w:rPr/>
        <w:t>排的分类进行重新评估。</w:t>
      </w:r>
    </w:p>
    <w:p>
      <w:pPr>
        <w:pStyle w:val="BodyText"/>
        <w:spacing w:line="338" w:lineRule="auto" w:before="56"/>
        <w:ind w:left="732" w:right="0"/>
        <w:jc w:val="left"/>
      </w:pPr>
      <w:r>
        <w:rPr>
          <w:rFonts w:ascii="Times New Roman" w:hAnsi="Times New Roman" w:cs="Times New Roman" w:eastAsia="Times New Roman" w:hint="default"/>
        </w:rPr>
        <w:t>2</w:t>
      </w:r>
      <w:r>
        <w:rPr/>
        <w:t>、共同经营的会计处理 </w:t>
      </w:r>
      <w:r>
        <w:rPr>
          <w:spacing w:val="-1"/>
        </w:rPr>
        <w:t>共同经营参与方应当确认其与共同经营中利益份额相关的下列项目，并按照相关企业会计准则的规定进行会计处理：</w:t>
      </w:r>
    </w:p>
    <w:p>
      <w:pPr>
        <w:spacing w:after="0" w:line="338"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38" w:lineRule="auto" w:before="44"/>
        <w:ind w:right="0"/>
        <w:jc w:val="left"/>
      </w:pPr>
      <w:r>
        <w:rPr>
          <w:spacing w:val="-2"/>
        </w:rPr>
        <w:t>确认单独所持有的资产或负债，以及按其份额确认共同持有的资产或负债；确认出售其享有的共同经营产出份额所产生的收</w:t>
      </w:r>
      <w:r>
        <w:rPr>
          <w:spacing w:val="-63"/>
        </w:rPr>
        <w:t> </w:t>
      </w:r>
      <w:r>
        <w:rPr>
          <w:spacing w:val="-63"/>
        </w:rPr>
      </w:r>
      <w:r>
        <w:rPr/>
        <w:t>入；按其份额确认共同经营因出售产出所产生的收入；确认单独所发生的费用，以及按其份额确认共同经营发生的费用。 </w:t>
      </w:r>
      <w:r>
        <w:rPr>
          <w:spacing w:val="-2"/>
        </w:rPr>
        <w:t>对共同经营不享有共同控制的参与方，如果享有该共同经营相关资产且承担该共同经营相关负债的，参照共同经营参与方的</w:t>
      </w:r>
    </w:p>
    <w:p>
      <w:pPr>
        <w:pStyle w:val="BodyText"/>
        <w:spacing w:line="240" w:lineRule="auto" w:before="4"/>
        <w:ind w:right="0"/>
        <w:jc w:val="left"/>
      </w:pPr>
      <w:r>
        <w:rPr/>
        <w:t>规定进行会计处理；否则，应当按照相关企业会计准则的规定进行会计处理。</w:t>
      </w:r>
    </w:p>
    <w:p>
      <w:pPr>
        <w:pStyle w:val="BodyText"/>
        <w:spacing w:line="338" w:lineRule="auto" w:before="117"/>
        <w:ind w:left="732" w:right="0"/>
        <w:jc w:val="left"/>
      </w:pPr>
      <w:r>
        <w:rPr>
          <w:rFonts w:ascii="Times New Roman" w:hAnsi="Times New Roman" w:cs="Times New Roman" w:eastAsia="Times New Roman" w:hint="default"/>
        </w:rPr>
        <w:t>3</w:t>
      </w:r>
      <w:r>
        <w:rPr/>
        <w:t>、合营企业的会计处理 </w:t>
      </w:r>
      <w:r>
        <w:rPr>
          <w:spacing w:val="-1"/>
        </w:rPr>
        <w:t>合营企业参与方应当按照《企业会计准则第</w:t>
      </w:r>
      <w:r>
        <w:rPr>
          <w:rFonts w:ascii="Times New Roman" w:hAnsi="Times New Roman" w:cs="Times New Roman" w:eastAsia="Times New Roman" w:hint="default"/>
          <w:spacing w:val="-1"/>
        </w:rPr>
        <w:t>2</w:t>
      </w:r>
      <w:r>
        <w:rPr>
          <w:spacing w:val="-1"/>
        </w:rPr>
        <w:t>号</w:t>
      </w:r>
      <w:r>
        <w:rPr>
          <w:rFonts w:ascii="Times New Roman" w:hAnsi="Times New Roman" w:cs="Times New Roman" w:eastAsia="Times New Roman" w:hint="default"/>
          <w:spacing w:val="-1"/>
        </w:rPr>
        <w:t>—</w:t>
      </w:r>
      <w:r>
        <w:rPr>
          <w:spacing w:val="-1"/>
        </w:rPr>
        <w:t>长期股权投资》的规定对合营企业的投资进行会计处理，不享有共</w:t>
      </w:r>
    </w:p>
    <w:p>
      <w:pPr>
        <w:pStyle w:val="BodyText"/>
        <w:spacing w:line="218" w:lineRule="exact"/>
        <w:ind w:left="154" w:right="0"/>
        <w:jc w:val="left"/>
      </w:pPr>
      <w:r>
        <w:rPr/>
        <w:t>同控制的参与方应当根据其对该合营企业的影响程度进行会计处理。</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8、现金及现金等价物的确定标准" w:id="166"/>
      <w:bookmarkEnd w:id="166"/>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0" w:firstLine="420"/>
        <w:jc w:val="left"/>
      </w:pPr>
      <w:r>
        <w:rPr/>
        <w:t>本公司在编制现金流量表时所确定的现金，是指本公司库存现金以及可以随时用于支付的存款。 本公司在编制现金流量表时所确定的现金等价物，是指本公司持有的期限短、流动性强、易于转换为已知金额现金、价值</w:t>
      </w:r>
      <w:r>
        <w:rPr>
          <w:spacing w:val="-72"/>
        </w:rPr>
        <w:t> </w:t>
      </w:r>
      <w:r>
        <w:rPr>
          <w:spacing w:val="-72"/>
        </w:rPr>
      </w:r>
      <w:r>
        <w:rPr/>
        <w:t>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9"/>
        <w:ind w:left="153" w:right="0"/>
        <w:jc w:val="left"/>
        <w:rPr>
          <w:b w:val="0"/>
          <w:bCs w:val="0"/>
        </w:rPr>
      </w:pPr>
      <w:bookmarkStart w:name="9、外币业务和外币报表折算" w:id="167"/>
      <w:bookmarkEnd w:id="16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）外币业务</w:t>
      </w:r>
      <w:r>
        <w:rPr>
          <w:b w:val="0"/>
          <w:bCs w:val="0"/>
        </w:rPr>
      </w:r>
    </w:p>
    <w:p>
      <w:pPr>
        <w:pStyle w:val="BodyText"/>
        <w:spacing w:line="430" w:lineRule="atLeast" w:before="152"/>
        <w:ind w:left="573" w:right="0"/>
        <w:jc w:val="left"/>
      </w:pPr>
      <w:r>
        <w:rPr/>
        <w:t>本公司对发生的外币交易，采用与交易发生日即期汇率折合本位币入账。 资产负债表日，外币货币性项目按资产负债表日即期汇率折算，因该日的即期汇率与初始确认时或者前一资产负债表</w:t>
      </w:r>
    </w:p>
    <w:p>
      <w:pPr>
        <w:pStyle w:val="BodyText"/>
        <w:spacing w:line="316" w:lineRule="auto" w:before="77"/>
        <w:ind w:right="0"/>
        <w:jc w:val="left"/>
      </w:pPr>
      <w:r>
        <w:rPr>
          <w:spacing w:val="-2"/>
        </w:rPr>
        <w:t>日即期汇率不同而产生的汇兑差额，除符合资本化条件的外币专门借款的汇兑差额在资本化期间予以资本化计入相关资产的</w:t>
      </w:r>
      <w:r>
        <w:rPr>
          <w:spacing w:val="-64"/>
        </w:rPr>
        <w:t> </w:t>
      </w:r>
      <w:r>
        <w:rPr>
          <w:spacing w:val="-64"/>
        </w:rPr>
      </w:r>
      <w:r>
        <w:rPr/>
        <w:t>成本外，均计入当期损益。</w:t>
      </w:r>
    </w:p>
    <w:p>
      <w:pPr>
        <w:pStyle w:val="BodyText"/>
        <w:spacing w:line="319" w:lineRule="auto" w:before="139"/>
        <w:ind w:right="1131" w:firstLine="362"/>
        <w:jc w:val="both"/>
      </w:pPr>
      <w:r>
        <w:rPr>
          <w:spacing w:val="-2"/>
        </w:rPr>
        <w:t>以历史成本计量的外币非货币性项目，仍采用交易发生日的即期汇率折算，不改变其记账本位币金额。以公允价值计量</w:t>
      </w:r>
      <w:r>
        <w:rPr/>
        <w:t> </w:t>
      </w:r>
      <w:r>
        <w:rPr>
          <w:spacing w:val="-2"/>
        </w:rPr>
        <w:t>的外币非货币性项目，采用公允价值确定日的即期汇率折算，折算后的记账本位币金额与原记账本位币金额的差额，作为公</w:t>
      </w:r>
      <w:r>
        <w:rPr>
          <w:spacing w:val="-66"/>
        </w:rPr>
        <w:t> </w:t>
      </w:r>
      <w:r>
        <w:rPr>
          <w:spacing w:val="-66"/>
        </w:rPr>
      </w:r>
      <w:r>
        <w:rPr/>
        <w:t>允价值变动</w:t>
      </w:r>
      <w:r>
        <w:rPr>
          <w:rFonts w:ascii="Times New Roman" w:hAnsi="Times New Roman" w:cs="Times New Roman" w:eastAsia="Times New Roman" w:hint="default"/>
        </w:rPr>
        <w:t>(</w:t>
      </w:r>
      <w:r>
        <w:rPr/>
        <w:t>含汇率变动</w:t>
      </w:r>
      <w:r>
        <w:rPr>
          <w:rFonts w:ascii="Times New Roman" w:hAnsi="Times New Roman" w:cs="Times New Roman" w:eastAsia="Times New Roman" w:hint="default"/>
        </w:rPr>
        <w:t>)</w:t>
      </w:r>
      <w:r>
        <w:rPr/>
        <w:t>处理，计入当期损益或确认为其他综合收益并计入资本公积。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1"/>
        <w:ind w:left="153" w:right="0"/>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420"/>
        <w:jc w:val="both"/>
      </w:pPr>
      <w:r>
        <w:rPr/>
        <w:t>本公司的控股子公司、合营企业、联营企业等，若采用与本公司不同的记账本位币，需对其外币财务报表折算后，再 进行会计核算及合并财务报表的编报。</w:t>
      </w:r>
    </w:p>
    <w:p>
      <w:pPr>
        <w:pStyle w:val="BodyText"/>
        <w:spacing w:line="309" w:lineRule="auto" w:before="139"/>
        <w:ind w:right="1130" w:firstLine="420"/>
        <w:jc w:val="both"/>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 </w:t>
      </w:r>
      <w:r>
        <w:rPr>
          <w:spacing w:val="-2"/>
        </w:rPr>
        <w:t>项目采用发生时的即期汇率折算。利润表中的收入和费用项目，采用交易发生日的近似汇率折算。折算产生的外币财务报表</w:t>
      </w:r>
      <w:r>
        <w:rPr>
          <w:spacing w:val="-66"/>
        </w:rPr>
        <w:t> </w:t>
      </w:r>
      <w:r>
        <w:rPr>
          <w:spacing w:val="-66"/>
        </w:rPr>
      </w:r>
      <w:r>
        <w:rPr/>
        <w:t>折算差额，在资产负债表中所有者权益项目下单独列示。</w:t>
      </w:r>
    </w:p>
    <w:p>
      <w:pPr>
        <w:pStyle w:val="BodyText"/>
        <w:spacing w:line="316" w:lineRule="auto" w:before="144"/>
        <w:ind w:right="1133" w:firstLine="420"/>
        <w:jc w:val="both"/>
      </w:pPr>
      <w:r>
        <w:rPr/>
        <w:t>外币现金流量按照系统合理方法确定的，采用交易发生日的即期汇率的近似汇率折算。汇率变动对现金的影响额，在 现金流量表中单独列示。</w:t>
      </w:r>
    </w:p>
    <w:p>
      <w:pPr>
        <w:pStyle w:val="BodyText"/>
        <w:spacing w:line="240" w:lineRule="auto" w:before="140"/>
        <w:ind w:right="0"/>
        <w:jc w:val="left"/>
      </w:pPr>
      <w:r>
        <w:rPr/>
        <w:t>处置境外经营时，与该境外经营有关的外币报表折算差额，全部或按处置该境外经营的比例转入处置当期损益。</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both"/>
        <w:rPr>
          <w:b w:val="0"/>
          <w:bCs w:val="0"/>
        </w:rPr>
      </w:pPr>
      <w:bookmarkStart w:name="10、金融工具" w:id="168"/>
      <w:bookmarkEnd w:id="16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）金融工具的分类及确认</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423" w:right="1123"/>
        <w:jc w:val="left"/>
      </w:pPr>
      <w:r>
        <w:rPr/>
        <w:t>金融工具划分为金融资产或金融负债。本公司成为金融工具合同的一方时，确认为一项金融资产或金融负债。 金融资产于初始确认时分类为：以公允价值计量且其变动计入当期损益的金融资产、持有至到期投资、应收款项、可供</w:t>
      </w:r>
    </w:p>
    <w:p>
      <w:pPr>
        <w:pStyle w:val="BodyText"/>
        <w:spacing w:line="224" w:lineRule="exact"/>
        <w:ind w:right="0"/>
        <w:jc w:val="both"/>
      </w:pPr>
      <w:r>
        <w:rPr/>
        <w:t>出售金融资产。除应收款项以外的金融资产的分类取决于本公司及其子公司对金融资产的持有意图和持有能力等。金融负债</w:t>
      </w:r>
    </w:p>
    <w:p>
      <w:pPr>
        <w:pStyle w:val="BodyText"/>
        <w:spacing w:line="357" w:lineRule="auto" w:before="77"/>
        <w:ind w:left="423" w:right="1123" w:hanging="270"/>
        <w:jc w:val="left"/>
      </w:pPr>
      <w:r>
        <w:rPr/>
        <w:t>于初始确认时分类为：以公允价值计量且其变动计入当期损益的金融负债以及其他金融负债。 以公允价值计量且其变动计入当期损益的金融资产包括持有目的为短期内出售的金融资产；应收款项是指在活跃市场中</w:t>
      </w:r>
    </w:p>
    <w:p>
      <w:pPr>
        <w:pStyle w:val="BodyText"/>
        <w:spacing w:line="224" w:lineRule="exact"/>
        <w:ind w:right="0"/>
        <w:jc w:val="both"/>
      </w:pPr>
      <w:r>
        <w:rPr/>
        <w:t>没有报价、回收金额固定或可确定的非衍生金融资产；可供出售金融资产包括初始确认时即被指定为可供出售的非衍生金融</w:t>
      </w:r>
    </w:p>
    <w:p>
      <w:pPr>
        <w:pStyle w:val="BodyText"/>
        <w:spacing w:line="319" w:lineRule="auto" w:before="76"/>
        <w:ind w:right="0"/>
        <w:jc w:val="left"/>
      </w:pPr>
      <w:r>
        <w:rPr>
          <w:spacing w:val="-2"/>
        </w:rPr>
        <w:t>资产及未被划分为其他类的金融资产；持有至到期投资是指到期日固定、回收金额固定或可确定，且管理层有明确意图和能</w:t>
      </w:r>
      <w:r>
        <w:rPr>
          <w:spacing w:val="-66"/>
        </w:rPr>
        <w:t> </w:t>
      </w:r>
      <w:r>
        <w:rPr>
          <w:spacing w:val="-66"/>
        </w:rPr>
      </w:r>
      <w:r>
        <w:rPr/>
        <w:t>力持有至到期的非衍生金融资产。</w:t>
      </w:r>
    </w:p>
    <w:p>
      <w:pPr>
        <w:spacing w:line="240" w:lineRule="auto" w:before="3"/>
        <w:rPr>
          <w:rFonts w:ascii="宋体" w:hAnsi="宋体" w:cs="宋体" w:eastAsia="宋体" w:hint="default"/>
          <w:sz w:val="22"/>
          <w:szCs w:val="22"/>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2</w:t>
      </w:r>
      <w:r>
        <w:rPr/>
        <w:t>）金融工具的计量方法</w:t>
      </w:r>
      <w:r>
        <w:rPr>
          <w:b w:val="0"/>
          <w:bCs w:val="0"/>
        </w:rPr>
      </w:r>
    </w:p>
    <w:p>
      <w:pPr>
        <w:pStyle w:val="BodyText"/>
        <w:spacing w:line="430" w:lineRule="atLeast" w:before="152"/>
        <w:ind w:left="513" w:right="0" w:firstLine="60"/>
        <w:jc w:val="left"/>
      </w:pPr>
      <w:r>
        <w:rPr/>
        <w:t>本公司成为金融工具合同的一方时，确认为一项金融资产或金融负债。 </w:t>
      </w:r>
      <w:r>
        <w:rPr>
          <w:spacing w:val="-2"/>
        </w:rPr>
        <w:t>本公司金融资产或金融负债初始确认按公允价值计量。后续计量分类为：以公允价值计量且其变动计入当期损益的金融</w:t>
      </w:r>
    </w:p>
    <w:p>
      <w:pPr>
        <w:pStyle w:val="BodyText"/>
        <w:spacing w:line="319" w:lineRule="auto" w:before="76"/>
        <w:ind w:right="1131"/>
        <w:jc w:val="both"/>
      </w:pPr>
      <w:r>
        <w:rPr>
          <w:spacing w:val="-2"/>
        </w:rPr>
        <w:t>资产、可供出售金融资产及以公允价值计量且其变动计入当期损益的金融负债按公允价值计量；持有到期投资、贷款和应收</w:t>
      </w:r>
      <w:r>
        <w:rPr>
          <w:spacing w:val="-66"/>
        </w:rPr>
        <w:t> </w:t>
      </w:r>
      <w:r>
        <w:rPr>
          <w:spacing w:val="-66"/>
        </w:rPr>
      </w:r>
      <w:r>
        <w:rPr>
          <w:spacing w:val="-2"/>
        </w:rPr>
        <w:t>款项以及其他金融负债按摊余成本计量；在活跃市场中没有报价且其公允价值不能可靠计量的权益工具投资，以及与该权益</w:t>
      </w:r>
      <w:r>
        <w:rPr>
          <w:spacing w:val="-64"/>
        </w:rPr>
        <w:t> </w:t>
      </w:r>
      <w:r>
        <w:rPr>
          <w:spacing w:val="-64"/>
        </w:rPr>
      </w:r>
      <w:r>
        <w:rPr>
          <w:spacing w:val="-2"/>
        </w:rPr>
        <w:t>工具挂钩并须通过交付该权益工具结算的衍生金融资产或者衍生金融负债，按照成本计量。本公司金融资产或金融负债后续</w:t>
      </w:r>
      <w:r>
        <w:rPr>
          <w:spacing w:val="-64"/>
        </w:rPr>
        <w:t> </w:t>
      </w:r>
      <w:r>
        <w:rPr>
          <w:spacing w:val="-64"/>
        </w:rPr>
      </w:r>
      <w:r>
        <w:rPr>
          <w:spacing w:val="-2"/>
        </w:rPr>
        <w:t>计量中公允价值变动形成的利得或损失，除与套期保值有关外，按照如下方法处理：①以公允价值计量且其变动计入当期损</w:t>
      </w:r>
      <w:r>
        <w:rPr>
          <w:spacing w:val="-66"/>
        </w:rPr>
        <w:t> </w:t>
      </w:r>
      <w:r>
        <w:rPr>
          <w:spacing w:val="-66"/>
        </w:rPr>
      </w:r>
      <w:r>
        <w:rPr>
          <w:spacing w:val="-2"/>
        </w:rPr>
        <w:t>益的金融资产或金融负债公允价值变动形成的利得或损失，计入公允价值变动损益。②可供出售金融资产的公允价值变动计</w:t>
      </w:r>
      <w:r>
        <w:rPr>
          <w:spacing w:val="-64"/>
        </w:rPr>
        <w:t> </w:t>
      </w:r>
      <w:r>
        <w:rPr>
          <w:spacing w:val="-64"/>
        </w:rPr>
      </w:r>
      <w:r>
        <w:rPr/>
        <w:t>入其他综合收益。</w:t>
      </w:r>
    </w:p>
    <w:p>
      <w:pPr>
        <w:spacing w:line="240" w:lineRule="auto" w:before="3"/>
        <w:rPr>
          <w:rFonts w:ascii="宋体" w:hAnsi="宋体" w:cs="宋体" w:eastAsia="宋体" w:hint="default"/>
          <w:sz w:val="22"/>
          <w:szCs w:val="22"/>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3</w:t>
      </w:r>
      <w:r>
        <w:rPr/>
        <w:t>）本公司对金融资产和金融负债的公允价值的确认方法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如存在活跃市场的金融工具，以活跃市场中的报价确定其公允价值；如不存在活跃市场的金融工具，采用估值技术确定</w:t>
      </w:r>
      <w:r>
        <w:rPr/>
        <w:t> 其公允价值。估值技术主要包括市场法、收益法和成本法。</w:t>
      </w:r>
    </w:p>
    <w:p>
      <w:pPr>
        <w:spacing w:line="240" w:lineRule="auto" w:before="3"/>
        <w:rPr>
          <w:rFonts w:ascii="宋体" w:hAnsi="宋体" w:cs="宋体" w:eastAsia="宋体" w:hint="default"/>
          <w:sz w:val="22"/>
          <w:szCs w:val="22"/>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4</w:t>
      </w:r>
      <w:r>
        <w:rPr/>
        <w:t>）金融资产转移的确认依据和计量方法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3" w:firstLine="360"/>
        <w:jc w:val="left"/>
      </w:pPr>
      <w:r>
        <w:rPr/>
        <w:t>金融资产所有权上几乎所有的风险和报酬转移时，或既没有转移也没有保留金融资产所有权上几乎所有的风险和报酬， </w:t>
      </w:r>
      <w:r>
        <w:rPr>
          <w:spacing w:val="-2"/>
        </w:rPr>
        <w:t>但放弃了对该金融资产控制的，应当终止确认该项金融资产。金融资产满足终止确认条件的，将所转移金融资产的账面价值</w:t>
      </w:r>
      <w:r>
        <w:rPr>
          <w:spacing w:val="-66"/>
        </w:rPr>
        <w:t> </w:t>
      </w:r>
      <w:r>
        <w:rPr>
          <w:spacing w:val="-66"/>
        </w:rPr>
      </w:r>
      <w:r>
        <w:rPr>
          <w:spacing w:val="-2"/>
        </w:rPr>
        <w:t>与因转移而收到的对价和原直接计入其他综合收益的公允价值变动累计额之和的差额部分，计入当期损益。部分转移满足终</w:t>
      </w:r>
      <w:r>
        <w:rPr>
          <w:spacing w:val="-64"/>
        </w:rPr>
        <w:t> </w:t>
      </w:r>
      <w:r>
        <w:rPr>
          <w:spacing w:val="-64"/>
        </w:rPr>
      </w:r>
      <w:r>
        <w:rPr>
          <w:spacing w:val="-2"/>
        </w:rPr>
        <w:t>止确认条件的，将所转移金融资产整体的账面价值，在终止确认部分和未终止确认部分之间，按照各自的相对公允价值进行</w:t>
      </w:r>
      <w:r>
        <w:rPr>
          <w:spacing w:val="-66"/>
        </w:rPr>
        <w:t> </w:t>
      </w:r>
      <w:r>
        <w:rPr>
          <w:spacing w:val="-66"/>
        </w:rPr>
      </w:r>
      <w:r>
        <w:rPr/>
        <w:t>分摊。</w:t>
      </w:r>
    </w:p>
    <w:p>
      <w:pPr>
        <w:pStyle w:val="BodyText"/>
        <w:spacing w:line="240" w:lineRule="auto" w:before="56"/>
        <w:ind w:left="513" w:right="0"/>
        <w:jc w:val="left"/>
      </w:pPr>
      <w:r>
        <w:rPr/>
        <w:t>金融负债的现时义务全部或部分已经解除的，则应终止确认该金融负债或其一部分。</w:t>
      </w:r>
    </w:p>
    <w:p>
      <w:pPr>
        <w:spacing w:line="240" w:lineRule="auto" w:before="10"/>
        <w:rPr>
          <w:rFonts w:ascii="宋体" w:hAnsi="宋体" w:cs="宋体" w:eastAsia="宋体" w:hint="default"/>
          <w:sz w:val="26"/>
          <w:szCs w:val="26"/>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5</w:t>
      </w:r>
      <w:r>
        <w:rPr/>
        <w:t>）金融资产（不含应收款项）减值测试方法、减值准备计提方法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1130" w:firstLine="360"/>
        <w:jc w:val="both"/>
      </w:pPr>
      <w:r>
        <w:rPr>
          <w:spacing w:val="-1"/>
        </w:rPr>
        <w:t>以摊余成本计量的金融资产发生减值时，按预计未来现金流量</w:t>
      </w:r>
      <w:r>
        <w:rPr>
          <w:rFonts w:ascii="Times New Roman" w:hAnsi="Times New Roman" w:cs="Times New Roman" w:eastAsia="Times New Roman" w:hint="default"/>
          <w:spacing w:val="-1"/>
        </w:rPr>
        <w:t>(</w:t>
      </w:r>
      <w:r>
        <w:rPr>
          <w:spacing w:val="-1"/>
        </w:rPr>
        <w:t>不包括尚未发生的未来信用损失</w:t>
      </w:r>
      <w:r>
        <w:rPr>
          <w:rFonts w:ascii="Times New Roman" w:hAnsi="Times New Roman" w:cs="Times New Roman" w:eastAsia="Times New Roman" w:hint="default"/>
          <w:spacing w:val="-1"/>
        </w:rPr>
        <w:t>)</w:t>
      </w:r>
      <w:r>
        <w:rPr>
          <w:spacing w:val="-1"/>
        </w:rPr>
        <w:t>现值低于账面价值的差</w:t>
      </w:r>
      <w:r>
        <w:rPr/>
        <w:t> </w:t>
      </w:r>
      <w:r>
        <w:rPr>
          <w:spacing w:val="-2"/>
        </w:rPr>
        <w:t>额，计提减值准备。如果有客观证据表明该金融资产价值已恢复，且客观上与确认该损失后发生的事项有关，原确认的减值</w:t>
      </w:r>
      <w:r>
        <w:rPr>
          <w:spacing w:val="-66"/>
        </w:rPr>
        <w:t> </w:t>
      </w:r>
      <w:r>
        <w:rPr>
          <w:spacing w:val="-66"/>
        </w:rPr>
      </w:r>
      <w:r>
        <w:rPr/>
        <w:t>损失予以转回，计入当期损益。</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50" w:firstLine="360"/>
        <w:jc w:val="both"/>
      </w:pPr>
      <w:r>
        <w:rPr/>
        <w:t>以成本计量的金融资产发生减值时，按预计未来现金流量现值低于账面价值的差额，计提减值准备。发生的减值损失， 一经确认，不再转回。</w:t>
      </w:r>
    </w:p>
    <w:p>
      <w:pPr>
        <w:spacing w:line="240" w:lineRule="auto" w:before="5"/>
        <w:rPr>
          <w:rFonts w:ascii="宋体" w:hAnsi="宋体" w:cs="宋体" w:eastAsia="宋体" w:hint="default"/>
          <w:sz w:val="24"/>
          <w:szCs w:val="24"/>
        </w:rPr>
      </w:pPr>
    </w:p>
    <w:p>
      <w:pPr>
        <w:pStyle w:val="BodyText"/>
        <w:spacing w:line="319" w:lineRule="auto"/>
        <w:ind w:right="1131" w:firstLine="360"/>
        <w:jc w:val="both"/>
      </w:pPr>
      <w:r>
        <w:rPr>
          <w:spacing w:val="-2"/>
        </w:rPr>
        <w:t>当有客观证据表明可供出售金融资产发生减值时，原直接计入股东权益的因公允价值下降形成的累计损失予以转出并计</w:t>
      </w:r>
      <w:r>
        <w:rPr/>
        <w:t> </w:t>
      </w:r>
      <w:r>
        <w:rPr>
          <w:spacing w:val="-2"/>
        </w:rPr>
        <w:t>入减值损失。对已确认减值损失的可供出售债务工具投资，在期后公允价值上升且客观上与确认原减值损失后发生的事项有</w:t>
      </w:r>
      <w:r>
        <w:rPr>
          <w:spacing w:val="-64"/>
        </w:rPr>
        <w:t> </w:t>
      </w:r>
      <w:r>
        <w:rPr>
          <w:spacing w:val="-64"/>
        </w:rPr>
      </w:r>
      <w:r>
        <w:rPr>
          <w:spacing w:val="-2"/>
        </w:rPr>
        <w:t>关的，原确认的减值损失予以转回并计入当期损益。对已确认减值损失的可供出售权益工具投资，期后公允价值上升直接计</w:t>
      </w:r>
      <w:r>
        <w:rPr>
          <w:spacing w:val="-65"/>
        </w:rPr>
        <w:t> </w:t>
      </w:r>
      <w:r>
        <w:rPr>
          <w:spacing w:val="-65"/>
        </w:rPr>
      </w:r>
      <w:r>
        <w:rPr/>
        <w:t>入股东权益。</w:t>
      </w:r>
    </w:p>
    <w:p>
      <w:pPr>
        <w:spacing w:line="240" w:lineRule="auto" w:before="3"/>
        <w:rPr>
          <w:rFonts w:ascii="宋体" w:hAnsi="宋体" w:cs="宋体" w:eastAsia="宋体" w:hint="default"/>
          <w:sz w:val="24"/>
          <w:szCs w:val="24"/>
        </w:rPr>
      </w:pPr>
    </w:p>
    <w:p>
      <w:pPr>
        <w:pStyle w:val="BodyText"/>
        <w:spacing w:line="302" w:lineRule="auto"/>
        <w:ind w:right="1132" w:firstLine="360"/>
        <w:jc w:val="both"/>
      </w:pPr>
      <w:r>
        <w:rPr>
          <w:spacing w:val="-1"/>
        </w:rPr>
        <w:t>对于权益工具投资，本公司判断其公允价值发生</w:t>
      </w:r>
      <w:r>
        <w:rPr>
          <w:rFonts w:ascii="Times New Roman" w:hAnsi="Times New Roman" w:cs="Times New Roman" w:eastAsia="Times New Roman" w:hint="default"/>
          <w:spacing w:val="-1"/>
        </w:rPr>
        <w:t>“</w:t>
      </w:r>
      <w:r>
        <w:rPr>
          <w:spacing w:val="-1"/>
        </w:rPr>
        <w:t>严重</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非暂时性</w:t>
      </w:r>
      <w:r>
        <w:rPr>
          <w:rFonts w:ascii="Times New Roman" w:hAnsi="Times New Roman" w:cs="Times New Roman" w:eastAsia="Times New Roman" w:hint="default"/>
          <w:spacing w:val="-1"/>
        </w:rPr>
        <w:t>”</w:t>
      </w:r>
      <w:r>
        <w:rPr>
          <w:spacing w:val="-1"/>
        </w:rPr>
        <w:t>下跌的具体量化标准、成本的计算方法、期末公允</w:t>
      </w:r>
      <w:r>
        <w:rPr/>
        <w:t> 价值的确定方法，以及持续下跌期间的确定依据为：</w:t>
      </w:r>
    </w:p>
    <w:p>
      <w:pPr>
        <w:spacing w:line="240" w:lineRule="auto" w:before="5"/>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4142"/>
        <w:gridCol w:w="4715"/>
      </w:tblGrid>
      <w:tr>
        <w:trPr>
          <w:trHeight w:val="347"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公允价值发生</w:t>
            </w:r>
            <w:r>
              <w:rPr>
                <w:rFonts w:ascii="Times New Roman" w:hAnsi="Times New Roman" w:cs="Times New Roman" w:eastAsia="Times New Roman" w:hint="default"/>
                <w:sz w:val="18"/>
                <w:szCs w:val="18"/>
              </w:rPr>
              <w:t>“</w:t>
            </w:r>
            <w:r>
              <w:rPr>
                <w:rFonts w:ascii="宋体" w:hAnsi="宋体" w:cs="宋体" w:eastAsia="宋体" w:hint="default"/>
                <w:sz w:val="18"/>
                <w:szCs w:val="18"/>
              </w:rPr>
              <w:t>严重</w:t>
            </w:r>
            <w:r>
              <w:rPr>
                <w:rFonts w:ascii="Times New Roman" w:hAnsi="Times New Roman" w:cs="Times New Roman" w:eastAsia="Times New Roman" w:hint="default"/>
                <w:sz w:val="18"/>
                <w:szCs w:val="18"/>
              </w:rPr>
              <w:t>”</w:t>
            </w:r>
            <w:r>
              <w:rPr>
                <w:rFonts w:ascii="宋体" w:hAnsi="宋体" w:cs="宋体" w:eastAsia="宋体" w:hint="default"/>
                <w:sz w:val="18"/>
                <w:szCs w:val="18"/>
              </w:rPr>
              <w:t>下跌的具体量化标准</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期末公允价值相对于成本的下跌幅度已达到或超过</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r>
        <w:trPr>
          <w:trHeight w:val="348"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公允价值发生</w:t>
            </w:r>
            <w:r>
              <w:rPr>
                <w:rFonts w:ascii="Times New Roman" w:hAnsi="Times New Roman" w:cs="Times New Roman" w:eastAsia="Times New Roman" w:hint="default"/>
                <w:sz w:val="18"/>
                <w:szCs w:val="18"/>
              </w:rPr>
              <w:t>“</w:t>
            </w:r>
            <w:r>
              <w:rPr>
                <w:rFonts w:ascii="宋体" w:hAnsi="宋体" w:cs="宋体" w:eastAsia="宋体" w:hint="default"/>
                <w:sz w:val="18"/>
                <w:szCs w:val="18"/>
              </w:rPr>
              <w:t>非暂时性</w:t>
            </w:r>
            <w:r>
              <w:rPr>
                <w:rFonts w:ascii="Times New Roman" w:hAnsi="Times New Roman" w:cs="Times New Roman" w:eastAsia="Times New Roman" w:hint="default"/>
                <w:sz w:val="18"/>
                <w:szCs w:val="18"/>
              </w:rPr>
              <w:t>”</w:t>
            </w:r>
            <w:r>
              <w:rPr>
                <w:rFonts w:ascii="宋体" w:hAnsi="宋体" w:cs="宋体" w:eastAsia="宋体" w:hint="default"/>
                <w:sz w:val="18"/>
                <w:szCs w:val="18"/>
              </w:rPr>
              <w:t>下跌的具体量化标准</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个月出现下跌。</w:t>
            </w:r>
          </w:p>
        </w:tc>
      </w:tr>
      <w:tr>
        <w:trPr>
          <w:trHeight w:val="971"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成本的计算方法</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both"/>
              <w:rPr>
                <w:rFonts w:ascii="宋体" w:hAnsi="宋体" w:cs="宋体" w:eastAsia="宋体" w:hint="default"/>
                <w:sz w:val="18"/>
                <w:szCs w:val="18"/>
              </w:rPr>
            </w:pPr>
            <w:r>
              <w:rPr>
                <w:rFonts w:ascii="宋体" w:hAnsi="宋体" w:cs="宋体" w:eastAsia="宋体" w:hint="default"/>
                <w:sz w:val="18"/>
                <w:szCs w:val="18"/>
              </w:rPr>
              <w:t>取得时按支付对价（扣除已宣告但尚未发放的现金股利或已</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到付息期但尚未领取的债券利息）和相关交易费用之和作为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投资成本。</w:t>
            </w:r>
          </w:p>
        </w:tc>
      </w:tr>
      <w:tr>
        <w:trPr>
          <w:trHeight w:val="971"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期末公允价值的确定方法</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both"/>
              <w:rPr>
                <w:rFonts w:ascii="宋体" w:hAnsi="宋体" w:cs="宋体" w:eastAsia="宋体" w:hint="default"/>
                <w:sz w:val="18"/>
                <w:szCs w:val="18"/>
              </w:rPr>
            </w:pPr>
            <w:r>
              <w:rPr>
                <w:rFonts w:ascii="宋体" w:hAnsi="宋体" w:cs="宋体" w:eastAsia="宋体" w:hint="default"/>
                <w:sz w:val="18"/>
                <w:szCs w:val="18"/>
              </w:rPr>
              <w:t>存在活跃市场的金融工具，以活跃市场中的报价确定其公允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价值；如不存在活跃市场的金融工具，采用估值技术确定其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公允价值。</w:t>
            </w:r>
          </w:p>
        </w:tc>
      </w:tr>
      <w:tr>
        <w:trPr>
          <w:trHeight w:val="660"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持续下跌期间的确定依据</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连续下跌或在下跌趋势持续期间反弹上扬幅度低于</w:t>
            </w:r>
            <w:r>
              <w:rPr>
                <w:rFonts w:ascii="Times New Roman" w:hAnsi="Times New Roman" w:cs="Times New Roman" w:eastAsia="Times New Roman" w:hint="default"/>
                <w:sz w:val="18"/>
                <w:szCs w:val="18"/>
              </w:rPr>
              <w:t>20%</w:t>
            </w:r>
            <w:r>
              <w:rPr>
                <w:rFonts w:ascii="宋体" w:hAnsi="宋体" w:cs="宋体" w:eastAsia="宋体" w:hint="default"/>
                <w:sz w:val="18"/>
                <w:szCs w:val="18"/>
              </w:rPr>
              <w:t>，反</w:t>
            </w:r>
            <w:r>
              <w:rPr>
                <w:rFonts w:ascii="宋体" w:hAnsi="宋体" w:cs="宋体" w:eastAsia="宋体" w:hint="default"/>
                <w:spacing w:val="-48"/>
                <w:sz w:val="18"/>
                <w:szCs w:val="18"/>
              </w:rPr>
              <w:t> </w:t>
            </w:r>
            <w:r>
              <w:rPr>
                <w:rFonts w:ascii="宋体" w:hAnsi="宋体" w:cs="宋体" w:eastAsia="宋体" w:hint="default"/>
                <w:sz w:val="18"/>
                <w:szCs w:val="18"/>
              </w:rPr>
              <w:t>弹持续时间未超过</w:t>
            </w:r>
            <w:r>
              <w:rPr>
                <w:rFonts w:ascii="Times New Roman" w:hAnsi="Times New Roman" w:cs="Times New Roman" w:eastAsia="Times New Roman" w:hint="default"/>
                <w:sz w:val="18"/>
                <w:szCs w:val="18"/>
              </w:rPr>
              <w:t>6</w:t>
            </w:r>
            <w:r>
              <w:rPr>
                <w:rFonts w:ascii="宋体" w:hAnsi="宋体" w:cs="宋体" w:eastAsia="宋体" w:hint="default"/>
                <w:sz w:val="18"/>
                <w:szCs w:val="18"/>
              </w:rPr>
              <w:t>个月的均作为持续下跌期间。</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5"/>
        <w:ind w:right="0"/>
        <w:jc w:val="left"/>
        <w:rPr>
          <w:b w:val="0"/>
          <w:bCs w:val="0"/>
        </w:rPr>
      </w:pPr>
      <w:bookmarkStart w:name="11、应收款项" w:id="169"/>
      <w:bookmarkEnd w:id="169"/>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70"/>
      <w:bookmarkEnd w:id="170"/>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应收账款余额超过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4"/>
                <w:sz w:val="18"/>
                <w:szCs w:val="18"/>
              </w:rPr>
              <w:t>万元、其他应收款余额超过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万元以 上的款项</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按应收款项个别认定及账龄分析法相结合计提</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71"/>
      <w:bookmarkEnd w:id="171"/>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采用账龄分析法计提坏账准备的组合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采用不计提坏账准备的组合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54" w:right="0"/>
        <w:jc w:val="left"/>
      </w:pPr>
      <w:r>
        <w:rPr/>
        <w:t>组合中，采用账龄分析法计提坏账准备的：</w:t>
      </w:r>
    </w:p>
    <w:p>
      <w:pPr>
        <w:pStyle w:val="BodyText"/>
        <w:spacing w:line="240" w:lineRule="auto" w:before="116"/>
        <w:ind w:left="154"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57" w:lineRule="auto" w:before="117"/>
        <w:ind w:left="154" w:right="7512"/>
        <w:jc w:val="left"/>
      </w:pPr>
      <w:r>
        <w:rPr/>
        <w:t>□ 适用 √ 不适用 组合中，采用其他方法计提坏账准备的：</w:t>
      </w:r>
    </w:p>
    <w:p>
      <w:pPr>
        <w:pStyle w:val="BodyText"/>
        <w:spacing w:line="240" w:lineRule="auto" w:before="29"/>
        <w:ind w:left="154"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采用不计提坏账准备的组合</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上重大但单独计提坏账准备的应收款项" w:id="172"/>
      <w:bookmarkEnd w:id="172"/>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经确认款项不能收回</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按应收款项个别认定法计提</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73"/>
      <w:bookmarkEnd w:id="173"/>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3" w:firstLine="420"/>
        <w:jc w:val="both"/>
      </w:pPr>
      <w:r>
        <w:rPr/>
        <w:t>存货是指本公司在日常活动中持有以备出售的产成品或商品、处在生产过程中的在产品、在生产过程或提供劳务过程 中耗用的材料和物料等。主要包括原材料、包装物、低值易耗品、在产品、产成品（库存商品）等。</w:t>
      </w:r>
    </w:p>
    <w:p>
      <w:pPr>
        <w:spacing w:line="240" w:lineRule="auto" w:before="4"/>
        <w:rPr>
          <w:rFonts w:ascii="宋体" w:hAnsi="宋体" w:cs="宋体" w:eastAsia="宋体" w:hint="default"/>
          <w:sz w:val="22"/>
          <w:szCs w:val="22"/>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计价方法：加权平均法</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资产负债表日，存货按照成本与可变现净值孰低计量，并按单个存货项目计提存货跌价准备，但对于数量繁多、单价 较低的存货，按照存货类别计提存货跌价准备。</w:t>
      </w:r>
    </w:p>
    <w:p>
      <w:pPr>
        <w:pStyle w:val="BodyText"/>
        <w:spacing w:line="319" w:lineRule="auto" w:before="139"/>
        <w:ind w:right="1131" w:firstLine="362"/>
        <w:jc w:val="both"/>
      </w:pPr>
      <w:r>
        <w:rPr>
          <w:spacing w:val="-2"/>
        </w:rPr>
        <w:t>存货可变现净值的确定依据：①产成品可变现净值为估计售价减去估计的销售费用和相关税费后金额；②为生产而持有</w:t>
      </w:r>
      <w:r>
        <w:rPr/>
        <w:t> </w:t>
      </w:r>
      <w:r>
        <w:rPr>
          <w:spacing w:val="-2"/>
        </w:rPr>
        <w:t>的材料等，当用其生产的产成品的可变现净值高于成本时按照成本计量；当材料价格下降表明产成品的可变现净值低于成本</w:t>
      </w:r>
      <w:r>
        <w:rPr>
          <w:spacing w:val="-64"/>
        </w:rPr>
        <w:t> </w:t>
      </w:r>
      <w:r>
        <w:rPr>
          <w:spacing w:val="-64"/>
        </w:rPr>
      </w:r>
      <w:r>
        <w:rPr>
          <w:spacing w:val="-2"/>
        </w:rPr>
        <w:t>时，可变现净值为估计售价减去至完工时估计将要发生的成本、估计的销售费用以及相关税费后的金额确定。③持有待售的</w:t>
      </w:r>
      <w:r>
        <w:rPr>
          <w:spacing w:val="-66"/>
        </w:rPr>
        <w:t> </w:t>
      </w:r>
      <w:r>
        <w:rPr>
          <w:spacing w:val="-66"/>
        </w:rPr>
      </w:r>
      <w:r>
        <w:rPr/>
        <w:t>材料等，可变现净值为市场售价。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盘存制度：永续盘存制</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pStyle w:val="BodyText"/>
        <w:spacing w:line="360" w:lineRule="auto" w:before="44"/>
        <w:ind w:right="8953"/>
        <w:jc w:val="left"/>
      </w:pPr>
      <w:r>
        <w:rPr/>
        <w:t>低值易耗品 摊销方法：一次摊销法 包装物</w:t>
      </w:r>
    </w:p>
    <w:p>
      <w:pPr>
        <w:pStyle w:val="BodyText"/>
        <w:spacing w:line="357" w:lineRule="auto" w:before="26"/>
        <w:ind w:right="8413"/>
        <w:jc w:val="left"/>
      </w:pPr>
      <w:r>
        <w:rPr/>
        <w:t>摊销方法：其他 包装物采用一次转销法摊销。</w:t>
      </w:r>
    </w:p>
    <w:p>
      <w:pPr>
        <w:spacing w:line="240" w:lineRule="auto" w:before="1"/>
        <w:rPr>
          <w:rFonts w:ascii="宋体" w:hAnsi="宋体" w:cs="宋体" w:eastAsia="宋体" w:hint="default"/>
          <w:sz w:val="20"/>
          <w:szCs w:val="20"/>
        </w:rPr>
      </w:pPr>
    </w:p>
    <w:p>
      <w:pPr>
        <w:pStyle w:val="Heading3"/>
        <w:spacing w:line="240" w:lineRule="auto"/>
        <w:ind w:left="153" w:right="0"/>
        <w:jc w:val="left"/>
        <w:rPr>
          <w:b w:val="0"/>
          <w:bCs w:val="0"/>
        </w:rPr>
      </w:pPr>
      <w:bookmarkStart w:name="13、划分为持有待售资产" w:id="174"/>
      <w:bookmarkEnd w:id="174"/>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2" w:firstLine="290"/>
        <w:jc w:val="both"/>
      </w:pPr>
      <w:r>
        <w:rPr>
          <w:spacing w:val="-1"/>
        </w:rPr>
        <w:t>本公司将同时满足下列条件的非流动资产应当划分为持有待售：一是企业已经就处置该非流动资产作出决议；二是企业</w:t>
      </w:r>
      <w:r>
        <w:rPr/>
        <w:t> 已经与受让方签订了不可撤销的转让协议；三是该项转让将在一年内完成。</w:t>
      </w:r>
    </w:p>
    <w:p>
      <w:pPr>
        <w:spacing w:line="240" w:lineRule="auto" w:before="4"/>
        <w:rPr>
          <w:rFonts w:ascii="宋体" w:hAnsi="宋体" w:cs="宋体" w:eastAsia="宋体" w:hint="default"/>
          <w:sz w:val="22"/>
          <w:szCs w:val="22"/>
        </w:rPr>
      </w:pPr>
    </w:p>
    <w:p>
      <w:pPr>
        <w:pStyle w:val="Heading3"/>
        <w:spacing w:line="240" w:lineRule="auto"/>
        <w:ind w:left="153" w:right="0"/>
        <w:jc w:val="left"/>
        <w:rPr>
          <w:b w:val="0"/>
          <w:bCs w:val="0"/>
        </w:rPr>
      </w:pPr>
      <w:bookmarkStart w:name="14、长期股权投资" w:id="175"/>
      <w:bookmarkEnd w:id="175"/>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30" w:firstLine="450"/>
        <w:jc w:val="both"/>
      </w:pPr>
      <w:r>
        <w:rPr/>
        <w:t>①对于企业合并取得的长期股权投资，如为同一控制下的企业合并，应当按照取得被合并方所有者权益账面价值的份 </w:t>
      </w:r>
      <w:r>
        <w:rPr>
          <w:spacing w:val="-2"/>
        </w:rPr>
        <w:t>额确认为初始成本；非同一控制下的企业合并，应当按购买日确定的合并成本确认为初始成本；②以支付现金取得的长期股</w:t>
      </w:r>
      <w:r>
        <w:rPr>
          <w:spacing w:val="-66"/>
        </w:rPr>
        <w:t> </w:t>
      </w:r>
      <w:r>
        <w:rPr>
          <w:spacing w:val="-66"/>
        </w:rPr>
      </w:r>
      <w:r>
        <w:rPr>
          <w:spacing w:val="-2"/>
        </w:rPr>
        <w:t>权投资，初始投资成本为实际支付的购买价款；③以发行权益性证券取得的长期股权投资，初始投资成本为发行权益性证券</w:t>
      </w:r>
      <w:r>
        <w:rPr>
          <w:spacing w:val="-66"/>
        </w:rPr>
        <w:t> </w:t>
      </w:r>
      <w:r>
        <w:rPr>
          <w:spacing w:val="-66"/>
        </w:rPr>
      </w:r>
      <w:r>
        <w:rPr>
          <w:spacing w:val="-2"/>
        </w:rPr>
        <w:t>的公允价值；④通过债务重组取得的长期股权投资，其初始投资成本应当按照《企业会计准则第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债务重组》的有关规</w:t>
      </w:r>
      <w:r>
        <w:rPr>
          <w:spacing w:val="-63"/>
        </w:rPr>
        <w:t> </w:t>
      </w:r>
      <w:r>
        <w:rPr>
          <w:spacing w:val="-63"/>
        </w:rPr>
      </w:r>
      <w:r>
        <w:rPr/>
        <w:t>定确定；⑤非货币性资产交换取得的长期股权投资，初始投资成本根据准则相关规定确定。</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1131" w:firstLine="540"/>
        <w:jc w:val="both"/>
      </w:pPr>
      <w:r>
        <w:rPr>
          <w:spacing w:val="-2"/>
        </w:rPr>
        <w:t>投资方能够对被投资单位实施控制的长期股权投资应当采用成本法核算，对联营企业和合营企业的长期股权投资采用</w:t>
      </w:r>
      <w:r>
        <w:rPr/>
        <w:t> </w:t>
      </w:r>
      <w:r>
        <w:rPr>
          <w:spacing w:val="-2"/>
        </w:rPr>
        <w:t>权益法核算。投资方对联营企业的权益性投资，其中一部分通过风险投资机构、共同基金、信托公司或包括投连险基金在内</w:t>
      </w:r>
      <w:r>
        <w:rPr>
          <w:spacing w:val="-66"/>
        </w:rPr>
        <w:t> </w:t>
      </w:r>
      <w:r>
        <w:rPr>
          <w:spacing w:val="-66"/>
        </w:rPr>
      </w:r>
      <w:r>
        <w:rPr>
          <w:spacing w:val="-2"/>
        </w:rPr>
        <w:t>的类似主体间接持有的，无论以上主体是否对这部分投资具有重大影响，投资方都应当按照《企业会计准则第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w:t>
      </w:r>
      <w:r>
        <w:rPr>
          <w:spacing w:val="-63"/>
        </w:rPr>
        <w:t> </w:t>
      </w:r>
      <w:r>
        <w:rPr>
          <w:spacing w:val="-2"/>
        </w:rPr>
        <w:t>工具确认和计量》的有关规定，对间接持有的该部分投资选择以公允价值计量且其变动计入损益，并对其余部分采用权益法</w:t>
      </w:r>
      <w:r>
        <w:rPr>
          <w:spacing w:val="-65"/>
        </w:rPr>
        <w:t> </w:t>
      </w:r>
      <w:r>
        <w:rPr>
          <w:spacing w:val="-65"/>
        </w:rPr>
      </w:r>
      <w:r>
        <w:rPr/>
        <w:t>核算。</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right="1130" w:firstLine="360"/>
        <w:jc w:val="both"/>
      </w:pPr>
      <w:r>
        <w:rPr>
          <w:spacing w:val="-2"/>
        </w:rPr>
        <w:t>对被投资单位具有共同控制，是指对某项安排的回报产生重大影响的活动必须经过分享控制权的参与方一致同意后才能</w:t>
      </w:r>
      <w:r>
        <w:rPr/>
        <w:t> </w:t>
      </w:r>
      <w:r>
        <w:rPr>
          <w:spacing w:val="-2"/>
        </w:rPr>
        <w:t>决策，包括商品或劳务的销售和购买、金融资产的管理、资产的购买和处置、研究与开发活动以及融资活动等；对被投资单</w:t>
      </w:r>
      <w:r>
        <w:rPr>
          <w:spacing w:val="-66"/>
        </w:rPr>
        <w:t> </w:t>
      </w:r>
      <w:r>
        <w:rPr>
          <w:spacing w:val="-66"/>
        </w:rPr>
      </w:r>
      <w:r>
        <w:rPr/>
        <w:t>位具有重大影响，是指当持有被投资单位</w:t>
      </w:r>
      <w:r>
        <w:rPr>
          <w:rFonts w:ascii="Times New Roman" w:hAnsi="Times New Roman" w:cs="Times New Roman" w:eastAsia="Times New Roman" w:hint="default"/>
        </w:rPr>
        <w:t>20%</w:t>
      </w:r>
      <w:r>
        <w:rPr/>
        <w:t>以上至</w:t>
      </w:r>
      <w:r>
        <w:rPr>
          <w:rFonts w:ascii="Times New Roman" w:hAnsi="Times New Roman" w:cs="Times New Roman" w:eastAsia="Times New Roman" w:hint="default"/>
        </w:rPr>
        <w:t>50%</w:t>
      </w:r>
      <w:r>
        <w:rPr/>
        <w:t>的表决权资本时，具有重大影响。或虽不足</w:t>
      </w:r>
      <w:r>
        <w:rPr>
          <w:rFonts w:ascii="Times New Roman" w:hAnsi="Times New Roman" w:cs="Times New Roman" w:eastAsia="Times New Roman" w:hint="default"/>
        </w:rPr>
        <w:t>20%</w:t>
      </w:r>
      <w:r>
        <w:rPr/>
        <w:t>，但符合下列条件 </w:t>
      </w:r>
      <w:r>
        <w:rPr>
          <w:spacing w:val="-2"/>
        </w:rPr>
        <w:t>之一时，具有重大影响：在被投资单位的董事会或类似的权力机构中派有代表；参与被投资单位的政策制定过程；向被投资</w:t>
      </w:r>
      <w:r>
        <w:rPr>
          <w:spacing w:val="-65"/>
        </w:rPr>
        <w:t> </w:t>
      </w:r>
      <w:r>
        <w:rPr>
          <w:spacing w:val="-65"/>
        </w:rPr>
      </w:r>
      <w:r>
        <w:rPr/>
        <w:t>单位派出管理人员；被投资单位依赖投资公司的技术或技术资料；与被投资单位之间发生重要交易。</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0" w:firstLine="145"/>
        <w:jc w:val="left"/>
      </w:pPr>
      <w:r>
        <w:rPr/>
        <w:t>资产负债表日，本公司对长期股权投资检查是否存在可能发生减值的迹象，当存在减值迹象时应进行减值测试确认其可收 </w:t>
      </w:r>
      <w:r>
        <w:rPr>
          <w:spacing w:val="-2"/>
        </w:rPr>
        <w:t>回金额，按账面价值与可收回金额孰低计提减值准备，减值损失一经计提，在以后会计期间不再转回。可收回金额按照长期</w:t>
      </w:r>
      <w:r>
        <w:rPr>
          <w:spacing w:val="-66"/>
        </w:rPr>
        <w:t> </w:t>
      </w:r>
      <w:r>
        <w:rPr>
          <w:spacing w:val="-66"/>
        </w:rPr>
      </w:r>
      <w:r>
        <w:rPr>
          <w:spacing w:val="-2"/>
        </w:rPr>
        <w:t>股权投资出售的公允价值净额与预计未来现金流量的现值之间孰高确定。长期股权投资出售的公允价值净额，如存在公平交</w:t>
      </w:r>
      <w:r>
        <w:rPr>
          <w:spacing w:val="-64"/>
        </w:rPr>
        <w:t> </w:t>
      </w:r>
      <w:r>
        <w:rPr>
          <w:spacing w:val="-64"/>
        </w:rPr>
      </w:r>
      <w:r>
        <w:rPr>
          <w:spacing w:val="-4"/>
        </w:rPr>
        <w:t>易的协议价格，则按照协议价格减去相关税费；若不存在公平交易销售协议但存在资产活跃市场或同行业类似资产交易价格，</w:t>
      </w:r>
      <w:r>
        <w:rPr>
          <w:spacing w:val="-44"/>
        </w:rPr>
        <w:t> </w:t>
      </w:r>
      <w:r>
        <w:rPr>
          <w:spacing w:val="-44"/>
        </w:rPr>
      </w:r>
      <w:r>
        <w:rPr/>
        <w:t>按照市场价格减去相关税费。</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5、投资性房地产" w:id="176"/>
      <w:bookmarkEnd w:id="176"/>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pStyle w:val="BodyText"/>
        <w:spacing w:line="316" w:lineRule="auto" w:before="25"/>
        <w:ind w:left="154" w:right="0" w:firstLine="420"/>
        <w:jc w:val="left"/>
      </w:pPr>
      <w:r>
        <w:rPr/>
        <w:t>本公司投资性房地产中出租的建筑物采用年限平均法计提折旧，具体核算政策与固定资产部分相同。投资性房地产中 出租的土地使用权、持有并准备增值后转让的土地使用权采用直线法摊销，具体核算政策与无形资产部分相同。</w:t>
      </w:r>
    </w:p>
    <w:p>
      <w:pPr>
        <w:pStyle w:val="BodyText"/>
        <w:spacing w:line="319" w:lineRule="auto" w:before="139"/>
        <w:ind w:right="0" w:firstLine="362"/>
        <w:jc w:val="left"/>
      </w:pPr>
      <w:r>
        <w:rPr>
          <w:spacing w:val="-2"/>
        </w:rPr>
        <w:t>资产负债表日，本公司对投资性房地产检查是否存在可能发生减值的迹象，当存在减值迹象时应进行减值测试确认其可</w:t>
      </w:r>
      <w:r>
        <w:rPr/>
        <w:t> 收回金额，按账面价值与可收回金额孰低计提减值准备，减值损失一经计提，在以后会计期间不再转回。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left="153" w:right="0"/>
        <w:jc w:val="left"/>
        <w:rPr>
          <w:b w:val="0"/>
          <w:bCs w:val="0"/>
        </w:rPr>
      </w:pPr>
      <w:bookmarkStart w:name="16、固定资产" w:id="177"/>
      <w:bookmarkEnd w:id="17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78"/>
      <w:bookmarkEnd w:id="17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0" w:firstLine="180"/>
        <w:jc w:val="left"/>
      </w:pPr>
      <w:r>
        <w:rPr>
          <w:spacing w:val="-2"/>
        </w:rPr>
        <w:t>固定资产指为生产商品、提供劳务、出租或经营管理而持有的，使用寿命超过一个会计年度的有形资产。同时满足以下条</w:t>
      </w:r>
      <w:r>
        <w:rPr/>
        <w:t> 件时予以确认：①与该固定资产有关的经济利益很可能流入企业；②该固定资产的成本能够可靠地计量。</w:t>
      </w:r>
    </w:p>
    <w:p>
      <w:pPr>
        <w:spacing w:line="240" w:lineRule="auto" w:before="3"/>
        <w:rPr>
          <w:rFonts w:ascii="宋体" w:hAnsi="宋体" w:cs="宋体" w:eastAsia="宋体" w:hint="default"/>
          <w:sz w:val="22"/>
          <w:szCs w:val="22"/>
        </w:rPr>
      </w:pPr>
    </w:p>
    <w:p>
      <w:pPr>
        <w:pStyle w:val="Heading3"/>
        <w:spacing w:line="240" w:lineRule="auto"/>
        <w:ind w:left="153" w:right="0"/>
        <w:jc w:val="left"/>
        <w:rPr>
          <w:b w:val="0"/>
          <w:bCs w:val="0"/>
        </w:rPr>
      </w:pPr>
      <w:bookmarkStart w:name="（2）折旧方法" w:id="179"/>
      <w:bookmarkEnd w:id="17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4.75%/3.17%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9.50%/6.33%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180"/>
      <w:bookmarkEnd w:id="18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0" w:firstLine="450"/>
        <w:jc w:val="both"/>
      </w:pPr>
      <w:r>
        <w:rPr/>
        <w:t>融资租入固定资产的认定依据：实质上转移了与资产所有权有关的全部风险和报酬的租赁。具体认定依据为符合下列 </w:t>
      </w:r>
      <w:r>
        <w:rPr>
          <w:spacing w:val="-2"/>
        </w:rPr>
        <w:t>一项或数项条件的：①在租赁期届满时，租赁资产的所有权转移给承租人；②承租人有购买租赁资产的选择权，所订立的购</w:t>
      </w:r>
      <w:r>
        <w:rPr>
          <w:spacing w:val="-66"/>
        </w:rPr>
        <w:t> </w:t>
      </w:r>
      <w:r>
        <w:rPr>
          <w:spacing w:val="-66"/>
        </w:rPr>
      </w:r>
      <w:r>
        <w:rPr>
          <w:spacing w:val="-2"/>
        </w:rPr>
        <w:t>买价款预计将远低于行使选择权时租赁资产的公允价值，因而在租赁开始日就可以合理确定承租人会行使这种选择权；③即</w:t>
      </w:r>
      <w:r>
        <w:rPr>
          <w:spacing w:val="-63"/>
        </w:rPr>
        <w:t> </w:t>
      </w:r>
      <w:r>
        <w:rPr>
          <w:spacing w:val="-63"/>
        </w:rPr>
      </w:r>
      <w:r>
        <w:rPr>
          <w:spacing w:val="-2"/>
        </w:rPr>
        <w:t>使资产的所有权不转移，但租赁期占租赁资产使用寿命的大部分；④承租人在租赁开始日的最低租赁付款额现值，几乎相当</w:t>
      </w:r>
      <w:r>
        <w:rPr>
          <w:spacing w:val="-66"/>
        </w:rPr>
        <w:t> </w:t>
      </w:r>
      <w:r>
        <w:rPr>
          <w:spacing w:val="-66"/>
        </w:rPr>
      </w:r>
      <w:r>
        <w:rPr>
          <w:spacing w:val="-2"/>
        </w:rPr>
        <w:t>于租赁开始日租赁资产公允价值；⑤租赁资产性质特殊，如不作较大改造只有承租人才能使用。融资租入固定资产的计价方</w:t>
      </w:r>
      <w:r>
        <w:rPr>
          <w:spacing w:val="-66"/>
        </w:rPr>
        <w:t> </w:t>
      </w:r>
      <w:r>
        <w:rPr>
          <w:spacing w:val="-66"/>
        </w:rPr>
      </w:r>
      <w:r>
        <w:rPr>
          <w:spacing w:val="-2"/>
        </w:rPr>
        <w:t>法：融资租入固定资产初始计价为租赁期开始日租赁资产公允价值与最低租赁付款额现值较低者作为入账价值；融资租入固</w:t>
      </w:r>
      <w:r>
        <w:rPr>
          <w:spacing w:val="-64"/>
        </w:rPr>
        <w:t> </w:t>
      </w:r>
      <w:r>
        <w:rPr>
          <w:spacing w:val="-64"/>
        </w:rPr>
      </w:r>
      <w:r>
        <w:rPr/>
        <w:t>定资产后续计价采用与自有固定资产相一致的折旧政策计提折旧及减值准备。</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17、在建工程" w:id="181"/>
      <w:bookmarkEnd w:id="18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27" w:right="0"/>
        <w:jc w:val="left"/>
      </w:pPr>
      <w:r>
        <w:rPr/>
        <w:t>本公司在建工程分为自营方式建造和出包方式建造两种。</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both"/>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27" w:right="0"/>
        <w:jc w:val="both"/>
      </w:pPr>
      <w:r>
        <w:rPr/>
        <w:t>本公司在建工程在工程完工达到预定可使用状态时，结转固定资产。预定可使用状态的判断标准，应符合下列情况之一：</w:t>
      </w:r>
    </w:p>
    <w:p>
      <w:pPr>
        <w:pStyle w:val="BodyText"/>
        <w:spacing w:line="302" w:lineRule="auto" w:before="76"/>
        <w:ind w:right="1130"/>
        <w:jc w:val="both"/>
      </w:pPr>
      <w:r>
        <w:rPr/>
        <w:t>①</w:t>
      </w:r>
      <w:r>
        <w:rPr>
          <w:rFonts w:ascii="Times New Roman" w:hAnsi="Times New Roman" w:cs="Times New Roman" w:eastAsia="Times New Roman" w:hint="default"/>
        </w:rPr>
        <w:t>. </w:t>
      </w:r>
      <w:r>
        <w:rPr/>
        <w:t>固定资产的实体建造（包括安装）工作已经全部完成或实质上已经全部完成；②</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已经试生产或试运行，并且其结果表 明资产能够正常运行或能够稳定地生产出合格产品，或者试运行结果表明其能够正常运转或营业；③</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该项建造的固定资产 上的支出金额很少或者几乎不再发生；④</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所购建的固定资产已经达到设计或合同要求，或与设计或合同要求基本相符。</w:t>
      </w:r>
    </w:p>
    <w:p>
      <w:pPr>
        <w:spacing w:line="240" w:lineRule="auto" w:before="10"/>
        <w:rPr>
          <w:rFonts w:ascii="宋体" w:hAnsi="宋体" w:cs="宋体" w:eastAsia="宋体" w:hint="default"/>
          <w:sz w:val="21"/>
          <w:szCs w:val="21"/>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资产负债表日，本公司对在建工程检查是否存在可能发生减值的迹象，当存在减值迹象时应进行减值测试确认其可收 回金额，按账面价值与可收回金额孰低计提减值准备，减值损失一经计提，在以后会计期间不再转回。</w:t>
      </w:r>
    </w:p>
    <w:p>
      <w:pPr>
        <w:pStyle w:val="BodyText"/>
        <w:spacing w:line="240" w:lineRule="auto" w:before="139"/>
        <w:ind w:left="573" w:right="0"/>
        <w:jc w:val="left"/>
      </w:pPr>
      <w:r>
        <w:rPr/>
        <w:t>在建工程可收回金额根据资产公允价值减去处置费用后的净额与资产预计未来现金流量的现值两者孰高确定。</w:t>
      </w:r>
    </w:p>
    <w:p>
      <w:pPr>
        <w:spacing w:line="240" w:lineRule="auto" w:before="12"/>
        <w:rPr>
          <w:rFonts w:ascii="宋体" w:hAnsi="宋体" w:cs="宋体" w:eastAsia="宋体" w:hint="default"/>
          <w:sz w:val="26"/>
          <w:szCs w:val="26"/>
        </w:rPr>
      </w:pPr>
    </w:p>
    <w:p>
      <w:pPr>
        <w:pStyle w:val="Heading3"/>
        <w:spacing w:line="240" w:lineRule="auto"/>
        <w:ind w:left="153" w:right="0"/>
        <w:jc w:val="both"/>
        <w:rPr>
          <w:b w:val="0"/>
          <w:bCs w:val="0"/>
        </w:rPr>
      </w:pPr>
      <w:bookmarkStart w:name="18、借款费用" w:id="182"/>
      <w:bookmarkEnd w:id="182"/>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290"/>
        <w:jc w:val="both"/>
      </w:pPr>
      <w:r>
        <w:rPr>
          <w:spacing w:val="-1"/>
        </w:rPr>
        <w:t>本公司发生的借款费用，可直接归属于符合资本化条件的资产的购建或者生产的，予以资本化，计入相关资产成本；其</w:t>
      </w:r>
      <w:r>
        <w:rPr/>
        <w:t> </w:t>
      </w:r>
      <w:r>
        <w:rPr>
          <w:spacing w:val="-2"/>
        </w:rPr>
        <w:t>他借款费用，在发生时根据其发生额确认为费用，计入当期损益。符合资本化条件的资产，是指需要经过相当长时间的购建</w:t>
      </w:r>
      <w:r>
        <w:rPr>
          <w:spacing w:val="-66"/>
        </w:rPr>
        <w:t> </w:t>
      </w:r>
      <w:r>
        <w:rPr>
          <w:spacing w:val="-66"/>
        </w:rPr>
      </w:r>
      <w:r>
        <w:rPr/>
        <w:t>或者生产活动才能达到预定可使用或者可销售状态的固定资产、投资性房地产和存货等资产。</w:t>
      </w:r>
    </w:p>
    <w:p>
      <w:pPr>
        <w:spacing w:line="240" w:lineRule="auto" w:before="6"/>
        <w:rPr>
          <w:rFonts w:ascii="宋体" w:hAnsi="宋体" w:cs="宋体" w:eastAsia="宋体" w:hint="default"/>
          <w:sz w:val="22"/>
          <w:szCs w:val="22"/>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53" w:right="0"/>
        <w:jc w:val="left"/>
      </w:pPr>
      <w:r>
        <w:rPr/>
        <w:t>资本化期间：指从借款费用开始资本化时点到停止资本化时点的期间。借款费用暂停资本化的期间不包括在内。</w:t>
      </w:r>
    </w:p>
    <w:p>
      <w:pPr>
        <w:spacing w:line="240" w:lineRule="auto" w:before="11"/>
        <w:rPr>
          <w:rFonts w:ascii="宋体" w:hAnsi="宋体" w:cs="宋体" w:eastAsia="宋体" w:hint="default"/>
          <w:sz w:val="26"/>
          <w:szCs w:val="26"/>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18" w:firstLine="300"/>
        <w:jc w:val="left"/>
      </w:pPr>
      <w:r>
        <w:rPr/>
        <w:t>暂停资本化期间：在购建或生产过程中发生非正常中断、且中断时间连续超过</w:t>
      </w:r>
      <w:r>
        <w:rPr>
          <w:rFonts w:ascii="Times New Roman" w:hAnsi="Times New Roman" w:cs="Times New Roman" w:eastAsia="Times New Roman" w:hint="default"/>
        </w:rPr>
        <w:t>3</w:t>
      </w:r>
      <w:r>
        <w:rPr/>
        <w:t>个月的，应当暂停借款费用的资本化期 间。</w:t>
      </w:r>
    </w:p>
    <w:p>
      <w:pPr>
        <w:spacing w:line="240" w:lineRule="auto" w:before="5"/>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32" w:firstLine="300"/>
        <w:jc w:val="left"/>
      </w:pPr>
      <w:r>
        <w:rPr/>
        <w:t>资本化金额计算：①借入专门借款，按照专门借款当期实际发生的利息费用，减去将尚未动用的借款资金存入银行取得 </w:t>
      </w:r>
      <w:r>
        <w:rPr>
          <w:spacing w:val="-2"/>
        </w:rPr>
        <w:t>的利息收入或进行暂时性投资取得的投资收益后的金额确定；②占用一般借款按照累计资产支出超过专门借款部分的资产支</w:t>
      </w:r>
      <w:r>
        <w:rPr>
          <w:spacing w:val="-64"/>
        </w:rPr>
        <w:t> </w:t>
      </w:r>
      <w:r>
        <w:rPr>
          <w:spacing w:val="-64"/>
        </w:rPr>
      </w:r>
      <w:r>
        <w:rPr/>
        <w:t>出加权平均数乘以所占用一般借款的资本化率计算确定，资本化率为一般借款的加权平均利率；③借款存在折价或溢价的， 按照实际利率法确定每一会计期间应摊销的折价或溢价金额，调整每期利息金额。</w:t>
      </w:r>
    </w:p>
    <w:p>
      <w:pPr>
        <w:pStyle w:val="BodyText"/>
        <w:spacing w:line="319" w:lineRule="auto" w:before="139"/>
        <w:ind w:right="0" w:firstLine="290"/>
        <w:jc w:val="left"/>
      </w:pPr>
      <w:r>
        <w:rPr>
          <w:spacing w:val="-1"/>
        </w:rPr>
        <w:t>实际利率法是根据借款实际利率计算其摊余折价或溢价或利息费用的方法。其中实际利率是借款在预期存续期间的未来</w:t>
      </w:r>
      <w:r>
        <w:rPr/>
        <w:t> 现金流量，折现为该借款当前账面价值所使用的利率。</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19、生物资产" w:id="183"/>
      <w:bookmarkEnd w:id="183"/>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t>无</w:t>
      </w:r>
    </w:p>
    <w:p>
      <w:pPr>
        <w:spacing w:after="0" w:line="24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both"/>
        <w:rPr>
          <w:b w:val="0"/>
          <w:bCs w:val="0"/>
        </w:rPr>
      </w:pPr>
      <w:bookmarkStart w:name="20、油气资产" w:id="184"/>
      <w:bookmarkEnd w:id="184"/>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无</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1、无形资产" w:id="185"/>
      <w:bookmarkEnd w:id="185"/>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计价方法、使用寿命、减值测试" w:id="186"/>
      <w:bookmarkEnd w:id="186"/>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590" w:lineRule="atLeast" w:before="15"/>
        <w:ind w:left="573" w:right="0" w:hanging="42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宋体" w:hAnsi="宋体" w:cs="宋体" w:eastAsia="宋体" w:hint="default"/>
          <w:b/>
          <w:bCs/>
          <w:sz w:val="21"/>
          <w:szCs w:val="21"/>
        </w:rPr>
        <w:t>无形资产的计价方法</w:t>
      </w:r>
      <w:r>
        <w:rPr>
          <w:rFonts w:ascii="宋体" w:hAnsi="宋体" w:cs="宋体" w:eastAsia="宋体" w:hint="default"/>
          <w:b/>
          <w:bCs/>
          <w:w w:val="99"/>
          <w:sz w:val="21"/>
          <w:szCs w:val="21"/>
        </w:rPr>
        <w:t> </w:t>
      </w:r>
      <w:r>
        <w:rPr>
          <w:rFonts w:ascii="宋体" w:hAnsi="宋体" w:cs="宋体" w:eastAsia="宋体" w:hint="default"/>
          <w:sz w:val="18"/>
          <w:szCs w:val="18"/>
        </w:rPr>
        <w:t>本公司无形资产按照成本进行初始计量。购入的无形资产，按实际支付的价款和相关支出作为实际成本。投资者投入</w:t>
      </w:r>
    </w:p>
    <w:p>
      <w:pPr>
        <w:pStyle w:val="BodyText"/>
        <w:spacing w:line="316" w:lineRule="auto" w:before="76"/>
        <w:ind w:right="0"/>
        <w:jc w:val="left"/>
      </w:pPr>
      <w:r>
        <w:rPr>
          <w:spacing w:val="-2"/>
        </w:rPr>
        <w:t>的无形资产，按投资合同或协议约定的价值确定实际成本，但合同或协议约定价值不公允的，按公允价值确定实际成本。自</w:t>
      </w:r>
      <w:r>
        <w:rPr>
          <w:spacing w:val="-66"/>
        </w:rPr>
        <w:t> </w:t>
      </w:r>
      <w:r>
        <w:rPr>
          <w:spacing w:val="-66"/>
        </w:rPr>
      </w:r>
      <w:r>
        <w:rPr/>
        <w:t>行开发的无形资产，其成本为达到预定用途前所发生的支出总额。</w:t>
      </w:r>
    </w:p>
    <w:p>
      <w:pPr>
        <w:pStyle w:val="BodyText"/>
        <w:spacing w:line="319" w:lineRule="auto" w:before="139"/>
        <w:ind w:right="0" w:firstLine="290"/>
        <w:jc w:val="left"/>
      </w:pPr>
      <w:r>
        <w:rPr/>
        <w:t>本公司无形资产后续计量，分别为：①使用寿命有限无形资产采用直线法摊销，并在年度终了，对无形资产的使用寿命 </w:t>
      </w:r>
      <w:r>
        <w:rPr>
          <w:spacing w:val="-4"/>
        </w:rPr>
        <w:t>和摊销方法进行复核，如与原先估计数存在差异的，进行相应的调整。②使用寿命不确定的无形资产不摊销，但在年度终了，</w:t>
      </w:r>
      <w:r>
        <w:rPr>
          <w:spacing w:val="-46"/>
        </w:rPr>
        <w:t> </w:t>
      </w:r>
      <w:r>
        <w:rPr>
          <w:spacing w:val="-46"/>
        </w:rPr>
      </w:r>
      <w:r>
        <w:rPr/>
        <w:t>对使用寿命进行复核，当有确凿证据表明其使用寿命是有限的，则估计其使用寿命，按直线法进行摊销。</w:t>
      </w:r>
    </w:p>
    <w:p>
      <w:pPr>
        <w:spacing w:line="240" w:lineRule="auto" w:before="4"/>
        <w:rPr>
          <w:rFonts w:ascii="宋体" w:hAnsi="宋体" w:cs="宋体" w:eastAsia="宋体" w:hint="default"/>
          <w:sz w:val="22"/>
          <w:szCs w:val="22"/>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1131"/>
        <w:jc w:val="both"/>
      </w:pPr>
      <w:r>
        <w:rPr>
          <w:spacing w:val="-2"/>
        </w:rPr>
        <w:t>本公司对使用寿命有限的无形资产，估计其使用寿命时通常考虑以下因素：①运用该资产生产的产品通常的寿命周期、可获</w:t>
      </w:r>
      <w:r>
        <w:rPr>
          <w:spacing w:val="-66"/>
        </w:rPr>
        <w:t> </w:t>
      </w:r>
      <w:r>
        <w:rPr>
          <w:spacing w:val="-66"/>
        </w:rPr>
      </w:r>
      <w:r>
        <w:rPr>
          <w:spacing w:val="-2"/>
        </w:rPr>
        <w:t>得的类似资产使用寿命的信息；②技术、工艺等方面的现阶段情况及对未来发展趋势的估计；③以该资产生产的产品或提供</w:t>
      </w:r>
      <w:r>
        <w:rPr>
          <w:spacing w:val="-66"/>
        </w:rPr>
        <w:t> </w:t>
      </w:r>
      <w:r>
        <w:rPr>
          <w:spacing w:val="-66"/>
        </w:rPr>
      </w:r>
      <w:r>
        <w:rPr>
          <w:spacing w:val="-2"/>
        </w:rPr>
        <w:t>劳务的市场需求情况；④现在或潜在的竞争者预期采取的行动；⑤为维持该资产带来经济利益能力的预期维护支出，以及公</w:t>
      </w:r>
      <w:r>
        <w:rPr>
          <w:spacing w:val="-65"/>
        </w:rPr>
        <w:t> </w:t>
      </w:r>
      <w:r>
        <w:rPr>
          <w:spacing w:val="-65"/>
        </w:rPr>
      </w:r>
      <w:r>
        <w:rPr>
          <w:spacing w:val="-2"/>
        </w:rPr>
        <w:t>司预计支付有关支出的能力；⑥对该资产控制期限的相关法律规定或类似限制，如特许使用期、租赁期等；⑦与公司持有其</w:t>
      </w:r>
      <w:r>
        <w:rPr>
          <w:spacing w:val="-66"/>
        </w:rPr>
        <w:t> </w:t>
      </w:r>
      <w:r>
        <w:rPr>
          <w:spacing w:val="-66"/>
        </w:rPr>
      </w:r>
      <w:r>
        <w:rPr/>
        <w:t>他资产使用寿命的关联性等。</w:t>
      </w:r>
    </w:p>
    <w:tbl>
      <w:tblPr>
        <w:tblW w:w="0" w:type="auto"/>
        <w:jc w:val="left"/>
        <w:tblInd w:w="146" w:type="dxa"/>
        <w:tblLayout w:type="fixed"/>
        <w:tblCellMar>
          <w:top w:w="0" w:type="dxa"/>
          <w:left w:w="0" w:type="dxa"/>
          <w:bottom w:w="0" w:type="dxa"/>
          <w:right w:w="0" w:type="dxa"/>
        </w:tblCellMar>
        <w:tblLook w:val="01E0"/>
      </w:tblPr>
      <w:tblGrid>
        <w:gridCol w:w="2280"/>
        <w:gridCol w:w="2216"/>
        <w:gridCol w:w="5073"/>
      </w:tblGrid>
      <w:tr>
        <w:trPr>
          <w:trHeight w:val="427" w:hRule="exact"/>
        </w:trPr>
        <w:tc>
          <w:tcPr>
            <w:tcW w:w="22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559"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27"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土地使用年限</w:t>
            </w:r>
          </w:p>
        </w:tc>
        <w:tc>
          <w:tcPr>
            <w:tcW w:w="5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土地使用权证规定的年限</w:t>
            </w:r>
          </w:p>
        </w:tc>
      </w:tr>
      <w:tr>
        <w:trPr>
          <w:trHeight w:val="427"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5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为公司带来经济利益的期限确定使用寿命</w:t>
            </w:r>
          </w:p>
        </w:tc>
      </w:tr>
    </w:tbl>
    <w:p>
      <w:pPr>
        <w:spacing w:line="240" w:lineRule="auto" w:before="8"/>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574" w:right="0"/>
        <w:jc w:val="left"/>
      </w:pPr>
      <w:r>
        <w:rPr/>
        <w:t>本公司将无法预见该资产为公司带来经济利益的期限，或使用期限不确定等无形资产确定为使用寿命不确定的无形资</w:t>
      </w:r>
    </w:p>
    <w:p>
      <w:pPr>
        <w:pStyle w:val="BodyText"/>
        <w:spacing w:line="240" w:lineRule="auto" w:before="76"/>
        <w:ind w:left="154" w:right="0"/>
        <w:jc w:val="left"/>
      </w:pPr>
      <w:r>
        <w:rPr/>
        <w:t>产。</w:t>
      </w:r>
    </w:p>
    <w:p>
      <w:pPr>
        <w:spacing w:line="240" w:lineRule="auto" w:before="8"/>
        <w:rPr>
          <w:rFonts w:ascii="宋体" w:hAnsi="宋体" w:cs="宋体" w:eastAsia="宋体" w:hint="default"/>
          <w:sz w:val="11"/>
          <w:szCs w:val="11"/>
        </w:rPr>
      </w:pPr>
    </w:p>
    <w:p>
      <w:pPr>
        <w:pStyle w:val="BodyText"/>
        <w:spacing w:line="316" w:lineRule="auto" w:before="44"/>
        <w:ind w:left="154" w:right="0" w:firstLine="420"/>
        <w:jc w:val="left"/>
      </w:pPr>
      <w:r>
        <w:rPr/>
        <w:t>使用寿命不确定的判断依据：①来源于合同性权利或其他法定权利，但合同规定或法律规定无明确使用年限；②综合 同行业情况或相关专家论证等，仍无法判断无形资产为公司带来经济利益的期限。</w:t>
      </w:r>
    </w:p>
    <w:p>
      <w:pPr>
        <w:pStyle w:val="BodyText"/>
        <w:spacing w:line="319" w:lineRule="auto" w:before="139"/>
        <w:ind w:right="0" w:firstLine="290"/>
        <w:jc w:val="left"/>
      </w:pPr>
      <w:r>
        <w:rPr>
          <w:spacing w:val="-1"/>
        </w:rPr>
        <w:t>每年年末，对使用寿命不确定无形资产使用寿命进行复核，主要采取自下而上的方式，由无形资产使用相关部门进行基</w:t>
      </w:r>
      <w:r>
        <w:rPr/>
        <w:t> 础复核，评价使用寿命不确定判断依据是否存在变化等。</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4" w:right="0" w:firstLine="420"/>
        <w:jc w:val="left"/>
      </w:pPr>
      <w:r>
        <w:rPr/>
        <w:t>资产负债表日，本公司对无形资产检查是否存在可能发生减值的迹象，当存在减值迹象时应进行减值测试确认其可收 回金额，按账面价值与可收回金额孰低计提减值准备，减值损失一经计提，在以后会计期间不再转回。</w:t>
      </w:r>
    </w:p>
    <w:p>
      <w:pPr>
        <w:pStyle w:val="BodyText"/>
        <w:spacing w:line="240" w:lineRule="auto" w:before="140"/>
        <w:ind w:left="444" w:right="0"/>
        <w:jc w:val="left"/>
      </w:pPr>
      <w:r>
        <w:rPr/>
        <w:t>无形资产可收回金额根据资产公允价值减去处置费用后的净额与资产预计未来现金流量的现值两者孰高确定。</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left="153" w:right="0"/>
        <w:jc w:val="left"/>
        <w:rPr>
          <w:b w:val="0"/>
          <w:bCs w:val="0"/>
        </w:rPr>
      </w:pPr>
      <w:bookmarkStart w:name="（2）内部研究开发支出会计政策" w:id="187"/>
      <w:bookmarkEnd w:id="18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）划分公司内部研究开发项目的研究阶段和开发阶段具体标准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290"/>
        <w:jc w:val="both"/>
      </w:pPr>
      <w:r>
        <w:rPr>
          <w:spacing w:val="-1"/>
        </w:rPr>
        <w:t>划分内部研究开发项目的研究阶段和开发阶段的具体标准：为获取新的技术和知识等进行的有计划的调查阶段，应确定</w:t>
      </w:r>
      <w:r>
        <w:rPr/>
        <w:t> </w:t>
      </w:r>
      <w:r>
        <w:rPr>
          <w:spacing w:val="-2"/>
        </w:rPr>
        <w:t>为研究阶段，该阶段具有计划性和探索性等特点；在进行商业性生产或使用前，将研究成果或其他知识应用于某项计划或设</w:t>
      </w:r>
      <w:r>
        <w:rPr>
          <w:spacing w:val="-66"/>
        </w:rPr>
        <w:t> </w:t>
      </w:r>
      <w:r>
        <w:rPr>
          <w:spacing w:val="-66"/>
        </w:rPr>
      </w:r>
      <w:r>
        <w:rPr>
          <w:spacing w:val="-2"/>
        </w:rPr>
        <w:t>计，以生产出新的或具有实质性改进的材料、装置、产品等阶段，应确定为开发阶段，该阶段具有针对性和形成成果的可能</w:t>
      </w:r>
      <w:r>
        <w:rPr>
          <w:spacing w:val="-66"/>
        </w:rPr>
        <w:t> </w:t>
      </w:r>
      <w:r>
        <w:rPr>
          <w:spacing w:val="-66"/>
        </w:rPr>
      </w:r>
      <w:r>
        <w:rPr/>
        <w:t>性较大等特点。</w:t>
      </w:r>
    </w:p>
    <w:p>
      <w:pPr>
        <w:spacing w:line="240" w:lineRule="auto" w:before="6"/>
        <w:rPr>
          <w:rFonts w:ascii="宋体" w:hAnsi="宋体" w:cs="宋体" w:eastAsia="宋体" w:hint="default"/>
          <w:sz w:val="22"/>
          <w:szCs w:val="22"/>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）内部研究开发项目支出的核算</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036" w:firstLine="290"/>
        <w:jc w:val="left"/>
      </w:pPr>
      <w:r>
        <w:rPr>
          <w:spacing w:val="-3"/>
        </w:rPr>
        <w:t>内部研究开发项目研究阶段的支出，于发生时计入当期损益；开发阶段的支出，同时满足下列条件的，确认为无形资产：</w:t>
      </w:r>
      <w:r>
        <w:rPr/>
        <w:t> </w:t>
      </w:r>
      <w:r>
        <w:rPr>
          <w:rFonts w:ascii="Times New Roman" w:hAnsi="Times New Roman" w:cs="Times New Roman" w:eastAsia="Times New Roman" w:hint="default"/>
        </w:rPr>
        <w:t>(1) </w:t>
      </w:r>
      <w:r>
        <w:rPr/>
        <w:t>完成该无形资产以使其能够使用或出售在技术上具有可行性；</w:t>
      </w:r>
      <w:r>
        <w:rPr>
          <w:rFonts w:ascii="Times New Roman" w:hAnsi="Times New Roman" w:cs="Times New Roman" w:eastAsia="Times New Roman" w:hint="default"/>
        </w:rPr>
        <w:t>(2)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无形资 </w:t>
      </w:r>
      <w:r>
        <w:rPr>
          <w:spacing w:val="-2"/>
        </w:rPr>
        <w:t>产产生经济利益的方式，包括能够证明运用该无形资产生产的产品存在市场或无形资产自身存在市场，无形资产将在内部使</w:t>
      </w:r>
      <w:r>
        <w:rPr>
          <w:spacing w:val="-64"/>
        </w:rPr>
        <w:t> </w:t>
      </w:r>
      <w:r>
        <w:rPr>
          <w:spacing w:val="-64"/>
        </w:rPr>
      </w:r>
      <w:r>
        <w:rPr/>
        <w:t>用的，能证明其有用性；</w:t>
      </w:r>
      <w:r>
        <w:rPr>
          <w:rFonts w:ascii="Times New Roman" w:hAnsi="Times New Roman" w:cs="Times New Roman" w:eastAsia="Times New Roman" w:hint="default"/>
        </w:rPr>
        <w:t>(4)</w:t>
      </w:r>
      <w:r>
        <w:rPr>
          <w:rFonts w:ascii="Times New Roman" w:hAnsi="Times New Roman" w:cs="Times New Roman" w:eastAsia="Times New Roman" w:hint="default"/>
          <w:spacing w:val="23"/>
        </w:rPr>
        <w:t> </w:t>
      </w:r>
      <w:r>
        <w:rPr/>
        <w:t>有足够的技术、财务资源和其他资源支持，以完成该无形资产的开发，并有能力使用或出售该 无形资产；</w:t>
      </w: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归属于该无形资产开发阶段的支出能够可靠地计量。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bookmarkStart w:name="22、长期资产减值" w:id="188"/>
      <w:bookmarkEnd w:id="188"/>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360"/>
        <w:jc w:val="both"/>
      </w:pPr>
      <w:r>
        <w:rPr>
          <w:spacing w:val="-2"/>
        </w:rPr>
        <w:t>长期股权投资、采用成本模式计量的投资性房地产、固定资产、在建工程、采用成本模式计量的生产性生物资产、油气</w:t>
      </w:r>
      <w:r>
        <w:rPr/>
        <w:t> </w:t>
      </w:r>
      <w:r>
        <w:rPr>
          <w:spacing w:val="-2"/>
        </w:rPr>
        <w:t>资产、无形资产、商誉等长期资产于资产负债表日存在减值迹象的，进行减值测试。减值测试结果表明资产的可收回金额低</w:t>
      </w:r>
      <w:r>
        <w:rPr>
          <w:spacing w:val="-66"/>
        </w:rPr>
        <w:t> </w:t>
      </w:r>
      <w:r>
        <w:rPr>
          <w:spacing w:val="-66"/>
        </w:rPr>
      </w:r>
      <w:r>
        <w:rPr/>
        <w:t>于其账面价值的，按其差额计提减值准备并计入减值损失。</w:t>
      </w:r>
    </w:p>
    <w:p>
      <w:pPr>
        <w:pStyle w:val="BodyText"/>
        <w:spacing w:line="316" w:lineRule="auto" w:before="19"/>
        <w:ind w:left="154" w:right="1130" w:firstLine="360"/>
        <w:jc w:val="both"/>
      </w:pPr>
      <w:r>
        <w:rPr>
          <w:spacing w:val="-2"/>
        </w:rPr>
        <w:t>可收回金额为资产的公允价值减去处置费用后的净额与资产预计未来现金流量的现值两者之间的较高者。资产减值准备</w:t>
      </w:r>
      <w:r>
        <w:rPr/>
        <w:t> </w:t>
      </w:r>
      <w:r>
        <w:rPr>
          <w:spacing w:val="-2"/>
        </w:rPr>
        <w:t>按单项资产为基础计算并确认，如果难以对单项资产的可收回金额进行估计的，以该资产所属的资产组确定资产组的可收回</w:t>
      </w:r>
      <w:r>
        <w:rPr>
          <w:spacing w:val="-63"/>
        </w:rPr>
        <w:t> </w:t>
      </w:r>
      <w:r>
        <w:rPr>
          <w:spacing w:val="-63"/>
        </w:rPr>
      </w:r>
      <w:r>
        <w:rPr/>
        <w:t>金额。资产组是能够独立产生现金流入的最小资产组合。</w:t>
      </w:r>
    </w:p>
    <w:p>
      <w:pPr>
        <w:pStyle w:val="BodyText"/>
        <w:spacing w:line="316" w:lineRule="auto" w:before="19"/>
        <w:ind w:right="1131" w:firstLine="360"/>
        <w:jc w:val="both"/>
      </w:pPr>
      <w:r>
        <w:rPr>
          <w:spacing w:val="-2"/>
        </w:rPr>
        <w:t>在财务报表中单独列示的商誉，无论是否存在减值迹象，至少每年进行减值测试。减值测试时，商誉的账面价值分摊至</w:t>
      </w:r>
      <w:r>
        <w:rPr/>
        <w:t> </w:t>
      </w:r>
      <w:r>
        <w:rPr>
          <w:spacing w:val="-2"/>
        </w:rPr>
        <w:t>预期从企业合并的协同效应中受益的资产组或资产组组合。测试结果表明包含分摊的商誉的资产组或资产组组合的可收回金</w:t>
      </w:r>
      <w:r>
        <w:rPr>
          <w:spacing w:val="-64"/>
        </w:rPr>
        <w:t> </w:t>
      </w:r>
      <w:r>
        <w:rPr>
          <w:spacing w:val="-64"/>
        </w:rPr>
      </w:r>
      <w:r>
        <w:rPr>
          <w:spacing w:val="-2"/>
        </w:rPr>
        <w:t>额低于其账面价值的，确认相应的减值损失。减值损失金额先抵减分摊至该资产组或资产组组合的商誉的账面价值，再根据</w:t>
      </w:r>
      <w:r>
        <w:rPr>
          <w:spacing w:val="-66"/>
        </w:rPr>
        <w:t> </w:t>
      </w:r>
      <w:r>
        <w:rPr>
          <w:spacing w:val="-66"/>
        </w:rPr>
      </w:r>
      <w:r>
        <w:rPr/>
        <w:t>资产组或资产组组合中除商誉以外的其他各项资产的账面价值所占比重，按比例抵减其他各项资产的账面价值。</w:t>
      </w:r>
    </w:p>
    <w:p>
      <w:pPr>
        <w:pStyle w:val="BodyText"/>
        <w:spacing w:line="240" w:lineRule="auto" w:before="59"/>
        <w:ind w:right="0"/>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3"/>
        <w:spacing w:line="240" w:lineRule="auto"/>
        <w:ind w:left="153" w:right="0"/>
        <w:jc w:val="left"/>
        <w:rPr>
          <w:b w:val="0"/>
          <w:bCs w:val="0"/>
        </w:rPr>
      </w:pPr>
      <w:bookmarkStart w:name="23、长期待摊费用" w:id="189"/>
      <w:bookmarkEnd w:id="189"/>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3" w:firstLine="290"/>
        <w:jc w:val="both"/>
      </w:pPr>
      <w:r>
        <w:rPr>
          <w:spacing w:val="-1"/>
        </w:rPr>
        <w:t>本公司长期待摊费用是指已经支出，但受益期限在一年以上（不含一年）的各项费用，主要包括车位使用费、房屋装修</w:t>
      </w:r>
      <w:r>
        <w:rPr/>
        <w:t> </w:t>
      </w:r>
      <w:r>
        <w:rPr>
          <w:spacing w:val="-2"/>
        </w:rPr>
        <w:t>费等。长期待摊费用按费用项目的受益期限分期摊销。若长期待摊的费用项目不能使以后会计期间受益，则将尚未摊销的该</w:t>
      </w:r>
      <w:r>
        <w:rPr>
          <w:spacing w:val="-66"/>
        </w:rPr>
        <w:t> </w:t>
      </w:r>
      <w:r>
        <w:rPr>
          <w:spacing w:val="-66"/>
        </w:rPr>
      </w:r>
      <w:r>
        <w:rPr/>
        <w:t>项目的摊余价值全部转入当期损益。</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4、职工薪酬" w:id="190"/>
      <w:bookmarkEnd w:id="190"/>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91"/>
      <w:bookmarkEnd w:id="191"/>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290"/>
        <w:jc w:val="both"/>
      </w:pPr>
      <w:r>
        <w:rPr>
          <w:spacing w:val="-1"/>
        </w:rPr>
        <w:t>在职工为本公司提供服务的会计期间，将实际发生的短期薪酬确认为负债，并计入当期损益，其他会计准则要求或允许</w:t>
      </w:r>
      <w:r>
        <w:rPr/>
        <w:t> </w:t>
      </w:r>
      <w:r>
        <w:rPr>
          <w:spacing w:val="-2"/>
        </w:rPr>
        <w:t>计入资产成本的除外。本公司发生的职工福利费，在实际发生时根据实际发生额计入当期损益或相关资产成本。职工福利费</w:t>
      </w:r>
      <w:r>
        <w:rPr>
          <w:spacing w:val="-66"/>
        </w:rPr>
        <w:t> </w:t>
      </w:r>
      <w:r>
        <w:rPr>
          <w:spacing w:val="-66"/>
        </w:rPr>
      </w:r>
      <w:r>
        <w:rPr>
          <w:spacing w:val="-2"/>
        </w:rPr>
        <w:t>为非货币性福利的，按照公允价值计量。企业为职工缴纳的医疗保险费、工伤保险费、生育保险费等社会保险费和住房公积</w:t>
      </w:r>
      <w:r>
        <w:rPr>
          <w:spacing w:val="-66"/>
        </w:rPr>
        <w:t> </w:t>
      </w:r>
      <w:r>
        <w:rPr>
          <w:spacing w:val="-66"/>
        </w:rPr>
      </w:r>
      <w:r>
        <w:rPr>
          <w:spacing w:val="-2"/>
        </w:rPr>
        <w:t>金，以及按规定提取的工会经费和职工教育经费，在职工提供服务的会计期间，根据规定的计提基础和计提比例计算确定相</w:t>
      </w:r>
      <w:r>
        <w:rPr>
          <w:spacing w:val="-66"/>
        </w:rPr>
        <w:t> </w:t>
      </w:r>
      <w:r>
        <w:rPr>
          <w:spacing w:val="-66"/>
        </w:rPr>
      </w:r>
      <w:r>
        <w:rPr/>
        <w:t>应的职工薪酬金额，并确认相应负债，计入当期损益或相关资产成本。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left="153" w:right="0"/>
        <w:jc w:val="left"/>
        <w:rPr>
          <w:b w:val="0"/>
          <w:bCs w:val="0"/>
        </w:rPr>
      </w:pPr>
      <w:bookmarkStart w:name="（2）离职后福利的会计处理方法" w:id="192"/>
      <w:bookmarkEnd w:id="192"/>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36" w:firstLine="217"/>
        <w:jc w:val="left"/>
      </w:pPr>
      <w:r>
        <w:rPr>
          <w:spacing w:val="-1"/>
        </w:rPr>
        <w:t>本公司在职工提供服务的会计期间，根据设定提存计划计算的应缴存金额确认为负债，并计入当期损益或相关资产成本。</w:t>
      </w:r>
      <w:r>
        <w:rPr/>
        <w:t> </w:t>
      </w:r>
      <w:r>
        <w:rPr>
          <w:spacing w:val="-2"/>
        </w:rPr>
        <w:t>根据预期累计福利单位法确定的公式将设定受益计划产生的福利义务归属于职工提供服务的期间，并计入当期损益或相关资</w:t>
      </w:r>
      <w:r>
        <w:rPr>
          <w:spacing w:val="-64"/>
        </w:rPr>
        <w:t> </w:t>
      </w:r>
      <w:r>
        <w:rPr>
          <w:spacing w:val="-64"/>
        </w:rPr>
      </w:r>
      <w:r>
        <w:rPr/>
        <w:t>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left="153" w:right="0"/>
        <w:jc w:val="left"/>
        <w:rPr>
          <w:b w:val="0"/>
          <w:bCs w:val="0"/>
        </w:rPr>
      </w:pPr>
      <w:bookmarkStart w:name="（3）辞退福利的会计处理方法" w:id="193"/>
      <w:bookmarkEnd w:id="19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spacing w:val="-1"/>
        </w:rPr>
        <w:t>企业向职工提供辞退福利时，在下列两者孰早日确认辞退福利产生的职工薪酬负债，并计入当期损益：企业不能单方面</w:t>
      </w:r>
      <w:r>
        <w:rPr/>
        <w:t> 撤回因解除劳动关系计划或裁减建议所提供的辞退福利时；企业确认与涉及支付辞退福利的重组相关的成本或费用时。</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4）其他长期职工福利的会计处理方法" w:id="194"/>
      <w:bookmarkEnd w:id="19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spacing w:val="-1"/>
        </w:rPr>
        <w:t>本公司向职工提供的其他长期职工福利，符合设定提存计划条件的，应当按照有关设定提存计划的规定进行处理；除此</w:t>
      </w:r>
      <w:r>
        <w:rPr/>
        <w:t> 外，根据设定受益计划的有关规定，确认和计量其他长期职工福利净负债或净资产。</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5、预计负债" w:id="195"/>
      <w:bookmarkEnd w:id="195"/>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3" w:firstLine="420"/>
        <w:jc w:val="both"/>
      </w:pPr>
      <w:r>
        <w:rPr/>
        <w:t>当与或有事项相关的义务是公司承担的现时义务，且履行该义务很可能导致经济利益流出，同时其金额能够可靠地计 量时确认该义务为预计负债。</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3" w:firstLine="420"/>
        <w:jc w:val="both"/>
      </w:pPr>
      <w:r>
        <w:rPr/>
        <w:t>按照履行相关现时义务所需支出的最佳估计数进行初始计量，如所需支出存在一个连续范围，且该范围内各种结果发 </w:t>
      </w:r>
      <w:r>
        <w:rPr>
          <w:spacing w:val="-2"/>
        </w:rPr>
        <w:t>生的可能性相同，最佳估计数按照该范围内的中间值确定；如涉及多个项目，按照各种可能结果及相关概率计算确定最佳估</w:t>
      </w:r>
      <w:r>
        <w:rPr>
          <w:spacing w:val="-66"/>
        </w:rPr>
        <w:t> </w:t>
      </w:r>
      <w:r>
        <w:rPr>
          <w:spacing w:val="-66"/>
        </w:rPr>
      </w:r>
      <w:r>
        <w:rPr/>
        <w:t>计数。</w:t>
      </w:r>
    </w:p>
    <w:p>
      <w:pPr>
        <w:pStyle w:val="BodyText"/>
        <w:spacing w:line="319" w:lineRule="auto" w:before="139"/>
        <w:ind w:left="154" w:right="1132" w:firstLine="362"/>
        <w:jc w:val="both"/>
      </w:pPr>
      <w:r>
        <w:rPr>
          <w:spacing w:val="-2"/>
        </w:rPr>
        <w:t>资产负债表日应当对预计负债账面价值进行复核，有确凿证据表明该账面价值不能真实反映当前最佳估计数，应当按照</w:t>
      </w:r>
      <w:r>
        <w:rPr/>
        <w:t> 当前最佳估计数对该账面价值进行调整。</w:t>
      </w:r>
    </w:p>
    <w:p>
      <w:pPr>
        <w:spacing w:after="0" w:line="31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6、股份支付" w:id="196"/>
      <w:bookmarkEnd w:id="196"/>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032" w:firstLine="360"/>
        <w:jc w:val="left"/>
      </w:pPr>
      <w:r>
        <w:rPr>
          <w:spacing w:val="-2"/>
        </w:rPr>
        <w:t>本公司股份支付包括以权益结算的股份支付和以现金结算的股份支付。以权益结算的股份支付换取职工提供服务的，以</w:t>
      </w:r>
      <w:r>
        <w:rPr/>
        <w:t> </w:t>
      </w:r>
      <w:r>
        <w:rPr>
          <w:spacing w:val="-4"/>
        </w:rPr>
        <w:t>授予职工权益工具的公允价值计量。存在活跃市场的，按照活跃市场中的报价确定；不存在活跃市场的，采用估值技术确定，</w:t>
      </w:r>
      <w:r>
        <w:rPr>
          <w:spacing w:val="-46"/>
        </w:rPr>
        <w:t> </w:t>
      </w:r>
      <w:r>
        <w:rPr>
          <w:spacing w:val="-46"/>
        </w:rPr>
      </w:r>
      <w:r>
        <w:rPr/>
        <w:t>包括参考熟悉情况并自愿交易的各方最近进行的市场交易中使用的价格、参照实质上相同的其他金融工具的当前公允价值、 现金流量折现法和期权定价模型等。</w:t>
      </w:r>
    </w:p>
    <w:p>
      <w:pPr>
        <w:pStyle w:val="BodyText"/>
        <w:spacing w:line="319" w:lineRule="auto" w:before="55"/>
        <w:ind w:left="154" w:right="1032"/>
        <w:jc w:val="left"/>
      </w:pPr>
      <w:r>
        <w:rPr/>
        <w:t>在各个资产负债表日，根据最新取得的可行权人数变动、业绩指标完成情况等后续信息，修正预计可行权的股票期权数量， </w:t>
      </w:r>
      <w:r>
        <w:rPr>
          <w:spacing w:val="-2"/>
        </w:rPr>
        <w:t>并以此为依据确认各期应分摊的费用。对于跨越多个会计期间的期权费用，一般可以按照该期权在某会计期间内等待期长度</w:t>
      </w:r>
      <w:r>
        <w:rPr>
          <w:spacing w:val="-64"/>
        </w:rPr>
        <w:t> </w:t>
      </w:r>
      <w:r>
        <w:rPr>
          <w:spacing w:val="-64"/>
        </w:rPr>
      </w:r>
      <w:r>
        <w:rPr/>
        <w:t>占整个等待期长度的比例进行分摊。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3"/>
        <w:spacing w:line="240" w:lineRule="auto"/>
        <w:ind w:right="0"/>
        <w:jc w:val="left"/>
        <w:rPr>
          <w:b w:val="0"/>
          <w:bCs w:val="0"/>
        </w:rPr>
      </w:pPr>
      <w:bookmarkStart w:name="27、优先股、永续债等其他金融工具" w:id="197"/>
      <w:bookmarkEnd w:id="197"/>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0" w:hanging="360"/>
        <w:jc w:val="left"/>
      </w:pPr>
      <w:r>
        <w:rPr>
          <w:rFonts w:ascii="Times New Roman" w:hAnsi="Times New Roman" w:cs="Times New Roman" w:eastAsia="Times New Roman" w:hint="default"/>
        </w:rPr>
        <w:t>1</w:t>
      </w:r>
      <w:r>
        <w:rPr/>
        <w:t>、金融负债和权益工具的划分 </w:t>
      </w:r>
      <w:r>
        <w:rPr>
          <w:spacing w:val="-2"/>
        </w:rPr>
        <w:t>本公司发行的优先股、永续债（例如长期限含权中期票据）、认股权、可转换公司债券等，按照以下原则换分为金融负</w:t>
      </w:r>
    </w:p>
    <w:p>
      <w:pPr>
        <w:pStyle w:val="BodyText"/>
        <w:spacing w:line="240" w:lineRule="auto" w:before="4"/>
        <w:ind w:left="154" w:right="0"/>
        <w:jc w:val="left"/>
      </w:pPr>
      <w:r>
        <w:rPr/>
        <w:t>债或权益工具：</w:t>
      </w:r>
    </w:p>
    <w:p>
      <w:pPr>
        <w:pStyle w:val="BodyText"/>
        <w:spacing w:line="302" w:lineRule="auto" w:before="115"/>
        <w:ind w:left="154" w:right="1122" w:firstLine="180"/>
        <w:jc w:val="left"/>
      </w:pPr>
      <w:r>
        <w:rPr/>
        <w:t>（</w:t>
      </w:r>
      <w:r>
        <w:rPr>
          <w:rFonts w:ascii="Times New Roman" w:hAnsi="Times New Roman" w:cs="Times New Roman" w:eastAsia="Times New Roman" w:hint="default"/>
        </w:rPr>
        <w:t>1</w:t>
      </w:r>
      <w:r>
        <w:rPr/>
        <w:t>）通过交付现金、其他金融资产或交换金融资产或金融负债结算的情况。如果企业不能无条件地避免以交付现金或其 他金融资产来履行一项合同义务，则该合同义务符合金融负债的定义。</w:t>
      </w:r>
    </w:p>
    <w:p>
      <w:pPr>
        <w:pStyle w:val="BodyText"/>
        <w:spacing w:line="309" w:lineRule="auto" w:before="69"/>
        <w:ind w:left="154" w:right="1131" w:firstLine="180"/>
        <w:jc w:val="both"/>
      </w:pPr>
      <w:r>
        <w:rPr/>
        <w:t>（</w:t>
      </w:r>
      <w:r>
        <w:rPr>
          <w:rFonts w:ascii="Times New Roman" w:hAnsi="Times New Roman" w:cs="Times New Roman" w:eastAsia="Times New Roman" w:hint="default"/>
        </w:rPr>
        <w:t>2</w:t>
      </w:r>
      <w:r>
        <w:rPr/>
        <w:t>）通过自身权益工具结算的情况。如果发行的金融工具须用或可用企业自身权益工具结算，作为现金或其他金融资产 </w:t>
      </w:r>
      <w:r>
        <w:rPr>
          <w:spacing w:val="-2"/>
        </w:rPr>
        <w:t>的替代品，该工具是发行方的金融负债；如果为了使该工具持有人享有在发行方扣除所有负债后的资产中的剩余权益，则该</w:t>
      </w:r>
      <w:r>
        <w:rPr>
          <w:spacing w:val="-66"/>
        </w:rPr>
        <w:t> </w:t>
      </w:r>
      <w:r>
        <w:rPr>
          <w:spacing w:val="-66"/>
        </w:rPr>
      </w:r>
      <w:r>
        <w:rPr/>
        <w:t>工具是发行方的权益工具。</w:t>
      </w:r>
    </w:p>
    <w:p>
      <w:pPr>
        <w:pStyle w:val="BodyText"/>
        <w:spacing w:line="314" w:lineRule="auto" w:before="63"/>
        <w:ind w:left="154" w:right="1032" w:firstLine="180"/>
        <w:jc w:val="left"/>
      </w:pPr>
      <w:r>
        <w:rPr/>
        <w:t>（</w:t>
      </w:r>
      <w:r>
        <w:rPr>
          <w:rFonts w:ascii="Times New Roman" w:hAnsi="Times New Roman" w:cs="Times New Roman" w:eastAsia="Times New Roman" w:hint="default"/>
        </w:rPr>
        <w:t>3</w:t>
      </w:r>
      <w:r>
        <w:rPr/>
        <w:t>）对于将来须用或可用企业自身权益工具结算的金融工具的分类，应当区分衍生工具还是非衍生工具。对于非衍生工 </w:t>
      </w:r>
      <w:r>
        <w:rPr>
          <w:spacing w:val="-2"/>
        </w:rPr>
        <w:t>具，如果发行方未来没有义务交付可变数量的自身权益工具进行结算，则该非衍生工具是权益工具；否则，该非衍生工具是</w:t>
      </w:r>
      <w:r>
        <w:rPr>
          <w:spacing w:val="-66"/>
        </w:rPr>
        <w:t> </w:t>
      </w:r>
      <w:r>
        <w:rPr>
          <w:spacing w:val="-66"/>
        </w:rPr>
      </w:r>
      <w:r>
        <w:rPr/>
        <w:t>金融负债。对于衍生工具，如果发行方只能通过以固定数量的自身权益工具交换固定金额的现金或其他金融资产进行结算， </w:t>
      </w:r>
      <w:r>
        <w:rPr>
          <w:spacing w:val="-2"/>
        </w:rPr>
        <w:t>则该衍生工具是权益工具；如果发行方以固定数量自身权益工具交换可变金额现金或其他金融资产，或以可变数量自身权益</w:t>
      </w:r>
      <w:r>
        <w:rPr>
          <w:spacing w:val="-64"/>
        </w:rPr>
        <w:t> </w:t>
      </w:r>
      <w:r>
        <w:rPr>
          <w:spacing w:val="-64"/>
        </w:rPr>
      </w:r>
      <w:r>
        <w:rPr>
          <w:spacing w:val="-2"/>
        </w:rPr>
        <w:t>工具交换固定金额现金或其他金融资产，或在转换价格不固定的情况下以可变数量自身权益工具交换可变金额现金或其他金</w:t>
      </w:r>
      <w:r>
        <w:rPr>
          <w:spacing w:val="-64"/>
        </w:rPr>
        <w:t> </w:t>
      </w:r>
      <w:r>
        <w:rPr>
          <w:spacing w:val="-64"/>
        </w:rPr>
      </w:r>
      <w:r>
        <w:rPr/>
        <w:t>融资产，则该衍生工具应当确认为金融负债或金融资产。</w:t>
      </w:r>
    </w:p>
    <w:p>
      <w:pPr>
        <w:pStyle w:val="BodyText"/>
        <w:spacing w:line="338" w:lineRule="auto" w:before="60"/>
        <w:ind w:left="371" w:right="0" w:hanging="218"/>
        <w:jc w:val="left"/>
      </w:pPr>
      <w:r>
        <w:rPr>
          <w:rFonts w:ascii="Times New Roman" w:hAnsi="Times New Roman" w:cs="Times New Roman" w:eastAsia="Times New Roman" w:hint="default"/>
        </w:rPr>
        <w:t>2</w:t>
      </w:r>
      <w:r>
        <w:rPr/>
        <w:t>、优先股、永续债的会计处理 发行方对于归类为金融负债的金融工具在</w:t>
      </w:r>
      <w:r>
        <w:rPr>
          <w:rFonts w:ascii="Times New Roman" w:hAnsi="Times New Roman" w:cs="Times New Roman" w:eastAsia="Times New Roman" w:hint="default"/>
        </w:rPr>
        <w:t>“</w:t>
      </w:r>
      <w:r>
        <w:rPr/>
        <w:t>应付债券</w:t>
      </w:r>
      <w:r>
        <w:rPr>
          <w:rFonts w:ascii="Times New Roman" w:hAnsi="Times New Roman" w:cs="Times New Roman" w:eastAsia="Times New Roman" w:hint="default"/>
        </w:rPr>
        <w:t>”</w:t>
      </w:r>
      <w:r>
        <w:rPr/>
        <w:t>科目核算，在该工具存续期间，计提利息并对账面的利息调整进行</w:t>
      </w:r>
    </w:p>
    <w:p>
      <w:pPr>
        <w:pStyle w:val="BodyText"/>
        <w:spacing w:line="217" w:lineRule="exact"/>
        <w:ind w:right="0"/>
        <w:jc w:val="left"/>
      </w:pPr>
      <w:r>
        <w:rPr/>
        <w:t>调整等的会计处理，按照金融工具确认和计量准则中有关金融负债按摊余成本后续计量的规定进行会计处理。发行方对于归</w:t>
      </w:r>
    </w:p>
    <w:p>
      <w:pPr>
        <w:pStyle w:val="BodyText"/>
        <w:spacing w:line="302" w:lineRule="auto" w:before="76"/>
        <w:ind w:right="1118"/>
        <w:jc w:val="left"/>
      </w:pPr>
      <w:r>
        <w:rPr>
          <w:spacing w:val="-2"/>
        </w:rPr>
        <w:t>类为权益工具的在</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科目核算，在存续期间分派股利（含分类为权益工具的工具所产生的利息）的，作为利润</w:t>
      </w:r>
      <w:r>
        <w:rPr>
          <w:spacing w:val="-44"/>
        </w:rPr>
        <w:t> </w:t>
      </w:r>
      <w:r>
        <w:rPr>
          <w:spacing w:val="-44"/>
        </w:rPr>
      </w:r>
      <w:r>
        <w:rPr/>
        <w:t>分配处理。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Heading3"/>
        <w:spacing w:line="240" w:lineRule="auto"/>
        <w:ind w:right="0"/>
        <w:jc w:val="left"/>
        <w:rPr>
          <w:b w:val="0"/>
          <w:bCs w:val="0"/>
        </w:rPr>
      </w:pPr>
      <w:bookmarkStart w:name="28、收入" w:id="198"/>
      <w:bookmarkEnd w:id="198"/>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360"/>
        <w:jc w:val="both"/>
      </w:pPr>
      <w:r>
        <w:rPr>
          <w:spacing w:val="-2"/>
        </w:rPr>
        <w:t>本公司销售的商品在同时满足下列条件时，按从购货方已收或应收的合同或协议价款的金额确认销售商品收入：①将商</w:t>
      </w:r>
      <w:r>
        <w:rPr/>
        <w:t> </w:t>
      </w:r>
      <w:r>
        <w:rPr>
          <w:spacing w:val="-2"/>
        </w:rPr>
        <w:t>品所有权上的主要风险和报酬转移给购货方；②既没有保留通常与所有权相联系的继续管理权，也没有对已售出的商品实施</w:t>
      </w:r>
      <w:r>
        <w:rPr>
          <w:spacing w:val="-64"/>
        </w:rPr>
        <w:t> </w:t>
      </w:r>
      <w:r>
        <w:rPr>
          <w:spacing w:val="-64"/>
        </w:rPr>
      </w:r>
      <w:r>
        <w:rPr>
          <w:spacing w:val="-2"/>
        </w:rPr>
        <w:t>有效控制；③收入的金额能够可靠地计量；④相关的经济利益很可能流入企业；⑤相关的已发生或将发生的成本能够可靠地</w:t>
      </w:r>
      <w:r>
        <w:rPr>
          <w:spacing w:val="-66"/>
        </w:rPr>
        <w:t> </w:t>
      </w:r>
      <w:r>
        <w:rPr>
          <w:spacing w:val="-66"/>
        </w:rPr>
      </w:r>
      <w:r>
        <w:rPr>
          <w:spacing w:val="-2"/>
        </w:rPr>
        <w:t>计量。合同或协议价款的收取采用递延方式，实质上具有融资性质的，按照应收的合同或协议价款的公允价值确定销售商品</w:t>
      </w:r>
      <w:r>
        <w:rPr>
          <w:spacing w:val="-66"/>
        </w:rPr>
        <w:t> </w:t>
      </w:r>
      <w:r>
        <w:rPr>
          <w:spacing w:val="-66"/>
        </w:rPr>
      </w:r>
      <w:r>
        <w:rPr>
          <w:spacing w:val="-2"/>
        </w:rPr>
        <w:t>收入金额。公司各产品的具体销售方式①、国内销售公司产品入库后，根据与客户签订的合同、订单等的要求送达到客户指</w:t>
      </w:r>
    </w:p>
    <w:p>
      <w:pPr>
        <w:spacing w:after="0" w:line="31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0"/>
        <w:jc w:val="left"/>
      </w:pPr>
      <w:r>
        <w:rPr>
          <w:spacing w:val="-2"/>
        </w:rPr>
        <w:t>定的地点，由客户完成验收后在送货单上签收，签收后的送货单交财务部门，财务部门根据送货单逐单按客户归集并编制对</w:t>
      </w:r>
      <w:r>
        <w:rPr>
          <w:spacing w:val="-66"/>
        </w:rPr>
        <w:t> </w:t>
      </w:r>
      <w:r>
        <w:rPr>
          <w:spacing w:val="-66"/>
        </w:rPr>
      </w:r>
      <w:r>
        <w:rPr/>
        <w:t>账单。公司财务部门与客户就对账单确认后，根据双方确认的品名、数量、金额开具发票并确认收入。②、出口销售</w:t>
      </w:r>
      <w:r>
        <w:rPr>
          <w:rFonts w:ascii="Times New Roman" w:hAnsi="Times New Roman" w:cs="Times New Roman" w:eastAsia="Times New Roman" w:hint="default"/>
        </w:rPr>
        <w:t>a</w:t>
      </w:r>
      <w:r>
        <w:rPr/>
        <w:t>、直 </w:t>
      </w:r>
      <w:r>
        <w:rPr>
          <w:spacing w:val="-2"/>
        </w:rPr>
        <w:t>接出口公司产品入库后，根据与客户签订的合同、订单等的要求备货装车后，财务部门按送货单开具出口专用发票交公司负</w:t>
      </w:r>
      <w:r>
        <w:rPr>
          <w:spacing w:val="-66"/>
        </w:rPr>
        <w:t> </w:t>
      </w:r>
      <w:r>
        <w:rPr>
          <w:spacing w:val="-66"/>
        </w:rPr>
      </w:r>
      <w:r>
        <w:rPr>
          <w:spacing w:val="-2"/>
        </w:rPr>
        <w:t>责报关的部门，公司负责报关的部门持出口专用发票、送货单等原始单证进行报关出口，财务部门根据出口专用发票和报关</w:t>
      </w:r>
      <w:r>
        <w:rPr>
          <w:spacing w:val="-66"/>
        </w:rPr>
        <w:t> </w:t>
      </w:r>
      <w:r>
        <w:rPr>
          <w:spacing w:val="-66"/>
        </w:rPr>
      </w:r>
      <w:r>
        <w:rPr/>
        <w:t>单入账确认收入。</w:t>
      </w:r>
      <w:r>
        <w:rPr>
          <w:rFonts w:ascii="Times New Roman" w:hAnsi="Times New Roman" w:cs="Times New Roman" w:eastAsia="Times New Roman" w:hint="default"/>
        </w:rPr>
        <w:t>b</w:t>
      </w:r>
      <w:r>
        <w:rPr/>
        <w:t>、转厂出口公司产品入库后，根据与客户签订的合同、订单等的要求送达到客户指定的地点，由客户完 </w:t>
      </w:r>
      <w:r>
        <w:rPr>
          <w:spacing w:val="-2"/>
        </w:rPr>
        <w:t>成验收后在送货单上签收，签收后的送货单交财务部门，财务部门根据送货单逐单按客户归集并编制对账单。公司财务部门</w:t>
      </w:r>
      <w:r>
        <w:rPr>
          <w:spacing w:val="-66"/>
        </w:rPr>
        <w:t> </w:t>
      </w:r>
      <w:r>
        <w:rPr>
          <w:spacing w:val="-66"/>
        </w:rPr>
      </w:r>
      <w:r>
        <w:rPr>
          <w:spacing w:val="-4"/>
        </w:rPr>
        <w:t>与客户对账确认之后，公司负责报关的部门根据双方对账确认的品名、数量、金额进行报关出口，并将报关单交与财务部门，</w:t>
      </w:r>
      <w:r>
        <w:rPr>
          <w:spacing w:val="-46"/>
        </w:rPr>
        <w:t> </w:t>
      </w:r>
      <w:r>
        <w:rPr>
          <w:spacing w:val="-46"/>
        </w:rPr>
      </w:r>
      <w:r>
        <w:rPr/>
        <w:t>财务部门开具出口专用发票连同报关单一起入账确认收入。</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本公司在让渡资产使用权相关的经济利益很可能流入并且收入的金额能够可靠地计量时确认让渡资产使用权收入。</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在资产负债表日提供劳务交易的结果能够可靠估计的，采用完工百分比法确认提供劳务收入。本公司根据已完工作的 测量确定提供劳务交易的完工进度（完工百分比）。</w:t>
      </w:r>
    </w:p>
    <w:p>
      <w:pPr>
        <w:pStyle w:val="BodyText"/>
        <w:spacing w:line="319" w:lineRule="auto" w:before="139"/>
        <w:ind w:left="154" w:right="0" w:firstLine="362"/>
        <w:jc w:val="left"/>
      </w:pPr>
      <w:r>
        <w:rPr>
          <w:spacing w:val="-4"/>
        </w:rPr>
        <w:t>在资产负债表日提供劳务交易结果不能够可靠估计的，分别下列情况处理：①已经发生的劳务成本预计能够得到补偿的，</w:t>
      </w:r>
      <w:r>
        <w:rPr/>
        <w:t> </w:t>
      </w:r>
      <w:r>
        <w:rPr>
          <w:spacing w:val="-2"/>
        </w:rPr>
        <w:t>按照已经发生的劳务成本金额确认提供劳务收入，并按相同金额结转劳务成本；②已经发生的劳务成本预计不能够得到补偿</w:t>
      </w:r>
      <w:r>
        <w:rPr>
          <w:spacing w:val="-64"/>
        </w:rPr>
        <w:t> </w:t>
      </w:r>
      <w:r>
        <w:rPr>
          <w:spacing w:val="-64"/>
        </w:rPr>
      </w:r>
      <w:r>
        <w:rPr/>
        <w:t>的，将已经发生的劳务成本计入当期损益，不确认提供劳务收入。</w:t>
      </w:r>
    </w:p>
    <w:p>
      <w:pPr>
        <w:spacing w:line="240" w:lineRule="auto" w:before="3"/>
        <w:rPr>
          <w:rFonts w:ascii="宋体" w:hAnsi="宋体" w:cs="宋体" w:eastAsia="宋体" w:hint="default"/>
          <w:sz w:val="22"/>
          <w:szCs w:val="22"/>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20"/>
        <w:jc w:val="both"/>
      </w:pPr>
      <w:r>
        <w:rPr/>
        <w:t>①建造合同的结果在资产负债表日能够可靠估计的，根据完工百分比法确认合同收入和合同费用。建造合同的结果在 </w:t>
      </w:r>
      <w:r>
        <w:rPr>
          <w:spacing w:val="-2"/>
        </w:rPr>
        <w:t>资产负债表日不能够可靠估计的，若合同成本能够收回的，合同收入根据能够收回的实际合同成本予以确认，合同成本在其</w:t>
      </w:r>
      <w:r>
        <w:rPr>
          <w:spacing w:val="-65"/>
        </w:rPr>
        <w:t> </w:t>
      </w:r>
      <w:r>
        <w:rPr>
          <w:spacing w:val="-65"/>
        </w:rPr>
      </w:r>
      <w:r>
        <w:rPr/>
        <w:t>发生的当期确认为合同费用；若合同成本不可能收回的，在发生时立即确认为合同费用，不确认合同收入。</w:t>
      </w:r>
    </w:p>
    <w:p>
      <w:pPr>
        <w:pStyle w:val="BodyText"/>
        <w:spacing w:line="427" w:lineRule="auto" w:before="139"/>
        <w:ind w:left="573" w:right="4753"/>
        <w:jc w:val="left"/>
      </w:pPr>
      <w:r>
        <w:rPr/>
        <w:t>②建造合同在同时满足下列条件的情况下，表明其结果能够可靠估计： </w:t>
      </w:r>
      <w:r>
        <w:rPr>
          <w:rFonts w:ascii="Times New Roman" w:hAnsi="Times New Roman" w:cs="Times New Roman" w:eastAsia="Times New Roman" w:hint="default"/>
        </w:rPr>
        <w:t>a.</w:t>
      </w:r>
      <w:r>
        <w:rPr/>
        <w:t>与合同相关的经济利益很可能流入企业； </w:t>
      </w:r>
      <w:r>
        <w:rPr>
          <w:rFonts w:ascii="Times New Roman" w:hAnsi="Times New Roman" w:cs="Times New Roman" w:eastAsia="Times New Roman" w:hint="default"/>
        </w:rPr>
        <w:t>b.</w:t>
      </w:r>
      <w:r>
        <w:rPr/>
        <w:t>实际发生的合同成本能够清楚地区分和可靠地计量；</w:t>
      </w:r>
    </w:p>
    <w:p>
      <w:pPr>
        <w:pStyle w:val="BodyText"/>
        <w:spacing w:line="240" w:lineRule="auto" w:before="27"/>
        <w:ind w:left="573" w:right="0"/>
        <w:jc w:val="left"/>
      </w:pPr>
      <w:r>
        <w:rPr>
          <w:rFonts w:ascii="Times New Roman" w:hAnsi="Times New Roman" w:cs="Times New Roman" w:eastAsia="Times New Roman" w:hint="default"/>
        </w:rPr>
        <w:t>c.</w:t>
      </w:r>
      <w:r>
        <w:rPr/>
        <w:t>固定造价合同还必须同时满足合同总收入能够可靠计量及合同完工进度和为完成合同尚需发生的成本能够可靠地确</w:t>
      </w:r>
    </w:p>
    <w:p>
      <w:pPr>
        <w:pStyle w:val="BodyText"/>
        <w:spacing w:line="240" w:lineRule="auto" w:before="63"/>
        <w:ind w:right="0"/>
        <w:jc w:val="left"/>
      </w:pPr>
      <w:r>
        <w:rPr/>
        <w:t>定。</w:t>
      </w:r>
    </w:p>
    <w:p>
      <w:pPr>
        <w:spacing w:line="240" w:lineRule="auto" w:before="8"/>
        <w:rPr>
          <w:rFonts w:ascii="宋体" w:hAnsi="宋体" w:cs="宋体" w:eastAsia="宋体" w:hint="default"/>
          <w:sz w:val="11"/>
          <w:szCs w:val="11"/>
        </w:rPr>
      </w:pPr>
    </w:p>
    <w:p>
      <w:pPr>
        <w:pStyle w:val="BodyText"/>
        <w:spacing w:line="240" w:lineRule="auto" w:before="44"/>
        <w:ind w:left="574" w:right="0"/>
        <w:jc w:val="left"/>
      </w:pPr>
      <w:r>
        <w:rPr/>
        <w:t>③</w:t>
      </w:r>
      <w:r>
        <w:rPr>
          <w:spacing w:val="-19"/>
        </w:rPr>
        <w:t> </w:t>
      </w:r>
      <w:r>
        <w:rPr/>
        <w:t>本公司按累计实际发生的合同成本占合同预计总成本的比例确定合同完工进度。</w:t>
      </w:r>
    </w:p>
    <w:p>
      <w:pPr>
        <w:spacing w:line="240" w:lineRule="auto" w:before="0"/>
        <w:rPr>
          <w:rFonts w:ascii="宋体" w:hAnsi="宋体" w:cs="宋体" w:eastAsia="宋体" w:hint="default"/>
          <w:sz w:val="15"/>
          <w:szCs w:val="15"/>
        </w:rPr>
      </w:pPr>
    </w:p>
    <w:p>
      <w:pPr>
        <w:pStyle w:val="BodyText"/>
        <w:spacing w:line="240" w:lineRule="auto"/>
        <w:ind w:left="573" w:right="0"/>
        <w:jc w:val="left"/>
      </w:pPr>
      <w:r>
        <w:rPr/>
        <w:t>④</w:t>
      </w:r>
      <w:r>
        <w:rPr>
          <w:spacing w:val="-19"/>
        </w:rPr>
        <w:t> </w:t>
      </w:r>
      <w:r>
        <w:rPr/>
        <w:t>资产负债表日，合同预计总成本超过合同总收入的，将预计损失确认为当期费用。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Heading3"/>
        <w:spacing w:line="240" w:lineRule="auto"/>
        <w:ind w:left="153" w:right="0"/>
        <w:jc w:val="left"/>
        <w:rPr>
          <w:b w:val="0"/>
          <w:bCs w:val="0"/>
        </w:rPr>
      </w:pPr>
      <w:bookmarkStart w:name="29、政府补助" w:id="199"/>
      <w:bookmarkEnd w:id="199"/>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200"/>
      <w:bookmarkEnd w:id="200"/>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firstLine="360"/>
        <w:jc w:val="left"/>
      </w:pPr>
      <w:r>
        <w:rPr>
          <w:spacing w:val="-2"/>
        </w:rPr>
        <w:t>本公司取得的、用于购建或以其他方式形成长期资产的政府补助，确认为与资产相关的政府补助，与资产相关的政府补</w:t>
      </w:r>
      <w:r>
        <w:rPr/>
        <w:t> 助，确认为递延收益，自相关资产可供使用时起，按照相关资产的预计使用期限，将递延收益平均分摊转入当期损益。</w:t>
      </w:r>
    </w:p>
    <w:p>
      <w:pPr>
        <w:spacing w:after="0" w:line="31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3"/>
        <w:spacing w:line="240" w:lineRule="auto" w:before="35"/>
        <w:ind w:left="153" w:right="0"/>
        <w:jc w:val="both"/>
        <w:rPr>
          <w:b w:val="0"/>
          <w:bCs w:val="0"/>
        </w:rPr>
      </w:pPr>
      <w:bookmarkStart w:name="（2）与收益相关的政府补助判断依据及会计处理方法" w:id="201"/>
      <w:bookmarkEnd w:id="201"/>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290"/>
        <w:jc w:val="both"/>
      </w:pPr>
      <w:r>
        <w:rPr>
          <w:spacing w:val="-1"/>
        </w:rPr>
        <w:t>除与资产相关的政府补助之外的政府补助，确认为与收益相关的政府补助。分别下列情况处理：用于补偿企业以后期间</w:t>
      </w:r>
      <w:r>
        <w:rPr/>
        <w:t> </w:t>
      </w:r>
      <w:r>
        <w:rPr>
          <w:spacing w:val="-2"/>
        </w:rPr>
        <w:t>的相关费用或损失的，确认为递延收益，并在确认相关费用的期间，计入当期损益；用于补偿企业已发生的相关费用或损失</w:t>
      </w:r>
      <w:r>
        <w:rPr>
          <w:spacing w:val="-66"/>
        </w:rPr>
        <w:t> </w:t>
      </w:r>
      <w:r>
        <w:rPr>
          <w:spacing w:val="-66"/>
        </w:rPr>
      </w:r>
      <w:r>
        <w:rPr/>
        <w:t>的，直接计入当期损益。</w:t>
      </w:r>
    </w:p>
    <w:p>
      <w:pPr>
        <w:pStyle w:val="BodyText"/>
        <w:spacing w:line="316" w:lineRule="auto" w:before="55"/>
        <w:ind w:left="444" w:right="0"/>
        <w:jc w:val="left"/>
      </w:pPr>
      <w:r>
        <w:rPr/>
        <w:t>区分与资产相关政府补助和与收益相关政府补助的具体标准： </w:t>
      </w:r>
      <w:r>
        <w:rPr>
          <w:spacing w:val="-1"/>
        </w:rPr>
        <w:t>若政府文件未明确规定补助对象，将该政府补助划分为与资产相关或与收益相关的判断依据：①政府文件明确了补助所</w:t>
      </w:r>
    </w:p>
    <w:p>
      <w:pPr>
        <w:pStyle w:val="BodyText"/>
        <w:spacing w:line="316" w:lineRule="auto" w:before="19"/>
        <w:ind w:right="1131"/>
        <w:jc w:val="both"/>
      </w:pPr>
      <w:r>
        <w:rPr>
          <w:spacing w:val="-2"/>
        </w:rPr>
        <w:t>针对的特定项目的，根据该特定项目的预算中将形成资产的支出金额和计入费用的支出金额的相对比例进行划分，对该划分</w:t>
      </w:r>
      <w:r>
        <w:rPr>
          <w:spacing w:val="-64"/>
        </w:rPr>
        <w:t> </w:t>
      </w:r>
      <w:r>
        <w:rPr>
          <w:spacing w:val="-64"/>
        </w:rPr>
      </w:r>
      <w:r>
        <w:rPr>
          <w:spacing w:val="-2"/>
        </w:rPr>
        <w:t>比例需在每个资产负债表日进行复核，必要时进行变更；②政府文件中对用途仅作一般性表述，没有指明特定项目的，作为</w:t>
      </w:r>
      <w:r>
        <w:rPr>
          <w:spacing w:val="-66"/>
        </w:rPr>
        <w:t> </w:t>
      </w:r>
      <w:r>
        <w:rPr>
          <w:spacing w:val="-66"/>
        </w:rPr>
      </w:r>
      <w:r>
        <w:rPr/>
        <w:t>与收益相关的政府补助。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53" w:right="0"/>
        <w:jc w:val="both"/>
        <w:rPr>
          <w:b w:val="0"/>
          <w:bCs w:val="0"/>
        </w:rPr>
      </w:pPr>
      <w:bookmarkStart w:name="30、递延所得税资产/递延所得税负债" w:id="202"/>
      <w:bookmarkEnd w:id="202"/>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2" w:firstLine="360"/>
        <w:jc w:val="both"/>
      </w:pPr>
      <w:r>
        <w:rPr>
          <w:spacing w:val="-2"/>
        </w:rPr>
        <w:t>递延所得税资产的确认以很可能取得用来抵扣可抵扣暂时性差异的应纳税所得额为限。资产负债表日，有确凿证据表明</w:t>
      </w:r>
      <w:r>
        <w:rPr/>
        <w:t> </w:t>
      </w:r>
      <w:r>
        <w:rPr>
          <w:spacing w:val="-2"/>
        </w:rPr>
        <w:t>未来期间很可能获得足够的应纳税所得额用来抵扣可抵扣暂时性差异的，确认以前会计期间未确认的递延所得税资产。如未</w:t>
      </w:r>
      <w:r>
        <w:rPr>
          <w:spacing w:val="-64"/>
        </w:rPr>
        <w:t> </w:t>
      </w:r>
      <w:r>
        <w:rPr>
          <w:spacing w:val="-64"/>
        </w:rPr>
      </w:r>
      <w:r>
        <w:rPr/>
        <w:t>来期间很可能无法获得足够的应纳税所得额用以抵扣递延所得税资产的，则减记递延所得税资产的账面价值。</w:t>
      </w:r>
    </w:p>
    <w:p>
      <w:pPr>
        <w:spacing w:line="240" w:lineRule="auto" w:before="4"/>
        <w:rPr>
          <w:rFonts w:ascii="宋体" w:hAnsi="宋体" w:cs="宋体" w:eastAsia="宋体" w:hint="default"/>
          <w:sz w:val="22"/>
          <w:szCs w:val="22"/>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1130" w:firstLine="290"/>
        <w:jc w:val="both"/>
      </w:pPr>
      <w:r>
        <w:rPr>
          <w:spacing w:val="-1"/>
        </w:rPr>
        <w:t>对与子公司及联营企业投资相关的应纳税暂时性差异，确认递延所得税负债，除非本公司能够控制暂时性差异转回的时</w:t>
      </w:r>
      <w:r>
        <w:rPr/>
        <w:t> </w:t>
      </w:r>
      <w:r>
        <w:rPr>
          <w:spacing w:val="-2"/>
        </w:rPr>
        <w:t>间且该暂时性差异在可预见的未来很可能不会转回。对与子公司及联营企业投资相关的可抵扣暂时性差异，当该暂时性差异</w:t>
      </w:r>
      <w:r>
        <w:rPr>
          <w:spacing w:val="-64"/>
        </w:rPr>
        <w:t> </w:t>
      </w:r>
      <w:r>
        <w:rPr>
          <w:spacing w:val="-64"/>
        </w:rPr>
      </w:r>
      <w:r>
        <w:rPr/>
        <w:t>在可预见的未来很可能转回且未来很可能获得用来抵扣可抵扣暂时性差异的应纳税所得额时，确认递延所得税资产。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3"/>
        <w:spacing w:line="240" w:lineRule="auto"/>
        <w:ind w:left="153" w:right="0"/>
        <w:jc w:val="both"/>
        <w:rPr>
          <w:b w:val="0"/>
          <w:bCs w:val="0"/>
        </w:rPr>
      </w:pPr>
      <w:bookmarkStart w:name="31、租赁" w:id="203"/>
      <w:bookmarkEnd w:id="203"/>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经营租赁的会计处理方法" w:id="204"/>
      <w:bookmarkEnd w:id="20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经营租赁的租金支出在租赁期内按照直线法计入相关资产成本或当期损益。</w:t>
      </w:r>
    </w:p>
    <w:p>
      <w:pPr>
        <w:spacing w:line="240" w:lineRule="auto" w:before="12"/>
        <w:rPr>
          <w:rFonts w:ascii="宋体" w:hAnsi="宋体" w:cs="宋体" w:eastAsia="宋体" w:hint="default"/>
          <w:sz w:val="26"/>
          <w:szCs w:val="26"/>
        </w:rPr>
      </w:pPr>
    </w:p>
    <w:p>
      <w:pPr>
        <w:pStyle w:val="Heading3"/>
        <w:spacing w:line="240" w:lineRule="auto"/>
        <w:ind w:left="153" w:right="0"/>
        <w:jc w:val="both"/>
        <w:rPr>
          <w:b w:val="0"/>
          <w:bCs w:val="0"/>
        </w:rPr>
      </w:pPr>
      <w:bookmarkStart w:name="（2）融资租赁的会计处理方法" w:id="205"/>
      <w:bookmarkEnd w:id="20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jc w:val="both"/>
      </w:pPr>
      <w:r>
        <w:rPr>
          <w:spacing w:val="-2"/>
        </w:rPr>
        <w:t>以租赁资产的公允价值与最低租赁付款额的现值两者中较低者作为租入资产的入账价值，租入资产的入账价值与最低租赁付</w:t>
      </w:r>
      <w:r>
        <w:rPr>
          <w:spacing w:val="-64"/>
        </w:rPr>
        <w:t> </w:t>
      </w:r>
      <w:r>
        <w:rPr>
          <w:spacing w:val="-64"/>
        </w:rPr>
      </w:r>
      <w:r>
        <w:rPr>
          <w:spacing w:val="-2"/>
        </w:rPr>
        <w:t>款额之间的差额作为未确认融资费用，在租赁期内按实际利率法摊销。最低租赁付款额扣除未确认融资费用后的余额作为长</w:t>
      </w:r>
      <w:r>
        <w:rPr>
          <w:spacing w:val="-64"/>
        </w:rPr>
        <w:t> </w:t>
      </w:r>
      <w:r>
        <w:rPr>
          <w:spacing w:val="-64"/>
        </w:rPr>
      </w:r>
      <w:r>
        <w:rPr/>
        <w:t>期应付款列示。</w:t>
      </w:r>
    </w:p>
    <w:p>
      <w:pPr>
        <w:spacing w:after="0" w:line="31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2、其他重要的会计政策和会计估计" w:id="206"/>
      <w:bookmarkEnd w:id="206"/>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33、重要会计政策和会计估计变更" w:id="207"/>
      <w:bookmarkEnd w:id="207"/>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会计政策变更" w:id="208"/>
      <w:bookmarkEnd w:id="20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14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本公司自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日起执行财</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政部于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年制定的《企业会计准则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39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公允价值计量</w:t>
            </w:r>
            <w:r>
              <w:rPr>
                <w:rFonts w:ascii="宋体" w:hAnsi="宋体" w:cs="宋体" w:eastAsia="宋体" w:hint="default"/>
                <w:spacing w:val="-90"/>
                <w:sz w:val="18"/>
                <w:szCs w:val="18"/>
              </w:rPr>
              <w:t>》、</w:t>
            </w:r>
            <w:r>
              <w:rPr>
                <w:rFonts w:ascii="宋体" w:hAnsi="宋体" w:cs="宋体" w:eastAsia="宋体" w:hint="default"/>
                <w:sz w:val="18"/>
                <w:szCs w:val="18"/>
              </w:rPr>
              <w:t>《企业会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计准则第 </w:t>
            </w:r>
            <w:r>
              <w:rPr>
                <w:rFonts w:ascii="Times New Roman" w:hAnsi="Times New Roman" w:cs="Times New Roman" w:eastAsia="Times New Roman" w:hint="default"/>
                <w:sz w:val="18"/>
                <w:szCs w:val="18"/>
              </w:rPr>
              <w:t>40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合营安排</w:t>
            </w:r>
            <w:r>
              <w:rPr>
                <w:rFonts w:ascii="宋体" w:hAnsi="宋体" w:cs="宋体" w:eastAsia="宋体" w:hint="default"/>
                <w:spacing w:val="-90"/>
                <w:sz w:val="18"/>
                <w:szCs w:val="18"/>
              </w:rPr>
              <w:t>》、</w:t>
            </w:r>
            <w:r>
              <w:rPr>
                <w:rFonts w:ascii="宋体" w:hAnsi="宋体" w:cs="宋体" w:eastAsia="宋体" w:hint="default"/>
                <w:sz w:val="18"/>
                <w:szCs w:val="18"/>
              </w:rPr>
              <w:t>《企业</w:t>
            </w:r>
          </w:p>
          <w:p>
            <w:pPr>
              <w:pStyle w:val="TableParagraph"/>
              <w:spacing w:line="309"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会计准则第 </w:t>
            </w:r>
            <w:r>
              <w:rPr>
                <w:rFonts w:ascii="Times New Roman" w:hAnsi="Times New Roman" w:cs="Times New Roman" w:eastAsia="Times New Roman" w:hint="default"/>
                <w:sz w:val="18"/>
                <w:szCs w:val="18"/>
              </w:rPr>
              <w:t>41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在其他主体中权 </w:t>
            </w:r>
            <w:r>
              <w:rPr>
                <w:rFonts w:ascii="宋体" w:hAnsi="宋体" w:cs="宋体" w:eastAsia="宋体" w:hint="default"/>
                <w:spacing w:val="-6"/>
                <w:sz w:val="18"/>
                <w:szCs w:val="18"/>
              </w:rPr>
              <w:t>益的披露》，和经修订的《企业会计准则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第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13"/>
                <w:sz w:val="18"/>
                <w:szCs w:val="18"/>
              </w:rPr>
              <w:t> </w:t>
            </w:r>
            <w:r>
              <w:rPr>
                <w:rFonts w:ascii="宋体" w:hAnsi="宋体" w:cs="宋体" w:eastAsia="宋体" w:hint="default"/>
                <w:spacing w:val="-13"/>
                <w:sz w:val="18"/>
                <w:szCs w:val="18"/>
              </w:rPr>
              <w:t>号</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长期股权投资》、《企业会计</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准则第 </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w:t>
            </w:r>
            <w:r>
              <w:rPr>
                <w:rFonts w:ascii="宋体" w:hAnsi="宋体" w:cs="宋体" w:eastAsia="宋体" w:hint="default"/>
                <w:spacing w:val="-90"/>
                <w:sz w:val="18"/>
                <w:szCs w:val="18"/>
              </w:rPr>
              <w:t>》</w:t>
            </w:r>
            <w:r>
              <w:rPr>
                <w:rFonts w:ascii="宋体" w:hAnsi="宋体" w:cs="宋体" w:eastAsia="宋体" w:hint="default"/>
                <w:spacing w:val="-105"/>
                <w:sz w:val="18"/>
                <w:szCs w:val="18"/>
              </w:rPr>
              <w:t>、</w:t>
            </w:r>
            <w:r>
              <w:rPr>
                <w:rFonts w:ascii="宋体" w:hAnsi="宋体" w:cs="宋体" w:eastAsia="宋体" w:hint="default"/>
                <w:sz w:val="18"/>
                <w:szCs w:val="18"/>
              </w:rPr>
              <w:t>《企业会计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准则第 </w:t>
            </w:r>
            <w:r>
              <w:rPr>
                <w:rFonts w:ascii="Times New Roman" w:hAnsi="Times New Roman" w:cs="Times New Roman" w:eastAsia="Times New Roman" w:hint="default"/>
                <w:sz w:val="18"/>
                <w:szCs w:val="18"/>
              </w:rPr>
              <w:t>30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宋体" w:hAnsi="宋体" w:cs="宋体" w:eastAsia="宋体" w:hint="default"/>
                <w:spacing w:val="-90"/>
                <w:sz w:val="18"/>
                <w:szCs w:val="18"/>
              </w:rPr>
              <w:t>》、</w:t>
            </w:r>
            <w:r>
              <w:rPr>
                <w:rFonts w:ascii="宋体" w:hAnsi="宋体" w:cs="宋体" w:eastAsia="宋体" w:hint="default"/>
                <w:sz w:val="18"/>
                <w:szCs w:val="18"/>
              </w:rPr>
              <w:t>《企</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业会计准则第 </w:t>
            </w:r>
            <w:r>
              <w:rPr>
                <w:rFonts w:ascii="Times New Roman" w:hAnsi="Times New Roman" w:cs="Times New Roman" w:eastAsia="Times New Roman" w:hint="default"/>
                <w:sz w:val="18"/>
                <w:szCs w:val="18"/>
              </w:rPr>
              <w:t>33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 </w:t>
            </w:r>
            <w:r>
              <w:rPr>
                <w:rFonts w:ascii="宋体" w:hAnsi="宋体" w:cs="宋体" w:eastAsia="宋体" w:hint="default"/>
                <w:spacing w:val="-6"/>
                <w:sz w:val="18"/>
                <w:szCs w:val="18"/>
              </w:rPr>
              <w:t>表》，同时在本财务报表中采用财政部于</w:t>
            </w:r>
            <w:r>
              <w:rPr>
                <w:rFonts w:ascii="宋体" w:hAnsi="宋体" w:cs="宋体" w:eastAsia="宋体" w:hint="default"/>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年修订的《企业会计准则第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无需审批</w:t>
            </w:r>
          </w:p>
        </w:tc>
      </w:tr>
    </w:tbl>
    <w:p>
      <w:pPr>
        <w:pStyle w:val="Heading4"/>
        <w:spacing w:line="257" w:lineRule="exact"/>
        <w:ind w:right="0"/>
        <w:jc w:val="left"/>
      </w:pPr>
      <w:r>
        <w:rPr/>
        <w:t>受重要影响的报表项目如下：</w:t>
      </w:r>
    </w:p>
    <w:p>
      <w:pPr>
        <w:spacing w:line="240" w:lineRule="auto" w:before="4"/>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1256"/>
        <w:gridCol w:w="1434"/>
        <w:gridCol w:w="1179"/>
        <w:gridCol w:w="1424"/>
        <w:gridCol w:w="1416"/>
        <w:gridCol w:w="1180"/>
        <w:gridCol w:w="968"/>
      </w:tblGrid>
      <w:tr>
        <w:trPr>
          <w:trHeight w:val="427" w:hRule="exact"/>
        </w:trPr>
        <w:tc>
          <w:tcPr>
            <w:tcW w:w="38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变更前科目</w:t>
            </w:r>
          </w:p>
        </w:tc>
        <w:tc>
          <w:tcPr>
            <w:tcW w:w="40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变更后科目</w:t>
            </w:r>
          </w:p>
        </w:tc>
        <w:tc>
          <w:tcPr>
            <w:tcW w:w="968" w:type="dxa"/>
            <w:vMerge w:val="restart"/>
            <w:tcBorders>
              <w:top w:val="single" w:sz="6" w:space="0" w:color="000000"/>
              <w:left w:val="single" w:sz="6" w:space="0" w:color="000000"/>
              <w:right w:val="single" w:sz="6" w:space="0" w:color="000000"/>
            </w:tcBorders>
          </w:tcPr>
          <w:p>
            <w:pPr>
              <w:pStyle w:val="TableParagraph"/>
              <w:spacing w:line="240" w:lineRule="auto" w:before="62"/>
              <w:ind w:left="116" w:right="0"/>
              <w:jc w:val="left"/>
              <w:rPr>
                <w:rFonts w:ascii="宋体" w:hAnsi="宋体" w:cs="宋体" w:eastAsia="宋体" w:hint="default"/>
                <w:sz w:val="18"/>
                <w:szCs w:val="18"/>
              </w:rPr>
            </w:pPr>
            <w:r>
              <w:rPr>
                <w:rFonts w:ascii="宋体" w:hAnsi="宋体" w:cs="宋体" w:eastAsia="宋体" w:hint="default"/>
                <w:sz w:val="18"/>
                <w:szCs w:val="18"/>
              </w:rPr>
              <w:t>调整原因</w:t>
            </w:r>
          </w:p>
        </w:tc>
      </w:tr>
      <w:tr>
        <w:trPr>
          <w:trHeight w:val="427" w:hRule="exact"/>
        </w:trPr>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9" w:right="0"/>
              <w:jc w:val="left"/>
              <w:rPr>
                <w:rFonts w:ascii="宋体" w:hAnsi="宋体" w:cs="宋体" w:eastAsia="宋体" w:hint="default"/>
                <w:sz w:val="18"/>
                <w:szCs w:val="18"/>
              </w:rPr>
            </w:pPr>
            <w:r>
              <w:rPr>
                <w:rFonts w:ascii="宋体" w:hAnsi="宋体" w:cs="宋体" w:eastAsia="宋体" w:hint="default"/>
                <w:sz w:val="18"/>
                <w:szCs w:val="18"/>
              </w:rPr>
              <w:t>一级科目</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49" w:right="0"/>
              <w:jc w:val="left"/>
              <w:rPr>
                <w:rFonts w:ascii="宋体" w:hAnsi="宋体" w:cs="宋体" w:eastAsia="宋体" w:hint="default"/>
                <w:sz w:val="18"/>
                <w:szCs w:val="18"/>
              </w:rPr>
            </w:pPr>
            <w:r>
              <w:rPr>
                <w:rFonts w:ascii="宋体" w:hAnsi="宋体" w:cs="宋体" w:eastAsia="宋体" w:hint="default"/>
                <w:sz w:val="18"/>
                <w:szCs w:val="18"/>
              </w:rPr>
              <w:t>二级科目</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一级科目</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39" w:right="0"/>
              <w:jc w:val="left"/>
              <w:rPr>
                <w:rFonts w:ascii="宋体" w:hAnsi="宋体" w:cs="宋体" w:eastAsia="宋体" w:hint="default"/>
                <w:sz w:val="18"/>
                <w:szCs w:val="18"/>
              </w:rPr>
            </w:pPr>
            <w:r>
              <w:rPr>
                <w:rFonts w:ascii="宋体" w:hAnsi="宋体" w:cs="宋体" w:eastAsia="宋体" w:hint="default"/>
                <w:sz w:val="18"/>
                <w:szCs w:val="18"/>
              </w:rPr>
              <w:t>二级科目</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8" w:type="dxa"/>
            <w:vMerge/>
            <w:tcBorders>
              <w:left w:val="single" w:sz="6" w:space="0" w:color="000000"/>
              <w:bottom w:val="single" w:sz="6" w:space="0" w:color="000000"/>
              <w:right w:val="single" w:sz="6" w:space="0" w:color="000000"/>
            </w:tcBorders>
          </w:tcPr>
          <w:p>
            <w:pPr/>
          </w:p>
        </w:tc>
      </w:tr>
      <w:tr>
        <w:trPr>
          <w:trHeight w:val="779" w:hRule="exact"/>
        </w:trPr>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520" w:right="18" w:hanging="501"/>
              <w:jc w:val="left"/>
              <w:rPr>
                <w:rFonts w:ascii="宋体" w:hAnsi="宋体" w:cs="宋体" w:eastAsia="宋体" w:hint="default"/>
                <w:sz w:val="20"/>
                <w:szCs w:val="20"/>
              </w:rPr>
            </w:pPr>
            <w:r>
              <w:rPr>
                <w:rFonts w:ascii="宋体" w:hAnsi="宋体" w:cs="宋体" w:eastAsia="宋体" w:hint="default"/>
                <w:sz w:val="20"/>
                <w:szCs w:val="20"/>
              </w:rPr>
              <w:t>其他非流动负</w:t>
            </w:r>
            <w:r>
              <w:rPr>
                <w:rFonts w:ascii="宋体" w:hAnsi="宋体" w:cs="宋体" w:eastAsia="宋体" w:hint="default"/>
                <w:w w:val="100"/>
                <w:sz w:val="20"/>
                <w:szCs w:val="20"/>
              </w:rPr>
              <w:t> </w:t>
            </w:r>
            <w:r>
              <w:rPr>
                <w:rFonts w:ascii="宋体" w:hAnsi="宋体" w:cs="宋体" w:eastAsia="宋体" w:hint="default"/>
                <w:sz w:val="20"/>
                <w:szCs w:val="20"/>
              </w:rPr>
              <w:t>债</w:t>
            </w:r>
          </w:p>
        </w:tc>
        <w:tc>
          <w:tcPr>
            <w:tcW w:w="1434"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7,738,888.89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416" w:type="dxa"/>
            <w:tcBorders>
              <w:top w:val="single" w:sz="6" w:space="0" w:color="000000"/>
              <w:left w:val="single" w:sz="6" w:space="0" w:color="000000"/>
              <w:bottom w:val="single" w:sz="6" w:space="0" w:color="000000"/>
              <w:right w:val="single" w:sz="6" w:space="0" w:color="000000"/>
            </w:tcBorders>
          </w:tcPr>
          <w:p>
            <w:pP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9" w:right="0"/>
              <w:jc w:val="left"/>
              <w:rPr>
                <w:rFonts w:ascii="Times New Roman" w:hAnsi="Times New Roman" w:cs="Times New Roman" w:eastAsia="Times New Roman" w:hint="default"/>
                <w:sz w:val="18"/>
                <w:szCs w:val="18"/>
              </w:rPr>
            </w:pPr>
            <w:r>
              <w:rPr>
                <w:rFonts w:ascii="Times New Roman"/>
                <w:sz w:val="18"/>
              </w:rPr>
              <w:t>7,738,888.89</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列报调整</w:t>
            </w:r>
          </w:p>
        </w:tc>
      </w:tr>
      <w:tr>
        <w:trPr>
          <w:trHeight w:val="739" w:hRule="exact"/>
        </w:trPr>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439" w:right="81" w:hanging="360"/>
              <w:jc w:val="left"/>
              <w:rPr>
                <w:rFonts w:ascii="宋体" w:hAnsi="宋体" w:cs="宋体" w:eastAsia="宋体" w:hint="default"/>
                <w:sz w:val="18"/>
                <w:szCs w:val="18"/>
              </w:rPr>
            </w:pPr>
            <w:r>
              <w:rPr>
                <w:rFonts w:ascii="宋体" w:hAnsi="宋体" w:cs="宋体" w:eastAsia="宋体" w:hint="default"/>
                <w:sz w:val="18"/>
                <w:szCs w:val="18"/>
              </w:rPr>
              <w:t>外币报表折算 差额</w:t>
            </w:r>
          </w:p>
        </w:tc>
        <w:tc>
          <w:tcPr>
            <w:tcW w:w="1434"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-2,020,343.89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其他综合收益</w:t>
            </w:r>
          </w:p>
        </w:tc>
        <w:tc>
          <w:tcPr>
            <w:tcW w:w="1416" w:type="dxa"/>
            <w:tcBorders>
              <w:top w:val="single" w:sz="6" w:space="0" w:color="000000"/>
              <w:left w:val="single" w:sz="6" w:space="0" w:color="000000"/>
              <w:bottom w:val="single" w:sz="6" w:space="0" w:color="000000"/>
              <w:right w:val="single" w:sz="6" w:space="0" w:color="000000"/>
            </w:tcBorders>
          </w:tcPr>
          <w:p>
            <w:pP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7" w:right="0"/>
              <w:jc w:val="left"/>
              <w:rPr>
                <w:rFonts w:ascii="Times New Roman" w:hAnsi="Times New Roman" w:cs="Times New Roman" w:eastAsia="Times New Roman" w:hint="default"/>
                <w:sz w:val="18"/>
                <w:szCs w:val="18"/>
              </w:rPr>
            </w:pPr>
            <w:r>
              <w:rPr>
                <w:rFonts w:ascii="Times New Roman"/>
                <w:sz w:val="18"/>
              </w:rPr>
              <w:t>-2,020,343.89</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16" w:right="0"/>
              <w:jc w:val="left"/>
              <w:rPr>
                <w:rFonts w:ascii="宋体" w:hAnsi="宋体" w:cs="宋体" w:eastAsia="宋体" w:hint="default"/>
                <w:sz w:val="18"/>
                <w:szCs w:val="18"/>
              </w:rPr>
            </w:pPr>
            <w:r>
              <w:rPr>
                <w:rFonts w:ascii="宋体" w:hAnsi="宋体" w:cs="宋体" w:eastAsia="宋体" w:hint="default"/>
                <w:sz w:val="18"/>
                <w:szCs w:val="18"/>
              </w:rPr>
              <w:t>列报调整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2）重要会计估计变更" w:id="209"/>
      <w:bookmarkEnd w:id="20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4、其他" w:id="210"/>
      <w:bookmarkEnd w:id="210"/>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1"/>
      <w:bookmarkEnd w:id="211"/>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2"/>
      <w:bookmarkEnd w:id="212"/>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销售产品的增值额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销售收入或租赁收入（台湾子公司、重 庆子公司）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以当期应纳流转税为税基计算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以当期应纳税所得额计算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16.50</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51"/>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深圳市美盈森环保科技股份有限公司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重庆市美盈森环保包装工程有限公司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深圳市金之彩文化创意有限公司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美盈森（香港）国际控股有限公司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台湾美盈森有限公司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中山市美盈森环保科技有限公司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东莞市美芯龙物联网科技有限公司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四川泸美供应链管理有限公司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13"/>
      <w:bookmarkEnd w:id="21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420"/>
        <w:jc w:val="both"/>
      </w:pPr>
      <w:r>
        <w:rPr/>
        <w:t>根据国务院国发〔</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39</w:t>
      </w:r>
      <w:r>
        <w:rPr/>
        <w:t>号《关于实施企业所得税过渡优惠政策的通知》的规定，以及财政部、国家税务总局有关 </w:t>
      </w:r>
      <w:r>
        <w:rPr>
          <w:spacing w:val="-1"/>
        </w:rPr>
        <w:t>政策规定，</w:t>
      </w:r>
      <w:r>
        <w:rPr>
          <w:rFonts w:ascii="Times New Roman" w:hAnsi="Times New Roman" w:cs="Times New Roman" w:eastAsia="Times New Roman" w:hint="default"/>
          <w:spacing w:val="-1"/>
        </w:rPr>
        <w:t>“</w:t>
      </w:r>
      <w:r>
        <w:rPr>
          <w:spacing w:val="-1"/>
        </w:rPr>
        <w:t>自</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日起，在新税法施行后</w:t>
      </w:r>
      <w:r>
        <w:rPr>
          <w:rFonts w:ascii="Times New Roman" w:hAnsi="Times New Roman" w:cs="Times New Roman" w:eastAsia="Times New Roman" w:hint="default"/>
          <w:spacing w:val="-1"/>
        </w:rPr>
        <w:t>5</w:t>
      </w:r>
      <w:r>
        <w:rPr>
          <w:spacing w:val="-1"/>
        </w:rPr>
        <w:t>年内逐步过渡到法定税率的规定</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2008-2012</w:t>
      </w:r>
      <w:r>
        <w:rPr>
          <w:spacing w:val="-1"/>
        </w:rPr>
        <w:t>年执行的企业所得税</w:t>
      </w:r>
      <w:r>
        <w:rPr>
          <w:spacing w:val="-60"/>
        </w:rPr>
        <w:t> </w:t>
      </w:r>
      <w:r>
        <w:rPr/>
        <w:t>率分别为</w:t>
      </w:r>
      <w:r>
        <w:rPr>
          <w:rFonts w:ascii="Times New Roman" w:hAnsi="Times New Roman" w:cs="Times New Roman" w:eastAsia="Times New Roman" w:hint="default"/>
        </w:rPr>
        <w:t>18%</w:t>
      </w:r>
      <w:r>
        <w:rPr/>
        <w:t>、</w:t>
      </w:r>
      <w:r>
        <w:rPr>
          <w:rFonts w:ascii="Times New Roman" w:hAnsi="Times New Roman" w:cs="Times New Roman" w:eastAsia="Times New Roman" w:hint="default"/>
        </w:rPr>
        <w:t>20%</w:t>
      </w:r>
      <w:r>
        <w:rPr/>
        <w:t>、</w:t>
      </w:r>
      <w:r>
        <w:rPr>
          <w:rFonts w:ascii="Times New Roman" w:hAnsi="Times New Roman" w:cs="Times New Roman" w:eastAsia="Times New Roman" w:hint="default"/>
        </w:rPr>
        <w:t>22%</w:t>
      </w:r>
      <w:r>
        <w:rPr/>
        <w:t>、</w:t>
      </w:r>
      <w:r>
        <w:rPr>
          <w:rFonts w:ascii="Times New Roman" w:hAnsi="Times New Roman" w:cs="Times New Roman" w:eastAsia="Times New Roman" w:hint="default"/>
        </w:rPr>
        <w:t>24%</w:t>
      </w:r>
      <w:r>
        <w:rPr/>
        <w:t>、</w:t>
      </w:r>
      <w:r>
        <w:rPr>
          <w:rFonts w:ascii="Times New Roman" w:hAnsi="Times New Roman" w:cs="Times New Roman" w:eastAsia="Times New Roman" w:hint="default"/>
        </w:rPr>
        <w:t>25%</w:t>
      </w:r>
      <w:r>
        <w:rPr/>
        <w:t>。</w:t>
      </w:r>
      <w:r>
        <w:rPr>
          <w:rFonts w:ascii="Times New Roman" w:hAnsi="Times New Roman" w:cs="Times New Roman" w:eastAsia="Times New Roman" w:hint="default"/>
        </w:rPr>
        <w:t>2009</w:t>
      </w:r>
      <w:r>
        <w:rPr/>
        <w:t>年，公司被认定为国家级高新技术企业，有效期三年。依据企业所得税法的</w:t>
      </w:r>
      <w:r>
        <w:rPr>
          <w:spacing w:val="-36"/>
        </w:rPr>
        <w:t> </w:t>
      </w:r>
      <w:r>
        <w:rPr>
          <w:spacing w:val="-36"/>
        </w:rPr>
      </w:r>
      <w:r>
        <w:rPr>
          <w:spacing w:val="-1"/>
        </w:rPr>
        <w:t>规定，</w:t>
      </w:r>
      <w:r>
        <w:rPr>
          <w:rFonts w:ascii="Times New Roman" w:hAnsi="Times New Roman" w:cs="Times New Roman" w:eastAsia="Times New Roman" w:hint="default"/>
          <w:spacing w:val="-1"/>
        </w:rPr>
        <w:t>2009-2011</w:t>
      </w:r>
      <w:r>
        <w:rPr>
          <w:spacing w:val="-1"/>
        </w:rPr>
        <w:t>年，本公司实际执行的企业所得税率为</w:t>
      </w:r>
      <w:r>
        <w:rPr>
          <w:rFonts w:ascii="Times New Roman" w:hAnsi="Times New Roman" w:cs="Times New Roman" w:eastAsia="Times New Roman" w:hint="default"/>
          <w:spacing w:val="-1"/>
        </w:rPr>
        <w:t>15%</w:t>
      </w:r>
      <w:r>
        <w:rPr>
          <w:spacing w:val="-1"/>
        </w:rPr>
        <w:t>。</w:t>
      </w:r>
      <w:r>
        <w:rPr>
          <w:rFonts w:ascii="Times New Roman" w:hAnsi="Times New Roman" w:cs="Times New Roman" w:eastAsia="Times New Roman" w:hint="default"/>
          <w:spacing w:val="-1"/>
        </w:rPr>
        <w:t>2012</w:t>
      </w:r>
      <w:r>
        <w:rPr>
          <w:spacing w:val="-1"/>
        </w:rPr>
        <w:t>年公司重新申请高新技术企业资质复审，并于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spacing w:val="-49"/>
        </w:rPr>
        <w:t> </w:t>
      </w:r>
      <w:r>
        <w:rPr>
          <w:rFonts w:ascii="Times New Roman" w:hAnsi="Times New Roman" w:cs="Times New Roman" w:eastAsia="Times New Roman" w:hint="default"/>
        </w:rPr>
        <w:t>12</w:t>
      </w:r>
      <w:r>
        <w:rPr/>
        <w:t>日取得证书，编号</w:t>
      </w:r>
      <w:r>
        <w:rPr>
          <w:rFonts w:ascii="Times New Roman" w:hAnsi="Times New Roman" w:cs="Times New Roman" w:eastAsia="Times New Roman" w:hint="default"/>
        </w:rPr>
        <w:t>GF201244200525</w:t>
      </w:r>
      <w:r>
        <w:rPr/>
        <w:t>，有效期三年，自</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2014</w:t>
      </w:r>
      <w:r>
        <w:rPr/>
        <w:t>年所得税按</w:t>
      </w:r>
      <w:r>
        <w:rPr>
          <w:rFonts w:ascii="Times New Roman" w:hAnsi="Times New Roman" w:cs="Times New Roman" w:eastAsia="Times New Roman" w:hint="default"/>
        </w:rPr>
        <w:t>15%</w:t>
      </w:r>
      <w:r>
        <w:rPr/>
        <w:t>计算缴纳。</w:t>
      </w:r>
    </w:p>
    <w:p>
      <w:pPr>
        <w:pStyle w:val="BodyText"/>
        <w:spacing w:line="300" w:lineRule="auto" w:before="133"/>
        <w:ind w:right="1130" w:firstLine="420"/>
        <w:jc w:val="both"/>
      </w:pPr>
      <w:r>
        <w:rPr/>
        <w:t>子公司</w:t>
      </w:r>
      <w:r>
        <w:rPr>
          <w:rFonts w:ascii="Times New Roman" w:hAnsi="Times New Roman" w:cs="Times New Roman" w:eastAsia="Times New Roman" w:hint="default"/>
        </w:rPr>
        <w:t>“</w:t>
      </w:r>
      <w:r>
        <w:rPr/>
        <w:t>东莞市美盈森环保科技有限公司</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日被认定为国家高新技术企业，编号</w:t>
      </w:r>
      <w:r>
        <w:rPr>
          <w:rFonts w:ascii="Times New Roman" w:hAnsi="Times New Roman" w:cs="Times New Roman" w:eastAsia="Times New Roman" w:hint="default"/>
          <w:spacing w:val="-2"/>
        </w:rPr>
        <w:t>GR201444000733</w:t>
      </w:r>
      <w:r>
        <w:rPr>
          <w:spacing w:val="-2"/>
        </w:rPr>
        <w:t>，有效期</w:t>
      </w:r>
      <w:r>
        <w:rPr/>
        <w:t> 三年，自</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年所得税按</w:t>
      </w:r>
      <w:r>
        <w:rPr>
          <w:rFonts w:ascii="Times New Roman" w:hAnsi="Times New Roman" w:cs="Times New Roman" w:eastAsia="Times New Roman" w:hint="default"/>
        </w:rPr>
        <w:t>15%</w:t>
      </w:r>
      <w:r>
        <w:rPr/>
        <w:t>计算缴纳；</w:t>
      </w:r>
    </w:p>
    <w:p>
      <w:pPr>
        <w:pStyle w:val="BodyText"/>
        <w:spacing w:line="300" w:lineRule="auto" w:before="133"/>
        <w:ind w:right="1130" w:firstLine="420"/>
        <w:jc w:val="both"/>
      </w:pPr>
      <w:r>
        <w:rPr/>
        <w:t>子公司</w:t>
      </w:r>
      <w:r>
        <w:rPr>
          <w:rFonts w:ascii="Times New Roman" w:hAnsi="Times New Roman" w:cs="Times New Roman" w:eastAsia="Times New Roman" w:hint="default"/>
        </w:rPr>
        <w:t>“</w:t>
      </w:r>
      <w:r>
        <w:rPr/>
        <w:t>苏州美盈森环保科技有限公司</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日被认定为国家高新技术企业，编号</w:t>
      </w:r>
      <w:r>
        <w:rPr>
          <w:rFonts w:ascii="Times New Roman" w:hAnsi="Times New Roman" w:cs="Times New Roman" w:eastAsia="Times New Roman" w:hint="default"/>
          <w:spacing w:val="-2"/>
        </w:rPr>
        <w:t>GR201432002227</w:t>
      </w:r>
      <w:r>
        <w:rPr>
          <w:spacing w:val="-2"/>
        </w:rPr>
        <w:t>，有效期三</w:t>
      </w:r>
      <w:r>
        <w:rPr/>
        <w:t> 年，自</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年所得税按</w:t>
      </w:r>
      <w:r>
        <w:rPr>
          <w:rFonts w:ascii="Times New Roman" w:hAnsi="Times New Roman" w:cs="Times New Roman" w:eastAsia="Times New Roman" w:hint="default"/>
        </w:rPr>
        <w:t>15%</w:t>
      </w:r>
      <w:r>
        <w:rPr/>
        <w:t>计算缴纳；</w:t>
      </w:r>
    </w:p>
    <w:p>
      <w:pPr>
        <w:pStyle w:val="BodyText"/>
        <w:spacing w:line="300" w:lineRule="auto" w:before="133"/>
        <w:ind w:right="1039" w:firstLine="420"/>
        <w:jc w:val="both"/>
      </w:pPr>
      <w:r>
        <w:rPr/>
        <w:t>子公司</w:t>
      </w:r>
      <w:r>
        <w:rPr>
          <w:spacing w:val="16"/>
        </w:rPr>
        <w:t> </w:t>
      </w:r>
      <w:r>
        <w:rPr>
          <w:rFonts w:ascii="Times New Roman" w:hAnsi="Times New Roman" w:cs="Times New Roman" w:eastAsia="Times New Roman" w:hint="default"/>
          <w:spacing w:val="-2"/>
        </w:rPr>
        <w:t>“</w:t>
      </w:r>
      <w:r>
        <w:rPr>
          <w:spacing w:val="-2"/>
        </w:rPr>
        <w:t>中山市美盈森环保科技有限公司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东莞市美芯龙物联网科技有限公司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武汉市美盈森环保科技有限公司</w:t>
      </w:r>
      <w:r>
        <w:rPr>
          <w:rFonts w:ascii="Times New Roman" w:hAnsi="Times New Roman" w:cs="Times New Roman" w:eastAsia="Times New Roman" w:hint="default"/>
          <w:spacing w:val="-2"/>
        </w:rPr>
        <w:t>”</w:t>
      </w:r>
      <w:r>
        <w:rPr>
          <w:spacing w:val="-2"/>
        </w:rPr>
        <w:t>、</w:t>
      </w:r>
      <w:r>
        <w:rPr/>
        <w:t> </w:t>
      </w:r>
      <w:r>
        <w:rPr>
          <w:rFonts w:ascii="Times New Roman" w:hAnsi="Times New Roman" w:cs="Times New Roman" w:eastAsia="Times New Roman" w:hint="default"/>
        </w:rPr>
        <w:t>“</w:t>
      </w:r>
      <w:r>
        <w:rPr/>
        <w:t>成都市美盈森环保科技有限公司</w:t>
      </w:r>
      <w:r>
        <w:rPr>
          <w:rFonts w:ascii="Times New Roman" w:hAnsi="Times New Roman" w:cs="Times New Roman" w:eastAsia="Times New Roman" w:hint="default"/>
        </w:rPr>
        <w:t>”</w:t>
      </w:r>
      <w:r>
        <w:rPr/>
        <w:t>的企业所得税税率均为</w:t>
      </w:r>
      <w:r>
        <w:rPr>
          <w:rFonts w:ascii="Times New Roman" w:hAnsi="Times New Roman" w:cs="Times New Roman" w:eastAsia="Times New Roman" w:hint="default"/>
        </w:rPr>
        <w:t>25%</w:t>
      </w:r>
      <w:r>
        <w:rPr/>
        <w:t>。</w:t>
      </w:r>
    </w:p>
    <w:p>
      <w:pPr>
        <w:pStyle w:val="BodyText"/>
        <w:spacing w:line="240" w:lineRule="auto" w:before="133"/>
        <w:ind w:left="573" w:right="0"/>
        <w:jc w:val="left"/>
      </w:pPr>
      <w:r>
        <w:rPr/>
        <w:t>子公司</w:t>
      </w:r>
      <w:r>
        <w:rPr>
          <w:rFonts w:ascii="Times New Roman" w:hAnsi="Times New Roman" w:cs="Times New Roman" w:eastAsia="Times New Roman" w:hint="default"/>
        </w:rPr>
        <w:t>“</w:t>
      </w:r>
      <w:r>
        <w:rPr/>
        <w:t>重庆市美盈森环保包装工程有限公司</w:t>
      </w:r>
      <w:r>
        <w:rPr>
          <w:rFonts w:ascii="Times New Roman" w:hAnsi="Times New Roman" w:cs="Times New Roman" w:eastAsia="Times New Roman" w:hint="default"/>
        </w:rPr>
        <w:t>”</w:t>
      </w:r>
      <w:r>
        <w:rPr/>
        <w:t>因地处西部大开发区域，享受</w:t>
      </w:r>
      <w:r>
        <w:rPr>
          <w:rFonts w:ascii="Times New Roman" w:hAnsi="Times New Roman" w:cs="Times New Roman" w:eastAsia="Times New Roman" w:hint="default"/>
        </w:rPr>
        <w:t>15%</w:t>
      </w:r>
      <w:r>
        <w:rPr/>
        <w:t>的企业所得税优惠税率。</w:t>
      </w:r>
    </w:p>
    <w:p>
      <w:pPr>
        <w:spacing w:line="240" w:lineRule="auto" w:before="0"/>
        <w:rPr>
          <w:rFonts w:ascii="宋体" w:hAnsi="宋体" w:cs="宋体" w:eastAsia="宋体" w:hint="default"/>
          <w:sz w:val="14"/>
          <w:szCs w:val="14"/>
        </w:rPr>
      </w:pPr>
    </w:p>
    <w:p>
      <w:pPr>
        <w:pStyle w:val="BodyText"/>
        <w:spacing w:line="300" w:lineRule="auto"/>
        <w:ind w:right="1040" w:firstLine="420"/>
        <w:jc w:val="both"/>
      </w:pPr>
      <w:r>
        <w:rPr/>
        <w:t>子公司</w:t>
      </w:r>
      <w:r>
        <w:rPr>
          <w:rFonts w:ascii="Times New Roman" w:hAnsi="Times New Roman" w:cs="Times New Roman" w:eastAsia="Times New Roman" w:hint="default"/>
        </w:rPr>
        <w:t>“</w:t>
      </w:r>
      <w:r>
        <w:rPr/>
        <w:t>深圳市金之彩文化创意有限公司</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22</w:t>
      </w:r>
      <w:r>
        <w:rPr>
          <w:spacing w:val="-2"/>
        </w:rPr>
        <w:t>日被认定为高新技术企业，编号</w:t>
      </w:r>
      <w:r>
        <w:rPr>
          <w:rFonts w:ascii="Times New Roman" w:hAnsi="Times New Roman" w:cs="Times New Roman" w:eastAsia="Times New Roman" w:hint="default"/>
          <w:spacing w:val="-2"/>
        </w:rPr>
        <w:t>GR201344200315</w:t>
      </w:r>
      <w:r>
        <w:rPr>
          <w:spacing w:val="-2"/>
        </w:rPr>
        <w:t>，有效期三年，</w:t>
      </w:r>
      <w:r>
        <w:rPr/>
        <w:t> 自</w:t>
      </w:r>
      <w:r>
        <w:rPr>
          <w:rFonts w:ascii="Times New Roman" w:hAnsi="Times New Roman" w:cs="Times New Roman" w:eastAsia="Times New Roman" w:hint="default"/>
        </w:rPr>
        <w:t>2013</w:t>
      </w:r>
      <w:r>
        <w:rPr/>
        <w:t>年至</w:t>
      </w:r>
      <w:r>
        <w:rPr>
          <w:rFonts w:ascii="Times New Roman" w:hAnsi="Times New Roman" w:cs="Times New Roman" w:eastAsia="Times New Roman" w:hint="default"/>
        </w:rPr>
        <w:t>2015</w:t>
      </w:r>
      <w:r>
        <w:rPr/>
        <w:t>年所得税按</w:t>
      </w:r>
      <w:r>
        <w:rPr>
          <w:rFonts w:ascii="Times New Roman" w:hAnsi="Times New Roman" w:cs="Times New Roman" w:eastAsia="Times New Roman" w:hint="default"/>
        </w:rPr>
        <w:t>15%</w:t>
      </w:r>
      <w:r>
        <w:rPr/>
        <w:t>计算缴纳。</w:t>
      </w:r>
    </w:p>
    <w:p>
      <w:pPr>
        <w:pStyle w:val="BodyText"/>
        <w:spacing w:line="300" w:lineRule="auto" w:before="133"/>
        <w:ind w:right="1040" w:firstLine="420"/>
        <w:jc w:val="both"/>
      </w:pPr>
      <w:r>
        <w:rPr>
          <w:spacing w:val="-1"/>
        </w:rPr>
        <w:t>根据香港特别行政区相关的税收政策规定，子公司</w:t>
      </w:r>
      <w:r>
        <w:rPr>
          <w:rFonts w:ascii="Times New Roman" w:hAnsi="Times New Roman" w:cs="Times New Roman" w:eastAsia="Times New Roman" w:hint="default"/>
          <w:spacing w:val="-1"/>
        </w:rPr>
        <w:t>“</w:t>
      </w:r>
      <w:r>
        <w:rPr>
          <w:spacing w:val="-1"/>
        </w:rPr>
        <w:t>美盈森（香港）国际控股有限公司</w:t>
      </w:r>
      <w:r>
        <w:rPr>
          <w:rFonts w:ascii="Times New Roman" w:hAnsi="Times New Roman" w:cs="Times New Roman" w:eastAsia="Times New Roman" w:hint="default"/>
          <w:spacing w:val="-1"/>
        </w:rPr>
        <w:t>”</w:t>
      </w:r>
      <w:r>
        <w:rPr>
          <w:spacing w:val="-1"/>
        </w:rPr>
        <w:t>只按</w:t>
      </w:r>
      <w:r>
        <w:rPr>
          <w:rFonts w:ascii="Times New Roman" w:hAnsi="Times New Roman" w:cs="Times New Roman" w:eastAsia="Times New Roman" w:hint="default"/>
          <w:spacing w:val="-1"/>
        </w:rPr>
        <w:t>16.50%</w:t>
      </w:r>
      <w:r>
        <w:rPr>
          <w:spacing w:val="-1"/>
        </w:rPr>
        <w:t>的税率计缴利得税，</w:t>
      </w:r>
      <w:r>
        <w:rPr/>
        <w:t> 无需缴纳其他税费。</w:t>
      </w:r>
    </w:p>
    <w:p>
      <w:pPr>
        <w:spacing w:after="0" w:line="30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603" w:right="0"/>
        <w:jc w:val="left"/>
      </w:pPr>
      <w:r>
        <w:rPr/>
        <w:t>台湾子公司营利事业所得税率</w:t>
      </w:r>
      <w:r>
        <w:rPr>
          <w:rFonts w:ascii="Times New Roman" w:hAnsi="Times New Roman" w:cs="Times New Roman" w:eastAsia="Times New Roman" w:hint="default"/>
        </w:rPr>
        <w:t>17%</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left="153" w:right="0"/>
        <w:jc w:val="left"/>
        <w:rPr>
          <w:b w:val="0"/>
          <w:bCs w:val="0"/>
        </w:rPr>
      </w:pPr>
      <w:bookmarkStart w:name="3、其他" w:id="214"/>
      <w:bookmarkEnd w:id="214"/>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0"/>
        <w:jc w:val="left"/>
      </w:pPr>
      <w:r>
        <w:rPr/>
        <w:t>本公司其他税项按国家有关规定缴纳。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2"/>
        <w:spacing w:line="240" w:lineRule="auto"/>
        <w:ind w:right="0"/>
        <w:jc w:val="left"/>
        <w:rPr>
          <w:b w:val="0"/>
          <w:bCs w:val="0"/>
        </w:rPr>
      </w:pPr>
      <w:bookmarkStart w:name="七、合并财务报表项目注释" w:id="215"/>
      <w:bookmarkEnd w:id="215"/>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货币资金" w:id="216"/>
      <w:bookmarkEnd w:id="216"/>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1,425,074.63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1,172,598.42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952,277,813.09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729,024,643.53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953,702,887.72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730,197,241.95</w:t>
            </w:r>
          </w:p>
        </w:tc>
      </w:tr>
    </w:tbl>
    <w:p>
      <w:pPr>
        <w:pStyle w:val="BodyText"/>
        <w:spacing w:line="357" w:lineRule="auto" w:before="51"/>
        <w:ind w:right="1003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衍生金融资产" w:id="217"/>
      <w:bookmarkEnd w:id="217"/>
      <w:r>
        <w:rPr>
          <w:b w:val="0"/>
          <w:bCs w:val="0"/>
        </w:rPr>
      </w:r>
      <w:r>
        <w:rPr>
          <w:rFonts w:ascii="Times New Roman" w:hAnsi="Times New Roman" w:cs="Times New Roman" w:eastAsia="Times New Roman" w:hint="default"/>
        </w:rPr>
        <w:t>2</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应收票据" w:id="218"/>
      <w:bookmarkEnd w:id="218"/>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票据分类列示" w:id="219"/>
      <w:bookmarkEnd w:id="219"/>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43,470,917.05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43,944,694.23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43,470,917.05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43,944,694.23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质押的应收票据" w:id="220"/>
      <w:bookmarkEnd w:id="220"/>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15,770,000.00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15,770,000.00</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79" w:header="747"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期末公司已背书或贴现且在资产负债表日尚未到期的应收票据" w:id="221"/>
      <w:bookmarkEnd w:id="221"/>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19,318,762.26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19,318,762.26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222"/>
      <w:bookmarkEnd w:id="222"/>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应收账款" w:id="223"/>
      <w:bookmarkEnd w:id="223"/>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24"/>
      <w:bookmarkEnd w:id="22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424,609,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206.03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22,828,7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50.98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401,780,4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55.05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386,881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,345.54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21,506,49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9.44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365,374,84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6.10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424,609,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206.03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22,828,7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50.98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5.38%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401,780,4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55.05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386,881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,345.54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21,506,49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9.44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5.56%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365,374,84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6.10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79" w:header="747" w:top="1060" w:bottom="1160" w:left="980" w:right="0"/>
          <w:pgNumType w:start="101"/>
        </w:sectPr>
      </w:pPr>
    </w:p>
    <w:p>
      <w:pPr>
        <w:pStyle w:val="BodyText"/>
        <w:spacing w:line="240" w:lineRule="auto" w:before="51"/>
        <w:ind w:left="154" w:right="-20"/>
        <w:jc w:val="left"/>
      </w:pPr>
      <w:r>
        <w:rPr/>
        <w:t>期末单项金额重大并单项计提坏账准备的应收账款：</w:t>
      </w:r>
    </w:p>
    <w:p>
      <w:pPr>
        <w:pStyle w:val="BodyText"/>
        <w:spacing w:line="357" w:lineRule="auto" w:before="117"/>
        <w:ind w:left="154" w:right="160"/>
        <w:jc w:val="left"/>
      </w:pPr>
      <w:r>
        <w:rPr/>
        <w:t>□ 适用 √ 不适用 组合中，按账龄分析法计提坏账准备的应收账款：</w:t>
      </w:r>
    </w:p>
    <w:p>
      <w:pPr>
        <w:pStyle w:val="BodyText"/>
        <w:spacing w:line="240" w:lineRule="auto" w:before="28"/>
        <w:ind w:left="15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422,049,425.80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21,130,221.34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422,049,425.80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21,130,221.34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849,317.80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84,931.78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193,729.15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96,864.58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1,516,733.28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1,516,733.28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424,609,206.03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22,828,750.98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432"/>
        <w:jc w:val="left"/>
      </w:pPr>
      <w:r>
        <w:rPr/>
        <w:t>确定该组合依据的说明： 组合中，采用余额百分比法计提坏账准备的应收账款：</w:t>
      </w:r>
    </w:p>
    <w:p>
      <w:pPr>
        <w:pStyle w:val="BodyText"/>
        <w:spacing w:line="360" w:lineRule="auto" w:before="26"/>
        <w:ind w:left="154" w:right="6792"/>
        <w:jc w:val="left"/>
      </w:pPr>
      <w:r>
        <w:rPr/>
        <w:t>□ 适用 √ 不适用 组合中，采用其他方法计提坏账准备的应收账款：</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本期计提、收回或转回的坏账准备情况" w:id="225"/>
      <w:bookmarkEnd w:id="22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6"/>
        <w:jc w:val="left"/>
      </w:pPr>
      <w:r>
        <w:rPr/>
        <w:t>本期计提坏账准备金额</w:t>
      </w:r>
      <w:r>
        <w:rPr>
          <w:spacing w:val="-47"/>
        </w:rPr>
        <w:t> </w:t>
      </w:r>
      <w:r>
        <w:rPr>
          <w:rFonts w:ascii="Times New Roman" w:hAnsi="Times New Roman" w:cs="Times New Roman" w:eastAsia="Times New Roman" w:hint="default"/>
        </w:rPr>
        <w:t>1,322,251.54</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049" w:space="2780"/>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应收账款情况" w:id="226"/>
      <w:bookmarkEnd w:id="22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吊的应收账款情况" w:id="227"/>
      <w:bookmarkEnd w:id="22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952"/>
        <w:gridCol w:w="1844"/>
        <w:gridCol w:w="2154"/>
        <w:gridCol w:w="2099"/>
        <w:gridCol w:w="1807"/>
      </w:tblGrid>
      <w:tr>
        <w:trPr>
          <w:trHeight w:val="347"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1" w:right="0"/>
              <w:jc w:val="left"/>
              <w:rPr>
                <w:rFonts w:ascii="宋体" w:hAnsi="宋体" w:cs="宋体" w:eastAsia="宋体" w:hint="default"/>
                <w:sz w:val="18"/>
                <w:szCs w:val="18"/>
              </w:rPr>
            </w:pPr>
            <w:r>
              <w:rPr>
                <w:rFonts w:ascii="宋体" w:hAnsi="宋体" w:cs="宋体" w:eastAsia="宋体" w:hint="default"/>
                <w:sz w:val="18"/>
                <w:szCs w:val="18"/>
              </w:rPr>
              <w:t>占应收账款余额比例</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A</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41,790,529.14</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9.84%</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2,089,526.46</w:t>
            </w:r>
          </w:p>
        </w:tc>
      </w:tr>
      <w:tr>
        <w:trPr>
          <w:trHeight w:val="347"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B</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26,262,575.44</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6.19%</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1,313,128.77</w:t>
            </w:r>
          </w:p>
        </w:tc>
      </w:tr>
      <w:tr>
        <w:trPr>
          <w:trHeight w:val="347"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C</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17,715,638.97</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4.17%</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885,781.95</w:t>
            </w:r>
          </w:p>
        </w:tc>
      </w:tr>
      <w:tr>
        <w:trPr>
          <w:trHeight w:val="347"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D</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15,508,074.34</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3.65%</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775,403.72</w:t>
            </w:r>
          </w:p>
        </w:tc>
      </w:tr>
      <w:tr>
        <w:trPr>
          <w:trHeight w:val="34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E</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11,526,791.52</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2.71%</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576,339.58</w:t>
            </w:r>
          </w:p>
        </w:tc>
      </w:tr>
      <w:tr>
        <w:trPr>
          <w:trHeight w:val="347"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112,803,609.41</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26.56%</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5,640,180.48</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5）因金融资产转移而终止确认的应收账款" w:id="228"/>
      <w:bookmarkEnd w:id="22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6）转移应收账款且继续涉入形成的资产、负债金额" w:id="229"/>
      <w:bookmarkEnd w:id="22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3"/>
        <w:jc w:val="left"/>
      </w:pPr>
      <w:r>
        <w:rPr/>
        <w:t>无 其他说明： 无</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5、预付款项" w:id="230"/>
      <w:bookmarkEnd w:id="230"/>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1"/>
      <w:bookmarkEnd w:id="23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5,414,941.63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3,710,327.40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24.25%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766,281.95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4,832,682.06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31.58%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6,348,895.09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409,408.80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6,181,223.58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15,301,313.35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154"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按预付对象归集的期末余额前五吊的预付款情况" w:id="232"/>
      <w:bookmarkEnd w:id="23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4" w:type="dxa"/>
        <w:tblLayout w:type="fixed"/>
        <w:tblCellMar>
          <w:top w:w="0" w:type="dxa"/>
          <w:left w:w="0" w:type="dxa"/>
          <w:bottom w:w="0" w:type="dxa"/>
          <w:right w:w="0" w:type="dxa"/>
        </w:tblCellMar>
        <w:tblLook w:val="01E0"/>
      </w:tblPr>
      <w:tblGrid>
        <w:gridCol w:w="4159"/>
        <w:gridCol w:w="2627"/>
        <w:gridCol w:w="3070"/>
      </w:tblGrid>
      <w:tr>
        <w:trPr>
          <w:trHeight w:val="352" w:hRule="exact"/>
        </w:trPr>
        <w:tc>
          <w:tcPr>
            <w:tcW w:w="415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2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07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占预付账款金额比例</w:t>
            </w:r>
          </w:p>
        </w:tc>
      </w:tr>
      <w:tr>
        <w:trPr>
          <w:trHeight w:val="352" w:hRule="exact"/>
        </w:trPr>
        <w:tc>
          <w:tcPr>
            <w:tcW w:w="4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深圳市投资控股有限公司</w:t>
            </w:r>
          </w:p>
        </w:tc>
        <w:tc>
          <w:tcPr>
            <w:tcW w:w="26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1,630,000.00</w:t>
            </w:r>
          </w:p>
        </w:tc>
        <w:tc>
          <w:tcPr>
            <w:tcW w:w="3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39"/>
              <w:jc w:val="center"/>
              <w:rPr>
                <w:rFonts w:ascii="Times New Roman" w:hAnsi="Times New Roman" w:cs="Times New Roman" w:eastAsia="Times New Roman" w:hint="default"/>
                <w:sz w:val="18"/>
                <w:szCs w:val="18"/>
              </w:rPr>
            </w:pPr>
            <w:r>
              <w:rPr>
                <w:rFonts w:ascii="Times New Roman"/>
                <w:sz w:val="18"/>
              </w:rPr>
              <w:t>26.37%</w:t>
            </w:r>
          </w:p>
        </w:tc>
      </w:tr>
      <w:tr>
        <w:trPr>
          <w:trHeight w:val="352" w:hRule="exact"/>
        </w:trPr>
        <w:tc>
          <w:tcPr>
            <w:tcW w:w="4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深圳市瑞盛科技有限公司</w:t>
            </w:r>
          </w:p>
        </w:tc>
        <w:tc>
          <w:tcPr>
            <w:tcW w:w="26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685,500.00</w:t>
            </w:r>
          </w:p>
        </w:tc>
        <w:tc>
          <w:tcPr>
            <w:tcW w:w="3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11.09%</w:t>
            </w:r>
          </w:p>
        </w:tc>
      </w:tr>
      <w:tr>
        <w:trPr>
          <w:trHeight w:val="353" w:hRule="exact"/>
        </w:trPr>
        <w:tc>
          <w:tcPr>
            <w:tcW w:w="4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江苏省电力公司吴江市供电公司</w:t>
            </w:r>
          </w:p>
        </w:tc>
        <w:tc>
          <w:tcPr>
            <w:tcW w:w="26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606,730.34</w:t>
            </w:r>
          </w:p>
        </w:tc>
        <w:tc>
          <w:tcPr>
            <w:tcW w:w="3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9.82%</w:t>
            </w:r>
          </w:p>
        </w:tc>
      </w:tr>
      <w:tr>
        <w:trPr>
          <w:trHeight w:val="352" w:hRule="exact"/>
        </w:trPr>
        <w:tc>
          <w:tcPr>
            <w:tcW w:w="4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广东理文造纸有限公司</w:t>
            </w:r>
          </w:p>
        </w:tc>
        <w:tc>
          <w:tcPr>
            <w:tcW w:w="26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503,563.78</w:t>
            </w:r>
          </w:p>
        </w:tc>
        <w:tc>
          <w:tcPr>
            <w:tcW w:w="3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8.15%</w:t>
            </w:r>
          </w:p>
        </w:tc>
      </w:tr>
      <w:tr>
        <w:trPr>
          <w:trHeight w:val="352" w:hRule="exact"/>
        </w:trPr>
        <w:tc>
          <w:tcPr>
            <w:tcW w:w="4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吴江港华燃气有限公司</w:t>
            </w:r>
          </w:p>
        </w:tc>
        <w:tc>
          <w:tcPr>
            <w:tcW w:w="26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445,331.99</w:t>
            </w:r>
          </w:p>
        </w:tc>
        <w:tc>
          <w:tcPr>
            <w:tcW w:w="3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7.20%</w:t>
            </w:r>
          </w:p>
        </w:tc>
      </w:tr>
      <w:tr>
        <w:trPr>
          <w:trHeight w:val="353" w:hRule="exact"/>
        </w:trPr>
        <w:tc>
          <w:tcPr>
            <w:tcW w:w="415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3,871,126.11</w:t>
            </w:r>
          </w:p>
        </w:tc>
        <w:tc>
          <w:tcPr>
            <w:tcW w:w="30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62.63%</w:t>
            </w:r>
          </w:p>
        </w:tc>
      </w:tr>
    </w:tbl>
    <w:p>
      <w:pPr>
        <w:spacing w:line="240" w:lineRule="auto" w:before="5"/>
        <w:rPr>
          <w:rFonts w:ascii="宋体" w:hAnsi="宋体" w:cs="宋体" w:eastAsia="宋体" w:hint="default"/>
          <w:b/>
          <w:bCs/>
          <w:sz w:val="24"/>
          <w:szCs w:val="24"/>
        </w:rPr>
      </w:pPr>
    </w:p>
    <w:p>
      <w:pPr>
        <w:pStyle w:val="BodyText"/>
        <w:spacing w:line="357" w:lineRule="auto" w:before="44"/>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其他应收款" w:id="233"/>
      <w:bookmarkEnd w:id="233"/>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34"/>
      <w:bookmarkEnd w:id="23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2"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15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23" w:type="dxa"/>
            <w:vMerge/>
            <w:tcBorders>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23" w:type="dxa"/>
            <w:vMerge/>
            <w:tcBorders>
              <w:left w:val="single" w:sz="4" w:space="0" w:color="000000"/>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22,081,1</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65.54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22,081,16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5.54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17,055,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621.04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17,055,621.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22,081,1</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65.54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22,081,16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5.54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17,055,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621.04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17,055,621.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期末单项金额重大并单项计提坏账准备的其他应收款：</w:t>
      </w:r>
    </w:p>
    <w:p>
      <w:pPr>
        <w:pStyle w:val="BodyText"/>
        <w:spacing w:line="357" w:lineRule="auto" w:before="117"/>
        <w:ind w:left="154" w:right="6612"/>
        <w:jc w:val="left"/>
      </w:pPr>
      <w:r>
        <w:rPr/>
        <w:t>□ 适用 √ 不适用 组合中，按账龄分析法计提坏账准备的其他应收款：</w:t>
      </w:r>
    </w:p>
    <w:p>
      <w:pPr>
        <w:pStyle w:val="BodyText"/>
        <w:spacing w:line="357" w:lineRule="auto" w:before="29"/>
        <w:ind w:left="154" w:right="6252"/>
        <w:jc w:val="left"/>
      </w:pPr>
      <w:r>
        <w:rPr/>
        <w:t>□ 适用 √ 不适用 组合中，采用余额百分比法计提坏账准备的其他应收款：</w:t>
      </w:r>
    </w:p>
    <w:p>
      <w:pPr>
        <w:pStyle w:val="BodyText"/>
        <w:spacing w:line="360" w:lineRule="auto" w:before="28"/>
        <w:ind w:left="154" w:right="6612"/>
        <w:jc w:val="left"/>
      </w:pPr>
      <w:r>
        <w:rPr/>
        <w:t>□ 适用 √ 不适用 组合中，采用其他方法计提坏账准备的其他应收款：</w:t>
      </w:r>
    </w:p>
    <w:p>
      <w:pPr>
        <w:pStyle w:val="BodyText"/>
        <w:spacing w:line="240" w:lineRule="auto" w:before="26"/>
        <w:ind w:left="15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35"/>
      <w:bookmarkEnd w:id="23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6"/>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5824" w:space="300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其他应收款情况" w:id="236"/>
      <w:bookmarkEnd w:id="23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应收款按款项性质分类情况" w:id="237"/>
      <w:bookmarkEnd w:id="23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6,490,793.69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5,373,017.37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14,163,855.82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9,406,142.30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987,845.06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1,884,817.05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车辆储值卡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66,250.78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118,099.09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372,420.19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273,545.23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22,081,165.54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17,055,621.04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吊的其他应收款情况" w:id="238"/>
      <w:bookmarkEnd w:id="23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四川优派科技有限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民工工资及投保证 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江苏洋河新城投资 开发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入园保证金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吴江市建筑安装管 理处</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民工工资保证金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江苏建研建设工程 质量安全鉴定有限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质量检测鉴定费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730,445.00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东莞市泰安建筑技 术咨询有限公司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质量检测鉴定费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9,142,445.00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239"/>
      <w:bookmarkEnd w:id="23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因金融资产转移而终止确认的其他应收款" w:id="240"/>
      <w:bookmarkEnd w:id="240"/>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转移其他应收款且继续涉入形成的资产、负债金额" w:id="241"/>
      <w:bookmarkEnd w:id="241"/>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7、存货" w:id="242"/>
      <w:bookmarkEnd w:id="242"/>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43"/>
      <w:bookmarkEnd w:id="24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108,717,806.43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276,381.32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108,441,425.11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101,804,126.14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276,381.32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101,527,744.82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11,986,076.02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11,986,076.02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8,128,485.53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8,128,485.53</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176,855,355.40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731,754.12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176,123,601.28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137,695,408.81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731,754.12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136,963,654.69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297,559,237.85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1,008,135.44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296,551,102.41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247,628,020.48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1,008,135.44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246,619,885.04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44"/>
      <w:bookmarkEnd w:id="24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276,381.32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276,381.32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731,754.12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731,754.12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1,008,135.44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1,008,135.44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存货期末余额含有借款费用资本化金额的说明" w:id="245"/>
      <w:bookmarkEnd w:id="245"/>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期末建造合同形成的已完工未结算资产情况" w:id="246"/>
      <w:bookmarkEnd w:id="24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8、其他流动资产" w:id="247"/>
      <w:bookmarkEnd w:id="247"/>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431,298.62</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0"/>
        <w:gridCol w:w="3191"/>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431,298.62</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9、长期股权投资" w:id="248"/>
      <w:bookmarkEnd w:id="248"/>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四川金剑 包装制品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5,440,616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875,381.0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6,315,997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5,440,616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875,381.0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6,315,997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5,440,616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875,381.0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6,315,997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0、投资性房地产" w:id="249"/>
      <w:bookmarkEnd w:id="249"/>
      <w:r>
        <w:rPr>
          <w:b w:val="0"/>
          <w:bCs w:val="0"/>
        </w:rPr>
      </w:r>
      <w:r>
        <w:rPr>
          <w:rFonts w:ascii="Times New Roman" w:hAnsi="Times New Roman" w:cs="Times New Roman" w:eastAsia="Times New Roman" w:hint="default"/>
        </w:rPr>
        <w:t>10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50"/>
      <w:bookmarkEnd w:id="25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 适用 □ 不适用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7,895,974.93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7,895,974.93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331,698.62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331,698.62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331,698.62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331,698.62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8,227,673.55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8,227,673.55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467,786.48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467,786.48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278,051.41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278,051.41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278,051.41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278,051.41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745,837.89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745,837.89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7,481,835.66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7,481,835.66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7,428,188.45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7,428,188.45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采用公允价值计量模式的投资性房地产" w:id="251"/>
      <w:bookmarkEnd w:id="25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未办妥产权证书的投资性房地产情况" w:id="252"/>
      <w:bookmarkEnd w:id="252"/>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0"/>
        <w:gridCol w:w="3191"/>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重庆美盈森仓库及宿舍楼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7,481,835.66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1、固定资产" w:id="253"/>
      <w:bookmarkEnd w:id="253"/>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54"/>
      <w:bookmarkEnd w:id="25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414,639,673.65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478,476,376.95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43,132,143.46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32,937,445.12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2,954,247.11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972,139,886.29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6,028,651.60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7,789,525.66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1,533,111.67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1,505,341.69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62,215.61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16,918,846.23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76,097.00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7,789,525.66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1,533,111.67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1,505,341.69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62,215.61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10,966,291.63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5,952,554.60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5,952,554.60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332,098.62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1,071,638.84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29,954.27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288,687.00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1,722,378.73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1,071,638.84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16,017.10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288,687.00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1,376,742.94</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）转投资性</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331,698.62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331,698.62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85"/>
                <w:sz w:val="18"/>
                <w:szCs w:val="18"/>
              </w:rPr>
              <w:t>）</w:t>
            </w:r>
            <w:r>
              <w:rPr>
                <w:rFonts w:ascii="宋体" w:hAnsi="宋体" w:cs="宋体" w:eastAsia="宋体" w:hint="default"/>
                <w:sz w:val="18"/>
                <w:szCs w:val="18"/>
              </w:rPr>
              <w:t>汇率变动</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13,937.17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13,937.17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420,336,226.63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485,194,263.77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44,635,300.86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34,154,099.81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3,016,462.72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987,336,353.79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32,545,033.48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116,645,749.76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18,550,758.38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20,340,525.85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985,865.73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189,067,933.20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13,245,074.81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32,840,091.75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6,995,811.90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4,295,435.67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446,452.74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57,822,866.87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13,245,074.81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32,840,091.75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6,995,811.90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4,295,435.67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446,452.74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57,822,866.87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17,506.33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602,722.47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12,036.19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274,252.65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906,517.64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602,722.47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8,589.09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274,252.65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885,564.21</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性房地产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17,506.33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17,506.33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3,447.10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3,447.10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45,772,601.96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148,883,119.04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25,534,534.09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24,361,708.87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1,432,318.47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245,984,282.43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136,931.56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42,608.89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179,540.45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136,931.56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42,608.89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179,540.45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374,563,624.67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336,174,213.17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19,058,157.88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9,792,390.94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1,584,144.25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741,172,530.91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382,094,640.17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361,693,695.63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24,538,776.19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12,596,919.27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1,968,381.38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782,892,412.64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55"/>
      <w:bookmarkEnd w:id="255"/>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256"/>
      <w:bookmarkEnd w:id="256"/>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通过经营租赁租出的固定资产" w:id="257"/>
      <w:bookmarkEnd w:id="257"/>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58"/>
      <w:bookmarkEnd w:id="258"/>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重庆美盈森厂区厂房、办公楼及宿舍楼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93,990,619.31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东莞美盈森厂区厂房、办公楼及宿舍楼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112,714,957.56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宿迁厂区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27,404,695.13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房屋均为新建房屋，产权证书正在办理 中</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泸州厂区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20,807,248.06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房屋均为新建房屋，产权证书正在办理 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合江厂区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2,455,988.52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2、在建工程" w:id="259"/>
      <w:bookmarkEnd w:id="259"/>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60"/>
      <w:bookmarkEnd w:id="26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低碳环保包装研 发总部基地项目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3,378,328.50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3,378,328.50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607,734.00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607,734.00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总部技术改造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629,903.44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629,903.44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环保包装生产建 设项目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25,673,110.20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25,673,110.20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24,543,134.26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24,543,134.26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泸州宿舍楼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2,689,400.00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2,689,400.00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成都规划设计工 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29,759,342.14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29,759,342.14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27,840,268.26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27,840,268.26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61"/>
      <w:bookmarkEnd w:id="261"/>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99"/>
              <w:jc w:val="both"/>
              <w:rPr>
                <w:rFonts w:ascii="Times New Roman" w:hAnsi="Times New Roman" w:cs="Times New Roman" w:eastAsia="Times New Roman" w:hint="default"/>
                <w:sz w:val="18"/>
                <w:szCs w:val="18"/>
              </w:rPr>
            </w:pPr>
            <w:r>
              <w:rPr>
                <w:rFonts w:ascii="宋体" w:hAnsi="宋体" w:cs="宋体" w:eastAsia="宋体" w:hint="default"/>
                <w:sz w:val="18"/>
                <w:szCs w:val="18"/>
              </w:rPr>
              <w:t>环保包 装生产 建设项 目</w:t>
            </w:r>
            <w:r>
              <w:rPr>
                <w:rFonts w:ascii="Times New Roman" w:hAnsi="Times New Roman" w:cs="Times New Roman" w:eastAsia="Times New Roman" w:hint="default"/>
                <w:sz w:val="18"/>
                <w:szCs w:val="18"/>
              </w:rPr>
              <w:t>(</w:t>
            </w:r>
            <w:r>
              <w:rPr>
                <w:rFonts w:ascii="宋体" w:hAnsi="宋体" w:cs="宋体" w:eastAsia="宋体" w:hint="default"/>
                <w:sz w:val="18"/>
                <w:szCs w:val="18"/>
              </w:rPr>
              <w:t>东莞 基地</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400,956,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5,279,98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3,712,35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1.40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69,615.0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8,922,72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已投产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99"/>
              <w:jc w:val="both"/>
              <w:rPr>
                <w:rFonts w:ascii="Times New Roman" w:hAnsi="Times New Roman" w:cs="Times New Roman" w:eastAsia="Times New Roman" w:hint="default"/>
                <w:sz w:val="18"/>
                <w:szCs w:val="18"/>
              </w:rPr>
            </w:pPr>
            <w:r>
              <w:rPr>
                <w:rFonts w:ascii="宋体" w:hAnsi="宋体" w:cs="宋体" w:eastAsia="宋体" w:hint="default"/>
                <w:sz w:val="18"/>
                <w:szCs w:val="18"/>
              </w:rPr>
              <w:t>环保包 装生产 建设项 目</w:t>
            </w:r>
            <w:r>
              <w:rPr>
                <w:rFonts w:ascii="Times New Roman" w:hAnsi="Times New Roman" w:cs="Times New Roman" w:eastAsia="Times New Roman" w:hint="default"/>
                <w:sz w:val="18"/>
                <w:szCs w:val="18"/>
              </w:rPr>
              <w:t>(</w:t>
            </w:r>
            <w:r>
              <w:rPr>
                <w:rFonts w:ascii="宋体" w:hAnsi="宋体" w:cs="宋体" w:eastAsia="宋体" w:hint="default"/>
                <w:sz w:val="18"/>
                <w:szCs w:val="18"/>
              </w:rPr>
              <w:t>重庆 基地</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270,859,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17,123,1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49.71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204,878.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577,638.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16,750,3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89.25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已投产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671,816,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22,403,1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34.26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3,917,22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9.40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647,253.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25,673,1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10.20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62"/>
      <w:bookmarkEnd w:id="262"/>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3、无形资产" w:id="263"/>
      <w:bookmarkEnd w:id="263"/>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64"/>
      <w:bookmarkEnd w:id="26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229,959,037.46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2,231,175.25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232,190,212.71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5,128.21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5,128.21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5,128.21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5,128.21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229,959,037.46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2,236,303.46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232,195,340.92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14,935,981.19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1,111,903.64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16,047,884.83</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4,813,513.20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414,795.87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5,228,309.07</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4,813,513.20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414,795.87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5,228,309.07</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19,749,494.39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1,526,699.51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21,276,193.90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210,209,543.07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709,603.95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210,919,147.02</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215,023,056.27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1,119,271.61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216,142,327.88</w:t>
            </w:r>
          </w:p>
        </w:tc>
      </w:tr>
    </w:tbl>
    <w:p>
      <w:pPr>
        <w:pStyle w:val="BodyText"/>
        <w:spacing w:line="240" w:lineRule="auto" w:before="51"/>
        <w:ind w:left="154"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未办妥产权证书的土地使用权情况" w:id="265"/>
      <w:bookmarkEnd w:id="26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4、商誉" w:id="266"/>
      <w:bookmarkEnd w:id="266"/>
      <w:r>
        <w:rPr>
          <w:b w:val="0"/>
          <w:bCs w:val="0"/>
        </w:rPr>
      </w: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67"/>
      <w:bookmarkEnd w:id="267"/>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深圳市金之彩文 化创意有限公司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174,891,428.47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174,891,428.47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174,891,428.47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174,891,428.47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68"/>
      <w:bookmarkEnd w:id="268"/>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57" w:lineRule="auto" w:before="51"/>
        <w:ind w:left="154" w:right="6072"/>
        <w:jc w:val="left"/>
      </w:pPr>
      <w:r>
        <w:rPr/>
        <w:t>说明商誉减值测试过程、参数及商誉减值损失的确认方法： 无</w:t>
      </w:r>
    </w:p>
    <w:p>
      <w:pPr>
        <w:pStyle w:val="BodyText"/>
        <w:spacing w:line="338" w:lineRule="auto" w:before="29"/>
        <w:ind w:left="154" w:right="1118"/>
        <w:jc w:val="left"/>
      </w:pPr>
      <w:r>
        <w:rPr/>
        <w:t>其他说明 本报告期末公司对被收购对象的未来的盈利能力及现金流情况进行分析及减值测试后，未发现商誉减值，因此不计提减值 准备。</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15、长期待摊费用" w:id="269"/>
      <w:bookmarkEnd w:id="269"/>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0"/>
                <w:sz w:val="18"/>
                <w:szCs w:val="18"/>
              </w:rPr>
              <w:t>办公场所装修费、绿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化工程、景观湖等</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10,195,025.44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4,239,032.57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2,703,870.58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11,730,187.43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10,195,025.44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4,239,032.57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2,703,870.58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11,730,187.43</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6、递延所得税资产/递延所得税负债" w:id="270"/>
      <w:bookmarkEnd w:id="270"/>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271"/>
      <w:bookmarkEnd w:id="27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23,836,886.41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3,747,904.86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22,514,634.88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4,329,095.60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461,500.00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26,306,886.41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4,209,404.86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22,514,634.88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4,329,095.60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72"/>
      <w:bookmarkEnd w:id="272"/>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73"/>
      <w:bookmarkEnd w:id="273"/>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4,209,404.86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4,329,095.60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74"/>
      <w:bookmarkEnd w:id="274"/>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24,542,202.12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21,025,771.44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24,542,202.12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21,025,771.44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5）未确认递延所得税资产的可抵扣亏损将于以下年度到期" w:id="275"/>
      <w:bookmarkEnd w:id="275"/>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1,276,697.54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1,276,697.54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6,421,654.50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9,013,853.39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年度亏损</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8,756,212.47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6,735,532.20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3,999,688.31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3,999,688.31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4,087,949.30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24,542,202.12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21,025,771.44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7、其他非流动资产" w:id="276"/>
      <w:bookmarkEnd w:id="276"/>
      <w:r>
        <w:rPr>
          <w:b w:val="0"/>
          <w:bCs w:val="0"/>
        </w:rPr>
      </w:r>
      <w:r>
        <w:rPr>
          <w:rFonts w:ascii="Times New Roman" w:hAnsi="Times New Roman" w:cs="Times New Roman" w:eastAsia="Times New Roman" w:hint="default"/>
        </w:rPr>
        <w:t>17</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1,561,350.00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预付土地交易保证金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6,381,469.34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14,942,819.34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8、短期借款" w:id="277"/>
      <w:bookmarkEnd w:id="277"/>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78"/>
      <w:bookmarkEnd w:id="27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14,620,000.00</w:t>
            </w:r>
          </w:p>
        </w:tc>
      </w:tr>
    </w:tbl>
    <w:p>
      <w:pPr>
        <w:pStyle w:val="BodyText"/>
        <w:spacing w:line="357" w:lineRule="auto" w:before="51"/>
        <w:ind w:left="154" w:right="8952"/>
        <w:jc w:val="left"/>
      </w:pPr>
      <w:r>
        <w:rPr/>
        <w:t>短期借款分类的说明：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已逾期未偿还的短期借款情况" w:id="279"/>
      <w:bookmarkEnd w:id="279"/>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2"/>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9、应付票据" w:id="280"/>
      <w:bookmarkEnd w:id="280"/>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217,935,866.81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186,502,918.34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217,935,866.81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186,502,918.34</w:t>
            </w:r>
          </w:p>
        </w:tc>
      </w:tr>
    </w:tbl>
    <w:p>
      <w:pPr>
        <w:pStyle w:val="BodyText"/>
        <w:spacing w:line="240" w:lineRule="auto" w:before="51"/>
        <w:ind w:left="15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0、应付账款" w:id="281"/>
      <w:bookmarkEnd w:id="281"/>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82"/>
      <w:bookmarkEnd w:id="28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242,321,132.07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203,573,600.98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35,467,332.98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51,214,057.43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277,788,465.05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254,787,658.41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283"/>
      <w:bookmarkEnd w:id="28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重庆中达正建筑工程有限公司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5,474,686.45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江苏省建工集团有限公司吴江分公司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重庆市五一实业</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1,047,664.56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9,237,351.01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1、预收款项" w:id="284"/>
      <w:bookmarkEnd w:id="284"/>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85"/>
      <w:bookmarkEnd w:id="28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6,574,275.68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6,177,355.68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1,615,801.51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897,323.78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8,190,077.19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7,074,679.46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86"/>
      <w:bookmarkEnd w:id="28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建造合同形成的已结算未完工项目情况" w:id="287"/>
      <w:bookmarkEnd w:id="287"/>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2、应付职工薪酬" w:id="288"/>
      <w:bookmarkEnd w:id="288"/>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89"/>
      <w:bookmarkEnd w:id="28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7,007,982.05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193,616,211.67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192,950,810.41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7,673,383.31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12,661,839.04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12,661,839.04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297,506.80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299,275.82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7,009,751.07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206,608,957.51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205,945,325.27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7,673,383.31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90"/>
      <w:bookmarkEnd w:id="29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5,789,248.12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183,053,735.57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182,091,077.94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6,751,905.75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1,198,951.93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4,445,298.36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4,885,223.45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759,026.84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4,365,877.67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4,365,876.67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3,309,880.12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3,309,880.12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864,649.16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864,648.16</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191,348.39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191,348.39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1,584,245.75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1,584,245.75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19,783.00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167,054.32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24,386.60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162,450.72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7,007,982.05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193,616,211.67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192,950,810.41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7,673,383.31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91"/>
      <w:bookmarkEnd w:id="29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11,592,198.47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11,592,198.47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1,069,640.57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1,069,640.57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12,661,839.04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12,661,839.04</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3、应交税费" w:id="292"/>
      <w:bookmarkEnd w:id="292"/>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7,793,777.78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3,578,826.19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11,002,295.32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18,995,595.90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414,037.54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405,529.90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684,107.05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354,121.62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557,518.43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251,715.92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28,408.17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118,418.93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923,725.34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1,124,747.15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21,403,869.63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24,828,955.61</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4、应付利息" w:id="293"/>
      <w:bookmarkEnd w:id="293"/>
      <w:r>
        <w:rPr>
          <w:b w:val="0"/>
          <w:bCs w:val="0"/>
        </w:rPr>
      </w:r>
      <w:r>
        <w:rPr>
          <w:rFonts w:ascii="Times New Roman" w:hAnsi="Times New Roman" w:cs="Times New Roman" w:eastAsia="Times New Roman" w:hint="default"/>
        </w:rPr>
        <w:t>24</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163,232.33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163,232.33</w:t>
            </w:r>
          </w:p>
        </w:tc>
      </w:tr>
    </w:tbl>
    <w:p>
      <w:pPr>
        <w:pStyle w:val="BodyText"/>
        <w:spacing w:line="240" w:lineRule="auto" w:before="51"/>
        <w:ind w:left="154" w:right="0"/>
        <w:jc w:val="left"/>
      </w:pPr>
      <w:r>
        <w:rPr/>
        <w:t>重要的已逾期未支付的利息情况：</w:t>
      </w:r>
    </w:p>
    <w:p>
      <w:pPr>
        <w:pStyle w:val="BodyText"/>
        <w:spacing w:line="240" w:lineRule="auto" w:before="116"/>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5、其他应付款" w:id="294"/>
      <w:bookmarkEnd w:id="294"/>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95"/>
      <w:bookmarkEnd w:id="295"/>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68,852.50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26,072.00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18,169.18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122,608.70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3,092,124.13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7,151,844.65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127,859,145.81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131,062,525.35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296"/>
      <w:bookmarkEnd w:id="29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西藏新天地投资合伙企业（有限合伙）</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123,500,000.00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6、递延收益" w:id="297"/>
      <w:bookmarkEnd w:id="297"/>
      <w:r>
        <w:rPr>
          <w:b w:val="0"/>
          <w:bCs w:val="0"/>
        </w:rPr>
      </w:r>
      <w:r>
        <w:rPr>
          <w:rFonts w:ascii="Times New Roman" w:hAnsi="Times New Roman" w:cs="Times New Roman" w:eastAsia="Times New Roman" w:hint="default"/>
        </w:rPr>
        <w:t>26</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7,738,888.89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3,446,036.32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7,412,852.57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7,738,888.89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3,446,036.32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7,412,852.57</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市级技术中心 项目资助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投资项目发展 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888,888.89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66,666.72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822,222.17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深圳市财政库</w:t>
            </w:r>
          </w:p>
          <w:p>
            <w:pPr>
              <w:pStyle w:val="TableParagraph"/>
              <w:spacing w:line="302" w:lineRule="auto" w:before="63"/>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新兴产业发 展专项资金补贴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79,369.60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1,120,630.40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4. 2010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年代金属 复合工艺技改项 目拨款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全息三维复合 膜关键材料应用 的产业化政府补 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深圳发改委维 纳高端材料实验 室补贴</w:t>
            </w:r>
          </w:p>
          <w:p>
            <w:pPr>
              <w:pStyle w:val="TableParagraph"/>
              <w:spacing w:line="240" w:lineRule="auto" w:before="2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1,252,500.00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1,047,500.00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深圳文体旅游 局环保立体代金 属包装补贴</w:t>
            </w:r>
          </w:p>
          <w:p>
            <w:pPr>
              <w:pStyle w:val="TableParagraph"/>
              <w:spacing w:line="240" w:lineRule="auto" w:before="25"/>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68pt;height:23.4pt;mso-position-horizontal-relative:char;mso-position-vertical-relative:line" coordorigin="0,0" coordsize="1360,468">
                  <v:group style="position:absolute;left:0;top:0;width:1360;height:468" coordorigin="0,0" coordsize="1360,468">
                    <v:shape style="position:absolute;left:0;top:0;width:1360;height:468" coordorigin="0,0" coordsize="1360,468" path="m0,468l1360,468,1360,0,0,0,0,468xe" filled="true" fillcolor="#ffffff" stroked="false">
                      <v:path arrowok="t"/>
                      <v:fill type="solid"/>
                    </v:shape>
                  </v:group>
                </v:group>
              </w:pict>
            </w:r>
            <w:r>
              <w:rPr>
                <w:rFonts w:ascii="宋体" w:hAnsi="宋体" w:cs="宋体" w:eastAsia="宋体" w:hint="default"/>
                <w:position w:val="-8"/>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7,738,888.89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3,446,036.32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7,412,852.57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7、股本" w:id="298"/>
      <w:bookmarkEnd w:id="298"/>
      <w:r>
        <w:rPr>
          <w:b w:val="0"/>
          <w:bCs w:val="0"/>
        </w:rPr>
      </w:r>
      <w:r>
        <w:rPr>
          <w:rFonts w:ascii="Times New Roman" w:hAnsi="Times New Roman" w:cs="Times New Roman" w:eastAsia="Times New Roman" w:hint="default"/>
        </w:rPr>
        <w:t>27</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357,600,000.00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357,600,000.00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357,600,000.00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715,200,000.00</w:t>
            </w:r>
          </w:p>
        </w:tc>
      </w:tr>
    </w:tbl>
    <w:p>
      <w:pPr>
        <w:pStyle w:val="BodyText"/>
        <w:spacing w:line="240" w:lineRule="auto" w:before="51"/>
        <w:ind w:left="154" w:right="0"/>
        <w:jc w:val="left"/>
      </w:pPr>
      <w:r>
        <w:rPr/>
        <w:t>其他说明：</w:t>
      </w:r>
    </w:p>
    <w:p>
      <w:pPr>
        <w:pStyle w:val="BodyText"/>
        <w:spacing w:line="240" w:lineRule="auto" w:before="115"/>
        <w:ind w:left="0" w:right="1139"/>
        <w:jc w:val="righ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w:t>
      </w:r>
      <w:r>
        <w:rPr>
          <w:rFonts w:ascii="Times New Roman" w:hAnsi="Times New Roman" w:cs="Times New Roman" w:eastAsia="Times New Roman" w:hint="default"/>
        </w:rPr>
        <w:t>2013</w:t>
      </w:r>
      <w:r>
        <w:rPr/>
        <w:t>年度股东大会审议通过《</w:t>
      </w:r>
      <w:r>
        <w:rPr>
          <w:rFonts w:ascii="Times New Roman" w:hAnsi="Times New Roman" w:cs="Times New Roman" w:eastAsia="Times New Roman" w:hint="default"/>
        </w:rPr>
        <w:t>2013</w:t>
      </w:r>
      <w:r>
        <w:rPr/>
        <w:t>年度利润分配和资本公积转增股本预案》：以截止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p>
    <w:p>
      <w:pPr>
        <w:pStyle w:val="BodyText"/>
        <w:spacing w:line="300" w:lineRule="auto" w:before="63"/>
        <w:ind w:right="0"/>
        <w:jc w:val="left"/>
      </w:pP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357,600,000</w:t>
      </w:r>
      <w:r>
        <w:rPr>
          <w:spacing w:val="-2"/>
        </w:rPr>
        <w:t>股为基数，进行资本公积金转增股本，向全体股东每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w:t>
      </w:r>
      <w:r>
        <w:rPr>
          <w:rFonts w:ascii="Times New Roman" w:hAnsi="Times New Roman" w:cs="Times New Roman" w:eastAsia="Times New Roman" w:hint="default"/>
          <w:spacing w:val="-2"/>
        </w:rPr>
        <w:t>357,600,000</w:t>
      </w:r>
      <w:r>
        <w:rPr>
          <w:spacing w:val="-2"/>
        </w:rPr>
        <w:t>股，转</w:t>
      </w:r>
      <w:r>
        <w:rPr>
          <w:spacing w:val="-39"/>
        </w:rPr>
        <w:t> </w:t>
      </w:r>
      <w:r>
        <w:rPr>
          <w:spacing w:val="-39"/>
        </w:rPr>
      </w:r>
      <w:r>
        <w:rPr/>
        <w:t>增后公司总股本增加至</w:t>
      </w:r>
      <w:r>
        <w:rPr>
          <w:rFonts w:ascii="Times New Roman" w:hAnsi="Times New Roman" w:cs="Times New Roman" w:eastAsia="Times New Roman" w:hint="default"/>
        </w:rPr>
        <w:t>715,200,000</w:t>
      </w:r>
      <w:r>
        <w:rPr/>
        <w:t>股。该分配方案于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日实施完成。</w:t>
      </w:r>
    </w:p>
    <w:p>
      <w:pPr>
        <w:pStyle w:val="BodyText"/>
        <w:spacing w:line="240" w:lineRule="auto" w:before="53"/>
        <w:ind w:left="660" w:right="0"/>
        <w:jc w:val="left"/>
      </w:pPr>
      <w:r>
        <w:rPr/>
        <w:t>股本变动业经大信会计师事务所（特殊普通合伙）验证，并出具</w:t>
      </w:r>
      <w:r>
        <w:rPr>
          <w:rFonts w:ascii="Times New Roman" w:hAnsi="Times New Roman" w:cs="Times New Roman" w:eastAsia="Times New Roman" w:hint="default"/>
        </w:rPr>
        <w:t>“</w:t>
      </w:r>
      <w:r>
        <w:rPr/>
        <w:t>大信验字（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5-00010</w:t>
      </w:r>
      <w:r>
        <w:rPr/>
        <w:t>号</w:t>
      </w:r>
      <w:r>
        <w:rPr>
          <w:rFonts w:ascii="Times New Roman" w:hAnsi="Times New Roman" w:cs="Times New Roman" w:eastAsia="Times New Roman" w:hint="default"/>
        </w:rPr>
        <w:t>”</w:t>
      </w:r>
      <w:r>
        <w:rPr/>
        <w:t>验资报告。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3"/>
        <w:spacing w:line="240" w:lineRule="auto"/>
        <w:ind w:left="153" w:right="0"/>
        <w:jc w:val="left"/>
        <w:rPr>
          <w:b w:val="0"/>
          <w:bCs w:val="0"/>
        </w:rPr>
      </w:pPr>
      <w:bookmarkStart w:name="28、资本公积" w:id="299"/>
      <w:bookmarkEnd w:id="299"/>
      <w:r>
        <w:rPr>
          <w:b w:val="0"/>
          <w:bCs w:val="0"/>
        </w:rPr>
      </w:r>
      <w:r>
        <w:rPr>
          <w:rFonts w:ascii="Times New Roman" w:hAnsi="Times New Roman" w:cs="Times New Roman" w:eastAsia="Times New Roman" w:hint="default"/>
        </w:rPr>
        <w:t>28</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874,397,900.40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516,797,900.40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874,397,900.40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516,797,900.40</w:t>
            </w:r>
          </w:p>
        </w:tc>
      </w:tr>
    </w:tbl>
    <w:p>
      <w:pPr>
        <w:pStyle w:val="BodyText"/>
        <w:spacing w:line="357" w:lineRule="auto" w:before="51"/>
        <w:ind w:left="444" w:right="0" w:hanging="291"/>
        <w:jc w:val="left"/>
      </w:pPr>
      <w:r>
        <w:rPr/>
        <w:t>其他说明，包括本期增减变动情况、变动原因说明： </w:t>
      </w:r>
      <w:r>
        <w:rPr>
          <w:spacing w:val="-1"/>
        </w:rPr>
        <w:t>根据公司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03</w:t>
      </w:r>
      <w:r>
        <w:rPr>
          <w:spacing w:val="-1"/>
        </w:rPr>
        <w:t>月</w:t>
      </w:r>
      <w:r>
        <w:rPr>
          <w:rFonts w:ascii="Times New Roman" w:hAnsi="Times New Roman" w:cs="Times New Roman" w:eastAsia="Times New Roman" w:hint="default"/>
          <w:spacing w:val="-1"/>
        </w:rPr>
        <w:t>26</w:t>
      </w:r>
      <w:r>
        <w:rPr>
          <w:spacing w:val="-1"/>
        </w:rPr>
        <w:t>日第二届董事会第二十二次会议决议并经股东大会审议批准，同意公司以截止</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w:t>
      </w:r>
    </w:p>
    <w:p>
      <w:pPr>
        <w:pStyle w:val="BodyText"/>
        <w:spacing w:line="214" w:lineRule="exact"/>
        <w:ind w:right="0"/>
        <w:jc w:val="left"/>
      </w:pPr>
      <w:r>
        <w:rPr/>
        <w:t>司总股本</w:t>
      </w:r>
      <w:r>
        <w:rPr>
          <w:rFonts w:ascii="Times New Roman" w:hAnsi="Times New Roman" w:cs="Times New Roman" w:eastAsia="Times New Roman" w:hint="default"/>
        </w:rPr>
        <w:t>357,600,000</w:t>
      </w:r>
      <w:r>
        <w:rPr/>
        <w:t>股为基数，进行资本公积转增股本，向全体股东每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9、其他综合收益" w:id="300"/>
      <w:bookmarkEnd w:id="300"/>
      <w:r>
        <w:rPr>
          <w:b w:val="0"/>
          <w:bCs w:val="0"/>
        </w:rPr>
      </w:r>
      <w:r>
        <w:rPr>
          <w:rFonts w:ascii="Times New Roman" w:hAnsi="Times New Roman" w:cs="Times New Roman" w:eastAsia="Times New Roman" w:hint="default"/>
        </w:rPr>
        <w:t>29</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1"/>
        <w:gridCol w:w="935"/>
        <w:gridCol w:w="936"/>
        <w:gridCol w:w="935"/>
        <w:gridCol w:w="797"/>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-2,020,343.89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32,053.20</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32,053.20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-1,988,29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0.69</w:t>
            </w: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-2,020,343.89</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32,053.20</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32,053.20</w:t>
            </w:r>
          </w:p>
        </w:tc>
        <w:tc>
          <w:tcPr>
            <w:tcW w:w="93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-1,988,29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0.69</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-2,020,343.89</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32,053.20</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32,053.20</w:t>
            </w:r>
          </w:p>
        </w:tc>
        <w:tc>
          <w:tcPr>
            <w:tcW w:w="93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-1,988,29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0.69</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2"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0、盈余公积" w:id="301"/>
      <w:bookmarkEnd w:id="301"/>
      <w:r>
        <w:rPr>
          <w:b w:val="0"/>
          <w:bCs w:val="0"/>
        </w:rPr>
      </w:r>
      <w:r>
        <w:rPr>
          <w:rFonts w:ascii="Times New Roman" w:hAnsi="Times New Roman" w:cs="Times New Roman" w:eastAsia="Times New Roman" w:hint="default"/>
        </w:rPr>
        <w:t>30</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70,289,988.54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11,503,732.88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81,793,721.42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70,289,988.54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11,503,732.88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81,793,721.42</w:t>
            </w:r>
          </w:p>
        </w:tc>
      </w:tr>
    </w:tbl>
    <w:p>
      <w:pPr>
        <w:pStyle w:val="BodyText"/>
        <w:spacing w:line="240" w:lineRule="auto" w:before="51"/>
        <w:ind w:left="154" w:right="0"/>
        <w:jc w:val="left"/>
      </w:pPr>
      <w:r>
        <w:rPr/>
        <w:t>盈余公积说明，包括本期增减变动情况、变动原因说明：</w:t>
      </w:r>
    </w:p>
    <w:p>
      <w:pPr>
        <w:pStyle w:val="BodyText"/>
        <w:spacing w:line="302" w:lineRule="auto" w:before="115"/>
        <w:ind w:right="0" w:firstLine="578"/>
        <w:jc w:val="left"/>
      </w:pPr>
      <w:r>
        <w:rPr>
          <w:rFonts w:ascii="Times New Roman" w:hAnsi="Times New Roman" w:cs="Times New Roman" w:eastAsia="Times New Roman" w:hint="default"/>
          <w:spacing w:val="-2"/>
        </w:rPr>
        <w:t>2014</w:t>
      </w:r>
      <w:r>
        <w:rPr>
          <w:spacing w:val="-2"/>
        </w:rPr>
        <w:t>年盈余公积的增加系根据《公司法》和本公司章程的规定按母公司当期净利润的</w:t>
      </w:r>
      <w:r>
        <w:rPr>
          <w:rFonts w:ascii="Times New Roman" w:hAnsi="Times New Roman" w:cs="Times New Roman" w:eastAsia="Times New Roman" w:hint="default"/>
          <w:spacing w:val="-2"/>
        </w:rPr>
        <w:t>10%</w:t>
      </w:r>
      <w:r>
        <w:rPr>
          <w:spacing w:val="-2"/>
        </w:rPr>
        <w:t>计提的法定盈余公积；法定</w:t>
      </w:r>
      <w:r>
        <w:rPr/>
        <w:t> 盈余公积累计提取达到本公司注册资本</w:t>
      </w:r>
      <w:r>
        <w:rPr>
          <w:rFonts w:ascii="Times New Roman" w:hAnsi="Times New Roman" w:cs="Times New Roman" w:eastAsia="Times New Roman" w:hint="default"/>
        </w:rPr>
        <w:t>50%</w:t>
      </w:r>
      <w:r>
        <w:rPr/>
        <w:t>以上时，可不再提取。</w:t>
      </w:r>
    </w:p>
    <w:p>
      <w:pPr>
        <w:spacing w:line="240" w:lineRule="auto" w:before="11"/>
        <w:rPr>
          <w:rFonts w:ascii="宋体" w:hAnsi="宋体" w:cs="宋体" w:eastAsia="宋体" w:hint="default"/>
          <w:sz w:val="21"/>
          <w:szCs w:val="21"/>
        </w:rPr>
      </w:pPr>
    </w:p>
    <w:p>
      <w:pPr>
        <w:pStyle w:val="Heading3"/>
        <w:spacing w:line="240" w:lineRule="auto"/>
        <w:ind w:left="153" w:right="0"/>
        <w:jc w:val="left"/>
        <w:rPr>
          <w:b w:val="0"/>
          <w:bCs w:val="0"/>
        </w:rPr>
      </w:pPr>
      <w:bookmarkStart w:name="31、未分配利润" w:id="302"/>
      <w:bookmarkEnd w:id="302"/>
      <w:r>
        <w:rPr>
          <w:b w:val="0"/>
          <w:bCs w:val="0"/>
        </w:rPr>
      </w:r>
      <w:r>
        <w:rPr>
          <w:rFonts w:ascii="Times New Roman" w:hAnsi="Times New Roman" w:cs="Times New Roman" w:eastAsia="Times New Roman" w:hint="default"/>
        </w:rPr>
        <w:t>31</w:t>
      </w:r>
      <w:r>
        <w:rPr/>
        <w:t>、未分配利润</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663,474,075.58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516,021,473.39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663,474,075.58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516,021,473.39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261,540,481.25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174,070,348.95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11,503,732.88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9,029,843.30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28,608,000.00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17,880,000.00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加：其他</w:t>
            </w:r>
          </w:p>
        </w:tc>
        <w:tc>
          <w:tcPr>
            <w:tcW w:w="2925"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292,096.54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884,902,823.95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663,474,075.58</w:t>
            </w:r>
          </w:p>
        </w:tc>
      </w:tr>
    </w:tbl>
    <w:p>
      <w:pPr>
        <w:pStyle w:val="BodyText"/>
        <w:spacing w:line="240" w:lineRule="auto" w:before="51"/>
        <w:ind w:left="154" w:right="0"/>
        <w:jc w:val="left"/>
      </w:pPr>
      <w:r>
        <w:rPr/>
        <w:t>调整期初未分配利润明细：</w:t>
      </w:r>
    </w:p>
    <w:p>
      <w:pPr>
        <w:pStyle w:val="BodyText"/>
        <w:spacing w:line="240" w:lineRule="auto" w:before="117"/>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2、营业收入和营业成本" w:id="303"/>
      <w:bookmarkEnd w:id="303"/>
      <w:r>
        <w:rPr>
          <w:b w:val="0"/>
          <w:bCs w:val="0"/>
        </w:rPr>
      </w:r>
      <w:r>
        <w:rPr>
          <w:rFonts w:ascii="Times New Roman" w:hAnsi="Times New Roman" w:cs="Times New Roman" w:eastAsia="Times New Roman" w:hint="default"/>
        </w:rPr>
        <w:t>32</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1,545,651,603.12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1,015,072,063.07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1,298,651,835.95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870,205,987.08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17,570,678.84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2,734,097.46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6,985,128.89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1,363,057.09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1,563,222,281.96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1,017,806,160.53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1,305,636,964.84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871,569,044.17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3、营业税金及附加" w:id="304"/>
      <w:bookmarkEnd w:id="304"/>
      <w:r>
        <w:rPr>
          <w:b w:val="0"/>
          <w:bCs w:val="0"/>
        </w:rPr>
      </w:r>
      <w:r>
        <w:rPr>
          <w:rFonts w:ascii="Times New Roman" w:hAnsi="Times New Roman" w:cs="Times New Roman" w:eastAsia="Times New Roman" w:hint="default"/>
        </w:rPr>
        <w:t>33</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6,261,367.86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2,513,740.41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4,984,889.53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2,003,023.60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96,124.62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89,951.05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11,342,382.01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4,606,715.06</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4、销售费用" w:id="305"/>
      <w:bookmarkEnd w:id="305"/>
      <w:r>
        <w:rPr>
          <w:b w:val="0"/>
          <w:bCs w:val="0"/>
        </w:rPr>
      </w:r>
      <w:r>
        <w:rPr>
          <w:rFonts w:ascii="Times New Roman" w:hAnsi="Times New Roman" w:cs="Times New Roman" w:eastAsia="Times New Roman" w:hint="default"/>
        </w:rPr>
        <w:t>34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1,086,951.08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1,113,758.68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旅差费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1,775,696.68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983,055.14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交际应酬费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2,182,759.16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4,860,832.94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20,216,066.87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20,344,115.01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1,292,352.20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1,273,004.71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434,141.72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453,224.56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48,437,881.51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43,147,428.15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6,461,719.93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7,558,339.81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2,829,287.71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2,518,802.53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报关费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855,856.43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1,268,791.54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1,546,983.77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1,082,207.61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50,782.17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28,894.88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6,672,567.26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6,980,695.93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360,305.08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205,283.00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471,657.92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VMI</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782,191.14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1,127,577.58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3,973,210.85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2,340,315.66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98,966,522.56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95,760,309.65</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5、管理费用" w:id="306"/>
      <w:bookmarkEnd w:id="306"/>
      <w:r>
        <w:rPr>
          <w:b w:val="0"/>
          <w:bCs w:val="0"/>
        </w:rPr>
      </w:r>
      <w:r>
        <w:rPr>
          <w:rFonts w:ascii="Times New Roman" w:hAnsi="Times New Roman" w:cs="Times New Roman" w:eastAsia="Times New Roman" w:hint="default"/>
        </w:rPr>
        <w:t>35</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3,960,548.86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1,754,063.65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728,546.15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1,799,514.41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688,880.48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2,677,663.32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管理人员工资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33,428,150.61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28,546,418.17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管理人员社保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3,976,355.31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2,529,136.29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管理人员福利费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2,522,194.64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1,408,601.23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79,081.60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80,929.00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6,183,023.04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4,525,822.93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1,953,498.39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3,300,742.81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1,745,748.03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1,872,123.91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租金及管理费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2,232,743.91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1,624,655.43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管理费列支的税金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9,036,810.98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7,332,655.75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838,719.60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852,311.14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15,827,399.43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13,514,467.92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52,827,700.25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37,292,529.90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3,003,220.01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2,540,192.19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1,099,261.79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988,421.26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5,228,309.07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5,246,425.23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613,077.12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386,157.98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1,290,608.00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663,751.35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153,743.22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109,244.00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行业协会费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422,015.50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284,785.80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414,612.00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1,723,413.71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1,969,189.80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1,427,542.72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943,926.12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环境绿化费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855,246.52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529,901.96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152,355,838.94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123,188,243.55</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6、财务费用" w:id="307"/>
      <w:bookmarkEnd w:id="307"/>
      <w:r>
        <w:rPr>
          <w:b w:val="0"/>
          <w:bCs w:val="0"/>
        </w:rPr>
      </w:r>
      <w:r>
        <w:rPr>
          <w:rFonts w:ascii="Times New Roman" w:hAnsi="Times New Roman" w:cs="Times New Roman" w:eastAsia="Times New Roman" w:hint="default"/>
        </w:rPr>
        <w:t>36</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373,132.39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368,685.61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14,073,448.99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9,394,172.88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3,296,731.29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11,825,514.25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减：汇兑收入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3,864,582.16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255,544.97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534,314.48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500,430.69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10,977.73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-13,722,875.26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3,044,912.70</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7、资产减值损失" w:id="308"/>
      <w:bookmarkEnd w:id="308"/>
      <w:r>
        <w:rPr>
          <w:b w:val="0"/>
          <w:bCs w:val="0"/>
        </w:rPr>
      </w:r>
      <w:r>
        <w:rPr>
          <w:rFonts w:ascii="Times New Roman" w:hAnsi="Times New Roman" w:cs="Times New Roman" w:eastAsia="Times New Roman" w:hint="default"/>
        </w:rPr>
        <w:t>37</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1,331,147.72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1,617,590.32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-27,626.11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1,331,147.72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1,589,964.21</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8、投资收益" w:id="309"/>
      <w:bookmarkEnd w:id="309"/>
      <w:r>
        <w:rPr>
          <w:b w:val="0"/>
          <w:bCs w:val="0"/>
        </w:rPr>
      </w:r>
      <w:r>
        <w:rPr>
          <w:rFonts w:ascii="Times New Roman" w:hAnsi="Times New Roman" w:cs="Times New Roman" w:eastAsia="Times New Roman" w:hint="default"/>
        </w:rPr>
        <w:t>38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875,381.01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626,937.04</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875,381.01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626,937.04</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9、营业外收入" w:id="310"/>
      <w:bookmarkEnd w:id="310"/>
      <w:r>
        <w:rPr>
          <w:b w:val="0"/>
          <w:bCs w:val="0"/>
        </w:rPr>
      </w:r>
      <w:r>
        <w:rPr>
          <w:rFonts w:ascii="Times New Roman" w:hAnsi="Times New Roman" w:cs="Times New Roman" w:eastAsia="Times New Roman" w:hint="default"/>
        </w:rPr>
        <w:t>39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39,696.42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50,022.46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39,696.42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39,696.42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50,022.46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39,696.42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17,398,325.48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12,990,319.68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17,398,325.48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210,336.18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473,675.46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210,336.18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17,648,358.08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13,514,017.60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17,648,358.08</w:t>
            </w:r>
          </w:p>
        </w:tc>
      </w:tr>
    </w:tbl>
    <w:p>
      <w:pPr>
        <w:pStyle w:val="BodyText"/>
        <w:spacing w:line="240" w:lineRule="auto" w:before="51"/>
        <w:ind w:left="154"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东莞市财政局工贸发展科重 大投资项目奖励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进口贴息</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315,780.00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新区经济服务局企业研发投 入资助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财政委员技术专项资金补贴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656,500.00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深圳市市场监督管理局专利 资助费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市场监督管理局新区质量强 区奖励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税局退税款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1,355,452.29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403,631.57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41,748.00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财政局补助资金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5,110,600.00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年度民营优势成长型工 业企业奖励资金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吴江开发区财政局拨款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617,500.00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重庆市沙坪坝区商业委员会 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66,666.72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4"/>
                <w:sz w:val="18"/>
              </w:rPr>
              <w:t>111,111.11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全息三维复合膜关键材料应 用的产业化政府补助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年税收奖励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2,628,236.87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财政委员会联盟补助金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代金属复合工艺补助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鹏城减废和质量进步奖励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年第一批专利款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创新发展补助资金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包装行业高新技术研发资金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环保节能补贴资金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年市科学与技术进步一 等奖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深圳财政委中小企业发展专 项资金补助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深圳龙华新区发展和财政局 贴息补助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深圳财政委员会资源节约专 项款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深圳市财政委员会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年产 业技术进步资金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1,358,049.00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深圳市财政库其他资源勘探 电力信息专项资金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工商业联合会</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深圳财政深圳高新产业专项 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贷款贴息补助（深圳文体旅游 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广东著名商标与专利资助费</w:t>
            </w:r>
          </w:p>
          <w:p>
            <w:pPr>
              <w:pStyle w:val="TableParagraph"/>
              <w:spacing w:line="319" w:lineRule="auto" w:before="77"/>
              <w:ind w:left="22" w:right="195"/>
              <w:jc w:val="left"/>
              <w:rPr>
                <w:rFonts w:ascii="宋体" w:hAnsi="宋体" w:cs="宋体" w:eastAsia="宋体" w:hint="default"/>
                <w:sz w:val="18"/>
                <w:szCs w:val="18"/>
              </w:rPr>
            </w:pPr>
            <w:r>
              <w:rPr>
                <w:rFonts w:ascii="宋体" w:hAnsi="宋体" w:cs="宋体" w:eastAsia="宋体" w:hint="default"/>
                <w:sz w:val="18"/>
                <w:szCs w:val="18"/>
              </w:rPr>
              <w:t>（深圳龙华新区发展和财政 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502,500.00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深圳发改委维纳高端材料实</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1,252,500.00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6.419998pt;margin-top:97.829987pt;width:119.25pt;height:28pt;mso-position-horizontal-relative:page;mso-position-vertical-relative:page;z-index:-841288" coordorigin="3528,1957" coordsize="2385,560">
            <v:group style="position:absolute;left:3540;top:1968;width:2;height:393" coordorigin="3540,1968" coordsize="2,393">
              <v:shape style="position:absolute;left:3540;top:1968;width:2;height:393" coordorigin="3540,1968" coordsize="0,393" path="m3540,1968l3540,2360e" filled="false" stroked="true" strokeweight="1.140pt" strokecolor="#ffffff">
                <v:path arrowok="t"/>
              </v:shape>
            </v:group>
            <v:group style="position:absolute;left:3528;top:2360;width:2385;height:156" coordorigin="3528,2360" coordsize="2385,156">
              <v:shape style="position:absolute;left:3528;top:2360;width:2385;height:156" coordorigin="3528,2360" coordsize="2385,156" path="m3528,2516l5913,2516,5913,2360,3528,2360,3528,2516xe" filled="true" fillcolor="#ffffff" stroked="false">
                <v:path arrowok="t"/>
                <v:fill type="solid"/>
              </v:shape>
            </v:group>
            <v:group style="position:absolute;left:3551;top:1968;width:2340;height:393" coordorigin="3551,1968" coordsize="2340,393">
              <v:shape style="position:absolute;left:3551;top:1968;width:2340;height:393" coordorigin="3551,1968" coordsize="2340,393" path="m3551,2360l5890,2360,5890,1968,3551,1968,3551,236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0"/>
        <w:gridCol w:w="809"/>
        <w:gridCol w:w="1587"/>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验室补贴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gridSpan w:val="2"/>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深圳文体旅游局环保立体代 金属包装补贴（</w:t>
            </w:r>
            <w:r>
              <w:rPr>
                <w:rFonts w:ascii="Times New Roman" w:hAnsi="Times New Roman" w:cs="Times New Roman" w:eastAsia="Times New Roman" w:hint="default"/>
                <w:sz w:val="18"/>
                <w:szCs w:val="18"/>
              </w:rPr>
              <w:t>2014-2015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tc>
        <w:tc>
          <w:tcPr>
            <w:tcW w:w="80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5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7" w:right="0"/>
              <w:jc w:val="left"/>
              <w:rPr>
                <w:rFonts w:ascii="Times New Roman" w:hAnsi="Times New Roman" w:cs="Times New Roman" w:eastAsia="Times New Roman" w:hint="default"/>
                <w:sz w:val="18"/>
                <w:szCs w:val="18"/>
              </w:rPr>
            </w:pPr>
            <w:r>
              <w:rPr>
                <w:rFonts w:ascii="Times New Roman"/>
                <w:sz w:val="18"/>
              </w:rPr>
              <w:t>307,500.00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发电机组容量指标款（深圳南 电能源投资）</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52" w:right="0"/>
              <w:jc w:val="left"/>
              <w:rPr>
                <w:rFonts w:ascii="Times New Roman" w:hAnsi="Times New Roman" w:cs="Times New Roman" w:eastAsia="Times New Roman" w:hint="default"/>
                <w:sz w:val="18"/>
                <w:szCs w:val="18"/>
              </w:rPr>
            </w:pPr>
            <w:r>
              <w:rPr>
                <w:rFonts w:ascii="Times New Roman"/>
                <w:sz w:val="18"/>
              </w:rPr>
              <w:t>360,000.00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龙华新区发展和财政局资助 国内发明款</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研发中心资助</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79,369.60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7" w:right="0"/>
              <w:jc w:val="left"/>
              <w:rPr>
                <w:rFonts w:ascii="Times New Roman" w:hAnsi="Times New Roman" w:cs="Times New Roman" w:eastAsia="Times New Roman" w:hint="default"/>
                <w:sz w:val="18"/>
                <w:szCs w:val="18"/>
              </w:rPr>
            </w:pPr>
            <w:r>
              <w:rPr>
                <w:rFonts w:ascii="Times New Roman"/>
                <w:sz w:val="18"/>
              </w:rPr>
              <w:t>17,398,325.48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12,990,319.68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0、营业外支出" w:id="311"/>
      <w:bookmarkEnd w:id="311"/>
      <w:r>
        <w:rPr>
          <w:b w:val="0"/>
          <w:bCs w:val="0"/>
        </w:rPr>
      </w:r>
      <w:r>
        <w:rPr>
          <w:rFonts w:ascii="Times New Roman" w:hAnsi="Times New Roman" w:cs="Times New Roman" w:eastAsia="Times New Roman" w:hint="default"/>
        </w:rPr>
        <w:t>40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169,089.20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288,730.96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158,247.05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288,730.96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423,730.96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327,336.25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423,730.96</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1、所得税费用" w:id="312"/>
      <w:bookmarkEnd w:id="312"/>
      <w:r>
        <w:rPr>
          <w:b w:val="0"/>
          <w:bCs w:val="0"/>
        </w:rPr>
      </w:r>
      <w:r>
        <w:rPr>
          <w:rFonts w:ascii="Times New Roman" w:hAnsi="Times New Roman" w:cs="Times New Roman" w:eastAsia="Times New Roman" w:hint="default"/>
        </w:rPr>
        <w:t>41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13"/>
      <w:bookmarkEnd w:id="31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45,555,269.15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44,829,304.39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118,170.19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-1,350,001.16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45,673,439.34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43,479,303.23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14"/>
      <w:bookmarkEnd w:id="31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313,243,113.59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46,986,247.13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2,379,701.54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-648,049.72</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-660,881.40</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990,640.32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-3,374,218.53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45,673,439.34</w:t>
            </w:r>
          </w:p>
        </w:tc>
      </w:tr>
    </w:tbl>
    <w:p>
      <w:pPr>
        <w:pStyle w:val="BodyText"/>
        <w:spacing w:line="357" w:lineRule="auto" w:before="51"/>
        <w:ind w:right="10033"/>
        <w:jc w:val="left"/>
      </w:pPr>
      <w:r>
        <w:rPr/>
        <w:t>其他说明 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spacing w:line="544" w:lineRule="auto" w:before="0"/>
        <w:ind w:left="153" w:right="7423" w:firstLine="0"/>
        <w:jc w:val="left"/>
        <w:rPr>
          <w:rFonts w:ascii="宋体" w:hAnsi="宋体" w:cs="宋体" w:eastAsia="宋体" w:hint="default"/>
          <w:sz w:val="21"/>
          <w:szCs w:val="21"/>
        </w:rPr>
      </w:pPr>
      <w:bookmarkStart w:name="42、其他综合收益" w:id="315"/>
      <w:bookmarkEnd w:id="315"/>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详见附注七、合并财务报表项目注释 </w:t>
      </w:r>
      <w:r>
        <w:rPr>
          <w:rFonts w:ascii="Times New Roman" w:hAnsi="Times New Roman" w:cs="Times New Roman" w:eastAsia="Times New Roman" w:hint="default"/>
          <w:sz w:val="18"/>
          <w:szCs w:val="18"/>
        </w:rPr>
        <w:t>28</w:t>
      </w:r>
      <w:r>
        <w:rPr>
          <w:rFonts w:ascii="宋体" w:hAnsi="宋体" w:cs="宋体" w:eastAsia="宋体" w:hint="default"/>
          <w:sz w:val="18"/>
          <w:szCs w:val="18"/>
        </w:rPr>
        <w:t>。 </w:t>
      </w:r>
      <w:bookmarkStart w:name="43、现金流量表项目" w:id="316"/>
      <w:bookmarkEnd w:id="316"/>
      <w:r>
        <w:rPr>
          <w:rFonts w:ascii="宋体" w:hAnsi="宋体" w:cs="宋体" w:eastAsia="宋体" w:hint="default"/>
          <w:sz w:val="18"/>
          <w:szCs w:val="18"/>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left="153" w:right="0"/>
        <w:jc w:val="left"/>
        <w:rPr>
          <w:b w:val="0"/>
          <w:bCs w:val="0"/>
        </w:rPr>
      </w:pPr>
      <w:bookmarkStart w:name="（1）收到的其他与经营活动有关的现金" w:id="317"/>
      <w:bookmarkEnd w:id="31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10,913,552.45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12,879,208.57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13,240,330.57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9,394,172.88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1,849,292.72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1,614,917.09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代扣未缴个税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12,286,048.10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55,245.46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押金、定金及保证金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2,172,210.44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247,424.00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4,180,932.10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3,382,960.68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44,642,366.38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27,573,928.68</w:t>
            </w:r>
          </w:p>
        </w:tc>
      </w:tr>
    </w:tbl>
    <w:p>
      <w:pPr>
        <w:pStyle w:val="BodyText"/>
        <w:spacing w:line="357" w:lineRule="auto" w:before="51"/>
        <w:ind w:left="154" w:right="7512"/>
        <w:jc w:val="left"/>
      </w:pPr>
      <w:r>
        <w:rPr/>
        <w:t>收到的其他与经营活动有关的现金说明：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支付的其他与经营活动有关的现金" w:id="318"/>
      <w:bookmarkEnd w:id="31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招待费差旅费办公费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9,404,280.43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10,979,625.23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3,792,244.42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3,986,281.21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海关费用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731,365.35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2,300,997.50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1,190,941.44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1,631,508.10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1,855,169.06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1,244,805.45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1,077,235.96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689,874.73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经营租赁及仓储管理等支出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19,450,202.53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9,015,026.86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咨询及会务等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1,846,093.22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2,878,881.70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19,114,077.23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18,050,450.25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1,630,927.40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1,531,843.98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1,109,062.06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550,721.91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公司内部员工借支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3,334,171.80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3,261,949.67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1,807,682.61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996,845.08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66,343,453.51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57,118,811.67</w:t>
            </w:r>
          </w:p>
        </w:tc>
      </w:tr>
    </w:tbl>
    <w:p>
      <w:pPr>
        <w:pStyle w:val="BodyText"/>
        <w:spacing w:line="357" w:lineRule="auto" w:before="51"/>
        <w:ind w:left="154" w:right="7512"/>
        <w:jc w:val="left"/>
      </w:pPr>
      <w:r>
        <w:rPr/>
        <w:t>支付的其他与经营活动有关的现金说明：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收到的其他与投资活动有关的现金" w:id="319"/>
      <w:bookmarkEnd w:id="31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7512"/>
        <w:jc w:val="left"/>
      </w:pPr>
      <w:r>
        <w:rPr/>
        <w:t>收到的其他与投资活动有关的现金说明：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支付的其他与投资活动有关的现金" w:id="320"/>
      <w:bookmarkEnd w:id="32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7512"/>
        <w:jc w:val="left"/>
      </w:pPr>
      <w:r>
        <w:rPr/>
        <w:t>支付的其他与投资活动有关的现金说明：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收到的其他与筹资活动有关的现金" w:id="321"/>
      <w:bookmarkEnd w:id="32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原股东借款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r>
    </w:tbl>
    <w:p>
      <w:pPr>
        <w:pStyle w:val="BodyText"/>
        <w:spacing w:line="357" w:lineRule="auto" w:before="51"/>
        <w:ind w:left="154" w:right="7512"/>
        <w:jc w:val="left"/>
      </w:pPr>
      <w:r>
        <w:rPr/>
        <w:t>收到的其他与筹资活动有关的现金说明：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r>
        <w:rPr/>
        <w:pict>
          <v:group style="position:absolute;margin-left:223.339996pt;margin-top:546.849976pt;width:151.25pt;height:20.8pt;mso-position-horizontal-relative:page;mso-position-vertical-relative:page;z-index:-841264" coordorigin="4467,10937" coordsize="3025,416">
            <v:group style="position:absolute;left:4478;top:10948;width:2;height:393" coordorigin="4478,10948" coordsize="2,393">
              <v:shape style="position:absolute;left:4478;top:10948;width:2;height:393" coordorigin="4478,10948" coordsize="0,393" path="m4478,10948l4478,11341e" filled="false" stroked="true" strokeweight="1.140pt" strokecolor="#ffffff">
                <v:path arrowok="t"/>
              </v:shape>
            </v:group>
            <v:group style="position:absolute;left:4490;top:10948;width:3002;height:393" coordorigin="4490,10948" coordsize="3002,393">
              <v:shape style="position:absolute;left:4490;top:10948;width:3002;height:393" coordorigin="4490,10948" coordsize="3002,393" path="m4490,11341l7491,11341,7491,10948,4490,10948,4490,11341xe" filled="true" fillcolor="#ffffff" stroked="false">
                <v:path arrowok="t"/>
                <v:fill type="solid"/>
              </v:shape>
            </v:group>
            <w10:wrap type="none"/>
          </v:group>
        </w:pict>
      </w:r>
    </w:p>
    <w:p>
      <w:pPr>
        <w:pStyle w:val="Heading3"/>
        <w:spacing w:line="240" w:lineRule="auto" w:before="35"/>
        <w:ind w:left="153" w:right="0"/>
        <w:jc w:val="left"/>
        <w:rPr>
          <w:b w:val="0"/>
          <w:bCs w:val="0"/>
        </w:rPr>
      </w:pPr>
      <w:bookmarkStart w:name="（6）支付的其他与筹资活动有关的现金" w:id="322"/>
      <w:bookmarkEnd w:id="32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分红派息手续费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27,897.68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15,848.55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股票登记费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357,600.00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178,800.00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还股东借款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2,385,497.68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2,094,648.55</w:t>
            </w:r>
          </w:p>
        </w:tc>
      </w:tr>
    </w:tbl>
    <w:p>
      <w:pPr>
        <w:pStyle w:val="BodyText"/>
        <w:spacing w:line="357" w:lineRule="auto" w:before="51"/>
        <w:ind w:left="154" w:right="7512"/>
        <w:jc w:val="left"/>
      </w:pPr>
      <w:r>
        <w:rPr/>
        <w:t>支付的其他与筹资活动有关的现金说明：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4、现金流量表补充资料" w:id="323"/>
      <w:bookmarkEnd w:id="323"/>
      <w:r>
        <w:rPr>
          <w:b w:val="0"/>
          <w:bCs w:val="0"/>
        </w:rPr>
      </w:r>
      <w:r>
        <w:rPr>
          <w:rFonts w:ascii="Times New Roman" w:hAnsi="Times New Roman" w:cs="Times New Roman" w:eastAsia="Times New Roman" w:hint="default"/>
        </w:rPr>
        <w:t>44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324"/>
      <w:bookmarkEnd w:id="32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56"/>
        <w:gridCol w:w="1913"/>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267,569,674.25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176,212,090.66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1,327,647.72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1,589,964.21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55,359,066.36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50,131,825.30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5,228,309.07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5,246,425.23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2,581,255.09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2,250,396.36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-293,219.98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8,904,586.07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-875,381.01</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-626,937.04</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5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82" w:right="0"/>
              <w:jc w:val="left"/>
              <w:rPr>
                <w:rFonts w:ascii="Times New Roman" w:hAnsi="Times New Roman" w:cs="Times New Roman" w:eastAsia="Times New Roman" w:hint="default"/>
                <w:sz w:val="18"/>
                <w:szCs w:val="18"/>
              </w:rPr>
            </w:pPr>
            <w:r>
              <w:rPr>
                <w:rFonts w:ascii="Times New Roman"/>
                <w:sz w:val="18"/>
              </w:rPr>
              <w:t>102,711.68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-1,711,439.56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-48,109,705.17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-11,073,501.97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-19,186,244.88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-69,523,432.11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28,914,338.71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107,707,141.10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292,618,451.84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269,107,118.25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953,702,887.72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730,197,241.95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730,197,241.95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668,014,871.50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223,505,645.77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62,182,370.45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25"/>
      <w:bookmarkEnd w:id="32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四川泸美供应链管理有限公司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本期收到的处置子公司的现金净额" w:id="326"/>
      <w:bookmarkEnd w:id="32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现金和现金等价物的构成" w:id="327"/>
      <w:bookmarkEnd w:id="32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953,702,887.72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730,197,241.95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1,425,074.63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1,172,598.42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952,277,813.09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729,024,643.53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953,702,887.72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730,197,241.95</w:t>
            </w:r>
          </w:p>
        </w:tc>
      </w:tr>
    </w:tbl>
    <w:p>
      <w:pPr>
        <w:pStyle w:val="BodyText"/>
        <w:spacing w:line="357" w:lineRule="auto" w:before="51"/>
        <w:ind w:right="9853"/>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45、所有者权益变动表项目注释" w:id="328"/>
      <w:bookmarkEnd w:id="328"/>
      <w:r>
        <w:rPr>
          <w:b w:val="0"/>
          <w:bCs w:val="0"/>
        </w:rPr>
      </w:r>
      <w:r>
        <w:rPr>
          <w:rFonts w:ascii="Times New Roman" w:hAnsi="Times New Roman" w:cs="Times New Roman" w:eastAsia="Times New Roman" w:hint="default"/>
        </w:rPr>
        <w:t>45</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173"/>
        <w:jc w:val="left"/>
      </w:pPr>
      <w:r>
        <w:rPr/>
        <w:t>说明对上年期末余额进行调整的“其他”项目名称及调整金额等事项：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6、外币货币性项目" w:id="329"/>
      <w:bookmarkEnd w:id="329"/>
      <w:r>
        <w:rPr>
          <w:b w:val="0"/>
          <w:bCs w:val="0"/>
        </w:rPr>
      </w:r>
      <w:r>
        <w:rPr>
          <w:rFonts w:ascii="Times New Roman" w:hAnsi="Times New Roman" w:cs="Times New Roman" w:eastAsia="Times New Roman" w:hint="default"/>
        </w:rPr>
        <w:t>46</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外币货币性项目" w:id="330"/>
      <w:bookmarkEnd w:id="330"/>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61"/>
              <w:jc w:val="right"/>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180,292,936.30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28,701,725.92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175,616,610.30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3,493,228.90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2,755,703.48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9,806,841.00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0.1958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1,920,619.46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122,396,281.15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18,557,512.58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113,552,851.55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12,378.99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92,292.80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6,720,647.02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5,301,716.50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0"/>
              <w:jc w:val="righ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17,617,059.74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0.1958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3,449,420.30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19,176,319.16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2,642,756.23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16,171,025.37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5,788.53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4,566.57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0"/>
              <w:jc w:val="righ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15,325,471.00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0.1958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3,000,727.22</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59" w:lineRule="auto"/>
        <w:ind w:right="0"/>
        <w:jc w:val="left"/>
        <w:rPr>
          <w:b w:val="0"/>
          <w:bCs w:val="0"/>
        </w:rPr>
      </w:pPr>
      <w:bookmarkStart w:name="（2）境外经营实体说明，包括对于重要的境外经营实体，应披露其境外主要经营地、记账" w:id="331"/>
      <w:bookmarkEnd w:id="331"/>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54" w:right="0"/>
        <w:jc w:val="left"/>
      </w:pPr>
      <w:r>
        <w:rPr/>
        <w:t>√ 适用 □ 不适用 </w:t>
      </w:r>
      <w:r>
        <w:rPr>
          <w:spacing w:val="-2"/>
        </w:rPr>
        <w:t>本公司下属有两家境外实体，其中一家为全资子公司香港美盈森，注册地香港，记账本位币为港币；另一家为香港美盈森之</w:t>
      </w:r>
      <w:r>
        <w:rPr>
          <w:spacing w:val="-66"/>
        </w:rPr>
        <w:t> </w:t>
      </w:r>
      <w:r>
        <w:rPr>
          <w:spacing w:val="-66"/>
        </w:rPr>
      </w:r>
      <w:r>
        <w:rPr/>
        <w:t>全资子公司，注册地台湾，记账本位币为新台币。</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47、套期" w:id="332"/>
      <w:bookmarkEnd w:id="332"/>
      <w:r>
        <w:rPr>
          <w:b w:val="0"/>
          <w:bCs w:val="0"/>
        </w:rPr>
      </w:r>
      <w:r>
        <w:rPr>
          <w:rFonts w:ascii="Times New Roman" w:hAnsi="Times New Roman" w:cs="Times New Roman" w:eastAsia="Times New Roman" w:hint="default"/>
        </w:rPr>
        <w:t>47</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按照套期类别披露套期项目及相关套期工具、被套期风险的定性和定量信息：</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48、其他" w:id="333"/>
      <w:bookmarkEnd w:id="333"/>
      <w:r>
        <w:rPr>
          <w:b w:val="0"/>
          <w:bCs w:val="0"/>
        </w:rPr>
      </w:r>
      <w:r>
        <w:rPr>
          <w:rFonts w:ascii="Times New Roman" w:hAnsi="Times New Roman" w:cs="Times New Roman" w:eastAsia="Times New Roman" w:hint="default"/>
        </w:rPr>
        <w:t>48</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八、合并范围的变更" w:id="334"/>
      <w:bookmarkEnd w:id="334"/>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非同一控制下企业合并" w:id="335"/>
      <w:bookmarkEnd w:id="335"/>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期发生的非同一控制下企业合并" w:id="336"/>
      <w:bookmarkEnd w:id="336"/>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left="154" w:right="0"/>
        <w:jc w:val="both"/>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both"/>
        <w:rPr>
          <w:b w:val="0"/>
          <w:bCs w:val="0"/>
        </w:rPr>
      </w:pPr>
      <w:bookmarkStart w:name="（2）合并成本及商誉" w:id="337"/>
      <w:bookmarkEnd w:id="337"/>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6072"/>
        <w:jc w:val="left"/>
      </w:pPr>
      <w:r>
        <w:rPr/>
        <w:t>合并成本公允价值的确定方法、或有对价及其变动的说明： 大额商誉形成的主要原因：</w:t>
      </w:r>
    </w:p>
    <w:p>
      <w:pPr>
        <w:pStyle w:val="BodyText"/>
        <w:spacing w:line="240" w:lineRule="auto" w:before="26"/>
        <w:ind w:left="154" w:right="0"/>
        <w:jc w:val="both"/>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3）被购买方于购买日可辨认资产、负债" w:id="338"/>
      <w:bookmarkEnd w:id="338"/>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left="154" w:right="753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4）购买日之前持有的股权按照公允价值重新计量产生的利得或损失" w:id="339"/>
      <w:bookmarkEnd w:id="339"/>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both"/>
      </w:pPr>
      <w:r>
        <w:rPr/>
        <w:t>是否存在通过多次交易分步实现企业合并且在报告期内取得控制权的交易</w:t>
      </w:r>
    </w:p>
    <w:p>
      <w:pPr>
        <w:pStyle w:val="BodyText"/>
        <w:spacing w:line="240" w:lineRule="auto" w:before="116"/>
        <w:ind w:left="154" w:right="0"/>
        <w:jc w:val="both"/>
      </w:pPr>
      <w:r>
        <w:rPr/>
        <w:t>□ 是 √ 否</w:t>
      </w:r>
    </w:p>
    <w:p>
      <w:pPr>
        <w:spacing w:line="240" w:lineRule="auto" w:before="11"/>
        <w:rPr>
          <w:rFonts w:ascii="宋体" w:hAnsi="宋体" w:cs="宋体" w:eastAsia="宋体" w:hint="default"/>
          <w:sz w:val="26"/>
          <w:szCs w:val="26"/>
        </w:rPr>
      </w:pPr>
    </w:p>
    <w:p>
      <w:pPr>
        <w:pStyle w:val="Heading3"/>
        <w:spacing w:line="240" w:lineRule="auto"/>
        <w:ind w:left="153" w:right="0"/>
        <w:jc w:val="both"/>
        <w:rPr>
          <w:b w:val="0"/>
          <w:bCs w:val="0"/>
        </w:rPr>
      </w:pPr>
      <w:bookmarkStart w:name="（5）购买日或合并当期期末无法合理确定合并对价或被购买方可辨认资产、负债公允价值" w:id="340"/>
      <w:bookmarkEnd w:id="340"/>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6）其他说明" w:id="341"/>
      <w:bookmarkEnd w:id="341"/>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2、同一控制下企业合并" w:id="342"/>
      <w:bookmarkEnd w:id="342"/>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both"/>
        <w:rPr>
          <w:b w:val="0"/>
          <w:bCs w:val="0"/>
        </w:rPr>
      </w:pPr>
      <w:bookmarkStart w:name="（1）本期发生的同一控制下企业合并" w:id="343"/>
      <w:bookmarkEnd w:id="343"/>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0"/>
        <w:gridCol w:w="1061"/>
        <w:gridCol w:w="1063"/>
        <w:gridCol w:w="1064"/>
        <w:gridCol w:w="1064"/>
        <w:gridCol w:w="1064"/>
        <w:gridCol w:w="1064"/>
        <w:gridCol w:w="1064"/>
        <w:gridCol w:w="1052"/>
      </w:tblGrid>
      <w:tr>
        <w:trPr>
          <w:trHeight w:val="382" w:hRule="exact"/>
        </w:trPr>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64" w:right="0"/>
              <w:jc w:val="left"/>
              <w:rPr>
                <w:rFonts w:ascii="宋体" w:hAnsi="宋体" w:cs="宋体" w:eastAsia="宋体" w:hint="default"/>
                <w:sz w:val="18"/>
                <w:szCs w:val="18"/>
              </w:rPr>
            </w:pPr>
            <w:r>
              <w:rPr>
                <w:rFonts w:ascii="宋体" w:hAnsi="宋体" w:cs="宋体" w:eastAsia="宋体" w:hint="default"/>
                <w:sz w:val="18"/>
                <w:szCs w:val="18"/>
              </w:rPr>
              <w:t>被合并方名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5" w:right="0"/>
              <w:jc w:val="left"/>
              <w:rPr>
                <w:rFonts w:ascii="宋体" w:hAnsi="宋体" w:cs="宋体" w:eastAsia="宋体" w:hint="default"/>
                <w:sz w:val="18"/>
                <w:szCs w:val="18"/>
              </w:rPr>
            </w:pPr>
            <w:r>
              <w:rPr>
                <w:rFonts w:ascii="宋体" w:hAnsi="宋体" w:cs="宋体" w:eastAsia="宋体" w:hint="default"/>
                <w:sz w:val="18"/>
                <w:szCs w:val="18"/>
              </w:rPr>
              <w:t>企业合并中</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6" w:right="0"/>
              <w:jc w:val="left"/>
              <w:rPr>
                <w:rFonts w:ascii="宋体" w:hAnsi="宋体" w:cs="宋体" w:eastAsia="宋体" w:hint="default"/>
                <w:sz w:val="18"/>
                <w:szCs w:val="18"/>
              </w:rPr>
            </w:pPr>
            <w:r>
              <w:rPr>
                <w:rFonts w:ascii="宋体" w:hAnsi="宋体" w:cs="宋体" w:eastAsia="宋体" w:hint="default"/>
                <w:sz w:val="18"/>
                <w:szCs w:val="18"/>
              </w:rPr>
              <w:t>构成同一控</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7" w:right="0"/>
              <w:jc w:val="left"/>
              <w:rPr>
                <w:rFonts w:ascii="宋体" w:hAnsi="宋体" w:cs="宋体" w:eastAsia="宋体" w:hint="default"/>
                <w:sz w:val="18"/>
                <w:szCs w:val="18"/>
              </w:rPr>
            </w:pPr>
            <w:r>
              <w:rPr>
                <w:rFonts w:ascii="宋体" w:hAnsi="宋体" w:cs="宋体" w:eastAsia="宋体" w:hint="default"/>
                <w:sz w:val="18"/>
                <w:szCs w:val="18"/>
              </w:rPr>
              <w:t>合并日的确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7" w:right="0"/>
              <w:jc w:val="left"/>
              <w:rPr>
                <w:rFonts w:ascii="宋体" w:hAnsi="宋体" w:cs="宋体" w:eastAsia="宋体" w:hint="default"/>
                <w:sz w:val="18"/>
                <w:szCs w:val="18"/>
              </w:rPr>
            </w:pPr>
            <w:r>
              <w:rPr>
                <w:rFonts w:ascii="宋体" w:hAnsi="宋体" w:cs="宋体" w:eastAsia="宋体" w:hint="default"/>
                <w:sz w:val="18"/>
                <w:szCs w:val="18"/>
              </w:rPr>
              <w:t>合并当期期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6" w:right="0"/>
              <w:jc w:val="left"/>
              <w:rPr>
                <w:rFonts w:ascii="宋体" w:hAnsi="宋体" w:cs="宋体" w:eastAsia="宋体" w:hint="default"/>
                <w:sz w:val="18"/>
                <w:szCs w:val="18"/>
              </w:rPr>
            </w:pPr>
            <w:r>
              <w:rPr>
                <w:rFonts w:ascii="宋体" w:hAnsi="宋体" w:cs="宋体" w:eastAsia="宋体" w:hint="default"/>
                <w:sz w:val="18"/>
                <w:szCs w:val="18"/>
              </w:rPr>
              <w:t>合并当期期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7" w:right="0"/>
              <w:jc w:val="left"/>
              <w:rPr>
                <w:rFonts w:ascii="宋体" w:hAnsi="宋体" w:cs="宋体" w:eastAsia="宋体" w:hint="default"/>
                <w:sz w:val="18"/>
                <w:szCs w:val="18"/>
              </w:rPr>
            </w:pPr>
            <w:r>
              <w:rPr>
                <w:rFonts w:ascii="宋体" w:hAnsi="宋体" w:cs="宋体" w:eastAsia="宋体" w:hint="default"/>
                <w:sz w:val="18"/>
                <w:szCs w:val="18"/>
              </w:rPr>
              <w:t>比较期间被</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7" w:right="0"/>
              <w:jc w:val="left"/>
              <w:rPr>
                <w:rFonts w:ascii="宋体" w:hAnsi="宋体" w:cs="宋体" w:eastAsia="宋体" w:hint="default"/>
                <w:sz w:val="18"/>
                <w:szCs w:val="18"/>
              </w:rPr>
            </w:pPr>
            <w:r>
              <w:rPr>
                <w:rFonts w:ascii="宋体" w:hAnsi="宋体" w:cs="宋体" w:eastAsia="宋体" w:hint="default"/>
                <w:sz w:val="18"/>
                <w:szCs w:val="18"/>
              </w:rPr>
              <w:t>比较期间被</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986"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45" w:right="73" w:hanging="270"/>
              <w:jc w:val="left"/>
              <w:rPr>
                <w:rFonts w:ascii="宋体" w:hAnsi="宋体" w:cs="宋体" w:eastAsia="宋体" w:hint="default"/>
                <w:sz w:val="18"/>
                <w:szCs w:val="18"/>
              </w:rPr>
            </w:pPr>
            <w:r>
              <w:rPr>
                <w:rFonts w:ascii="宋体" w:hAnsi="宋体" w:cs="宋体" w:eastAsia="宋体" w:hint="default"/>
                <w:sz w:val="18"/>
                <w:szCs w:val="18"/>
              </w:rPr>
              <w:t>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66" w:right="74" w:hanging="90"/>
              <w:jc w:val="left"/>
              <w:rPr>
                <w:rFonts w:ascii="宋体" w:hAnsi="宋体" w:cs="宋体" w:eastAsia="宋体" w:hint="default"/>
                <w:sz w:val="18"/>
                <w:szCs w:val="18"/>
              </w:rPr>
            </w:pPr>
            <w:r>
              <w:rPr>
                <w:rFonts w:ascii="宋体" w:hAnsi="宋体" w:cs="宋体" w:eastAsia="宋体" w:hint="default"/>
                <w:sz w:val="18"/>
                <w:szCs w:val="18"/>
              </w:rPr>
              <w:t>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6" w:right="0"/>
              <w:jc w:val="left"/>
              <w:rPr>
                <w:rFonts w:ascii="宋体" w:hAnsi="宋体" w:cs="宋体" w:eastAsia="宋体" w:hint="default"/>
                <w:sz w:val="18"/>
                <w:szCs w:val="18"/>
              </w:rPr>
            </w:pPr>
            <w:r>
              <w:rPr>
                <w:rFonts w:ascii="宋体" w:hAnsi="宋体" w:cs="宋体" w:eastAsia="宋体" w:hint="default"/>
                <w:sz w:val="18"/>
                <w:szCs w:val="18"/>
              </w:rPr>
              <w:t>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76" w:right="74"/>
              <w:jc w:val="center"/>
              <w:rPr>
                <w:rFonts w:ascii="宋体" w:hAnsi="宋体" w:cs="宋体" w:eastAsia="宋体" w:hint="default"/>
                <w:sz w:val="18"/>
                <w:szCs w:val="18"/>
              </w:rPr>
            </w:pPr>
            <w:r>
              <w:rPr>
                <w:rFonts w:ascii="宋体" w:hAnsi="宋体" w:cs="宋体" w:eastAsia="宋体" w:hint="default"/>
                <w:sz w:val="18"/>
                <w:szCs w:val="18"/>
              </w:rPr>
              <w:t>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76" w:right="76"/>
              <w:jc w:val="center"/>
              <w:rPr>
                <w:rFonts w:ascii="宋体" w:hAnsi="宋体" w:cs="宋体" w:eastAsia="宋体" w:hint="default"/>
                <w:sz w:val="18"/>
                <w:szCs w:val="18"/>
              </w:rPr>
            </w:pPr>
            <w:r>
              <w:rPr>
                <w:rFonts w:ascii="宋体" w:hAnsi="宋体" w:cs="宋体" w:eastAsia="宋体" w:hint="default"/>
                <w:sz w:val="18"/>
                <w:szCs w:val="18"/>
              </w:rPr>
              <w:t>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436" w:right="77" w:hanging="360"/>
              <w:jc w:val="left"/>
              <w:rPr>
                <w:rFonts w:ascii="宋体" w:hAnsi="宋体" w:cs="宋体" w:eastAsia="宋体" w:hint="default"/>
                <w:sz w:val="18"/>
                <w:szCs w:val="18"/>
              </w:rPr>
            </w:pPr>
            <w:r>
              <w:rPr>
                <w:rFonts w:ascii="宋体" w:hAnsi="宋体" w:cs="宋体" w:eastAsia="宋体" w:hint="default"/>
                <w:sz w:val="18"/>
                <w:szCs w:val="18"/>
              </w:rPr>
              <w:t>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46" w:right="74" w:hanging="270"/>
              <w:jc w:val="left"/>
              <w:rPr>
                <w:rFonts w:ascii="宋体" w:hAnsi="宋体" w:cs="宋体" w:eastAsia="宋体" w:hint="default"/>
                <w:sz w:val="18"/>
                <w:szCs w:val="18"/>
              </w:rPr>
            </w:pPr>
            <w:r>
              <w:rPr>
                <w:rFonts w:ascii="宋体" w:hAnsi="宋体" w:cs="宋体" w:eastAsia="宋体" w:hint="default"/>
                <w:sz w:val="18"/>
                <w:szCs w:val="18"/>
              </w:rPr>
              <w:t>合并方的净 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合并成本" w:id="344"/>
      <w:bookmarkEnd w:id="344"/>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或有对价及其变动的说明： 其他说明：</w:t>
      </w:r>
    </w:p>
    <w:p>
      <w:pPr>
        <w:spacing w:line="240" w:lineRule="auto" w:before="11"/>
        <w:rPr>
          <w:rFonts w:ascii="宋体" w:hAnsi="宋体" w:cs="宋体" w:eastAsia="宋体" w:hint="default"/>
          <w:sz w:val="19"/>
          <w:szCs w:val="19"/>
        </w:rPr>
      </w:pPr>
    </w:p>
    <w:p>
      <w:pPr>
        <w:pStyle w:val="Heading3"/>
        <w:spacing w:line="240" w:lineRule="auto"/>
        <w:ind w:left="153" w:right="0"/>
        <w:jc w:val="left"/>
        <w:rPr>
          <w:b w:val="0"/>
          <w:bCs w:val="0"/>
        </w:rPr>
      </w:pPr>
      <w:bookmarkStart w:name="（3）合并日被合并方资产、负债的账面价值" w:id="345"/>
      <w:bookmarkEnd w:id="345"/>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513"/>
        <w:jc w:val="left"/>
      </w:pPr>
      <w:r>
        <w:rPr/>
        <w:t>企业合并中承担的被合并方的或有负债： 其他说明：</w:t>
      </w:r>
    </w:p>
    <w:p>
      <w:pPr>
        <w:spacing w:line="240" w:lineRule="auto" w:before="13"/>
        <w:rPr>
          <w:rFonts w:ascii="宋体" w:hAnsi="宋体" w:cs="宋体" w:eastAsia="宋体" w:hint="default"/>
          <w:sz w:val="19"/>
          <w:szCs w:val="19"/>
        </w:rPr>
      </w:pPr>
    </w:p>
    <w:p>
      <w:pPr>
        <w:pStyle w:val="Heading3"/>
        <w:spacing w:line="240" w:lineRule="auto"/>
        <w:ind w:left="153" w:right="0"/>
        <w:jc w:val="left"/>
        <w:rPr>
          <w:b w:val="0"/>
          <w:bCs w:val="0"/>
        </w:rPr>
      </w:pPr>
      <w:bookmarkStart w:name="3、反向购买" w:id="346"/>
      <w:bookmarkEnd w:id="346"/>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pStyle w:val="BodyText"/>
        <w:spacing w:line="240" w:lineRule="auto" w:before="56"/>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处置子公司" w:id="347"/>
      <w:bookmarkEnd w:id="347"/>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是否存在单次处置对子公司投资即丧失控制权的情形</w:t>
      </w:r>
    </w:p>
    <w:p>
      <w:pPr>
        <w:pStyle w:val="BodyText"/>
        <w:spacing w:line="338" w:lineRule="auto" w:before="116"/>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其他原因的合并范围变动" w:id="348"/>
      <w:bookmarkEnd w:id="348"/>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说明其他原因导致的合并范围变动（如，新设子公司、清算子公司等）及其相关情况：</w:t>
      </w:r>
    </w:p>
    <w:p>
      <w:pPr>
        <w:spacing w:line="240" w:lineRule="auto" w:before="13"/>
        <w:rPr>
          <w:rFonts w:ascii="宋体" w:hAnsi="宋体" w:cs="宋体" w:eastAsia="宋体"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2874"/>
        <w:gridCol w:w="1679"/>
        <w:gridCol w:w="1679"/>
        <w:gridCol w:w="1679"/>
        <w:gridCol w:w="1679"/>
      </w:tblGrid>
      <w:tr>
        <w:trPr>
          <w:trHeight w:val="340" w:hRule="exact"/>
        </w:trPr>
        <w:tc>
          <w:tcPr>
            <w:tcW w:w="2874" w:type="dxa"/>
            <w:tcBorders>
              <w:top w:val="nil" w:sz="6" w:space="0" w:color="auto"/>
              <w:left w:val="nil" w:sz="6" w:space="0" w:color="auto"/>
              <w:bottom w:val="single" w:sz="6" w:space="0" w:color="000000"/>
              <w:right w:val="single" w:sz="6" w:space="0" w:color="000000"/>
            </w:tcBorders>
          </w:tcPr>
          <w:p>
            <w:pPr>
              <w:pStyle w:val="TableParagraph"/>
              <w:spacing w:line="240" w:lineRule="auto" w:before="20"/>
              <w:ind w:left="20"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6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6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6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出资额</w:t>
            </w:r>
          </w:p>
        </w:tc>
        <w:tc>
          <w:tcPr>
            <w:tcW w:w="167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418" w:hRule="exact"/>
        </w:trPr>
        <w:tc>
          <w:tcPr>
            <w:tcW w:w="28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sz w:val="18"/>
                <w:szCs w:val="18"/>
              </w:rPr>
              <w:t>四川泸美供应链管理有限公司</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新设子公司</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7,000,000.00</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60.87%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349"/>
      <w:bookmarkEnd w:id="349"/>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54"/>
        <w:jc w:val="left"/>
      </w:pPr>
      <w:r>
        <w:rPr/>
        <w:t>本期公司出资设立四川泸美供应链管理有限公司，于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06</w:t>
      </w:r>
      <w:r>
        <w:rPr/>
        <w:t>日办妥工商设立登记手续，并取得注册号为 </w:t>
      </w:r>
      <w:r>
        <w:rPr>
          <w:rFonts w:ascii="Times New Roman" w:hAnsi="Times New Roman" w:cs="Times New Roman" w:eastAsia="Times New Roman" w:hint="default"/>
        </w:rPr>
        <w:t>510504000049751</w:t>
      </w:r>
      <w:r>
        <w:rPr/>
        <w:t>（</w:t>
      </w:r>
      <w:r>
        <w:rPr>
          <w:rFonts w:ascii="Times New Roman" w:hAnsi="Times New Roman" w:cs="Times New Roman" w:eastAsia="Times New Roman" w:hint="default"/>
        </w:rPr>
        <w:t>1-1</w:t>
      </w:r>
      <w:r>
        <w:rPr/>
        <w:t>）的企业法人营业执照；该公司注册资本</w:t>
      </w:r>
      <w:r>
        <w:rPr>
          <w:rFonts w:ascii="Times New Roman" w:hAnsi="Times New Roman" w:cs="Times New Roman" w:eastAsia="Times New Roman" w:hint="default"/>
        </w:rPr>
        <w:t>1150</w:t>
      </w:r>
      <w:r>
        <w:rPr/>
        <w:t>万元，公司出资</w:t>
      </w:r>
      <w:r>
        <w:rPr>
          <w:rFonts w:ascii="Times New Roman" w:hAnsi="Times New Roman" w:cs="Times New Roman" w:eastAsia="Times New Roman" w:hint="default"/>
        </w:rPr>
        <w:t>700</w:t>
      </w:r>
      <w:r>
        <w:rPr/>
        <w:t>万元，占其注册资本的</w:t>
      </w:r>
      <w:r>
        <w:rPr>
          <w:rFonts w:ascii="Times New Roman" w:hAnsi="Times New Roman" w:cs="Times New Roman" w:eastAsia="Times New Roman" w:hint="default"/>
        </w:rPr>
        <w:t>60.87%</w:t>
      </w:r>
      <w:r>
        <w:rPr/>
        <w:t>；按 照相应的会计编制规则，公司将泸美纳入合并报表范围。</w:t>
      </w:r>
    </w:p>
    <w:p>
      <w:pPr>
        <w:spacing w:after="0" w:line="30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九、在其他主体中的权益" w:id="350"/>
      <w:bookmarkEnd w:id="350"/>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在子公司中的权益" w:id="351"/>
      <w:bookmarkEnd w:id="351"/>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企业集团的构成" w:id="352"/>
      <w:bookmarkEnd w:id="35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东莞市美盈森环 保科技有限公司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中山市美盈森环 保科技有限公司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广东中山市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广东中山市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苏州美盈森环保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江苏吴江市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江苏吴江市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重庆市美盈森环 保包装工程有限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中国重庆市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中国重庆市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东莞市美芯龙物 联网科技有限公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both"/>
              <w:rPr>
                <w:rFonts w:ascii="宋体" w:hAnsi="宋体" w:cs="宋体" w:eastAsia="宋体" w:hint="default"/>
                <w:sz w:val="18"/>
                <w:szCs w:val="18"/>
              </w:rPr>
            </w:pPr>
            <w:r>
              <w:rPr>
                <w:rFonts w:ascii="宋体" w:hAnsi="宋体" w:cs="宋体" w:eastAsia="宋体" w:hint="default"/>
                <w:sz w:val="18"/>
                <w:szCs w:val="18"/>
              </w:rPr>
              <w:t>美盈森（香港） 国际控股有限公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成都市美盈森环 保科技有限公司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四川崇州市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四川崇州市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武汉市美盈森环 保科技有限公司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湖北鄂州市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湖北鄂州市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台湾美盈森有限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中国台湾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中国台湾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四川泸美供应链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深圳市金之彩文 化创意有限公司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pStyle w:val="BodyText"/>
        <w:spacing w:line="357" w:lineRule="auto" w:before="51"/>
        <w:ind w:left="154" w:right="6972"/>
        <w:jc w:val="left"/>
      </w:pPr>
      <w:r>
        <w:rPr/>
        <w:t>在子公司的持股比例不同于表决权比例的说明： 无</w:t>
      </w:r>
    </w:p>
    <w:p>
      <w:pPr>
        <w:pStyle w:val="BodyText"/>
        <w:spacing w:line="357" w:lineRule="auto" w:before="29"/>
        <w:ind w:right="2833"/>
        <w:jc w:val="left"/>
      </w:pPr>
      <w:r>
        <w:rPr/>
        <w:t>持有半数或以下表决权但仍控制被投资单位、以及持有半数以上表决权但不控制被投资单位的依据： 无</w:t>
      </w:r>
    </w:p>
    <w:p>
      <w:pPr>
        <w:pStyle w:val="BodyText"/>
        <w:spacing w:line="357" w:lineRule="auto" w:before="29"/>
        <w:ind w:left="154" w:right="6432"/>
        <w:jc w:val="left"/>
      </w:pPr>
      <w:r>
        <w:rPr/>
        <w:t>对于纳入合并范围的重要的结构化主体，控制的依据： 确定公司是代理人还是委托人的依据：</w:t>
      </w:r>
    </w:p>
    <w:p>
      <w:pPr>
        <w:pStyle w:val="BodyText"/>
        <w:spacing w:line="240" w:lineRule="auto" w:before="28"/>
        <w:ind w:left="154" w:right="0"/>
        <w:jc w:val="left"/>
      </w:pPr>
      <w:r>
        <w:rPr/>
        <w:t>无</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重要的非全资子公司" w:id="353"/>
      <w:bookmarkEnd w:id="35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深圳市金之彩文化创意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6,052,629.83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56,175,364.20</w:t>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四川泸美供应链管理有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-23,436.83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4,476,563.17</w:t>
            </w:r>
          </w:p>
        </w:tc>
      </w:tr>
    </w:tbl>
    <w:p>
      <w:pPr>
        <w:pStyle w:val="BodyText"/>
        <w:spacing w:line="357" w:lineRule="auto" w:before="51"/>
        <w:ind w:left="154" w:right="6432"/>
        <w:jc w:val="left"/>
      </w:pPr>
      <w:r>
        <w:rPr/>
        <w:t>子公司少数股东的持股比例不同于表决权比例的说明： 无</w:t>
      </w:r>
    </w:p>
    <w:p>
      <w:pPr>
        <w:pStyle w:val="BodyText"/>
        <w:spacing w:line="357" w:lineRule="auto" w:before="29"/>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重要非全资子公司的主要财务信息" w:id="354"/>
      <w:bookmarkEnd w:id="35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深圳市 金之彩 文化创 意有限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156,750,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339.20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91,021,2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89.50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247,771,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628.70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57,926,0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50.80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2,470,00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60,396,0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148,495,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623.92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89,791,8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37.46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238,287,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461.38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71,754,4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17.28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2,650,00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74,404,4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17.28</w:t>
            </w:r>
          </w:p>
        </w:tc>
      </w:tr>
      <w:tr>
        <w:trPr>
          <w:trHeight w:val="165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四川泸 美供应 链管理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46,127,8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27.48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17,232.6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46,145,0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60.14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34,704,9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54.26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34,704,9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54.26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深圳市金之 彩文化创意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187,418,350.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23,492,533.8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40,236,222.8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218,915,552.</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33,323,971.1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15,583,820.3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064"/>
        <w:gridCol w:w="1061"/>
        <w:gridCol w:w="1062"/>
        <w:gridCol w:w="1066"/>
        <w:gridCol w:w="1064"/>
        <w:gridCol w:w="1063"/>
        <w:gridCol w:w="1064"/>
        <w:gridCol w:w="1063"/>
        <w:gridCol w:w="1066"/>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四川泸美供 应链管理有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30,081,943.7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-59,894.12</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3,037,442.42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使用企业集团资产和清偿企业集团债务的重大限制" w:id="355"/>
      <w:bookmarkEnd w:id="355"/>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向纳入合并财务报表范围的结构化主体提供的财务支持或其他支持" w:id="356"/>
      <w:bookmarkEnd w:id="356"/>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3"/>
        <w:jc w:val="left"/>
      </w:pPr>
      <w:r>
        <w:rPr/>
        <w:t>无 其他说明： 无</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2、在子公司的所有者权益份额发生变化且仍控制子公司的交易" w:id="357"/>
      <w:bookmarkEnd w:id="35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58"/>
      <w:bookmarkEnd w:id="358"/>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交易对于少数股东权益及归属于母公司所有者权益的影响" w:id="359"/>
      <w:bookmarkEnd w:id="359"/>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360"/>
      <w:bookmarkEnd w:id="36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61"/>
      <w:bookmarkEnd w:id="36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5"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57" w:lineRule="auto" w:before="52"/>
        <w:ind w:left="154" w:right="5892"/>
        <w:jc w:val="left"/>
      </w:pPr>
      <w:r>
        <w:rPr/>
        <w:t>在合营企业或联营企业的持股比例不同于表决权比例的说明： 无</w:t>
      </w:r>
    </w:p>
    <w:p>
      <w:pPr>
        <w:pStyle w:val="BodyText"/>
        <w:spacing w:line="338" w:lineRule="auto" w:before="29"/>
        <w:ind w:left="154" w:right="3344"/>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重要合营企业的主要财务信息" w:id="362"/>
      <w:bookmarkEnd w:id="362"/>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10033"/>
        <w:jc w:val="left"/>
      </w:pPr>
      <w:r>
        <w:rPr/>
        <w:t>无 其他说明 无</w:t>
      </w:r>
    </w:p>
    <w:p>
      <w:pPr>
        <w:spacing w:after="0" w:line="36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重要联营企业的主要财务信息" w:id="363"/>
      <w:bookmarkEnd w:id="363"/>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上重要的合营企业和联营企业的汇总财务信息" w:id="364"/>
      <w:bookmarkEnd w:id="364"/>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6,315,997.02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5,440,616.01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875,381.01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626,937.04</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875,381.01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626,937.04</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合营企业或联营企业向本公司转移资金的能力存在重大限制的说明" w:id="365"/>
      <w:bookmarkEnd w:id="365"/>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366"/>
      <w:bookmarkEnd w:id="366"/>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7）与合营企业投资相关的未确认承诺" w:id="367"/>
      <w:bookmarkEnd w:id="367"/>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8）与合营企业或联营企业投资相关的或有负债" w:id="368"/>
      <w:bookmarkEnd w:id="368"/>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重要的共同经营" w:id="369"/>
      <w:bookmarkEnd w:id="369"/>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3"/>
        <w:jc w:val="left"/>
      </w:pPr>
      <w:r>
        <w:rPr/>
        <w:t>在共同经营中的持股比例或享有的份额不同于表决权比例的说明： 共同经营为单独主体的，分类为共同经营的依据：</w:t>
      </w:r>
    </w:p>
    <w:p>
      <w:pPr>
        <w:pStyle w:val="BodyText"/>
        <w:spacing w:line="240" w:lineRule="auto" w:before="26"/>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both"/>
        <w:rPr>
          <w:b w:val="0"/>
          <w:bCs w:val="0"/>
        </w:rPr>
      </w:pPr>
      <w:bookmarkStart w:name="5、在未纳入合并财务报表范围的结构化主体中的权益" w:id="370"/>
      <w:bookmarkEnd w:id="370"/>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3"/>
        <w:spacing w:line="240" w:lineRule="auto"/>
        <w:ind w:left="153" w:right="0"/>
        <w:jc w:val="both"/>
        <w:rPr>
          <w:b w:val="0"/>
          <w:bCs w:val="0"/>
        </w:rPr>
      </w:pPr>
      <w:bookmarkStart w:name="6、其他" w:id="371"/>
      <w:bookmarkEnd w:id="371"/>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both"/>
        <w:rPr>
          <w:b w:val="0"/>
          <w:bCs w:val="0"/>
        </w:rPr>
      </w:pPr>
      <w:bookmarkStart w:name="十、与金融工具相关的风险" w:id="372"/>
      <w:bookmarkEnd w:id="372"/>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1" w:firstLine="290"/>
        <w:jc w:val="both"/>
      </w:pPr>
      <w:r>
        <w:rPr>
          <w:spacing w:val="-1"/>
        </w:rPr>
        <w:t>本公司的主要金融工具包括股权投资、应收账款、应付账款等，各项金融工具的详细情况说明见本附注六相关项目。与</w:t>
      </w:r>
      <w:r>
        <w:rPr/>
        <w:t> </w:t>
      </w:r>
      <w:r>
        <w:rPr>
          <w:spacing w:val="-2"/>
        </w:rPr>
        <w:t>这些金融工具有关的风险，以及本公司为降低这些风险所采取的风险管理政策如下所述。本公司管理层对这些风险敞口进行</w:t>
      </w:r>
      <w:r>
        <w:rPr>
          <w:spacing w:val="-64"/>
        </w:rPr>
        <w:t> </w:t>
      </w:r>
      <w:r>
        <w:rPr>
          <w:spacing w:val="-64"/>
        </w:rPr>
      </w:r>
      <w:r>
        <w:rPr/>
        <w:t>管理和监控以确保将上述风险控制在限定的范围之内。</w:t>
      </w:r>
    </w:p>
    <w:p>
      <w:pPr>
        <w:pStyle w:val="BodyText"/>
        <w:spacing w:line="319" w:lineRule="auto" w:before="56"/>
        <w:ind w:right="1132" w:firstLine="290"/>
        <w:jc w:val="both"/>
      </w:pPr>
      <w:r>
        <w:rPr>
          <w:spacing w:val="-1"/>
        </w:rPr>
        <w:t>本公司采用敏感性分析技术分析风险变量的合理、可能变化对当期损益或股东权益可能产生的影响。由于任何风险变量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p>
      <w:pPr>
        <w:pStyle w:val="BodyText"/>
        <w:spacing w:line="357" w:lineRule="auto" w:before="56"/>
        <w:ind w:left="513" w:right="0" w:hanging="70"/>
        <w:jc w:val="left"/>
      </w:pPr>
      <w:r>
        <w:rPr/>
        <w:t>（一）风险管理目标和政策 本公司从事风险管理的目标是在风险和收益之间取得适当的平衡，将风险对本公司经营业绩的负面影响降低到最低水</w:t>
      </w:r>
    </w:p>
    <w:p>
      <w:pPr>
        <w:pStyle w:val="BodyText"/>
        <w:spacing w:line="224" w:lineRule="exact"/>
        <w:ind w:right="0"/>
        <w:jc w:val="both"/>
      </w:pPr>
      <w:r>
        <w:rPr/>
        <w:t>平，使股东及其其他权益投资者的利益最大化。基于该风险管理目标，本公司风险管理的基本策略是确定和分析本公司所面</w:t>
      </w:r>
    </w:p>
    <w:p>
      <w:pPr>
        <w:pStyle w:val="BodyText"/>
        <w:spacing w:line="319" w:lineRule="auto" w:before="76"/>
        <w:ind w:right="1118"/>
        <w:jc w:val="left"/>
      </w:pP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BodyText"/>
        <w:spacing w:line="240" w:lineRule="auto" w:before="58"/>
        <w:ind w:left="444" w:right="0"/>
        <w:jc w:val="left"/>
      </w:pPr>
      <w:r>
        <w:rPr>
          <w:rFonts w:ascii="Times New Roman" w:hAnsi="Times New Roman" w:cs="Times New Roman" w:eastAsia="Times New Roman" w:hint="default"/>
        </w:rPr>
        <w:t>1.</w:t>
      </w:r>
      <w:r>
        <w:rPr/>
        <w:t>市场风险</w:t>
      </w:r>
    </w:p>
    <w:p>
      <w:pPr>
        <w:pStyle w:val="BodyText"/>
        <w:spacing w:line="338" w:lineRule="auto" w:before="102"/>
        <w:ind w:left="444" w:right="1118"/>
        <w:jc w:val="left"/>
      </w:pPr>
      <w:r>
        <w:rPr/>
        <w:t>（</w:t>
      </w:r>
      <w:r>
        <w:rPr>
          <w:rFonts w:ascii="Times New Roman" w:hAnsi="Times New Roman" w:cs="Times New Roman" w:eastAsia="Times New Roman" w:hint="default"/>
        </w:rPr>
        <w:t>1</w:t>
      </w:r>
      <w:r>
        <w:rPr/>
        <w:t>）外汇风险 </w:t>
      </w:r>
      <w:r>
        <w:rPr>
          <w:spacing w:val="-1"/>
        </w:rPr>
        <w:t>外汇风险指因汇率变动产生损失的风险。本公司承受外汇风险主要与港币、美元、台币及欧元有关，除本公司及几个下</w:t>
      </w:r>
    </w:p>
    <w:p>
      <w:pPr>
        <w:pStyle w:val="BodyText"/>
        <w:spacing w:line="309" w:lineRule="auto" w:before="3"/>
        <w:ind w:right="1131"/>
        <w:jc w:val="both"/>
      </w:pPr>
      <w:r>
        <w:rPr>
          <w:spacing w:val="-2"/>
        </w:rPr>
        <w:t>属子公司以港币、台币、美元进行采购与销售外，本公司的其他主要业务活动以人民币计价结算。于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w:t>
      </w:r>
      <w:r>
        <w:rPr>
          <w:spacing w:val="-57"/>
        </w:rPr>
        <w:t> </w:t>
      </w:r>
      <w:r>
        <w:rPr>
          <w:spacing w:val="-57"/>
        </w:rPr>
      </w:r>
      <w:r>
        <w:rPr>
          <w:spacing w:val="-2"/>
        </w:rPr>
        <w:t>表所述资产或负债为美元、港币及欧元余额外，本公司的资产及负债均为人民币余额。该等外币余额的资产和负债产生的外</w:t>
      </w:r>
      <w:r>
        <w:rPr>
          <w:spacing w:val="-66"/>
        </w:rPr>
        <w:t> </w:t>
      </w:r>
      <w:r>
        <w:rPr>
          <w:spacing w:val="-66"/>
        </w:rPr>
      </w:r>
      <w:r>
        <w:rPr/>
        <w:t>汇风险可能对本公司的经营业绩产生影响。</w:t>
      </w:r>
    </w:p>
    <w:p>
      <w:pPr>
        <w:spacing w:line="240" w:lineRule="auto" w:before="1"/>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3994"/>
        <w:gridCol w:w="3126"/>
        <w:gridCol w:w="2735"/>
      </w:tblGrid>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0"/>
                <w:sz w:val="20"/>
                <w:szCs w:val="20"/>
              </w:rPr>
              <w:t> </w:t>
            </w:r>
            <w:r>
              <w:rPr>
                <w:rFonts w:ascii="宋体" w:hAnsi="宋体" w:cs="宋体" w:eastAsia="宋体" w:hint="default"/>
                <w:sz w:val="20"/>
                <w:szCs w:val="20"/>
              </w:rPr>
              <w:t>目</w:t>
            </w:r>
          </w:p>
        </w:tc>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现金及现金等价物</w:t>
            </w:r>
          </w:p>
        </w:tc>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180,292,936.30</w:t>
            </w:r>
          </w:p>
        </w:tc>
        <w:tc>
          <w:tcPr>
            <w:tcW w:w="2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87,287,902.55</w:t>
            </w:r>
          </w:p>
        </w:tc>
      </w:tr>
      <w:tr>
        <w:trPr>
          <w:trHeight w:val="347"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122,396,281.15</w:t>
            </w:r>
          </w:p>
        </w:tc>
        <w:tc>
          <w:tcPr>
            <w:tcW w:w="2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137,433,777.31</w:t>
            </w:r>
          </w:p>
        </w:tc>
      </w:tr>
      <w:tr>
        <w:trPr>
          <w:trHeight w:val="348"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19,176,319.16</w:t>
            </w:r>
          </w:p>
        </w:tc>
        <w:tc>
          <w:tcPr>
            <w:tcW w:w="2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23,163,080.36</w:t>
            </w:r>
          </w:p>
        </w:tc>
      </w:tr>
    </w:tbl>
    <w:p>
      <w:pPr>
        <w:pStyle w:val="BodyText"/>
        <w:spacing w:line="357" w:lineRule="auto" w:before="51"/>
        <w:ind w:left="444" w:right="1118"/>
        <w:jc w:val="left"/>
      </w:pPr>
      <w:r>
        <w:rPr/>
        <w:t>本公司密切关注汇率变动对本公司外汇风险的影响。本公司目前并未采取任何措施规避外汇风险。 外汇风险敏感性分析： </w:t>
      </w:r>
      <w:r>
        <w:rPr>
          <w:spacing w:val="-1"/>
        </w:rPr>
        <w:t>外汇风险敏感性分析假设：所有境外经营净投资套期及现金流量套期均高度有效。在上述假设的基础上，在其他变量不</w:t>
      </w:r>
    </w:p>
    <w:p>
      <w:pPr>
        <w:pStyle w:val="BodyText"/>
        <w:spacing w:line="225" w:lineRule="exact"/>
        <w:ind w:left="154" w:right="0"/>
        <w:jc w:val="left"/>
      </w:pPr>
      <w:r>
        <w:rPr/>
        <w:t>变的情况下，汇率可能发生的合理变动对当期损益和股东权益的税前影响如下：</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252"/>
        <w:gridCol w:w="1835"/>
        <w:gridCol w:w="1558"/>
        <w:gridCol w:w="1844"/>
        <w:gridCol w:w="1562"/>
        <w:gridCol w:w="1698"/>
      </w:tblGrid>
      <w:tr>
        <w:trPr>
          <w:trHeight w:val="347" w:hRule="exact"/>
        </w:trPr>
        <w:tc>
          <w:tcPr>
            <w:tcW w:w="1252" w:type="dxa"/>
            <w:vMerge w:val="restart"/>
            <w:tcBorders>
              <w:top w:val="single" w:sz="6" w:space="0" w:color="000000"/>
              <w:left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1835" w:type="dxa"/>
            <w:vMerge w:val="restart"/>
            <w:tcBorders>
              <w:top w:val="single" w:sz="6" w:space="0" w:color="000000"/>
              <w:left w:val="single" w:sz="6" w:space="0" w:color="000000"/>
              <w:right w:val="single" w:sz="6" w:space="0" w:color="000000"/>
            </w:tcBorders>
          </w:tcPr>
          <w:p>
            <w:pPr>
              <w:pStyle w:val="TableParagraph"/>
              <w:spacing w:line="240" w:lineRule="auto" w:before="5"/>
              <w:ind w:left="510" w:right="0"/>
              <w:jc w:val="left"/>
              <w:rPr>
                <w:rFonts w:ascii="宋体" w:hAnsi="宋体" w:cs="宋体" w:eastAsia="宋体" w:hint="default"/>
                <w:sz w:val="20"/>
                <w:szCs w:val="20"/>
              </w:rPr>
            </w:pPr>
            <w:r>
              <w:rPr>
                <w:rFonts w:ascii="宋体" w:hAnsi="宋体" w:cs="宋体" w:eastAsia="宋体" w:hint="default"/>
                <w:sz w:val="20"/>
                <w:szCs w:val="20"/>
              </w:rPr>
              <w:t>汇率变动</w:t>
            </w:r>
          </w:p>
        </w:tc>
        <w:tc>
          <w:tcPr>
            <w:tcW w:w="34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本年度</w:t>
            </w:r>
          </w:p>
        </w:tc>
        <w:tc>
          <w:tcPr>
            <w:tcW w:w="32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上年度</w:t>
            </w:r>
          </w:p>
        </w:tc>
      </w:tr>
      <w:tr>
        <w:trPr>
          <w:trHeight w:val="347" w:hRule="exact"/>
        </w:trPr>
        <w:tc>
          <w:tcPr>
            <w:tcW w:w="1252" w:type="dxa"/>
            <w:vMerge/>
            <w:tcBorders>
              <w:left w:val="single" w:sz="6" w:space="0" w:color="000000"/>
              <w:bottom w:val="single" w:sz="6" w:space="0" w:color="000000"/>
              <w:right w:val="single" w:sz="6" w:space="0" w:color="000000"/>
            </w:tcBorders>
          </w:tcPr>
          <w:p>
            <w:pPr/>
          </w:p>
        </w:tc>
        <w:tc>
          <w:tcPr>
            <w:tcW w:w="1835" w:type="dxa"/>
            <w:vMerge/>
            <w:tcBorders>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71" w:right="0"/>
              <w:jc w:val="left"/>
              <w:rPr>
                <w:rFonts w:ascii="宋体" w:hAnsi="宋体" w:cs="宋体" w:eastAsia="宋体" w:hint="default"/>
                <w:sz w:val="20"/>
                <w:szCs w:val="20"/>
              </w:rPr>
            </w:pPr>
            <w:r>
              <w:rPr>
                <w:rFonts w:ascii="宋体" w:hAnsi="宋体" w:cs="宋体" w:eastAsia="宋体" w:hint="default"/>
                <w:sz w:val="20"/>
                <w:szCs w:val="20"/>
              </w:rPr>
              <w:t>对利润的影响</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13" w:right="0"/>
              <w:jc w:val="left"/>
              <w:rPr>
                <w:rFonts w:ascii="宋体" w:hAnsi="宋体" w:cs="宋体" w:eastAsia="宋体" w:hint="default"/>
                <w:sz w:val="20"/>
                <w:szCs w:val="20"/>
              </w:rPr>
            </w:pPr>
            <w:r>
              <w:rPr>
                <w:rFonts w:ascii="宋体" w:hAnsi="宋体" w:cs="宋体" w:eastAsia="宋体" w:hint="default"/>
                <w:sz w:val="20"/>
                <w:szCs w:val="20"/>
              </w:rPr>
              <w:t>对股东权益的影响</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72" w:right="0"/>
              <w:jc w:val="left"/>
              <w:rPr>
                <w:rFonts w:ascii="宋体" w:hAnsi="宋体" w:cs="宋体" w:eastAsia="宋体" w:hint="default"/>
                <w:sz w:val="20"/>
                <w:szCs w:val="20"/>
              </w:rPr>
            </w:pPr>
            <w:r>
              <w:rPr>
                <w:rFonts w:ascii="宋体" w:hAnsi="宋体" w:cs="宋体" w:eastAsia="宋体" w:hint="default"/>
                <w:sz w:val="20"/>
                <w:szCs w:val="20"/>
              </w:rPr>
              <w:t>对利润的影响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38"/>
              <w:jc w:val="right"/>
              <w:rPr>
                <w:rFonts w:ascii="宋体" w:hAnsi="宋体" w:cs="宋体" w:eastAsia="宋体" w:hint="default"/>
                <w:sz w:val="20"/>
                <w:szCs w:val="20"/>
              </w:rPr>
            </w:pPr>
            <w:r>
              <w:rPr>
                <w:rFonts w:ascii="宋体" w:hAnsi="宋体" w:cs="宋体" w:eastAsia="宋体" w:hint="default"/>
                <w:spacing w:val="-1"/>
                <w:sz w:val="20"/>
                <w:szCs w:val="20"/>
              </w:rPr>
              <w:t>对股东权益的影响</w:t>
            </w:r>
          </w:p>
        </w:tc>
      </w:tr>
      <w:tr>
        <w:trPr>
          <w:trHeight w:val="348" w:hRule="exact"/>
        </w:trPr>
        <w:tc>
          <w:tcPr>
            <w:tcW w:w="1252" w:type="dxa"/>
            <w:vMerge w:val="restart"/>
            <w:tcBorders>
              <w:top w:val="single" w:sz="6" w:space="0" w:color="000000"/>
              <w:left w:val="single" w:sz="6" w:space="0" w:color="000000"/>
              <w:right w:val="single" w:sz="6" w:space="0" w:color="000000"/>
            </w:tcBorders>
          </w:tcPr>
          <w:p>
            <w:pPr>
              <w:pStyle w:val="TableParagraph"/>
              <w:spacing w:line="285" w:lineRule="auto" w:before="5"/>
              <w:ind w:left="417" w:right="16" w:hanging="400"/>
              <w:jc w:val="left"/>
              <w:rPr>
                <w:rFonts w:ascii="宋体" w:hAnsi="宋体" w:cs="宋体" w:eastAsia="宋体" w:hint="default"/>
                <w:sz w:val="20"/>
                <w:szCs w:val="20"/>
              </w:rPr>
            </w:pPr>
            <w:r>
              <w:rPr>
                <w:rFonts w:ascii="宋体" w:hAnsi="宋体" w:cs="宋体" w:eastAsia="宋体" w:hint="default"/>
                <w:sz w:val="20"/>
                <w:szCs w:val="20"/>
              </w:rPr>
              <w:t>现金及现金等</w:t>
            </w:r>
            <w:r>
              <w:rPr>
                <w:rFonts w:ascii="宋体" w:hAnsi="宋体" w:cs="宋体" w:eastAsia="宋体" w:hint="default"/>
                <w:w w:val="100"/>
                <w:sz w:val="20"/>
                <w:szCs w:val="20"/>
              </w:rPr>
              <w:t> </w:t>
            </w:r>
            <w:r>
              <w:rPr>
                <w:rFonts w:ascii="宋体" w:hAnsi="宋体" w:cs="宋体" w:eastAsia="宋体" w:hint="default"/>
                <w:sz w:val="20"/>
                <w:szCs w:val="20"/>
              </w:rPr>
              <w:t>价物</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对人民币升值</w:t>
            </w:r>
            <w:r>
              <w:rPr>
                <w:rFonts w:ascii="Times New Roman" w:hAnsi="Times New Roman" w:cs="Times New Roman" w:eastAsia="Times New Roman" w:hint="default"/>
                <w:sz w:val="20"/>
                <w:szCs w:val="20"/>
              </w:rPr>
              <w:t>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-1,802,929.36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-1,802,929.36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-872,879.03</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-872,879.03</w:t>
            </w:r>
          </w:p>
        </w:tc>
      </w:tr>
      <w:tr>
        <w:trPr>
          <w:trHeight w:val="347" w:hRule="exact"/>
        </w:trPr>
        <w:tc>
          <w:tcPr>
            <w:tcW w:w="1252" w:type="dxa"/>
            <w:vMerge/>
            <w:tcBorders>
              <w:left w:val="single" w:sz="6" w:space="0" w:color="000000"/>
              <w:bottom w:val="single" w:sz="6" w:space="0" w:color="000000"/>
              <w:right w:val="single" w:sz="6" w:space="0" w:color="000000"/>
            </w:tcBorders>
          </w:tcPr>
          <w:p>
            <w:pP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对人民币贬值</w:t>
            </w:r>
            <w:r>
              <w:rPr>
                <w:rFonts w:ascii="Times New Roman" w:hAnsi="Times New Roman" w:cs="Times New Roman" w:eastAsia="Times New Roman" w:hint="default"/>
                <w:sz w:val="20"/>
                <w:szCs w:val="20"/>
              </w:rPr>
              <w:t>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1,802,929.36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1,802,929.36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872,879.03</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872,879.03</w:t>
            </w:r>
          </w:p>
        </w:tc>
      </w:tr>
      <w:tr>
        <w:trPr>
          <w:trHeight w:val="347" w:hRule="exact"/>
        </w:trPr>
        <w:tc>
          <w:tcPr>
            <w:tcW w:w="1252" w:type="dxa"/>
            <w:vMerge w:val="restart"/>
            <w:tcBorders>
              <w:top w:val="single" w:sz="6" w:space="0" w:color="000000"/>
              <w:left w:val="single" w:sz="6" w:space="0" w:color="000000"/>
              <w:right w:val="single" w:sz="6" w:space="0" w:color="000000"/>
            </w:tcBorders>
          </w:tcPr>
          <w:p>
            <w:pPr>
              <w:pStyle w:val="TableParagraph"/>
              <w:spacing w:line="240" w:lineRule="auto" w:before="5"/>
              <w:ind w:left="217"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对人民币升值</w:t>
            </w:r>
            <w:r>
              <w:rPr>
                <w:rFonts w:ascii="Times New Roman" w:hAnsi="Times New Roman" w:cs="Times New Roman" w:eastAsia="Times New Roman" w:hint="default"/>
                <w:sz w:val="20"/>
                <w:szCs w:val="20"/>
              </w:rPr>
              <w:t>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-1,223,962.81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-1,223,962.81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-1,374,337.77</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-1,374,337.77</w:t>
            </w:r>
          </w:p>
        </w:tc>
      </w:tr>
      <w:tr>
        <w:trPr>
          <w:trHeight w:val="347" w:hRule="exact"/>
        </w:trPr>
        <w:tc>
          <w:tcPr>
            <w:tcW w:w="1252" w:type="dxa"/>
            <w:vMerge/>
            <w:tcBorders>
              <w:left w:val="single" w:sz="6" w:space="0" w:color="000000"/>
              <w:bottom w:val="single" w:sz="6" w:space="0" w:color="000000"/>
              <w:right w:val="single" w:sz="6" w:space="0" w:color="000000"/>
            </w:tcBorders>
          </w:tcPr>
          <w:p>
            <w:pP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对人民币贬值</w:t>
            </w:r>
            <w:r>
              <w:rPr>
                <w:rFonts w:ascii="Times New Roman" w:hAnsi="Times New Roman" w:cs="Times New Roman" w:eastAsia="Times New Roman" w:hint="default"/>
                <w:sz w:val="20"/>
                <w:szCs w:val="20"/>
              </w:rPr>
              <w:t>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1,223,962.81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1,223,962.81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1,374,337.77</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1,374,337.77</w:t>
            </w:r>
          </w:p>
        </w:tc>
      </w:tr>
      <w:tr>
        <w:trPr>
          <w:trHeight w:val="347" w:hRule="exact"/>
        </w:trPr>
        <w:tc>
          <w:tcPr>
            <w:tcW w:w="1252" w:type="dxa"/>
            <w:vMerge w:val="restart"/>
            <w:tcBorders>
              <w:top w:val="single" w:sz="6" w:space="0" w:color="000000"/>
              <w:left w:val="single" w:sz="6" w:space="0" w:color="000000"/>
              <w:right w:val="single" w:sz="6" w:space="0" w:color="000000"/>
            </w:tcBorders>
          </w:tcPr>
          <w:p>
            <w:pPr>
              <w:pStyle w:val="TableParagraph"/>
              <w:spacing w:line="240" w:lineRule="auto" w:before="5"/>
              <w:ind w:left="217"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对人民币升值</w:t>
            </w:r>
            <w:r>
              <w:rPr>
                <w:rFonts w:ascii="Times New Roman" w:hAnsi="Times New Roman" w:cs="Times New Roman" w:eastAsia="Times New Roman" w:hint="default"/>
                <w:sz w:val="20"/>
                <w:szCs w:val="20"/>
              </w:rPr>
              <w:t>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191,763.19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191,763.19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231,630.80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231,630.80</w:t>
            </w:r>
          </w:p>
        </w:tc>
      </w:tr>
      <w:tr>
        <w:trPr>
          <w:trHeight w:val="348" w:hRule="exact"/>
        </w:trPr>
        <w:tc>
          <w:tcPr>
            <w:tcW w:w="1252" w:type="dxa"/>
            <w:vMerge/>
            <w:tcBorders>
              <w:left w:val="single" w:sz="6" w:space="0" w:color="000000"/>
              <w:bottom w:val="single" w:sz="6" w:space="0" w:color="000000"/>
              <w:right w:val="single" w:sz="6" w:space="0" w:color="000000"/>
            </w:tcBorders>
          </w:tcPr>
          <w:p>
            <w:pP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对人民币贬值</w:t>
            </w:r>
            <w:r>
              <w:rPr>
                <w:rFonts w:ascii="Times New Roman" w:hAnsi="Times New Roman" w:cs="Times New Roman" w:eastAsia="Times New Roman" w:hint="default"/>
                <w:sz w:val="20"/>
                <w:szCs w:val="20"/>
              </w:rPr>
              <w:t>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-191,763.19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-191,763.19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w:t>
            </w:r>
            <w:r>
              <w:rPr>
                <w:rFonts w:ascii="Times New Roman"/>
                <w:spacing w:val="-2"/>
                <w:sz w:val="20"/>
              </w:rPr>
              <w:t> </w:t>
            </w:r>
            <w:r>
              <w:rPr>
                <w:rFonts w:ascii="Times New Roman"/>
                <w:sz w:val="20"/>
              </w:rPr>
              <w:t>231,630.80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w:t>
            </w:r>
            <w:r>
              <w:rPr>
                <w:rFonts w:ascii="Times New Roman"/>
                <w:spacing w:val="-2"/>
                <w:sz w:val="20"/>
              </w:rPr>
              <w:t> </w:t>
            </w:r>
            <w:r>
              <w:rPr>
                <w:rFonts w:ascii="Times New Roman"/>
                <w:sz w:val="20"/>
              </w:rPr>
              <w:t>231,630.80</w:t>
            </w:r>
          </w:p>
        </w:tc>
      </w:tr>
    </w:tbl>
    <w:p>
      <w:pPr>
        <w:pStyle w:val="BodyText"/>
        <w:spacing w:line="240" w:lineRule="auto" w:before="51"/>
        <w:ind w:left="444" w:right="0"/>
        <w:jc w:val="left"/>
      </w:pPr>
      <w:r>
        <w:rPr/>
        <w:t>（</w:t>
      </w:r>
      <w:r>
        <w:rPr>
          <w:rFonts w:ascii="Times New Roman" w:hAnsi="Times New Roman" w:cs="Times New Roman" w:eastAsia="Times New Roman" w:hint="default"/>
        </w:rPr>
        <w:t>2</w:t>
      </w:r>
      <w:r>
        <w:rPr/>
        <w:t>）利率风险</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444" w:right="0"/>
        <w:jc w:val="left"/>
      </w:pPr>
      <w:r>
        <w:rPr/>
        <w:t>本公司期末无借款，无因利率变动引起金融工具现金流量变动的风险。</w:t>
      </w:r>
    </w:p>
    <w:p>
      <w:pPr>
        <w:pStyle w:val="BodyText"/>
        <w:spacing w:line="348" w:lineRule="auto" w:before="116"/>
        <w:ind w:left="444" w:right="8482"/>
        <w:jc w:val="left"/>
      </w:pPr>
      <w:r>
        <w:rPr/>
        <w:t>（</w:t>
      </w:r>
      <w:r>
        <w:rPr>
          <w:rFonts w:ascii="Times New Roman" w:hAnsi="Times New Roman" w:cs="Times New Roman" w:eastAsia="Times New Roman" w:hint="default"/>
        </w:rPr>
        <w:t>3</w:t>
      </w:r>
      <w:r>
        <w:rPr/>
        <w:t>）其他价格风险 本公司无其他价格风险。 </w:t>
      </w:r>
      <w:r>
        <w:rPr>
          <w:rFonts w:ascii="Times New Roman" w:hAnsi="Times New Roman" w:cs="Times New Roman" w:eastAsia="Times New Roman" w:hint="default"/>
        </w:rPr>
        <w:t>2.</w:t>
      </w:r>
      <w:r>
        <w:rPr/>
        <w:t>信用风险</w:t>
      </w:r>
    </w:p>
    <w:p>
      <w:pPr>
        <w:pStyle w:val="BodyText"/>
        <w:spacing w:line="302" w:lineRule="auto" w:before="12"/>
        <w:ind w:left="154" w:right="1131"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日，可能引起本公司财务损失的最大信用风险敞口主要来自于合同另一方未能履行义务而导致本公司金融</w:t>
      </w:r>
      <w:r>
        <w:rPr/>
        <w:t> 资产产生的损失以及本公司承担的财务担保，具体包括：</w:t>
      </w:r>
    </w:p>
    <w:p>
      <w:pPr>
        <w:pStyle w:val="BodyText"/>
        <w:spacing w:line="319" w:lineRule="auto" w:before="69"/>
        <w:ind w:left="154" w:right="1050" w:firstLine="360"/>
        <w:jc w:val="both"/>
      </w:pPr>
      <w:r>
        <w:rPr/>
        <w:t>合并资产负债表中已确认的金融资产的账面金额；对于以公允价值计量的金融工具而言，账面价值反映了其风险敞口， 但并非最大风险敞口，其最大风险敞口将随着未来公允价值的变化而改变。</w:t>
      </w:r>
    </w:p>
    <w:p>
      <w:pPr>
        <w:pStyle w:val="BodyText"/>
        <w:spacing w:line="319" w:lineRule="auto" w:before="55"/>
        <w:ind w:right="1132" w:firstLine="290"/>
        <w:jc w:val="both"/>
      </w:pPr>
      <w:r>
        <w:rPr>
          <w:spacing w:val="-1"/>
        </w:rPr>
        <w:t>为降低信用风险，本公司设立专门岗位负责确定信用额度、进行信用审批，并执行其他监控程序以确保采取必要的措施</w:t>
      </w:r>
      <w:r>
        <w:rPr/>
        <w:t> </w:t>
      </w:r>
      <w:r>
        <w:rPr>
          <w:spacing w:val="-2"/>
        </w:rPr>
        <w:t>回收过期债权；此外，本公司于每个资产负债表日审核每一单项应收款的回收情况，以确保就无法回收的款项计提充分的坏</w:t>
      </w:r>
      <w:r>
        <w:rPr>
          <w:spacing w:val="-66"/>
        </w:rPr>
        <w:t> </w:t>
      </w:r>
      <w:r>
        <w:rPr>
          <w:spacing w:val="-66"/>
        </w:rPr>
      </w:r>
      <w:r>
        <w:rPr/>
        <w:t>账准备。因此，本公司管理层认为本公司所承担的信用风险已经大为降低。</w:t>
      </w:r>
    </w:p>
    <w:p>
      <w:pPr>
        <w:pStyle w:val="BodyText"/>
        <w:spacing w:line="240" w:lineRule="auto" w:before="56"/>
        <w:ind w:left="444" w:right="0"/>
        <w:jc w:val="left"/>
      </w:pPr>
      <w:r>
        <w:rPr/>
        <w:t>本公司的流动资金存放在信用评级较高的银行，故流动资金的信用风险较低。</w:t>
      </w:r>
    </w:p>
    <w:p>
      <w:pPr>
        <w:pStyle w:val="BodyText"/>
        <w:spacing w:line="328" w:lineRule="auto" w:before="117"/>
        <w:ind w:left="513" w:right="1118" w:hanging="70"/>
        <w:jc w:val="left"/>
      </w:pPr>
      <w:r>
        <w:rPr>
          <w:rFonts w:ascii="Times New Roman" w:hAnsi="Times New Roman" w:cs="Times New Roman" w:eastAsia="Times New Roman" w:hint="default"/>
        </w:rPr>
        <w:t>3.</w:t>
      </w:r>
      <w:r>
        <w:rPr/>
        <w:t>流动风险 </w:t>
      </w:r>
      <w:r>
        <w:rPr>
          <w:spacing w:val="-2"/>
        </w:rPr>
        <w:t>管理流动风险时，本公司保持管理层认为充分的现金及现金等价物并对其进行监控，以满足本公司经营需要，并降低现</w:t>
      </w:r>
      <w:r>
        <w:rPr/>
        <w:t> 金流量波动的影响。</w:t>
      </w:r>
    </w:p>
    <w:p>
      <w:pPr>
        <w:pStyle w:val="BodyText"/>
        <w:spacing w:line="360" w:lineRule="auto" w:before="49"/>
        <w:ind w:left="513" w:right="2833"/>
        <w:jc w:val="left"/>
      </w:pPr>
      <w:r>
        <w:rPr/>
        <w:t>本公司无银行借款。 于资产负债表日，本公司各项金融资产及金融负债以未折现的合同现金流量按到期日列示如下：</w:t>
      </w:r>
    </w:p>
    <w:tbl>
      <w:tblPr>
        <w:tblW w:w="0" w:type="auto"/>
        <w:jc w:val="left"/>
        <w:tblInd w:w="146" w:type="dxa"/>
        <w:tblLayout w:type="fixed"/>
        <w:tblCellMar>
          <w:top w:w="0" w:type="dxa"/>
          <w:left w:w="0" w:type="dxa"/>
          <w:bottom w:w="0" w:type="dxa"/>
          <w:right w:w="0" w:type="dxa"/>
        </w:tblCellMar>
        <w:tblLook w:val="01E0"/>
      </w:tblPr>
      <w:tblGrid>
        <w:gridCol w:w="2026"/>
        <w:gridCol w:w="1615"/>
        <w:gridCol w:w="1522"/>
        <w:gridCol w:w="1464"/>
        <w:gridCol w:w="1464"/>
        <w:gridCol w:w="1764"/>
      </w:tblGrid>
      <w:tr>
        <w:trPr>
          <w:trHeight w:val="34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0"/>
                <w:sz w:val="20"/>
                <w:szCs w:val="20"/>
              </w:rPr>
              <w:t> </w:t>
            </w:r>
            <w:r>
              <w:rPr>
                <w:rFonts w:ascii="宋体" w:hAnsi="宋体" w:cs="宋体" w:eastAsia="宋体" w:hint="default"/>
                <w:sz w:val="20"/>
                <w:szCs w:val="20"/>
              </w:rPr>
              <w:t>目</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5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7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年以上</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合计</w:t>
            </w:r>
          </w:p>
        </w:tc>
      </w:tr>
      <w:tr>
        <w:trPr>
          <w:trHeight w:val="34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非衍金融资产</w:t>
            </w:r>
          </w:p>
        </w:tc>
        <w:tc>
          <w:tcPr>
            <w:tcW w:w="161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货币资金</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953,702,887.72</w:t>
            </w: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953,702,887.72</w:t>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应收票据</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43,470,917.05</w:t>
            </w: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43,470,917.05</w:t>
            </w:r>
          </w:p>
        </w:tc>
      </w:tr>
      <w:tr>
        <w:trPr>
          <w:trHeight w:val="34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应收账款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422,049,425.80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849,317.8</w:t>
            </w: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1,710,462.43</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424,609,206.03</w:t>
            </w:r>
          </w:p>
        </w:tc>
      </w:tr>
      <w:tr>
        <w:trPr>
          <w:trHeight w:val="34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预付账款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5,414,941.63</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766,281.95</w:t>
            </w: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6,181,223.58</w:t>
            </w:r>
          </w:p>
        </w:tc>
      </w:tr>
      <w:tr>
        <w:trPr>
          <w:trHeight w:val="34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17,196,115.54</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2,400,000.00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1,000,000.00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1,485,050.00</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22,081,165.54</w:t>
            </w:r>
          </w:p>
        </w:tc>
      </w:tr>
      <w:tr>
        <w:trPr>
          <w:trHeight w:val="34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1,441,834,287.74</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4,015,599.75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1,000,000.00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3,195,512.43</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1,450,045,399.92</w:t>
            </w:r>
          </w:p>
        </w:tc>
      </w:tr>
      <w:tr>
        <w:trPr>
          <w:trHeight w:val="34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非衍金融负债：</w:t>
            </w:r>
          </w:p>
        </w:tc>
        <w:tc>
          <w:tcPr>
            <w:tcW w:w="161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应付票据</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217,935,866.81</w:t>
            </w: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217,935,866.81</w:t>
            </w:r>
          </w:p>
        </w:tc>
      </w:tr>
      <w:tr>
        <w:trPr>
          <w:trHeight w:val="34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应付账款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242,321,132.07</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35,467,332.98</w:t>
            </w: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277,788,465.05</w:t>
            </w:r>
          </w:p>
        </w:tc>
      </w:tr>
      <w:tr>
        <w:trPr>
          <w:trHeight w:val="34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预收账款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6,574,275.68</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1,615,801.51</w:t>
            </w: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8,190,077.19</w:t>
            </w:r>
          </w:p>
        </w:tc>
      </w:tr>
      <w:tr>
        <w:trPr>
          <w:trHeight w:val="34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其他应付款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4,010,264.52</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123,809,566.29</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2,665.00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36,650.00</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127,859,145.81</w:t>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470,841,539.08</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160,892,700.78</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2,665.00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36,650.00</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631,773,554.86</w:t>
            </w:r>
          </w:p>
        </w:tc>
      </w:tr>
    </w:tbl>
    <w:p>
      <w:pPr>
        <w:spacing w:line="240" w:lineRule="auto" w:before="6"/>
        <w:rPr>
          <w:rFonts w:ascii="宋体" w:hAnsi="宋体" w:cs="宋体" w:eastAsia="宋体" w:hint="default"/>
          <w:sz w:val="28"/>
          <w:szCs w:val="28"/>
        </w:rPr>
      </w:pPr>
    </w:p>
    <w:p>
      <w:pPr>
        <w:pStyle w:val="BodyText"/>
        <w:spacing w:line="360" w:lineRule="auto" w:before="44"/>
        <w:ind w:left="444" w:right="6502"/>
        <w:jc w:val="left"/>
      </w:pPr>
      <w:r>
        <w:rPr/>
        <w:t>（二）金融资产转移 本公司本年度未发生与金融资产转移有关的事项。</w:t>
      </w:r>
    </w:p>
    <w:p>
      <w:pPr>
        <w:pStyle w:val="BodyText"/>
        <w:spacing w:line="240" w:lineRule="auto" w:before="26"/>
        <w:ind w:left="444" w:right="0"/>
        <w:jc w:val="left"/>
      </w:pPr>
      <w:r>
        <w:rPr/>
        <w:t>（三）金融资产与金融负债的抵销</w:t>
      </w:r>
    </w:p>
    <w:p>
      <w:pPr>
        <w:spacing w:line="240" w:lineRule="auto" w:before="0"/>
        <w:rPr>
          <w:rFonts w:ascii="宋体" w:hAnsi="宋体" w:cs="宋体" w:eastAsia="宋体" w:hint="default"/>
          <w:sz w:val="25"/>
          <w:szCs w:val="25"/>
        </w:rPr>
      </w:pPr>
    </w:p>
    <w:p>
      <w:pPr>
        <w:pStyle w:val="Heading2"/>
        <w:spacing w:line="240" w:lineRule="auto"/>
        <w:ind w:left="154" w:right="0"/>
        <w:jc w:val="left"/>
        <w:rPr>
          <w:b w:val="0"/>
          <w:bCs w:val="0"/>
        </w:rPr>
      </w:pPr>
      <w:bookmarkStart w:name="十一、公允价值的披露" w:id="373"/>
      <w:bookmarkEnd w:id="373"/>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374"/>
      <w:bookmarkEnd w:id="374"/>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持续和非持续第一层次公允价值计量项目市价的确定依据" w:id="375"/>
      <w:bookmarkEnd w:id="375"/>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376"/>
      <w:bookmarkEnd w:id="376"/>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377"/>
      <w:bookmarkEnd w:id="377"/>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上可观察参数" w:id="378"/>
      <w:bookmarkEnd w:id="378"/>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379"/>
      <w:bookmarkEnd w:id="379"/>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380"/>
      <w:bookmarkEnd w:id="380"/>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上以公允价值计量的金融资产和金融负债的公允价值情况" w:id="381"/>
      <w:bookmarkEnd w:id="381"/>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9"/>
        <w:rPr>
          <w:rFonts w:ascii="宋体" w:hAnsi="宋体" w:cs="宋体" w:eastAsia="宋体" w:hint="default"/>
          <w:b/>
          <w:bCs/>
          <w:sz w:val="24"/>
          <w:szCs w:val="24"/>
        </w:rPr>
      </w:pPr>
    </w:p>
    <w:p>
      <w:pPr>
        <w:spacing w:line="487" w:lineRule="auto" w:before="0"/>
        <w:ind w:left="154" w:right="8052" w:firstLine="0"/>
        <w:jc w:val="left"/>
        <w:rPr>
          <w:rFonts w:ascii="宋体" w:hAnsi="宋体" w:cs="宋体" w:eastAsia="宋体" w:hint="default"/>
          <w:sz w:val="21"/>
          <w:szCs w:val="21"/>
        </w:rPr>
      </w:pPr>
      <w:bookmarkStart w:name="9、其他" w:id="382"/>
      <w:bookmarkEnd w:id="38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383"/>
      <w:bookmarkEnd w:id="38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384"/>
      <w:bookmarkEnd w:id="38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49.15%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49.15%</w:t>
            </w:r>
          </w:p>
        </w:tc>
      </w:tr>
    </w:tbl>
    <w:p>
      <w:pPr>
        <w:pStyle w:val="BodyText"/>
        <w:spacing w:line="357" w:lineRule="auto" w:before="51"/>
        <w:ind w:left="444" w:right="0" w:hanging="291"/>
        <w:jc w:val="left"/>
      </w:pPr>
      <w:r>
        <w:rPr/>
        <w:t>本企业的母公司情况的说明 </w:t>
      </w:r>
      <w:r>
        <w:rPr>
          <w:spacing w:val="-1"/>
        </w:rPr>
        <w:t>王海鹏先生，男，</w:t>
      </w:r>
      <w:r>
        <w:rPr>
          <w:rFonts w:ascii="Times New Roman" w:hAnsi="Times New Roman" w:cs="Times New Roman" w:eastAsia="Times New Roman" w:hint="default"/>
          <w:spacing w:val="-1"/>
        </w:rPr>
        <w:t>1971</w:t>
      </w:r>
      <w:r>
        <w:rPr>
          <w:spacing w:val="-1"/>
        </w:rPr>
        <w:t>年生，中国国籍，无永久境外居留权，工商管理硕士。</w:t>
      </w:r>
      <w:r>
        <w:rPr>
          <w:rFonts w:ascii="Times New Roman" w:hAnsi="Times New Roman" w:cs="Times New Roman" w:eastAsia="Times New Roman" w:hint="default"/>
          <w:spacing w:val="-1"/>
        </w:rPr>
        <w:t>2000</w:t>
      </w:r>
      <w:r>
        <w:rPr>
          <w:spacing w:val="-1"/>
        </w:rPr>
        <w:t>年创办公司前身深圳市美盈森环保包</w:t>
      </w:r>
    </w:p>
    <w:p>
      <w:pPr>
        <w:pStyle w:val="BodyText"/>
        <w:spacing w:line="201" w:lineRule="exact"/>
        <w:ind w:right="0"/>
        <w:jc w:val="left"/>
      </w:pPr>
      <w:r>
        <w:rPr/>
        <w:t>装技术有限公司并历任董事长。现任公司董事长兼总经理，中国包装联合会副会长、东莞市环保包装行业协会会长，并兼任</w:t>
      </w:r>
    </w:p>
    <w:p>
      <w:pPr>
        <w:pStyle w:val="BodyText"/>
        <w:spacing w:line="316" w:lineRule="auto" w:before="76"/>
        <w:ind w:right="1033"/>
        <w:jc w:val="left"/>
      </w:pPr>
      <w:r>
        <w:rPr>
          <w:spacing w:val="-4"/>
        </w:rPr>
        <w:t>东莞市美盈森环保科技有限公司董事长、美盈森（香港）国际控股有限公司董事、中山市美盈森环保科技有限公司执行董事、</w:t>
      </w:r>
      <w:r>
        <w:rPr>
          <w:spacing w:val="-46"/>
        </w:rPr>
        <w:t> </w:t>
      </w:r>
      <w:r>
        <w:rPr>
          <w:spacing w:val="-46"/>
        </w:rPr>
      </w:r>
      <w:r>
        <w:rPr>
          <w:spacing w:val="-2"/>
        </w:rPr>
        <w:t>苏州美盈森环保科技有限公司执行董事、重庆市美盈森环保包装工程有限公司执行董事、武汉市美盈森环保科技有限公司执</w:t>
      </w:r>
      <w:r>
        <w:rPr>
          <w:spacing w:val="-63"/>
        </w:rPr>
        <w:t> </w:t>
      </w:r>
      <w:r>
        <w:rPr>
          <w:spacing w:val="-63"/>
        </w:rPr>
      </w:r>
      <w:r>
        <w:rPr/>
        <w:t>行董事、成都市美盈森环保科技有限公司执行董事、广东佳宝隆科技有限公司董事、广州信联智通实业股份有限公司董事、 深圳市金之彩文化创意有限公司董事。</w:t>
      </w:r>
    </w:p>
    <w:p>
      <w:pPr>
        <w:pStyle w:val="BodyText"/>
        <w:spacing w:line="240" w:lineRule="auto" w:before="59"/>
        <w:ind w:right="0"/>
        <w:jc w:val="left"/>
      </w:pPr>
      <w:r>
        <w:rPr/>
        <w:t>注：实际控制人的认定按照《上市公司收购管理办法》的规定。</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357" w:lineRule="auto"/>
        <w:ind w:left="154" w:right="8412"/>
        <w:jc w:val="left"/>
      </w:pPr>
      <w:r>
        <w:rPr/>
        <w:t>本企业最终控制方是王海鹏。 其他说明：</w:t>
      </w:r>
    </w:p>
    <w:p>
      <w:pPr>
        <w:pStyle w:val="BodyText"/>
        <w:spacing w:line="240" w:lineRule="auto" w:before="28"/>
        <w:ind w:left="154" w:right="0"/>
        <w:jc w:val="left"/>
      </w:pPr>
      <w:r>
        <w:rPr/>
        <w:t>无</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本企业的子公司情况" w:id="385"/>
      <w:bookmarkEnd w:id="385"/>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本企业子公司的情况详见附注九、在子公司中的权益之说明。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本企业合营和联营企业情况" w:id="386"/>
      <w:bookmarkEnd w:id="386"/>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293"/>
        <w:jc w:val="left"/>
      </w:pPr>
      <w:r>
        <w:rPr/>
        <w:t>本企业重要的合营或联营企业详见附注九、在合营安排或联营企业中的权益之说明。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四川金剑包装制品有限公司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357" w:lineRule="auto" w:before="68"/>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其他关联方情况" w:id="387"/>
      <w:bookmarkEnd w:id="38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广东佳宝隆科技有限公司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公司关联自然人王海鹏先生控制的企业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东莞市海升科技有限公司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公司关联自然人王海鹏先生控制企业的子公司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广州信联智通实业股份有限公司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公司关联自然人王海鹏先生担任董事的关联法人</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关联交易情况" w:id="388"/>
      <w:bookmarkEnd w:id="38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89"/>
      <w:bookmarkEnd w:id="38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广东佳宝隆科技有限公司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7,078,051.44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1,524,334.92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东莞市海升科技有限公司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86,105.60</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7332"/>
        <w:jc w:val="left"/>
      </w:pPr>
      <w:r>
        <w:rPr/>
        <w:t>购销商品、提供和接受劳务的关联交易说明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关联受托管理/承包及委托管理/出包情况" w:id="390"/>
      <w:bookmarkEnd w:id="390"/>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340" w:lineRule="auto" w:before="51"/>
        <w:ind w:left="15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关联租赁情况" w:id="391"/>
      <w:bookmarkEnd w:id="391"/>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关联担保情况" w:id="392"/>
      <w:bookmarkEnd w:id="392"/>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关联担保情况说明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5）关联方资金拆借" w:id="393"/>
      <w:bookmarkEnd w:id="393"/>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资产转让、债务重组情况" w:id="394"/>
      <w:bookmarkEnd w:id="394"/>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键管理人员报酬" w:id="395"/>
      <w:bookmarkEnd w:id="395"/>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3,551,000.00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396"/>
      <w:bookmarkEnd w:id="396"/>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关联方应收应付款项" w:id="397"/>
      <w:bookmarkEnd w:id="39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98"/>
      <w:bookmarkEnd w:id="39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广东佳宝隆科技有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999,938.40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49,996.92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1,732,088.65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86,604.43</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东莞市海升科技有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100,743.55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5,037.18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399"/>
      <w:bookmarkEnd w:id="39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联方承诺" w:id="400"/>
      <w:bookmarkEnd w:id="400"/>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9"/>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401"/>
      <w:bookmarkEnd w:id="40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02"/>
      <w:bookmarkEnd w:id="402"/>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03"/>
      <w:bookmarkEnd w:id="40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以权益结算的股份支付情况" w:id="404"/>
      <w:bookmarkEnd w:id="40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以现金结算的股份支付情况" w:id="405"/>
      <w:bookmarkEnd w:id="40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股份支付的修改、终止情况" w:id="406"/>
      <w:bookmarkEnd w:id="406"/>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其他" w:id="407"/>
      <w:bookmarkEnd w:id="407"/>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四、承诺及或有事项" w:id="408"/>
      <w:bookmarkEnd w:id="408"/>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承诺事项" w:id="409"/>
      <w:bookmarkEnd w:id="409"/>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6432"/>
        <w:jc w:val="left"/>
      </w:pPr>
      <w:r>
        <w:rPr/>
        <w:t>资产负债表日存在的重要承诺 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日本公司无重大对外财务承诺事项。</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2、或有事项" w:id="410"/>
      <w:bookmarkEnd w:id="41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11"/>
      <w:bookmarkEnd w:id="41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公司没有需要披露的重要或有事项，也应予以说明" w:id="412"/>
      <w:bookmarkEnd w:id="41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其他" w:id="413"/>
      <w:bookmarkEnd w:id="413"/>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五、资产负债表日后事项" w:id="414"/>
      <w:bookmarkEnd w:id="414"/>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的非调整事项" w:id="415"/>
      <w:bookmarkEnd w:id="415"/>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416"/>
      <w:bookmarkEnd w:id="41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53,640,000.00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销售退回" w:id="417"/>
      <w:bookmarkEnd w:id="417"/>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9"/>
        <w:rPr>
          <w:rFonts w:ascii="宋体" w:hAnsi="宋体" w:cs="宋体" w:eastAsia="宋体" w:hint="default"/>
          <w:b/>
          <w:bCs/>
          <w:sz w:val="24"/>
          <w:szCs w:val="24"/>
        </w:rPr>
      </w:pPr>
    </w:p>
    <w:p>
      <w:pPr>
        <w:spacing w:line="487" w:lineRule="auto" w:before="0"/>
        <w:ind w:left="154" w:right="7695" w:firstLine="0"/>
        <w:jc w:val="left"/>
        <w:rPr>
          <w:rFonts w:ascii="宋体" w:hAnsi="宋体" w:cs="宋体" w:eastAsia="宋体" w:hint="default"/>
          <w:sz w:val="21"/>
          <w:szCs w:val="21"/>
        </w:rPr>
      </w:pPr>
      <w:bookmarkStart w:name="4、其他资产负债表日后事项说明" w:id="418"/>
      <w:bookmarkEnd w:id="41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19"/>
      <w:bookmarkEnd w:id="419"/>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20"/>
      <w:bookmarkEnd w:id="42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3"/>
        <w:ind w:right="0"/>
        <w:jc w:val="left"/>
        <w:rPr>
          <w:b w:val="0"/>
          <w:bCs w:val="0"/>
        </w:rPr>
      </w:pPr>
      <w:bookmarkStart w:name="（1）追溯重述法" w:id="421"/>
      <w:bookmarkEnd w:id="421"/>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未来适用法" w:id="422"/>
      <w:bookmarkEnd w:id="422"/>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left="153" w:right="0"/>
        <w:jc w:val="left"/>
        <w:rPr>
          <w:b w:val="0"/>
          <w:bCs w:val="0"/>
        </w:rPr>
      </w:pPr>
      <w:bookmarkStart w:name="2、债务重组" w:id="423"/>
      <w:bookmarkEnd w:id="423"/>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3、资产置换" w:id="424"/>
      <w:bookmarkEnd w:id="424"/>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非货币性资产交换" w:id="425"/>
      <w:bookmarkEnd w:id="425"/>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2）其他资产置换" w:id="426"/>
      <w:bookmarkEnd w:id="426"/>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年金计划" w:id="427"/>
      <w:bookmarkEnd w:id="427"/>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5、终止经营" w:id="428"/>
      <w:bookmarkEnd w:id="428"/>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分部信息" w:id="429"/>
      <w:bookmarkEnd w:id="429"/>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30"/>
      <w:bookmarkEnd w:id="430"/>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44" w:right="0"/>
        <w:jc w:val="left"/>
      </w:pPr>
      <w:r>
        <w:rPr/>
        <w:t>根据公司的销售特点，公司分为自制产品销售、第三方采购销售两部分，并执行统一会计政策。</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报告分部的财务信息" w:id="431"/>
      <w:bookmarkEnd w:id="431"/>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440"/>
        <w:gridCol w:w="2042"/>
        <w:gridCol w:w="2492"/>
        <w:gridCol w:w="1883"/>
      </w:tblGrid>
      <w:tr>
        <w:trPr>
          <w:trHeight w:val="347" w:hRule="exact"/>
        </w:trPr>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62" w:right="0"/>
              <w:jc w:val="left"/>
              <w:rPr>
                <w:rFonts w:ascii="宋体" w:hAnsi="宋体" w:cs="宋体" w:eastAsia="宋体" w:hint="default"/>
                <w:sz w:val="18"/>
                <w:szCs w:val="18"/>
              </w:rPr>
            </w:pPr>
            <w:r>
              <w:rPr>
                <w:rFonts w:ascii="宋体" w:hAnsi="宋体" w:cs="宋体" w:eastAsia="宋体" w:hint="default"/>
                <w:sz w:val="18"/>
                <w:szCs w:val="18"/>
              </w:rPr>
              <w:t>自制品销售</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99" w:right="0"/>
              <w:jc w:val="left"/>
              <w:rPr>
                <w:rFonts w:ascii="宋体" w:hAnsi="宋体" w:cs="宋体" w:eastAsia="宋体" w:hint="default"/>
                <w:sz w:val="18"/>
                <w:szCs w:val="18"/>
              </w:rPr>
            </w:pPr>
            <w:r>
              <w:rPr>
                <w:rFonts w:ascii="宋体" w:hAnsi="宋体" w:cs="宋体" w:eastAsia="宋体" w:hint="default"/>
                <w:sz w:val="18"/>
                <w:szCs w:val="18"/>
              </w:rPr>
              <w:t>第三采购销售</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r>
      <w:tr>
        <w:trPr>
          <w:trHeight w:val="347" w:hRule="exact"/>
        </w:trPr>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一、主营业务收入</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1,239,765,186.10</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305,886,417.02</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1,545,651,603.12</w:t>
            </w:r>
          </w:p>
        </w:tc>
      </w:tr>
      <w:tr>
        <w:trPr>
          <w:trHeight w:val="347" w:hRule="exact"/>
        </w:trPr>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二、主营业务成本</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798,468,306.29</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216,603,756.78</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1,015,072,063.07</w:t>
            </w:r>
          </w:p>
        </w:tc>
      </w:tr>
      <w:tr>
        <w:trPr>
          <w:trHeight w:val="347" w:hRule="exact"/>
        </w:trPr>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三、资产减值损失</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1,067,711.89</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263,435.83</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1,331,147.72</w:t>
            </w:r>
          </w:p>
        </w:tc>
      </w:tr>
      <w:tr>
        <w:trPr>
          <w:trHeight w:val="348" w:hRule="exact"/>
        </w:trPr>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四、折旧费和摊销费</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63,168,630.52</w:t>
            </w:r>
          </w:p>
        </w:tc>
        <w:tc>
          <w:tcPr>
            <w:tcW w:w="2492" w:type="dxa"/>
            <w:tcBorders>
              <w:top w:val="single" w:sz="6" w:space="0" w:color="000000"/>
              <w:left w:val="single" w:sz="6" w:space="0" w:color="000000"/>
              <w:bottom w:val="single" w:sz="6" w:space="0" w:color="000000"/>
              <w:right w:val="single" w:sz="6" w:space="0" w:color="000000"/>
            </w:tcBorders>
          </w:tcPr>
          <w:p>
            <w:pP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63,168,630.52</w:t>
            </w:r>
          </w:p>
        </w:tc>
      </w:tr>
      <w:tr>
        <w:trPr>
          <w:trHeight w:val="347" w:hRule="exact"/>
        </w:trPr>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五、利润总额</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251,251,903.23</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61,991,210.36</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313,243,113.59</w:t>
            </w:r>
          </w:p>
        </w:tc>
      </w:tr>
      <w:tr>
        <w:trPr>
          <w:trHeight w:val="347" w:hRule="exact"/>
        </w:trPr>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六、所得税费用</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36,634,607.64</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9,038,831.70</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45,673,439.34</w:t>
            </w:r>
          </w:p>
        </w:tc>
      </w:tr>
      <w:tr>
        <w:trPr>
          <w:trHeight w:val="348" w:hRule="exact"/>
        </w:trPr>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七、净利润</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214,617,295.59</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52,952,378.66</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267,569,674.25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left="153" w:right="0"/>
        <w:jc w:val="left"/>
        <w:rPr>
          <w:b w:val="0"/>
          <w:bCs w:val="0"/>
        </w:rPr>
      </w:pPr>
      <w:bookmarkStart w:name="（3）公司无报告分部的，或者上能披露各报告分部的资产总额和负债总额的，应说明原因" w:id="432"/>
      <w:bookmarkEnd w:id="432"/>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其他说明" w:id="433"/>
      <w:bookmarkEnd w:id="433"/>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7、其他对投资者决策有影响的重要交易和事项" w:id="434"/>
      <w:bookmarkEnd w:id="434"/>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6793" w:firstLine="0"/>
        <w:jc w:val="left"/>
        <w:rPr>
          <w:rFonts w:ascii="宋体" w:hAnsi="宋体" w:cs="宋体" w:eastAsia="宋体" w:hint="default"/>
          <w:sz w:val="21"/>
          <w:szCs w:val="21"/>
        </w:rPr>
      </w:pPr>
      <w:bookmarkStart w:name="8、其他" w:id="435"/>
      <w:bookmarkEnd w:id="43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36"/>
      <w:bookmarkEnd w:id="43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37"/>
      <w:bookmarkEnd w:id="437"/>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left="153" w:right="0"/>
        <w:jc w:val="left"/>
        <w:rPr>
          <w:b w:val="0"/>
          <w:bCs w:val="0"/>
        </w:rPr>
      </w:pPr>
      <w:bookmarkStart w:name="（1）应收账款分类披露" w:id="438"/>
      <w:bookmarkEnd w:id="43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164,831,</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933.40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7,779,15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9.82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157,052,7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73.58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144,887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,283.92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7,062,674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137,824,60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9.49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164,831,</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933.40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7,779,15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9.82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4.72%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157,052,7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73.58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144,887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,283.92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7,062,674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4.87%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137,824,60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9.49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155,583,196.44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7,779,159.82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155,583,196.44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7,779,159.82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155,583,196.44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7,779,159.82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bl>
    <w:p>
      <w:pPr>
        <w:pStyle w:val="BodyText"/>
        <w:spacing w:line="357" w:lineRule="auto" w:before="51"/>
        <w:ind w:left="15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4"/>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2808"/>
        <w:gridCol w:w="7062"/>
      </w:tblGrid>
      <w:tr>
        <w:trPr>
          <w:trHeight w:val="340" w:hRule="exact"/>
        </w:trPr>
        <w:tc>
          <w:tcPr>
            <w:tcW w:w="2808" w:type="dxa"/>
            <w:tcBorders>
              <w:top w:val="nil" w:sz="6" w:space="0" w:color="auto"/>
              <w:left w:val="nil" w:sz="6" w:space="0" w:color="auto"/>
              <w:bottom w:val="single" w:sz="6" w:space="0" w:color="000000"/>
              <w:right w:val="single" w:sz="6"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6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32" w:type="dxa"/>
        <w:tblLayout w:type="fixed"/>
        <w:tblCellMar>
          <w:top w:w="0" w:type="dxa"/>
          <w:left w:w="0" w:type="dxa"/>
          <w:bottom w:w="0" w:type="dxa"/>
          <w:right w:w="0" w:type="dxa"/>
        </w:tblCellMar>
        <w:tblLook w:val="01E0"/>
      </w:tblPr>
      <w:tblGrid>
        <w:gridCol w:w="2808"/>
        <w:gridCol w:w="2613"/>
        <w:gridCol w:w="2224"/>
        <w:gridCol w:w="2225"/>
      </w:tblGrid>
      <w:tr>
        <w:trPr>
          <w:trHeight w:val="340" w:hRule="exact"/>
        </w:trPr>
        <w:tc>
          <w:tcPr>
            <w:tcW w:w="2808" w:type="dxa"/>
            <w:tcBorders>
              <w:top w:val="nil" w:sz="6" w:space="0" w:color="auto"/>
              <w:left w:val="nil" w:sz="6" w:space="0" w:color="auto"/>
              <w:bottom w:val="single" w:sz="6" w:space="0" w:color="000000"/>
              <w:right w:val="single" w:sz="6"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合并范围内关联往来组合</w:t>
            </w:r>
          </w:p>
        </w:tc>
        <w:tc>
          <w:tcPr>
            <w:tcW w:w="261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2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37" w:hRule="exact"/>
        </w:trPr>
        <w:tc>
          <w:tcPr>
            <w:tcW w:w="2808" w:type="dxa"/>
            <w:tcBorders>
              <w:top w:val="single" w:sz="6" w:space="0" w:color="000000"/>
              <w:left w:val="nil" w:sz="6" w:space="0" w:color="auto"/>
              <w:bottom w:val="single" w:sz="6" w:space="0" w:color="000000"/>
              <w:right w:val="single" w:sz="6" w:space="0" w:color="000000"/>
            </w:tcBorders>
          </w:tcPr>
          <w:p>
            <w:pPr>
              <w:pStyle w:val="TableParagraph"/>
              <w:tabs>
                <w:tab w:pos="417" w:val="left" w:leader="none"/>
              </w:tabs>
              <w:spacing w:line="240" w:lineRule="auto" w:before="10"/>
              <w:ind w:left="20"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651" w:right="0"/>
              <w:jc w:val="left"/>
              <w:rPr>
                <w:rFonts w:ascii="Times New Roman" w:hAnsi="Times New Roman" w:cs="Times New Roman" w:eastAsia="Times New Roman" w:hint="default"/>
                <w:sz w:val="18"/>
                <w:szCs w:val="18"/>
              </w:rPr>
            </w:pPr>
            <w:r>
              <w:rPr>
                <w:rFonts w:ascii="Times New Roman"/>
                <w:sz w:val="18"/>
              </w:rPr>
              <w:t>9,248,736.96</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439"/>
      <w:bookmarkEnd w:id="43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7"/>
        <w:jc w:val="left"/>
      </w:pPr>
      <w:r>
        <w:rPr/>
        <w:t>本期计提坏账准备金额</w:t>
      </w:r>
      <w:r>
        <w:rPr>
          <w:spacing w:val="-46"/>
        </w:rPr>
        <w:t> </w:t>
      </w:r>
      <w:r>
        <w:rPr>
          <w:rFonts w:ascii="Times New Roman" w:hAnsi="Times New Roman" w:cs="Times New Roman" w:eastAsia="Times New Roman" w:hint="default"/>
        </w:rPr>
        <w:t>716,485.39</w:t>
      </w:r>
      <w:r>
        <w:rPr>
          <w:rFonts w:ascii="Times New Roman" w:hAnsi="Times New Roman" w:cs="Times New Roman" w:eastAsia="Times New Roman" w:hint="default"/>
          <w:spacing w:val="-1"/>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5915" w:space="291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应收账款情况" w:id="440"/>
      <w:bookmarkEnd w:id="44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left="154" w:right="9132"/>
        <w:jc w:val="left"/>
      </w:pPr>
      <w:r>
        <w:rPr/>
        <w:t>应收账款核销说明：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按欠款方归集的期末余额前五吊的应收账款情况" w:id="441"/>
      <w:bookmarkEnd w:id="44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2" w:type="dxa"/>
        <w:tblLayout w:type="fixed"/>
        <w:tblCellMar>
          <w:top w:w="0" w:type="dxa"/>
          <w:left w:w="0" w:type="dxa"/>
          <w:bottom w:w="0" w:type="dxa"/>
          <w:right w:w="0" w:type="dxa"/>
        </w:tblCellMar>
        <w:tblLook w:val="01E0"/>
      </w:tblPr>
      <w:tblGrid>
        <w:gridCol w:w="1683"/>
        <w:gridCol w:w="2550"/>
        <w:gridCol w:w="2694"/>
        <w:gridCol w:w="2943"/>
      </w:tblGrid>
      <w:tr>
        <w:trPr>
          <w:trHeight w:val="340" w:hRule="exact"/>
        </w:trPr>
        <w:tc>
          <w:tcPr>
            <w:tcW w:w="1683" w:type="dxa"/>
            <w:vMerge w:val="restart"/>
            <w:tcBorders>
              <w:top w:val="nil" w:sz="6" w:space="0" w:color="auto"/>
              <w:left w:val="nil" w:sz="6" w:space="0" w:color="auto"/>
              <w:right w:val="single" w:sz="6" w:space="0" w:color="000000"/>
            </w:tcBorders>
          </w:tcPr>
          <w:p>
            <w:pPr>
              <w:pStyle w:val="TableParagraph"/>
              <w:spacing w:line="240" w:lineRule="auto" w:before="5"/>
              <w:ind w:left="447"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8187" w:type="dxa"/>
            <w:gridSpan w:val="3"/>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期末数</w:t>
            </w:r>
          </w:p>
        </w:tc>
      </w:tr>
      <w:tr>
        <w:trPr>
          <w:trHeight w:val="337" w:hRule="exact"/>
        </w:trPr>
        <w:tc>
          <w:tcPr>
            <w:tcW w:w="1683" w:type="dxa"/>
            <w:vMerge/>
            <w:tcBorders>
              <w:left w:val="nil" w:sz="6" w:space="0" w:color="auto"/>
              <w:bottom w:val="single" w:sz="6" w:space="0" w:color="000000"/>
              <w:right w:val="single" w:sz="6" w:space="0" w:color="000000"/>
            </w:tcBorders>
          </w:tcPr>
          <w:p>
            <w:pP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338" w:right="0"/>
              <w:jc w:val="left"/>
              <w:rPr>
                <w:rFonts w:ascii="宋体" w:hAnsi="宋体" w:cs="宋体" w:eastAsia="宋体" w:hint="default"/>
                <w:sz w:val="20"/>
                <w:szCs w:val="20"/>
              </w:rPr>
            </w:pPr>
            <w:r>
              <w:rPr>
                <w:rFonts w:ascii="宋体" w:hAnsi="宋体" w:cs="宋体" w:eastAsia="宋体" w:hint="default"/>
                <w:sz w:val="20"/>
                <w:szCs w:val="20"/>
              </w:rPr>
              <w:t>占应收账款总额的比例</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坏账准备</w:t>
            </w:r>
          </w:p>
        </w:tc>
      </w:tr>
      <w:tr>
        <w:trPr>
          <w:trHeight w:val="337" w:hRule="exact"/>
        </w:trPr>
        <w:tc>
          <w:tcPr>
            <w:tcW w:w="1683"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客户一</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15,508,074.34</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z w:val="20"/>
              </w:rPr>
              <w:t>9.41%</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775,403.72</w:t>
            </w:r>
          </w:p>
        </w:tc>
      </w:tr>
      <w:tr>
        <w:trPr>
          <w:trHeight w:val="336" w:hRule="exact"/>
        </w:trPr>
        <w:tc>
          <w:tcPr>
            <w:tcW w:w="1683" w:type="dxa"/>
            <w:tcBorders>
              <w:top w:val="single" w:sz="6" w:space="0" w:color="000000"/>
              <w:left w:val="nil" w:sz="6" w:space="0" w:color="auto"/>
              <w:bottom w:val="single" w:sz="6" w:space="0" w:color="000000"/>
              <w:right w:val="single" w:sz="6" w:space="0" w:color="000000"/>
            </w:tcBorders>
          </w:tcPr>
          <w:p>
            <w:pPr>
              <w:pStyle w:val="TableParagraph"/>
              <w:spacing w:line="256" w:lineRule="exact"/>
              <w:ind w:left="24" w:right="0"/>
              <w:jc w:val="left"/>
              <w:rPr>
                <w:rFonts w:ascii="宋体" w:hAnsi="宋体" w:cs="宋体" w:eastAsia="宋体" w:hint="default"/>
                <w:sz w:val="20"/>
                <w:szCs w:val="20"/>
              </w:rPr>
            </w:pPr>
            <w:r>
              <w:rPr>
                <w:rFonts w:ascii="宋体" w:hAnsi="宋体" w:cs="宋体" w:eastAsia="宋体" w:hint="default"/>
                <w:sz w:val="20"/>
                <w:szCs w:val="20"/>
              </w:rPr>
              <w:t>客户二</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14,945,657.90</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z w:val="20"/>
              </w:rPr>
              <w:t>9.07%</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747,282.90</w:t>
            </w:r>
          </w:p>
        </w:tc>
      </w:tr>
      <w:tr>
        <w:trPr>
          <w:trHeight w:val="337" w:hRule="exact"/>
        </w:trPr>
        <w:tc>
          <w:tcPr>
            <w:tcW w:w="1683"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客户三</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pacing w:val="-1"/>
                <w:sz w:val="20"/>
              </w:rPr>
              <w:t>13,257,675.06</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z w:val="20"/>
              </w:rPr>
              <w:t>8.04%</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pacing w:val="-1"/>
                <w:sz w:val="20"/>
              </w:rPr>
              <w:t>662,883.75</w:t>
            </w:r>
          </w:p>
        </w:tc>
      </w:tr>
      <w:tr>
        <w:trPr>
          <w:trHeight w:val="337" w:hRule="exact"/>
        </w:trPr>
        <w:tc>
          <w:tcPr>
            <w:tcW w:w="1683"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客户四</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
              <w:jc w:val="right"/>
              <w:rPr>
                <w:rFonts w:ascii="Times New Roman" w:hAnsi="Times New Roman" w:cs="Times New Roman" w:eastAsia="Times New Roman" w:hint="default"/>
                <w:sz w:val="20"/>
                <w:szCs w:val="20"/>
              </w:rPr>
            </w:pPr>
            <w:r>
              <w:rPr>
                <w:rFonts w:ascii="Times New Roman"/>
                <w:spacing w:val="-1"/>
                <w:sz w:val="20"/>
              </w:rPr>
              <w:t>11,526,791.52</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z w:val="20"/>
              </w:rPr>
              <w:t>6.99%</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
              <w:jc w:val="right"/>
              <w:rPr>
                <w:rFonts w:ascii="Times New Roman" w:hAnsi="Times New Roman" w:cs="Times New Roman" w:eastAsia="Times New Roman" w:hint="default"/>
                <w:sz w:val="20"/>
                <w:szCs w:val="20"/>
              </w:rPr>
            </w:pPr>
            <w:r>
              <w:rPr>
                <w:rFonts w:ascii="Times New Roman"/>
                <w:spacing w:val="-1"/>
                <w:sz w:val="20"/>
              </w:rPr>
              <w:t>576,339.58</w:t>
            </w:r>
          </w:p>
        </w:tc>
      </w:tr>
      <w:tr>
        <w:trPr>
          <w:trHeight w:val="337" w:hRule="exact"/>
        </w:trPr>
        <w:tc>
          <w:tcPr>
            <w:tcW w:w="1683"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24" w:right="0"/>
              <w:jc w:val="left"/>
              <w:rPr>
                <w:rFonts w:ascii="宋体" w:hAnsi="宋体" w:cs="宋体" w:eastAsia="宋体" w:hint="default"/>
                <w:sz w:val="20"/>
                <w:szCs w:val="20"/>
              </w:rPr>
            </w:pPr>
            <w:r>
              <w:rPr>
                <w:rFonts w:ascii="宋体" w:hAnsi="宋体" w:cs="宋体" w:eastAsia="宋体" w:hint="default"/>
                <w:sz w:val="20"/>
                <w:szCs w:val="20"/>
              </w:rPr>
              <w:t>客户五</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
              <w:jc w:val="right"/>
              <w:rPr>
                <w:rFonts w:ascii="Times New Roman" w:hAnsi="Times New Roman" w:cs="Times New Roman" w:eastAsia="Times New Roman" w:hint="default"/>
                <w:sz w:val="20"/>
                <w:szCs w:val="20"/>
              </w:rPr>
            </w:pPr>
            <w:r>
              <w:rPr>
                <w:rFonts w:ascii="Times New Roman"/>
                <w:spacing w:val="-1"/>
                <w:sz w:val="20"/>
              </w:rPr>
              <w:t>11,189,340.52</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z w:val="20"/>
              </w:rPr>
              <w:t>6.79%</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pacing w:val="-1"/>
                <w:sz w:val="20"/>
              </w:rPr>
              <w:t>559,467.03</w:t>
            </w:r>
          </w:p>
        </w:tc>
      </w:tr>
      <w:tr>
        <w:trPr>
          <w:trHeight w:val="337" w:hRule="exact"/>
        </w:trPr>
        <w:tc>
          <w:tcPr>
            <w:tcW w:w="1683" w:type="dxa"/>
            <w:tcBorders>
              <w:top w:val="single" w:sz="6" w:space="0" w:color="000000"/>
              <w:left w:val="nil" w:sz="6" w:space="0" w:color="auto"/>
              <w:bottom w:val="single" w:sz="6" w:space="0" w:color="000000"/>
              <w:right w:val="single" w:sz="6" w:space="0" w:color="000000"/>
            </w:tcBorders>
          </w:tcPr>
          <w:p>
            <w:pPr>
              <w:pStyle w:val="TableParagraph"/>
              <w:tabs>
                <w:tab w:pos="968" w:val="left" w:leader="none"/>
              </w:tabs>
              <w:spacing w:line="256" w:lineRule="exact"/>
              <w:ind w:left="527"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66,427,539.34</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z w:val="20"/>
              </w:rPr>
              <w:t>40.30%</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3,321,376.98</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因金融资产转移而终止确认的应收账款" w:id="442"/>
      <w:bookmarkEnd w:id="44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443"/>
      <w:bookmarkEnd w:id="44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其他应收款" w:id="444"/>
      <w:bookmarkEnd w:id="44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其他应收款分类披露" w:id="445"/>
      <w:bookmarkEnd w:id="44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85,123,9</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86.50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85,123,98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202,565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,592.62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202,565,59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2.62</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85,123,9</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86.50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85,123,98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6.50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202,565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,592.62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202,565,59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2.62</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期末单项金额重大并单项计提坏账准备的其他应收款：</w:t>
      </w:r>
    </w:p>
    <w:p>
      <w:pPr>
        <w:pStyle w:val="BodyText"/>
        <w:spacing w:line="360" w:lineRule="auto" w:before="116"/>
        <w:ind w:left="154" w:right="6612"/>
        <w:jc w:val="left"/>
      </w:pPr>
      <w:r>
        <w:rPr/>
        <w:t>□ 适用 √ 不适用 组合中，按账龄分析法计提坏账准备的其他应收款：</w:t>
      </w:r>
    </w:p>
    <w:p>
      <w:pPr>
        <w:pStyle w:val="BodyText"/>
        <w:spacing w:line="357" w:lineRule="auto" w:before="26"/>
        <w:ind w:left="154" w:right="6252"/>
        <w:jc w:val="left"/>
      </w:pPr>
      <w:r>
        <w:rPr/>
        <w:t>□ 适用 √ 不适用 组合中，采用余额百分比法计提坏账准备的其他应收款：</w:t>
      </w:r>
    </w:p>
    <w:p>
      <w:pPr>
        <w:pStyle w:val="BodyText"/>
        <w:spacing w:line="357" w:lineRule="auto" w:before="29"/>
        <w:ind w:left="154" w:right="6612"/>
        <w:jc w:val="left"/>
      </w:pPr>
      <w:r>
        <w:rPr/>
        <w:t>□ 适用 √ 不适用 组合中，采用其他方法计提坏账准备的其他应收款：</w:t>
      </w:r>
    </w:p>
    <w:p>
      <w:pPr>
        <w:pStyle w:val="BodyText"/>
        <w:spacing w:line="240" w:lineRule="auto" w:before="28"/>
        <w:ind w:left="154"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446"/>
      <w:bookmarkEnd w:id="44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left="154" w:right="-19"/>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5419" w:space="3410"/>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其他应收款情况" w:id="447"/>
      <w:bookmarkEnd w:id="44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54"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4）其他应收款按款项性质分类情况" w:id="448"/>
      <w:bookmarkEnd w:id="44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2,120,835.50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1,592,739.69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897,498.69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990,505.65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174,390.23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202,641.98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81,931,262.08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199,779,705.30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85,123,986.50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202,565,592.62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吊的其他应收款情况" w:id="449"/>
      <w:bookmarkEnd w:id="44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美盈森（香港）国际 控股有限公司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40,665,932.65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47.77%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东莞市美芯龙物联网 信息有限公司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33,844,019.97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39.76%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四川泸美供应链管理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3,734,867.08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武汉市美盈森环保科 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1,953,965.52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中山市美盈森环保科 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1,114,501.10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81,313,286.32</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95.53%</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450"/>
      <w:bookmarkEnd w:id="450"/>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因金融资产转移而终止确认的其他应收款" w:id="451"/>
      <w:bookmarkEnd w:id="451"/>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452"/>
      <w:bookmarkEnd w:id="452"/>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长期股权投资" w:id="453"/>
      <w:bookmarkEnd w:id="45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1,387,442,970.00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1,387,442,970.00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1,380,442,970.00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1,380,442,970.00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1,387,442,970.00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1,387,442,970.00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1,380,442,970.00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1,380,442,970.00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54"/>
      <w:bookmarkEnd w:id="45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重庆市美盈森环 保包装工程有限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东莞市美芯龙物 联网科技有限公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东莞市美盈森环 保科技有限公司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425,002,500.00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425,002,500.00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苏州美盈森环保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298,311,400.00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298,311,400.00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美盈森（香港）国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际控股有限公司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20,129,070.00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20,129,070.00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中山市美盈森环 保科技有限公司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成都市美盈森环 保科技有限公司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武汉市美盈森环 保科技有限公司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深圳市金之彩文 化创意有限公司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四川泸美供应链 管理有限公司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7,000,000.00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1,380,442,970.00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7,000,000.00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1,387,442,970.00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55"/>
      <w:bookmarkEnd w:id="45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456"/>
      <w:bookmarkEnd w:id="456"/>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457"/>
      <w:bookmarkEnd w:id="45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500,515,096.89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305,804,685.58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456,341,853.63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279,313,892.41</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572,548.24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59,213.36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1,411,022.59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189,472.85</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501,087,645.13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305,863,898.94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457,752,876.22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279,503,365.26</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5、投资收益" w:id="458"/>
      <w:bookmarkEnd w:id="45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459"/>
      <w:bookmarkEnd w:id="459"/>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460"/>
      <w:bookmarkEnd w:id="460"/>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461"/>
      <w:bookmarkEnd w:id="46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39,696.42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17,398,325.48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-213,394.78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2,962,754.73</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2,309,899.72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11,951,972.67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净资产收益率及每股收益" w:id="462"/>
      <w:bookmarkEnd w:id="46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0.3657</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0.3490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463"/>
      <w:bookmarkEnd w:id="46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64"/>
      <w:bookmarkEnd w:id="464"/>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同时按照境外会计准则与按中国会计准则披露的财务报告中净利润和净资产差异情况" w:id="465"/>
      <w:bookmarkEnd w:id="465"/>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 适用 √ 不适用</w:t>
      </w:r>
    </w:p>
    <w:p>
      <w:pPr>
        <w:spacing w:line="240" w:lineRule="auto" w:before="10"/>
        <w:rPr>
          <w:rFonts w:ascii="宋体" w:hAnsi="宋体" w:cs="宋体" w:eastAsia="宋体" w:hint="default"/>
          <w:sz w:val="26"/>
          <w:szCs w:val="26"/>
        </w:rPr>
      </w:pPr>
    </w:p>
    <w:p>
      <w:pPr>
        <w:pStyle w:val="Heading3"/>
        <w:spacing w:line="259" w:lineRule="auto"/>
        <w:ind w:right="0"/>
        <w:jc w:val="left"/>
        <w:rPr>
          <w:b w:val="0"/>
          <w:bCs w:val="0"/>
        </w:rPr>
      </w:pPr>
      <w:bookmarkStart w:name="（3）境内外会计准则下会计数据差异原因说明，对已经境外审计机构审计的数据进行差异" w:id="466"/>
      <w:bookmarkEnd w:id="466"/>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会计政策变更相关补充资料" w:id="467"/>
      <w:bookmarkEnd w:id="467"/>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 适用 □ 不适用</w:t>
      </w:r>
    </w:p>
    <w:p>
      <w:pPr>
        <w:pStyle w:val="BodyText"/>
        <w:spacing w:line="240" w:lineRule="auto" w:before="115"/>
        <w:ind w:left="154" w:right="0"/>
        <w:jc w:val="lef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4"/>
        <w:ind w:left="154" w:right="0"/>
        <w:jc w:val="left"/>
      </w:pPr>
      <w:r>
        <w:rPr/>
        <w:t>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668,014,871.50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730,197,241.95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953,702,887.72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6,875,062.39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43,944,694.23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43,470,917.05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295,690,370.01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365,374,846.10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401,780,455.05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15,777,169.90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15,301,313.35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6,181,223.58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6,469,999.29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17,055,621.04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22,081,165.54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169,218,918.68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246,619,885.04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296,551,102.41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431,298.62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1,162,046,391.77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1,418,493,601.71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1,724,199,049.97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5,440,616.01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6,315,997.02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6,664,730.29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7,428,188.45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7,481,835.66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732,956,210.05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782,892,412.64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741,172,530.91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28,125,250.50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27,840,268.26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29,759,342.14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221,336,206.10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216,142,327.88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210,919,147.02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174,891,428.47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174,891,428.47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9,507,753.34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10,195,025.44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11,730,187.43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0"/>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2,979,094.44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4,329,095.60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4,209,404.86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0"/>
              <w:jc w:val="righ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14,942,819.34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1,001,569,244.72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1,229,159,362.75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1,201,422,692.85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2,163,615,636.49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2,647,652,964.46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2,925,621,742.82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141,792,989.90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186,502,918.34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217,935,866.81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220,008,168.37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254,787,658.41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277,788,465.05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1,275,514.28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7,074,679.46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8,190,077.19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4,691,435.48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7,009,751.07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7,673,383.31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-18,000,270.06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24,828,955.61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21,403,869.63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163,232.33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1,253,360.32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131,062,525.35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127,859,145.81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351,021,198.29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626,049,720.57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660,850,807.80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7,738,888.89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7,412,852.57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7,738,888.89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7,412,852.57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355,021,198.29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633,788,609.46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668,263,660.37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357,600,000.00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715,200,000.00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1,053,197,900.40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874,397,900.40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516,797,900.40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-1,345,044.40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-2,020,343.89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-1,988,290.69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61,920,108.81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70,289,988.54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81,793,721.42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516,021,473.39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663,474,075.58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884,902,823.95</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1,808,594,438.20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1,963,741,620.63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2,196,706,155.08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50,122,734.37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60,651,927.37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1,808,594,438.20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2,013,864,355.00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2,257,358,082.45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2,163,615,636.49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2,647,652,964.46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2,925,621,742.82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其他" w:id="468"/>
      <w:bookmarkEnd w:id="468"/>
      <w:r>
        <w:rPr>
          <w:b w:val="0"/>
          <w:bCs w:val="0"/>
        </w:rPr>
      </w: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469"/>
      <w:bookmarkEnd w:id="469"/>
      <w:r>
        <w:rPr>
          <w:b w:val="0"/>
          <w:bCs w:val="0"/>
        </w:rPr>
      </w:r>
      <w:bookmarkStart w:name="_bookmark11" w:id="470"/>
      <w:bookmarkEnd w:id="470"/>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4" w:lineRule="auto"/>
        <w:ind w:right="3013"/>
        <w:jc w:val="left"/>
      </w:pPr>
      <w:r>
        <w:rPr/>
        <w:t>一、载有公司法定代表人签名的</w:t>
      </w:r>
      <w:r>
        <w:rPr>
          <w:rFonts w:ascii="Times New Roman" w:hAnsi="Times New Roman" w:cs="Times New Roman" w:eastAsia="Times New Roman" w:hint="default"/>
        </w:rPr>
        <w:t>2014</w:t>
      </w:r>
      <w:r>
        <w:rPr/>
        <w:t>年年度报告文本。 二、载有公司负责人、主管会计工作负责人、会计机构负责人签名并盖章的财务报表。 三、载有会计师事务所盖章、注册会计师签名并盖章的审计报告原件。 四、报告期内在中国证监会指定信息披露载体上公开披露过的所有公司文件的正本及公告的原稿。 五、以上备查文件的备置地点：公司证券部。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BodyText"/>
        <w:spacing w:line="240" w:lineRule="auto"/>
        <w:ind w:left="6914" w:right="0"/>
        <w:jc w:val="left"/>
      </w:pPr>
      <w:r>
        <w:rPr/>
        <w:t>深圳市美盈森环保科技股份有限公司</w:t>
      </w:r>
    </w:p>
    <w:p>
      <w:pPr>
        <w:pStyle w:val="BodyText"/>
        <w:spacing w:line="240" w:lineRule="auto" w:before="76"/>
        <w:ind w:left="0" w:right="2129"/>
        <w:jc w:val="right"/>
      </w:pPr>
      <w:r>
        <w:rPr/>
        <w:t>王海鹏</w:t>
      </w:r>
    </w:p>
    <w:p>
      <w:pPr>
        <w:pStyle w:val="BodyText"/>
        <w:spacing w:line="240" w:lineRule="auto" w:before="76"/>
        <w:ind w:left="0" w:right="1810"/>
        <w:jc w:val="righ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42176" type="#_x0000_t75" stroked="false">
          <v:imagedata r:id="rId1" o:title=""/>
        </v:shape>
      </w:pict>
    </w:r>
    <w:r>
      <w:rPr/>
      <w:pict>
        <v:shape style="position:absolute;margin-left:533.179993pt;margin-top:795.517944pt;width:6.5pt;height:11pt;mso-position-horizontal-relative:page;mso-position-vertical-relative:page;z-index:-8421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42128" type="#_x0000_t75" stroked="false">
          <v:imagedata r:id="rId1" o:title=""/>
        </v:shape>
      </w:pict>
    </w:r>
    <w:r>
      <w:rPr/>
      <w:pict>
        <v:shape style="position:absolute;margin-left:527.679993pt;margin-top:781.957947pt;width:13pt;height:11pt;mso-position-horizontal-relative:page;mso-position-vertical-relative:page;z-index:-842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42080" type="#_x0000_t75" stroked="false">
          <v:imagedata r:id="rId1" o:title=""/>
        </v:shape>
      </w:pict>
    </w:r>
    <w:r>
      <w:rPr/>
      <w:pict>
        <v:shape style="position:absolute;margin-left:524.179993pt;margin-top:781.957947pt;width:15.5pt;height:11pt;mso-position-horizontal-relative:page;mso-position-vertical-relative:page;z-index:-8420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42032" type="#_x0000_t75" stroked="false">
          <v:imagedata r:id="rId1" o:title=""/>
        </v:shape>
      </w:pict>
    </w:r>
    <w:r>
      <w:rPr/>
      <w:pict>
        <v:shape style="position:absolute;margin-left:523.179993pt;margin-top:781.957947pt;width:17.5pt;height:11pt;mso-position-horizontal-relative:page;mso-position-vertical-relative:page;z-index:-842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60004pt;margin-top:36.325607pt;width:231.55pt;height:11.5pt;mso-position-horizontal-relative:page;mso-position-vertical-relative:page;z-index:-842200" type="#_x0000_t202" filled="false" stroked="false">
          <v:textbox inset="0,0,0,0">
            <w:txbxContent>
              <w:p>
                <w:pPr>
                  <w:pStyle w:val="BodyText"/>
                  <w:spacing w:line="214" w:lineRule="exact"/>
                  <w:ind w:left="20" w:right="0"/>
                  <w:jc w:val="left"/>
                </w:pPr>
                <w:r>
                  <w:rPr/>
                  <w:t>深圳市美盈森环保科技股份有限公司</w:t>
                </w:r>
                <w:r>
                  <w:rPr>
                    <w:spacing w:val="-46"/>
                  </w:rPr>
                  <w:t> </w:t>
                </w:r>
                <w:r>
                  <w:rPr>
                    <w:rFonts w:ascii="Times New Roman" w:hAnsi="Times New Roman" w:cs="Times New Roman" w:eastAsia="Times New Roman" w:hint="default"/>
                  </w:rPr>
                  <w:t>2014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3"/>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122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154"/>
      <w:outlineLvl w:val="4"/>
    </w:pPr>
    <w:rPr>
      <w:rFonts w:ascii="宋体" w:hAnsi="宋体" w:eastAsia="宋体"/>
      <w:sz w:val="20"/>
      <w:szCs w:val="20"/>
    </w:rPr>
  </w:style>
  <w:style w:styleId="Heading5" w:type="paragraph">
    <w:name w:val="Heading 5"/>
    <w:basedOn w:val="Normal"/>
    <w:uiPriority w:val="1"/>
    <w:qFormat/>
    <w:pPr>
      <w:ind w:left="515"/>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zmys.com/" TargetMode="External"/><Relationship Id="rId10" Type="http://schemas.openxmlformats.org/officeDocument/2006/relationships/hyperlink" Target="mailto:mys.stock@szmys.com"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3.xml"/><Relationship Id="rId16"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2020-05-06T16:47:40Z</dcterms:created>
  <dcterms:modified xsi:type="dcterms:W3CDTF">2020-05-06T16:47:40Z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2015-04-24T00:00:00Z</vt:filetime>
  </property>
  <property fmtid="{D5CDD505-2E9C-101B-9397-08002B2CF9AE}" pid="3" name="Creator">
    <vt:lpwstr>Microsoft® Office Word 2007</vt:lpwstr>
  </property>
  <property fmtid="{D5CDD505-2E9C-101B-9397-08002B2CF9AE}" pid="4" name="LastSaved">
    <vt:filetime>2020-05-06T00:00:00Z</vt:filetime>
  </property>
</Properties>
</file>