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22"/>
        <w:ind w:left="2522" w:right="2524" w:firstLine="0"/>
        <w:jc w:val="center"/>
        <w:rPr>
          <w:rFonts w:ascii="宋体" w:hAnsi="宋体" w:cs="宋体" w:eastAsia="宋体" w:hint="default"/>
          <w:sz w:val="44"/>
          <w:szCs w:val="44"/>
        </w:rPr>
      </w:pPr>
      <w:r>
        <w:rPr/>
        <w:pict>
          <v:group style="position:absolute;margin-left:55.200001pt;margin-top:-61.804699pt;width:484.8pt;height:.1pt;mso-position-horizontal-relative:page;mso-position-vertical-relative:paragraph;z-index:0" coordorigin="1104,-1236" coordsize="9696,2">
            <v:shape style="position:absolute;left:1104;top:-1236;width:9696;height:2" coordorigin="1104,-1236" coordsize="9696,0" path="m1104,-1236l10800,-1236e" filled="false" stroked="true" strokeweight=".72pt" strokecolor="#000000">
              <v:path arrowok="t"/>
            </v:shape>
            <w10:wrap type="none"/>
          </v:group>
        </w:pict>
      </w:r>
      <w:r>
        <w:rPr>
          <w:rFonts w:ascii="宋体" w:hAnsi="宋体" w:cs="宋体" w:eastAsia="宋体" w:hint="default"/>
          <w:b/>
          <w:bCs/>
          <w:sz w:val="44"/>
          <w:szCs w:val="44"/>
        </w:rPr>
        <w:t>美盈森集团股份有限公司</w:t>
      </w:r>
      <w:r>
        <w:rPr>
          <w:rFonts w:ascii="宋体" w:hAnsi="宋体" w:cs="宋体" w:eastAsia="宋体" w:hint="default"/>
          <w:sz w:val="44"/>
          <w:szCs w:val="44"/>
        </w:rPr>
      </w:r>
    </w:p>
    <w:p>
      <w:pPr>
        <w:pStyle w:val="Heading2"/>
        <w:spacing w:line="240" w:lineRule="auto" w:before="226"/>
        <w:ind w:left="2522" w:right="2524"/>
        <w:jc w:val="center"/>
        <w:rPr>
          <w:b w:val="0"/>
          <w:bCs w:val="0"/>
        </w:rPr>
      </w:pPr>
      <w:r>
        <w:rPr/>
        <w:t>（</w:t>
      </w:r>
      <w:r>
        <w:rPr>
          <w:rFonts w:ascii="宋体" w:hAnsi="宋体" w:cs="宋体" w:eastAsia="宋体" w:hint="default"/>
        </w:rPr>
        <w:t>MYS GROUP CO.,</w:t>
      </w:r>
      <w:r>
        <w:rPr>
          <w:rFonts w:ascii="宋体" w:hAnsi="宋体" w:cs="宋体" w:eastAsia="宋体" w:hint="default"/>
          <w:spacing w:val="-2"/>
        </w:rPr>
        <w:t> </w:t>
      </w:r>
      <w:r>
        <w:rPr>
          <w:rFonts w:ascii="宋体" w:hAnsi="宋体" w:cs="宋体" w:eastAsia="宋体" w:hint="default"/>
        </w:rPr>
        <w:t>LTD.</w:t>
      </w:r>
      <w:r>
        <w:rPr/>
        <w:t>）</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before="166"/>
        <w:ind w:left="2522" w:right="2524" w:firstLine="0"/>
        <w:jc w:val="center"/>
        <w:rPr>
          <w:rFonts w:ascii="宋体" w:hAnsi="宋体" w:cs="宋体" w:eastAsia="宋体" w:hint="default"/>
          <w:sz w:val="44"/>
          <w:szCs w:val="44"/>
        </w:rPr>
      </w:pPr>
      <w:r>
        <w:rPr>
          <w:rFonts w:ascii="宋体" w:hAnsi="宋体" w:cs="宋体" w:eastAsia="宋体" w:hint="default"/>
          <w:b/>
          <w:bCs/>
          <w:sz w:val="44"/>
          <w:szCs w:val="44"/>
        </w:rPr>
        <w:t>2015</w:t>
      </w:r>
      <w:r>
        <w:rPr>
          <w:rFonts w:ascii="宋体" w:hAnsi="宋体" w:cs="宋体" w:eastAsia="宋体" w:hint="default"/>
          <w:b/>
          <w:bCs/>
          <w:spacing w:val="-117"/>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3"/>
        <w:rPr>
          <w:rFonts w:ascii="宋体" w:hAnsi="宋体" w:cs="宋体" w:eastAsia="宋体" w:hint="default"/>
          <w:b/>
          <w:bCs/>
          <w:sz w:val="46"/>
          <w:szCs w:val="46"/>
        </w:rPr>
      </w:pPr>
    </w:p>
    <w:p>
      <w:pPr>
        <w:spacing w:before="0"/>
        <w:ind w:left="2522" w:right="2522" w:firstLine="0"/>
        <w:jc w:val="center"/>
        <w:rPr>
          <w:rFonts w:ascii="宋体" w:hAnsi="宋体" w:cs="宋体" w:eastAsia="宋体" w:hint="default"/>
          <w:sz w:val="28"/>
          <w:szCs w:val="28"/>
        </w:rPr>
      </w:pPr>
      <w:r>
        <w:rPr>
          <w:rFonts w:ascii="宋体"/>
          <w:b/>
          <w:sz w:val="28"/>
        </w:rPr>
        <w:t>2016-025</w:t>
      </w:r>
      <w:r>
        <w:rPr>
          <w:rFonts w:ascii="宋体"/>
          <w:sz w:val="2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1"/>
          <w:szCs w:val="21"/>
        </w:rPr>
      </w:pPr>
    </w:p>
    <w:p>
      <w:pPr>
        <w:spacing w:line="1180" w:lineRule="exact"/>
        <w:ind w:left="3892"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1381898" cy="74980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81898" cy="749808"/>
                    </a:xfrm>
                    <a:prstGeom prst="rect">
                      <a:avLst/>
                    </a:prstGeom>
                  </pic:spPr>
                </pic:pic>
              </a:graphicData>
            </a:graphic>
          </wp:inline>
        </w:drawing>
      </w:r>
      <w:r>
        <w:rPr>
          <w:rFonts w:ascii="宋体" w:hAnsi="宋体" w:cs="宋体" w:eastAsia="宋体" w:hint="default"/>
          <w:position w:val="-23"/>
          <w:sz w:val="20"/>
          <w:szCs w:val="2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20"/>
          <w:szCs w:val="20"/>
        </w:rPr>
      </w:pPr>
    </w:p>
    <w:p>
      <w:pPr>
        <w:spacing w:before="0"/>
        <w:ind w:left="2522" w:right="25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2"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49"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2" w:right="2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公司负责人张珍义、主管会计工作负责人袁宏贵及会计机构负责人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袁宏贵声明：保证年度报告中财务报告的真实、准确、完整。</w:t>
      </w:r>
      <w:r>
        <w:rPr>
          <w:rFonts w:ascii="宋体" w:hAnsi="宋体" w:cs="宋体" w:eastAsia="宋体" w:hint="default"/>
          <w:sz w:val="28"/>
          <w:szCs w:val="28"/>
        </w:rPr>
      </w:r>
    </w:p>
    <w:p>
      <w:pPr>
        <w:spacing w:line="472" w:lineRule="auto" w:before="148"/>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475" w:lineRule="auto" w:before="0"/>
        <w:ind w:left="714" w:right="102" w:hanging="562"/>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本公司不存在对公司生产经营状况、财务状况和持续盈利能力具有不利影</w:t>
      </w:r>
      <w:r>
        <w:rPr>
          <w:rFonts w:ascii="宋体" w:hAnsi="宋体" w:cs="宋体" w:eastAsia="宋体" w:hint="default"/>
          <w:spacing w:val="2"/>
          <w:sz w:val="28"/>
          <w:szCs w:val="28"/>
        </w:rPr>
      </w:r>
    </w:p>
    <w:p>
      <w:pPr>
        <w:spacing w:line="350" w:lineRule="exact" w:before="0"/>
        <w:ind w:left="152" w:right="102" w:firstLine="0"/>
        <w:jc w:val="left"/>
        <w:rPr>
          <w:rFonts w:ascii="宋体" w:hAnsi="宋体" w:cs="宋体" w:eastAsia="宋体" w:hint="default"/>
          <w:sz w:val="28"/>
          <w:szCs w:val="28"/>
        </w:rPr>
      </w:pPr>
      <w:r>
        <w:rPr>
          <w:rFonts w:ascii="宋体" w:hAnsi="宋体" w:cs="宋体" w:eastAsia="宋体" w:hint="default"/>
          <w:b/>
          <w:bCs/>
          <w:spacing w:val="2"/>
          <w:sz w:val="28"/>
          <w:szCs w:val="28"/>
        </w:rPr>
        <w:t>响的重大风险因素。本公司请投资者认真阅读本年度报告全文，并特别注意公</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386" w:lineRule="auto" w:before="0"/>
        <w:ind w:left="152" w:right="112" w:firstLine="0"/>
        <w:jc w:val="left"/>
        <w:rPr>
          <w:rFonts w:ascii="宋体" w:hAnsi="宋体" w:cs="宋体" w:eastAsia="宋体" w:hint="default"/>
          <w:sz w:val="28"/>
          <w:szCs w:val="28"/>
        </w:rPr>
      </w:pPr>
      <w:r>
        <w:rPr>
          <w:rFonts w:ascii="宋体" w:hAnsi="宋体" w:cs="宋体" w:eastAsia="宋体" w:hint="default"/>
          <w:b/>
          <w:bCs/>
          <w:spacing w:val="-6"/>
          <w:sz w:val="28"/>
          <w:szCs w:val="28"/>
        </w:rPr>
        <w:t>司可能面临的包括行业竞争、市场等风险因素。详细内容见本报告</w:t>
      </w:r>
      <w:r>
        <w:rPr>
          <w:rFonts w:ascii="Times New Roman" w:hAnsi="Times New Roman" w:cs="Times New Roman" w:eastAsia="Times New Roman" w:hint="default"/>
          <w:b/>
          <w:bCs/>
          <w:spacing w:val="-6"/>
          <w:sz w:val="28"/>
          <w:szCs w:val="28"/>
        </w:rPr>
        <w:t>“</w:t>
      </w:r>
      <w:r>
        <w:rPr>
          <w:rFonts w:ascii="宋体" w:hAnsi="宋体" w:cs="宋体" w:eastAsia="宋体" w:hint="default"/>
          <w:b/>
          <w:bCs/>
          <w:spacing w:val="-6"/>
          <w:sz w:val="28"/>
          <w:szCs w:val="28"/>
        </w:rPr>
        <w:t>第四节（九）</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z w:val="28"/>
          <w:szCs w:val="28"/>
        </w:rPr>
        <w:t>发展面临挑战及其他可能存在的风险及应对措施分析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48"/>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1430400000</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2" w:right="245"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10 </w:t>
      </w:r>
      <w:r>
        <w:rPr>
          <w:rFonts w:ascii="宋体" w:hAnsi="宋体" w:cs="宋体" w:eastAsia="宋体" w:hint="default"/>
          <w:b/>
          <w:bCs/>
          <w:w w:val="99"/>
          <w:sz w:val="28"/>
          <w:szCs w:val="28"/>
        </w:rPr>
        <w:t>股派发现金红利</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0.24 </w:t>
      </w:r>
      <w:r>
        <w:rPr>
          <w:rFonts w:ascii="宋体" w:hAnsi="宋体" w:cs="宋体" w:eastAsia="宋体" w:hint="default"/>
          <w:b/>
          <w:bCs/>
          <w:spacing w:val="-23"/>
          <w:w w:val="99"/>
          <w:sz w:val="28"/>
          <w:szCs w:val="28"/>
        </w:rPr>
        <w:t>元（含税），送红股</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2" w:header="745" w:top="1060" w:bottom="118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522" w:right="25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left="157"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hyperlink>
        </w:p>
        <w:p>
          <w:pPr>
            <w:pStyle w:val="TOC1"/>
            <w:tabs>
              <w:tab w:pos="9782" w:val="right" w:leader="dot"/>
            </w:tabs>
            <w:spacing w:line="240" w:lineRule="auto"/>
            <w:ind w:left="157" w:right="0"/>
            <w:jc w:val="left"/>
            <w:rPr>
              <w:rFonts w:ascii="宋体" w:hAnsi="宋体" w:cs="宋体" w:eastAsia="宋体" w:hint="default"/>
            </w:rPr>
          </w:pPr>
          <w:hyperlink w:history="true" w:anchor="_bookmark1">
            <w:r>
              <w:rPr/>
              <w:t>第二节</w:t>
            </w:r>
            <w:r>
              <w:rPr>
                <w:spacing w:val="-1"/>
              </w:rPr>
              <w:t> </w:t>
            </w:r>
            <w:r>
              <w:rPr/>
              <w:t>公司简介和主要财务指标</w:t>
            </w:r>
            <w:r>
              <w:rPr>
                <w:rFonts w:ascii="宋体" w:hAnsi="宋体" w:cs="宋体" w:eastAsia="宋体" w:hint="default"/>
              </w:rPr>
              <w:tab/>
              <w:t>5</w:t>
            </w:r>
          </w:hyperlink>
        </w:p>
        <w:p>
          <w:pPr>
            <w:pStyle w:val="TOC1"/>
            <w:tabs>
              <w:tab w:pos="9783" w:val="right" w:leader="dot"/>
            </w:tabs>
            <w:spacing w:line="240" w:lineRule="auto" w:before="296"/>
            <w:ind w:left="157" w:right="0"/>
            <w:jc w:val="left"/>
            <w:rPr>
              <w:rFonts w:ascii="宋体" w:hAnsi="宋体" w:cs="宋体" w:eastAsia="宋体" w:hint="default"/>
            </w:rPr>
          </w:pPr>
          <w:hyperlink w:history="true" w:anchor="_bookmark2">
            <w:r>
              <w:rPr/>
              <w:t>第三节</w:t>
            </w:r>
            <w:r>
              <w:rPr>
                <w:spacing w:val="-1"/>
              </w:rPr>
              <w:t> </w:t>
            </w:r>
            <w:r>
              <w:rPr/>
              <w:t>公司业务概要</w:t>
            </w:r>
            <w:r>
              <w:rPr>
                <w:rFonts w:ascii="宋体" w:hAnsi="宋体" w:cs="宋体" w:eastAsia="宋体" w:hint="default"/>
              </w:rPr>
              <w:tab/>
              <w:t>10</w:t>
            </w:r>
          </w:hyperlink>
        </w:p>
        <w:p>
          <w:pPr>
            <w:pStyle w:val="TOC1"/>
            <w:tabs>
              <w:tab w:pos="9783" w:val="right" w:leader="dot"/>
            </w:tabs>
            <w:spacing w:line="240" w:lineRule="auto"/>
            <w:ind w:left="157" w:right="0"/>
            <w:jc w:val="left"/>
            <w:rPr>
              <w:rFonts w:ascii="宋体" w:hAnsi="宋体" w:cs="宋体" w:eastAsia="宋体" w:hint="default"/>
            </w:rPr>
          </w:pPr>
          <w:hyperlink w:history="true" w:anchor="_bookmark3">
            <w:r>
              <w:rPr/>
              <w:t>第四节</w:t>
            </w:r>
            <w:r>
              <w:rPr>
                <w:spacing w:val="-1"/>
              </w:rPr>
              <w:t> </w:t>
            </w:r>
            <w:r>
              <w:rPr/>
              <w:t>管理层讨论与分析</w:t>
            </w:r>
            <w:r>
              <w:rPr>
                <w:rFonts w:ascii="宋体" w:hAnsi="宋体" w:cs="宋体" w:eastAsia="宋体" w:hint="default"/>
              </w:rPr>
              <w:tab/>
              <w:t>14</w:t>
            </w:r>
          </w:hyperlink>
        </w:p>
        <w:p>
          <w:pPr>
            <w:pStyle w:val="TOC1"/>
            <w:tabs>
              <w:tab w:pos="9782" w:val="right" w:leader="dot"/>
            </w:tabs>
            <w:spacing w:line="240" w:lineRule="auto"/>
            <w:ind w:left="156" w:right="0"/>
            <w:jc w:val="left"/>
            <w:rPr>
              <w:rFonts w:ascii="宋体" w:hAnsi="宋体" w:cs="宋体" w:eastAsia="宋体" w:hint="default"/>
            </w:rPr>
          </w:pPr>
          <w:hyperlink w:history="true" w:anchor="_bookmark4">
            <w:r>
              <w:rPr/>
              <w:t>第五节</w:t>
            </w:r>
            <w:r>
              <w:rPr>
                <w:spacing w:val="-1"/>
              </w:rPr>
              <w:t> </w:t>
            </w:r>
            <w:r>
              <w:rPr/>
              <w:t>重要事项</w:t>
            </w:r>
            <w:r>
              <w:rPr>
                <w:rFonts w:ascii="宋体" w:hAnsi="宋体" w:cs="宋体" w:eastAsia="宋体" w:hint="default"/>
              </w:rPr>
              <w:tab/>
              <w:t>33</w:t>
            </w:r>
          </w:hyperlink>
        </w:p>
        <w:p>
          <w:pPr>
            <w:pStyle w:val="TOC1"/>
            <w:tabs>
              <w:tab w:pos="9782" w:val="right" w:leader="dot"/>
            </w:tabs>
            <w:spacing w:line="240" w:lineRule="auto" w:before="296"/>
            <w:ind w:left="156" w:right="0"/>
            <w:jc w:val="left"/>
            <w:rPr>
              <w:rFonts w:ascii="宋体" w:hAnsi="宋体" w:cs="宋体" w:eastAsia="宋体" w:hint="default"/>
            </w:rPr>
          </w:pPr>
          <w:hyperlink w:history="true" w:anchor="_bookmark5">
            <w:r>
              <w:rPr/>
              <w:t>第六节</w:t>
            </w:r>
            <w:r>
              <w:rPr>
                <w:spacing w:val="-1"/>
              </w:rPr>
              <w:t> </w:t>
            </w:r>
            <w:r>
              <w:rPr/>
              <w:t>股份变动及股东情况</w:t>
            </w:r>
            <w:r>
              <w:rPr>
                <w:rFonts w:ascii="宋体" w:hAnsi="宋体" w:cs="宋体" w:eastAsia="宋体" w:hint="default"/>
              </w:rPr>
              <w:tab/>
              <w:t>45</w:t>
            </w:r>
          </w:hyperlink>
        </w:p>
        <w:p>
          <w:pPr>
            <w:pStyle w:val="TOC1"/>
            <w:tabs>
              <w:tab w:pos="9781" w:val="right" w:leader="dot"/>
            </w:tabs>
            <w:spacing w:line="240" w:lineRule="auto"/>
            <w:ind w:right="0"/>
            <w:jc w:val="left"/>
            <w:rPr>
              <w:rFonts w:ascii="宋体" w:hAnsi="宋体" w:cs="宋体" w:eastAsia="宋体" w:hint="default"/>
            </w:rPr>
          </w:pPr>
          <w:hyperlink w:history="true" w:anchor="_bookmark6">
            <w:r>
              <w:rPr/>
              <w:t>第七节</w:t>
            </w:r>
            <w:r>
              <w:rPr>
                <w:spacing w:val="-1"/>
              </w:rPr>
              <w:t> </w:t>
            </w:r>
            <w:r>
              <w:rPr/>
              <w:t>优先股相关情况</w:t>
            </w:r>
            <w:r>
              <w:rPr>
                <w:rFonts w:ascii="宋体" w:hAnsi="宋体" w:cs="宋体" w:eastAsia="宋体" w:hint="default"/>
              </w:rPr>
              <w:tab/>
              <w:t>52</w:t>
            </w:r>
          </w:hyperlink>
        </w:p>
        <w:p>
          <w:pPr>
            <w:pStyle w:val="TOC1"/>
            <w:tabs>
              <w:tab w:pos="9781" w:val="right" w:leader="dot"/>
            </w:tabs>
            <w:spacing w:line="240" w:lineRule="auto"/>
            <w:ind w:right="0"/>
            <w:jc w:val="left"/>
            <w:rPr>
              <w:rFonts w:ascii="宋体" w:hAnsi="宋体" w:cs="宋体" w:eastAsia="宋体" w:hint="default"/>
            </w:rPr>
          </w:pPr>
          <w:hyperlink w:history="true" w:anchor="_bookmark7">
            <w:r>
              <w:rPr/>
              <w:t>第八节</w:t>
            </w:r>
            <w:r>
              <w:rPr>
                <w:spacing w:val="-1"/>
              </w:rPr>
              <w:t> </w:t>
            </w:r>
            <w:r>
              <w:rPr/>
              <w:t>董事、监事、高级管理人员和员工情况</w:t>
            </w:r>
            <w:r>
              <w:rPr>
                <w:rFonts w:ascii="宋体" w:hAnsi="宋体" w:cs="宋体" w:eastAsia="宋体" w:hint="default"/>
              </w:rPr>
              <w:tab/>
              <w:t>53</w:t>
            </w:r>
          </w:hyperlink>
        </w:p>
        <w:p>
          <w:pPr>
            <w:pStyle w:val="TOC1"/>
            <w:tabs>
              <w:tab w:pos="9781" w:val="right" w:leader="dot"/>
            </w:tabs>
            <w:spacing w:line="240" w:lineRule="auto" w:before="296"/>
            <w:ind w:right="0"/>
            <w:jc w:val="left"/>
            <w:rPr>
              <w:rFonts w:ascii="宋体" w:hAnsi="宋体" w:cs="宋体" w:eastAsia="宋体" w:hint="default"/>
            </w:rPr>
          </w:pPr>
          <w:hyperlink w:history="true" w:anchor="_bookmark8">
            <w:r>
              <w:rPr/>
              <w:t>第九节</w:t>
            </w:r>
            <w:r>
              <w:rPr>
                <w:spacing w:val="-1"/>
              </w:rPr>
              <w:t> </w:t>
            </w:r>
            <w:r>
              <w:rPr/>
              <w:t>公司治理</w:t>
            </w:r>
            <w:r>
              <w:rPr>
                <w:rFonts w:ascii="宋体" w:hAnsi="宋体" w:cs="宋体" w:eastAsia="宋体" w:hint="default"/>
              </w:rPr>
              <w:tab/>
              <w:t>59</w:t>
            </w:r>
          </w:hyperlink>
        </w:p>
        <w:p>
          <w:pPr>
            <w:pStyle w:val="TOC1"/>
            <w:tabs>
              <w:tab w:pos="9781" w:val="right" w:leader="dot"/>
            </w:tabs>
            <w:spacing w:line="240" w:lineRule="auto"/>
            <w:ind w:right="0"/>
            <w:jc w:val="left"/>
            <w:rPr>
              <w:rFonts w:ascii="宋体" w:hAnsi="宋体" w:cs="宋体" w:eastAsia="宋体" w:hint="default"/>
            </w:rPr>
          </w:pPr>
          <w:hyperlink w:history="true" w:anchor="_bookmark9">
            <w:r>
              <w:rPr/>
              <w:t>第十节</w:t>
            </w:r>
            <w:r>
              <w:rPr>
                <w:spacing w:val="-1"/>
              </w:rPr>
              <w:t> </w:t>
            </w:r>
            <w:r>
              <w:rPr/>
              <w:t>财务报告</w:t>
            </w:r>
            <w:r>
              <w:rPr>
                <w:rFonts w:ascii="宋体" w:hAnsi="宋体" w:cs="宋体" w:eastAsia="宋体" w:hint="default"/>
              </w:rPr>
              <w:tab/>
              <w:t>67</w:t>
            </w:r>
          </w:hyperlink>
        </w:p>
        <w:p>
          <w:pPr>
            <w:pStyle w:val="TOC1"/>
            <w:tabs>
              <w:tab w:pos="9778" w:val="right" w:leader="dot"/>
            </w:tabs>
            <w:spacing w:line="240" w:lineRule="auto"/>
            <w:ind w:left="154" w:right="0"/>
            <w:jc w:val="left"/>
            <w:rPr>
              <w:rFonts w:ascii="宋体" w:hAnsi="宋体" w:cs="宋体" w:eastAsia="宋体" w:hint="default"/>
            </w:rPr>
          </w:pPr>
          <w:hyperlink w:history="true" w:anchor="_bookmark10">
            <w:r>
              <w:rPr/>
              <w:t>第十一节</w:t>
            </w:r>
            <w:r>
              <w:rPr>
                <w:spacing w:val="-1"/>
              </w:rPr>
              <w:t> </w:t>
            </w:r>
            <w:r>
              <w:rPr/>
              <w:t>备查文件目录</w:t>
            </w:r>
            <w:r>
              <w:rPr>
                <w:rFonts w:ascii="宋体" w:hAnsi="宋体" w:cs="宋体" w:eastAsia="宋体" w:hint="default"/>
              </w:rPr>
              <w:tab/>
              <w:t>172</w:t>
            </w:r>
          </w:hyperlink>
        </w:p>
        <w:p>
          <w:pPr/>
          <w:r>
            <w:fldChar w:fldCharType="end"/>
          </w:r>
        </w:p>
      </w:sdtContent>
    </w:sdt>
    <w:p>
      <w:pPr>
        <w:spacing w:after="0"/>
        <w:sectPr>
          <w:pgSz w:w="11910" w:h="16840"/>
          <w:pgMar w:header="745" w:footer="982" w:top="1060" w:bottom="1180" w:left="980" w:right="980"/>
        </w:sectPr>
      </w:pPr>
    </w:p>
    <w:p>
      <w:pPr>
        <w:spacing w:before="944"/>
        <w:ind w:left="2522" w:right="252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公司、本公司、美盈森、深圳美盈森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美盈森集团股份有限公司，原名深圳市美盈森环保科技股份有限公司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东莞市美盈森环保科技有限公司，系公司全资子公司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重庆市美盈森环保包装工程有限公司，系公司全资子公司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深圳市金之彩文化创意有限公司，系公司控股子公司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美盈森（香港）国际控股有限公司，系公司全资子公司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泸美、泸美供应链平台</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四川泸美供应链管理有限公司，系公司控股子公司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宜美、宜美供应链平台</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四川宜美供应链管理有限公司，系公司控股子公司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汇天云网</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汇天云网集团有限公司，系公司控股子公司</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119995pt;margin-top:272.159973pt;width:362.65pt;height:20.8pt;mso-position-horizontal-relative:page;mso-position-vertical-relative:page;z-index:-944608" coordorigin="3422,5443" coordsize="7253,416">
            <v:group style="position:absolute;left:3434;top:5455;width:2;height:392" coordorigin="3434,5455" coordsize="2,392">
              <v:shape style="position:absolute;left:3434;top:5455;width:2;height:392" coordorigin="3434,5455" coordsize="0,392" path="m3434,5455l3434,5846e" filled="false" stroked="true" strokeweight="1.2pt" strokecolor="#ffffff">
                <v:path arrowok="t"/>
              </v:shape>
            </v:group>
            <v:group style="position:absolute;left:3446;top:5455;width:7229;height:392" coordorigin="3446,5455" coordsize="7229,392">
              <v:shape style="position:absolute;left:3446;top:5455;width:7229;height:392" coordorigin="3446,5455" coordsize="7229,392" path="m3446,5846l10675,5846,10675,5455,3446,5455,3446,584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1"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76"/>
        <w:gridCol w:w="2132"/>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002303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MYS GROUP CO.,</w:t>
            </w:r>
            <w:r>
              <w:rPr>
                <w:rFonts w:ascii="Times New Roman"/>
                <w:spacing w:val="-11"/>
                <w:sz w:val="18"/>
              </w:rPr>
              <w:t> </w:t>
            </w:r>
            <w:r>
              <w:rPr>
                <w:rFonts w:ascii="Times New Roman"/>
                <w:spacing w:val="-6"/>
                <w:sz w:val="18"/>
              </w:rPr>
              <w:t>LTD.</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MYS</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张珍义</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www.szmys.com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刘会丰</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6" w:lineRule="auto" w:before="49"/>
              <w:ind w:left="17" w:right="95"/>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0755-29751666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0755-29751666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0755-28234302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0755-28234302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mys.stock@szmys.com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bookmarkStart w:name="四、注册变更情况" w:id="8"/>
            <w:bookmarkEnd w:id="8"/>
            <w:r>
              <w:rPr/>
            </w: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91440300723000100A</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室</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陈菁佩</w:t>
            </w:r>
            <w:r>
              <w:rPr>
                <w:rFonts w:ascii="宋体" w:hAnsi="宋体" w:cs="宋体" w:eastAsia="宋体" w:hint="default"/>
                <w:spacing w:val="1"/>
                <w:sz w:val="18"/>
                <w:szCs w:val="18"/>
              </w:rPr>
              <w:t> </w:t>
            </w:r>
            <w:r>
              <w:rPr>
                <w:rFonts w:ascii="宋体" w:hAnsi="宋体" w:cs="宋体" w:eastAsia="宋体" w:hint="default"/>
                <w:sz w:val="18"/>
                <w:szCs w:val="18"/>
              </w:rPr>
              <w:t>、张斌</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36"/>
        <w:gridCol w:w="1211"/>
        <w:gridCol w:w="1203"/>
        <w:gridCol w:w="1199"/>
        <w:gridCol w:w="1202"/>
        <w:gridCol w:w="1201"/>
        <w:gridCol w:w="1201"/>
      </w:tblGrid>
      <w:tr>
        <w:trPr>
          <w:trHeight w:val="161" w:hRule="exact"/>
        </w:trPr>
        <w:tc>
          <w:tcPr>
            <w:tcW w:w="2336" w:type="dxa"/>
            <w:vMerge w:val="restart"/>
            <w:tcBorders>
              <w:top w:val="single" w:sz="4" w:space="0" w:color="000000"/>
              <w:left w:val="single" w:sz="4" w:space="0" w:color="000000"/>
              <w:right w:val="single" w:sz="4" w:space="0" w:color="000000"/>
            </w:tcBorders>
            <w:shd w:val="clear" w:color="auto" w:fill="D4D4D4"/>
          </w:tcPr>
          <w:p>
            <w:pPr/>
          </w:p>
        </w:tc>
        <w:tc>
          <w:tcPr>
            <w:tcW w:w="1211"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0" w:hRule="exact"/>
        </w:trPr>
        <w:tc>
          <w:tcPr>
            <w:tcW w:w="2336" w:type="dxa"/>
            <w:vMerge w:val="restart"/>
            <w:tcBorders>
              <w:top w:val="nil" w:sz="6" w:space="0" w:color="auto"/>
              <w:left w:val="single" w:sz="4" w:space="0" w:color="000000"/>
              <w:right w:val="single" w:sz="4" w:space="0" w:color="000000"/>
            </w:tcBorders>
            <w:shd w:val="clear" w:color="auto" w:fill="D4D4D4"/>
          </w:tcPr>
          <w:p>
            <w:pPr/>
          </w:p>
        </w:tc>
        <w:tc>
          <w:tcPr>
            <w:tcW w:w="12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8" w:hRule="exact"/>
        </w:trPr>
        <w:tc>
          <w:tcPr>
            <w:tcW w:w="233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1"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36"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1" w:type="dxa"/>
            <w:vMerge w:val="restart"/>
            <w:tcBorders>
              <w:top w:val="single" w:sz="4" w:space="0" w:color="000000"/>
              <w:left w:val="single" w:sz="10" w:space="0" w:color="D4D4D4"/>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2,016,422,890.</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84</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1,563,222,281.</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96</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1,563,222,281.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28.99%</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1,305,636,964.</w:t>
            </w:r>
            <w:r>
              <w:rPr>
                <w:rFonts w:ascii="Times New Roman"/>
                <w:sz w:val="18"/>
              </w:rPr>
            </w:r>
          </w:p>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1,305,636,964.</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w:t>
            </w:r>
          </w:p>
        </w:tc>
      </w:tr>
      <w:tr>
        <w:trPr>
          <w:trHeight w:val="391" w:hRule="exact"/>
        </w:trPr>
        <w:tc>
          <w:tcPr>
            <w:tcW w:w="233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1" w:type="dxa"/>
            <w:vMerge/>
            <w:tcBorders>
              <w:left w:val="single" w:sz="10" w:space="0" w:color="D4D4D4"/>
              <w:right w:val="single" w:sz="4" w:space="0" w:color="000000"/>
            </w:tcBorders>
          </w:tcPr>
          <w:p>
            <w:pPr/>
          </w:p>
        </w:tc>
        <w:tc>
          <w:tcPr>
            <w:tcW w:w="1203" w:type="dxa"/>
            <w:vMerge/>
            <w:tcBorders>
              <w:left w:val="single" w:sz="4" w:space="0" w:color="000000"/>
              <w:right w:val="single" w:sz="4" w:space="0" w:color="000000"/>
            </w:tcBorders>
          </w:tcPr>
          <w:p>
            <w:pPr/>
          </w:p>
        </w:tc>
        <w:tc>
          <w:tcPr>
            <w:tcW w:w="1199"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r>
      <w:tr>
        <w:trPr>
          <w:trHeight w:val="161" w:hRule="exact"/>
        </w:trPr>
        <w:tc>
          <w:tcPr>
            <w:tcW w:w="233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1" w:type="dxa"/>
            <w:vMerge/>
            <w:tcBorders>
              <w:left w:val="single" w:sz="10" w:space="0" w:color="D4D4D4"/>
              <w:bottom w:val="single" w:sz="4" w:space="0" w:color="000000"/>
              <w:right w:val="single" w:sz="4" w:space="0" w:color="000000"/>
            </w:tcBorders>
          </w:tcPr>
          <w:p>
            <w:pPr/>
          </w:p>
        </w:tc>
        <w:tc>
          <w:tcPr>
            <w:tcW w:w="1203" w:type="dxa"/>
            <w:vMerge/>
            <w:tcBorders>
              <w:left w:val="single" w:sz="4" w:space="0" w:color="000000"/>
              <w:bottom w:val="single" w:sz="4" w:space="0" w:color="000000"/>
              <w:right w:val="single" w:sz="4" w:space="0" w:color="000000"/>
            </w:tcBorders>
          </w:tcPr>
          <w:p>
            <w:pPr/>
          </w:p>
        </w:tc>
        <w:tc>
          <w:tcPr>
            <w:tcW w:w="1199"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r>
      <w:tr>
        <w:trPr>
          <w:trHeight w:val="715"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220,482,825.97</w:t>
            </w:r>
            <w:r>
              <w:rPr>
                <w:rFonts w:ascii="Times New Roman"/>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261,540,481.25</w:t>
            </w:r>
            <w:r>
              <w:rPr>
                <w:rFonts w:ascii="Times New Roman"/>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262,848,840.93</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-16.12%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174,070,348.95</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175,470,063.49</w:t>
            </w:r>
            <w:r>
              <w:rPr>
                <w:rFonts w:ascii="Times New Roman"/>
                <w:sz w:val="18"/>
              </w:rPr>
            </w:r>
          </w:p>
        </w:tc>
      </w:tr>
      <w:tr>
        <w:trPr>
          <w:trHeight w:val="713"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26"/>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157,048,807.60</w:t>
            </w:r>
            <w:r>
              <w:rPr>
                <w:rFonts w:ascii="Times New Roman"/>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249,588,508.58</w:t>
            </w:r>
            <w:r>
              <w:rPr>
                <w:rFonts w:ascii="Times New Roman"/>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249,875,779.44</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164,256,102.89</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164,543,262.51</w:t>
            </w:r>
            <w:r>
              <w:rPr>
                <w:rFonts w:ascii="Times New Roman"/>
                <w:sz w:val="18"/>
              </w:rPr>
            </w:r>
          </w:p>
        </w:tc>
      </w:tr>
      <w:tr>
        <w:trPr>
          <w:trHeight w:val="715"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208,890,369.14</w:t>
            </w:r>
            <w:r>
              <w:rPr>
                <w:rFonts w:ascii="Times New Roman"/>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292,618,451.84</w:t>
            </w:r>
            <w:r>
              <w:rPr>
                <w:rFonts w:ascii="Times New Roman"/>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292,618,451.84</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-28.61%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269,107,118.25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269,107,118.25</w:t>
            </w:r>
          </w:p>
        </w:tc>
      </w:tr>
      <w:tr>
        <w:trPr>
          <w:trHeight w:val="401"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0.1541</w:t>
            </w:r>
            <w:r>
              <w:rPr>
                <w:rFonts w:ascii="Times New Roman"/>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0.1829</w:t>
            </w:r>
            <w:r>
              <w:rPr>
                <w:rFonts w:ascii="Times New Roman"/>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0.1838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0.1217</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0.1227</w:t>
            </w:r>
            <w:r>
              <w:rPr>
                <w:rFonts w:ascii="Times New Roman"/>
                <w:sz w:val="18"/>
              </w:rPr>
            </w:r>
          </w:p>
        </w:tc>
      </w:tr>
      <w:tr>
        <w:trPr>
          <w:trHeight w:val="403"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0.1541</w:t>
            </w:r>
            <w:r>
              <w:rPr>
                <w:rFonts w:ascii="Times New Roman"/>
                <w:sz w:val="18"/>
              </w:rPr>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0.1829</w:t>
            </w:r>
            <w:r>
              <w:rPr>
                <w:rFonts w:ascii="Times New Roman"/>
                <w:sz w:val="18"/>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0.1838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0.1217</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0.1227</w:t>
            </w:r>
            <w:r>
              <w:rPr>
                <w:rFonts w:ascii="Times New Roman"/>
                <w:sz w:val="18"/>
              </w:rPr>
            </w:r>
          </w:p>
        </w:tc>
      </w:tr>
      <w:tr>
        <w:trPr>
          <w:trHeight w:val="401"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12.55%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9.18%</w:t>
            </w:r>
          </w:p>
        </w:tc>
      </w:tr>
      <w:tr>
        <w:trPr>
          <w:trHeight w:val="161" w:hRule="exact"/>
        </w:trPr>
        <w:tc>
          <w:tcPr>
            <w:tcW w:w="2336" w:type="dxa"/>
            <w:vMerge w:val="restart"/>
            <w:tcBorders>
              <w:top w:val="single" w:sz="4" w:space="0" w:color="000000"/>
              <w:left w:val="single" w:sz="4" w:space="0" w:color="000000"/>
              <w:right w:val="single" w:sz="4" w:space="0" w:color="000000"/>
            </w:tcBorders>
            <w:shd w:val="clear" w:color="auto" w:fill="D4D4D4"/>
          </w:tcPr>
          <w:p>
            <w:pPr/>
          </w:p>
        </w:tc>
        <w:tc>
          <w:tcPr>
            <w:tcW w:w="1211"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2" w:hRule="exact"/>
        </w:trPr>
        <w:tc>
          <w:tcPr>
            <w:tcW w:w="2336" w:type="dxa"/>
            <w:vMerge w:val="restart"/>
            <w:tcBorders>
              <w:top w:val="nil" w:sz="6" w:space="0" w:color="auto"/>
              <w:left w:val="single" w:sz="4" w:space="0" w:color="000000"/>
              <w:right w:val="single" w:sz="4" w:space="0" w:color="000000"/>
            </w:tcBorders>
            <w:shd w:val="clear" w:color="auto" w:fill="D4D4D4"/>
          </w:tcPr>
          <w:p>
            <w:pPr/>
          </w:p>
        </w:tc>
        <w:tc>
          <w:tcPr>
            <w:tcW w:w="12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233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1"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7" w:right="0"/>
              <w:jc w:val="left"/>
              <w:rPr>
                <w:rFonts w:ascii="宋体" w:hAnsi="宋体" w:cs="宋体" w:eastAsia="宋体" w:hint="default"/>
                <w:sz w:val="18"/>
                <w:szCs w:val="18"/>
              </w:rPr>
            </w:pPr>
            <w:r>
              <w:rPr>
                <w:rFonts w:ascii="宋体" w:hAnsi="宋体" w:cs="宋体" w:eastAsia="宋体" w:hint="default"/>
                <w:sz w:val="18"/>
                <w:szCs w:val="18"/>
              </w:rPr>
              <w:t>调整后</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58"/>
        <w:gridCol w:w="1200"/>
        <w:gridCol w:w="1202"/>
        <w:gridCol w:w="1200"/>
        <w:gridCol w:w="1202"/>
        <w:gridCol w:w="1200"/>
        <w:gridCol w:w="1202"/>
      </w:tblGrid>
      <w:tr>
        <w:trPr>
          <w:trHeight w:val="713" w:hRule="exact"/>
        </w:trPr>
        <w:tc>
          <w:tcPr>
            <w:tcW w:w="23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3,226,501,367.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2,925,621,742.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2,934,158,495.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2,647,652,964.</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2,654,650,470.</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56</w:t>
            </w:r>
          </w:p>
        </w:tc>
      </w:tr>
      <w:tr>
        <w:trPr>
          <w:trHeight w:val="715" w:hRule="exact"/>
        </w:trPr>
        <w:tc>
          <w:tcPr>
            <w:tcW w:w="23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63"/>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2,376,536,975.</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2,196,706,155.</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2,203,962,394.</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1,963,741,620.</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1,969,689,500.</w:t>
            </w:r>
            <w:r>
              <w:rPr>
                <w:rFonts w:ascii="Times New Roman"/>
                <w:sz w:val="18"/>
              </w:rPr>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w:t>
            </w:r>
          </w:p>
        </w:tc>
      </w:tr>
    </w:tbl>
    <w:p>
      <w:pPr>
        <w:pStyle w:val="BodyText"/>
        <w:spacing w:line="240" w:lineRule="auto" w:before="49"/>
        <w:ind w:right="104"/>
        <w:jc w:val="left"/>
      </w:pPr>
      <w:r>
        <w:rPr/>
        <w:t>会计政策变更的原因及会计差错更正的情况</w:t>
      </w:r>
    </w:p>
    <w:p>
      <w:pPr>
        <w:pStyle w:val="BodyText"/>
        <w:spacing w:line="309" w:lineRule="auto" w:before="115"/>
        <w:ind w:right="104"/>
        <w:jc w:val="left"/>
      </w:pPr>
      <w:r>
        <w:rPr/>
        <w:t>经公司第三届董事会第二十一次（临时）会议、第三届监事会第十三次会议审议通过，公司自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29 </w:t>
      </w:r>
      <w:r>
        <w:rPr/>
        <w:t>日起将持有 的投资性房地产的后续计量由成本计量模式变更为公允价值计量模式，主要原因：</w:t>
      </w:r>
      <w:r>
        <w:rPr>
          <w:rFonts w:ascii="Times New Roman" w:hAnsi="Times New Roman" w:cs="Times New Roman" w:eastAsia="Times New Roman" w:hint="default"/>
        </w:rPr>
        <w:t>1</w:t>
      </w:r>
      <w:r>
        <w:rPr/>
        <w:t>、公司所持有的投资性房地产采用公允 价值模式进行后续计量有助于增强公司财务信息的准确性，便于公司管理层及投资者及时了解公司真实财务状况及经营成 果，采用公允价值模式对公司投资性房地产进行后续计量具备合理性、可操作性。</w:t>
      </w:r>
      <w:r>
        <w:rPr>
          <w:rFonts w:ascii="Times New Roman" w:hAnsi="Times New Roman" w:cs="Times New Roman" w:eastAsia="Times New Roman" w:hint="default"/>
        </w:rPr>
        <w:t>2</w:t>
      </w:r>
      <w:r>
        <w:rPr/>
        <w:t>、公司所持有的投资性房地产所在地有 </w:t>
      </w:r>
      <w:r>
        <w:rPr>
          <w:spacing w:val="-2"/>
        </w:rPr>
        <w:t>活跃的房地产租赁和交易市场，公司能够从房地产市场上取得同类或类似房地产的市场价格及其他相关信息，从而对投资性</w:t>
      </w:r>
      <w:r>
        <w:rPr>
          <w:spacing w:val="-64"/>
        </w:rPr>
        <w:t> </w:t>
      </w:r>
      <w:r>
        <w:rPr>
          <w:spacing w:val="-64"/>
        </w:rPr>
      </w:r>
      <w:r>
        <w:rPr/>
        <w:t>房地产的公允价值做出科学合理的估计，投资性房地产的公允价值能够持续可靠取得。</w:t>
      </w:r>
      <w:r>
        <w:rPr>
          <w:rFonts w:ascii="Times New Roman" w:hAnsi="Times New Roman" w:cs="Times New Roman" w:eastAsia="Times New Roman" w:hint="default"/>
        </w:rPr>
        <w:t>3</w:t>
      </w:r>
      <w:r>
        <w:rPr/>
        <w:t>、公司采用公允价值模式对投资性 </w:t>
      </w:r>
      <w:r>
        <w:rPr>
          <w:spacing w:val="-2"/>
        </w:rPr>
        <w:t>房地产进行后续计量，可以更加真实客观地反映公司价值。公司的投资性房地产主要为用于出租的房产，采用公允价值模式</w:t>
      </w:r>
      <w:r>
        <w:rPr>
          <w:spacing w:val="-63"/>
        </w:rPr>
        <w:t> </w:t>
      </w:r>
      <w:r>
        <w:rPr>
          <w:spacing w:val="-63"/>
        </w:rPr>
      </w:r>
      <w:r>
        <w:rPr>
          <w:spacing w:val="-2"/>
        </w:rPr>
        <w:t>进行后续计量是目前国际通行的成熟方法，有助于广大投资者更全面地了解公司经营和资产情况，更能公允、恰当反映公司</w:t>
      </w:r>
      <w:r>
        <w:rPr>
          <w:spacing w:val="-66"/>
        </w:rPr>
        <w:t> </w:t>
      </w:r>
      <w:r>
        <w:rPr>
          <w:spacing w:val="-66"/>
        </w:rPr>
      </w:r>
      <w:r>
        <w:rPr>
          <w:spacing w:val="-2"/>
        </w:rPr>
        <w:t>的财务状况和经营成果。因此，采用公允价值模式对投资性房地产进行后续计量的会计政策更能够提供可靠、相关的会计信</w:t>
      </w:r>
      <w:r>
        <w:rPr>
          <w:spacing w:val="-63"/>
        </w:rPr>
        <w:t> </w:t>
      </w:r>
      <w:r>
        <w:rPr>
          <w:spacing w:val="-63"/>
        </w:rPr>
      </w:r>
      <w:r>
        <w:rPr/>
        <w:t>息。公司自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日起对投资性房地产采用公允价值模式进行后续计量，本次会计政策变更需要对</w:t>
      </w:r>
      <w:r>
        <w:rPr>
          <w:spacing w:val="-1"/>
        </w:rPr>
        <w:t> </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2013</w:t>
      </w:r>
      <w:r>
        <w:rPr/>
        <w:t>、</w:t>
      </w:r>
    </w:p>
    <w:p>
      <w:pPr>
        <w:pStyle w:val="BodyText"/>
        <w:spacing w:line="240" w:lineRule="auto" w:before="5"/>
        <w:ind w:right="10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4"/>
        </w:rPr>
        <w:t> </w:t>
      </w:r>
      <w:r>
        <w:rPr/>
        <w:t>年度财务报表进行追溯调整。</w:t>
      </w:r>
    </w:p>
    <w:p>
      <w:pPr>
        <w:spacing w:line="240" w:lineRule="auto" w:before="3"/>
        <w:rPr>
          <w:rFonts w:ascii="宋体" w:hAnsi="宋体" w:cs="宋体" w:eastAsia="宋体" w:hint="default"/>
          <w:sz w:val="24"/>
          <w:szCs w:val="24"/>
        </w:rPr>
      </w:pPr>
    </w:p>
    <w:p>
      <w:pPr>
        <w:pStyle w:val="Heading2"/>
        <w:spacing w:line="240" w:lineRule="auto"/>
        <w:ind w:right="10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4"/>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0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104"/>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394,708,216.03</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497,771,791.67</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494,918,992.92</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629,023,890.22</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60,572,237.36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84,324,955.87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45,655,723.09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29,929,909.65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58,567,673.83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83,687,784.60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43,238,196.90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-28,444,847.73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32,454,381.20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87,716,673.65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51,605,277.05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37,114,037.24</w:t>
            </w:r>
            <w:r>
              <w:rPr>
                <w:rFonts w:ascii="Times New Roman"/>
                <w:sz w:val="18"/>
              </w:rPr>
            </w:r>
          </w:p>
        </w:tc>
      </w:tr>
    </w:tbl>
    <w:p>
      <w:pPr>
        <w:pStyle w:val="BodyText"/>
        <w:spacing w:line="240" w:lineRule="auto" w:before="49"/>
        <w:ind w:right="104"/>
        <w:jc w:val="left"/>
      </w:pPr>
      <w:r>
        <w:rPr/>
        <w:t>上述财务指标或其加总数是否与公司已披露季度报告、半年度报告相关财务指标存在重大差异</w:t>
      </w:r>
    </w:p>
    <w:p>
      <w:pPr>
        <w:pStyle w:val="BodyText"/>
        <w:spacing w:line="338" w:lineRule="auto" w:before="117"/>
        <w:ind w:right="639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注：分季度主要财务指标的补充说明如下：</w:t>
      </w:r>
    </w:p>
    <w:p>
      <w:pPr>
        <w:spacing w:after="0" w:line="338"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04"/>
        <w:jc w:val="left"/>
      </w:pPr>
      <w:r>
        <w:rPr>
          <w:rFonts w:ascii="Times New Roman" w:hAnsi="Times New Roman" w:cs="Times New Roman" w:eastAsia="Times New Roman" w:hint="default"/>
        </w:rPr>
        <w:t>1</w:t>
      </w:r>
      <w:r>
        <w:rPr/>
        <w:t>、公司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年第四季度收入增长较快，主要系公司子公司四川泸美供应链管理有限公司业务放量所致。</w:t>
      </w:r>
    </w:p>
    <w:p>
      <w:pPr>
        <w:pStyle w:val="BodyText"/>
        <w:spacing w:line="240" w:lineRule="auto" w:before="103"/>
        <w:ind w:right="104"/>
        <w:jc w:val="left"/>
      </w:pPr>
      <w:r>
        <w:rPr>
          <w:rFonts w:ascii="Times New Roman" w:hAnsi="Times New Roman" w:cs="Times New Roman" w:eastAsia="Times New Roman" w:hint="default"/>
        </w:rPr>
        <w:t>2</w:t>
      </w:r>
      <w:r>
        <w:rPr/>
        <w:t>、公司</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年下半年利润率较低主要原因如下：</w:t>
      </w:r>
    </w:p>
    <w:p>
      <w:pPr>
        <w:pStyle w:val="BodyText"/>
        <w:spacing w:line="240" w:lineRule="auto" w:before="101"/>
        <w:ind w:right="104"/>
        <w:jc w:val="left"/>
      </w:pPr>
      <w:r>
        <w:rPr/>
        <w:t>（</w:t>
      </w:r>
      <w:r>
        <w:rPr>
          <w:rFonts w:ascii="Times New Roman" w:hAnsi="Times New Roman" w:cs="Times New Roman" w:eastAsia="Times New Roman" w:hint="default"/>
        </w:rPr>
        <w:t>1</w:t>
      </w:r>
      <w:r>
        <w:rPr/>
        <w:t>）公司加大新市场、新客户开发力度导致销售费用、管理费用增加较多。</w:t>
      </w:r>
    </w:p>
    <w:p>
      <w:pPr>
        <w:pStyle w:val="BodyText"/>
        <w:spacing w:line="300" w:lineRule="auto" w:before="103"/>
        <w:ind w:right="184"/>
        <w:jc w:val="left"/>
      </w:pPr>
      <w:r>
        <w:rPr/>
        <w:t>（</w:t>
      </w:r>
      <w:r>
        <w:rPr>
          <w:rFonts w:ascii="Times New Roman" w:hAnsi="Times New Roman" w:cs="Times New Roman" w:eastAsia="Times New Roman" w:hint="default"/>
        </w:rPr>
        <w:t>2</w:t>
      </w:r>
      <w:r>
        <w:rPr/>
        <w:t>）公司为提升高端新客户的服务质量和客户体验，大力引进优秀人才团队，投入较大；同时，新客户产品多频次、小批 量试制导致损耗较大，降低产品毛利。</w:t>
      </w:r>
    </w:p>
    <w:p>
      <w:pPr>
        <w:pStyle w:val="BodyText"/>
        <w:spacing w:line="240" w:lineRule="auto" w:before="72"/>
        <w:ind w:right="104"/>
        <w:jc w:val="left"/>
      </w:pPr>
      <w:r>
        <w:rPr/>
        <w:t>（</w:t>
      </w:r>
      <w:r>
        <w:rPr>
          <w:rFonts w:ascii="Times New Roman" w:hAnsi="Times New Roman" w:cs="Times New Roman" w:eastAsia="Times New Roman" w:hint="default"/>
        </w:rPr>
        <w:t>3</w:t>
      </w:r>
      <w:r>
        <w:rPr/>
        <w:t>）公司根据存货的实际情况，按照规定计提了金额较大的存货跌价准备。</w:t>
      </w:r>
    </w:p>
    <w:p>
      <w:pPr>
        <w:pStyle w:val="BodyText"/>
        <w:spacing w:line="314" w:lineRule="auto" w:before="101"/>
        <w:ind w:right="94"/>
        <w:jc w:val="left"/>
      </w:pPr>
      <w:r>
        <w:rPr/>
        <w:t>（</w:t>
      </w:r>
      <w:r>
        <w:rPr>
          <w:rFonts w:ascii="Times New Roman" w:hAnsi="Times New Roman" w:cs="Times New Roman" w:eastAsia="Times New Roman" w:hint="default"/>
        </w:rPr>
        <w:t>4</w:t>
      </w:r>
      <w:r>
        <w:rPr/>
        <w:t>）公司实施包材整装供应新商业服务模式的泸美供应链平台主要是通过整合上游供应商资源，以统一的资源整合优势， </w:t>
      </w:r>
      <w:r>
        <w:rPr>
          <w:spacing w:val="-2"/>
        </w:rPr>
        <w:t>通过科学的研发设计、合理的订单分配、精细化管理以及先进的信息化增强供应链“柔性”保障能力，以提高客户包材供应</w:t>
      </w:r>
      <w:r>
        <w:rPr>
          <w:spacing w:val="-67"/>
        </w:rPr>
        <w:t> </w:t>
      </w:r>
      <w:r>
        <w:rPr>
          <w:spacing w:val="-67"/>
        </w:rPr>
      </w:r>
      <w:r>
        <w:rPr/>
        <w:t>链的整体竞争实力和一体化服务水平，通过资源整合和效率提升来创造利润，利润的产生和增长本身需要一定的深入过程。 </w:t>
      </w:r>
      <w:r>
        <w:rPr>
          <w:spacing w:val="-2"/>
        </w:rPr>
        <w:t>而泸美供应链平台自身不进行产品制造，不涉及产品制造的盈利环节。因此，毛利比公司其他业务显著较低。随着其收入的</w:t>
      </w:r>
      <w:r>
        <w:rPr>
          <w:spacing w:val="-64"/>
        </w:rPr>
        <w:t> </w:t>
      </w:r>
      <w:r>
        <w:rPr>
          <w:spacing w:val="-64"/>
        </w:rPr>
      </w:r>
      <w:r>
        <w:rPr/>
        <w:t>大幅增加，拉低了公司整体毛利水平。</w:t>
      </w:r>
    </w:p>
    <w:p>
      <w:pPr>
        <w:spacing w:line="240" w:lineRule="auto" w:before="13"/>
        <w:rPr>
          <w:rFonts w:ascii="宋体" w:hAnsi="宋体" w:cs="宋体" w:eastAsia="宋体" w:hint="default"/>
          <w:sz w:val="20"/>
          <w:szCs w:val="20"/>
        </w:rPr>
      </w:pPr>
    </w:p>
    <w:p>
      <w:pPr>
        <w:pStyle w:val="Heading2"/>
        <w:spacing w:line="240" w:lineRule="auto"/>
        <w:ind w:right="104"/>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-245,847.01</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39,696.42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50,022.46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8,493,645.87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17,398,325.48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12,990,319.68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57,147,863.03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1,201,280.96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1,308,888.14</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-624,958.14</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-213,394.78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146,339.21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9,709,778.18</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9,976,585.47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3,142,946.87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3,063,511.61</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1,069,878.09</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2,309,899.72</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505,256.90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63,434,018.37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12,973,061.49</w:t>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10,926,800.98</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0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8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3"/>
        <w:gridCol w:w="2126"/>
        <w:gridCol w:w="5179"/>
      </w:tblGrid>
      <w:tr>
        <w:trPr>
          <w:trHeight w:val="401" w:hRule="exact"/>
        </w:trPr>
        <w:tc>
          <w:tcPr>
            <w:tcW w:w="22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商誉减值</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-75,658,843.72</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3"/>
              <w:jc w:val="left"/>
              <w:rPr>
                <w:rFonts w:ascii="宋体" w:hAnsi="宋体" w:cs="宋体" w:eastAsia="宋体" w:hint="default"/>
                <w:sz w:val="18"/>
                <w:szCs w:val="18"/>
              </w:rPr>
            </w:pPr>
            <w:r>
              <w:rPr>
                <w:rFonts w:ascii="宋体" w:hAnsi="宋体" w:cs="宋体" w:eastAsia="宋体" w:hint="default"/>
                <w:sz w:val="18"/>
                <w:szCs w:val="18"/>
              </w:rPr>
              <w:t>本公司聘请专业评估机构对所收购公司产生的商誉进行减值测 试，经测试，深圳市金之彩文化创意有限公司、汇天云网集团有 限公司经审计后净利润未达到业绩承诺，本期商誉发生减值，减 值金额分别为：</w:t>
            </w:r>
            <w:r>
              <w:rPr>
                <w:rFonts w:ascii="Times New Roman" w:hAnsi="Times New Roman" w:cs="Times New Roman" w:eastAsia="Times New Roman" w:hint="default"/>
                <w:sz w:val="18"/>
                <w:szCs w:val="18"/>
              </w:rPr>
              <w:t>73,340,667.23  </w:t>
            </w:r>
            <w:r>
              <w:rPr>
                <w:rFonts w:ascii="宋体" w:hAnsi="宋体" w:cs="宋体" w:eastAsia="宋体" w:hint="default"/>
                <w:sz w:val="18"/>
                <w:szCs w:val="18"/>
              </w:rPr>
              <w:t>元、</w:t>
            </w:r>
            <w:r>
              <w:rPr>
                <w:rFonts w:ascii="Times New Roman" w:hAnsi="Times New Roman" w:cs="Times New Roman" w:eastAsia="Times New Roman" w:hint="default"/>
                <w:sz w:val="18"/>
                <w:szCs w:val="18"/>
              </w:rPr>
              <w:t>2,318,176.49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67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股权收购或有对价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85,368,621.90</w:t>
            </w: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本公司收购深圳市金之彩文化创意有限公司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年度、</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 经审计后净利润未达到业绩承诺，导致公司未来需支付的或有对</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63"/>
        <w:gridCol w:w="2126"/>
        <w:gridCol w:w="5179"/>
      </w:tblGrid>
      <w:tr>
        <w:trPr>
          <w:trHeight w:val="674"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51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59"/>
              <w:jc w:val="left"/>
              <w:rPr>
                <w:rFonts w:ascii="宋体" w:hAnsi="宋体" w:cs="宋体" w:eastAsia="宋体" w:hint="default"/>
                <w:sz w:val="18"/>
                <w:szCs w:val="18"/>
              </w:rPr>
            </w:pPr>
            <w:r>
              <w:rPr>
                <w:rFonts w:ascii="宋体" w:hAnsi="宋体" w:cs="宋体" w:eastAsia="宋体" w:hint="default"/>
                <w:sz w:val="18"/>
                <w:szCs w:val="18"/>
              </w:rPr>
              <w:t>价减少，减少金额为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85,368,621.90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元，本期公司将该部分款项计 入营业外收入。</w:t>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428" w:right="3470"/>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4"/>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430" w:lineRule="atLeast" w:before="163"/>
        <w:ind w:left="512" w:right="294" w:hanging="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、公司主要业务、主要产品、经营模式等情况</w:t>
      </w:r>
      <w:r>
        <w:rPr>
          <w:rFonts w:ascii="宋体" w:hAnsi="宋体" w:cs="宋体" w:eastAsia="宋体" w:hint="default"/>
          <w:b/>
          <w:bCs/>
          <w:w w:val="99"/>
          <w:sz w:val="18"/>
          <w:szCs w:val="18"/>
        </w:rPr>
        <w:t> </w:t>
      </w:r>
      <w:r>
        <w:rPr>
          <w:rFonts w:ascii="宋体" w:hAnsi="宋体" w:cs="宋体" w:eastAsia="宋体" w:hint="default"/>
          <w:sz w:val="18"/>
          <w:szCs w:val="18"/>
        </w:rPr>
        <w:t>公司自设立以来，坚持以市场为驱动、以顾客需求为导向，不断创新业务服务模式，于行业内率先采用</w:t>
      </w:r>
      <w:r>
        <w:rPr>
          <w:rFonts w:ascii="Times New Roman" w:hAnsi="Times New Roman" w:cs="Times New Roman" w:eastAsia="Times New Roman" w:hint="default"/>
          <w:sz w:val="18"/>
          <w:szCs w:val="18"/>
        </w:rPr>
        <w:t>“</w:t>
      </w:r>
      <w:r>
        <w:rPr>
          <w:rFonts w:ascii="宋体" w:hAnsi="宋体" w:cs="宋体" w:eastAsia="宋体" w:hint="default"/>
          <w:sz w:val="18"/>
          <w:szCs w:val="18"/>
        </w:rPr>
        <w:t>包装一体化</w:t>
      </w:r>
      <w:r>
        <w:rPr>
          <w:rFonts w:ascii="Times New Roman" w:hAnsi="Times New Roman" w:cs="Times New Roman" w:eastAsia="Times New Roman" w:hint="default"/>
          <w:sz w:val="18"/>
          <w:szCs w:val="18"/>
        </w:rPr>
        <w:t>”</w:t>
      </w:r>
    </w:p>
    <w:p>
      <w:pPr>
        <w:pStyle w:val="BodyText"/>
        <w:spacing w:line="312" w:lineRule="auto" w:before="62"/>
        <w:ind w:right="94"/>
        <w:jc w:val="left"/>
      </w:pPr>
      <w:r>
        <w:rPr/>
        <w:t>的服务模式，主要从事轻型包装产品、重型包装产品、电子标签及</w:t>
      </w:r>
      <w:r>
        <w:rPr>
          <w:rFonts w:ascii="Times New Roman" w:hAnsi="Times New Roman" w:cs="Times New Roman" w:eastAsia="Times New Roman" w:hint="default"/>
        </w:rPr>
        <w:t>RFID</w:t>
      </w:r>
      <w:r>
        <w:rPr/>
        <w:t>产品的研发、生产与销售，并为客户提供包装产品 </w:t>
      </w:r>
      <w:r>
        <w:rPr>
          <w:spacing w:val="-4"/>
        </w:rPr>
        <w:t>设计、包装方案优化、包装材料第三方采购与包装产品物流配送、供应商库存管理以及现场辅助包装作业等包装一体化服务。</w:t>
      </w:r>
      <w:r>
        <w:rPr>
          <w:spacing w:val="-44"/>
        </w:rPr>
        <w:t> </w:t>
      </w:r>
      <w:r>
        <w:rPr>
          <w:spacing w:val="-44"/>
        </w:rPr>
      </w:r>
      <w:r>
        <w:rPr/>
        <w:t>作为包装一体化服务供应商，公司兼具设计服务提供商、生产商、采购服务商与物流服务商的特点，从成本与效率两方面， 为客户提供包装产品与服务。公司及下属子公司的主要产品包括纸箱、精品盒、标签及其他印刷品。</w:t>
      </w:r>
    </w:p>
    <w:p>
      <w:pPr>
        <w:pStyle w:val="BodyText"/>
        <w:spacing w:line="309" w:lineRule="auto" w:before="142"/>
        <w:ind w:right="94" w:firstLine="360"/>
        <w:jc w:val="left"/>
      </w:pPr>
      <w:r>
        <w:rPr>
          <w:spacing w:val="-2"/>
        </w:rPr>
        <w:t>作为对包装一体化服务模式的深化，公司于</w:t>
      </w:r>
      <w:r>
        <w:rPr>
          <w:rFonts w:ascii="Times New Roman" w:hAnsi="Times New Roman" w:cs="Times New Roman" w:eastAsia="Times New Roman" w:hint="default"/>
          <w:spacing w:val="-2"/>
        </w:rPr>
        <w:t>2014</w:t>
      </w:r>
      <w:r>
        <w:rPr>
          <w:spacing w:val="-2"/>
        </w:rPr>
        <w:t>年创新性的提出了建立包材整装供应平台的客户服务模式，以轻资产的</w:t>
      </w:r>
      <w:r>
        <w:rPr/>
        <w:t> 模式整合包装行业优势资源，实现客户、整装平台服务商及供应商三方</w:t>
      </w:r>
      <w:r>
        <w:rPr>
          <w:rFonts w:ascii="Times New Roman" w:hAnsi="Times New Roman" w:cs="Times New Roman" w:eastAsia="Times New Roman" w:hint="default"/>
        </w:rPr>
        <w:t>“</w:t>
      </w:r>
      <w:r>
        <w:rPr/>
        <w:t>优势互补、资源共享、合作共赢</w:t>
      </w:r>
      <w:r>
        <w:rPr>
          <w:rFonts w:ascii="Times New Roman" w:hAnsi="Times New Roman" w:cs="Times New Roman" w:eastAsia="Times New Roman" w:hint="default"/>
        </w:rPr>
        <w:t>”</w:t>
      </w:r>
      <w:r>
        <w:rPr/>
        <w:t>的目标，通过打造 </w:t>
      </w:r>
      <w:r>
        <w:rPr>
          <w:spacing w:val="-2"/>
        </w:rPr>
        <w:t>平台创新盈利模式，形成独特的优势，增强公司客户服务能力和客户合作黏性，形成新的业务增长点。公司包材整装供应平</w:t>
      </w:r>
      <w:r>
        <w:rPr>
          <w:spacing w:val="-65"/>
        </w:rPr>
        <w:t> </w:t>
      </w:r>
      <w:r>
        <w:rPr>
          <w:spacing w:val="-65"/>
        </w:rPr>
      </w:r>
      <w:r>
        <w:rPr>
          <w:spacing w:val="-2"/>
        </w:rPr>
        <w:t>台自设立以来，实现了快速的发展。作为公司包材整装供应平台服务模式的推广和复制，公司于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日与宜宾市经济</w:t>
      </w:r>
      <w:r>
        <w:rPr>
          <w:spacing w:val="-60"/>
        </w:rPr>
        <w:t> </w:t>
      </w:r>
      <w:r>
        <w:rPr>
          <w:spacing w:val="-60"/>
        </w:rPr>
      </w:r>
      <w:r>
        <w:rPr>
          <w:spacing w:val="-2"/>
        </w:rPr>
        <w:t>和信息化委员会签署《共建宜宾市供应链平台战略合作框架协议》，约定共建宜宾市包材供应链平台。协议的签订，一方面</w:t>
      </w:r>
      <w:r>
        <w:rPr>
          <w:spacing w:val="-67"/>
        </w:rPr>
        <w:t> </w:t>
      </w:r>
      <w:r>
        <w:rPr>
          <w:spacing w:val="-67"/>
        </w:rPr>
      </w:r>
      <w:r>
        <w:rPr>
          <w:spacing w:val="-2"/>
        </w:rPr>
        <w:t>反映了公司在泸州区域推出的包材整装供应服务模式获得了产业相关方的认可；另一方面说明了公司包材整装供应服务这一</w:t>
      </w:r>
      <w:r>
        <w:rPr>
          <w:spacing w:val="-64"/>
        </w:rPr>
        <w:t> </w:t>
      </w:r>
      <w:r>
        <w:rPr>
          <w:spacing w:val="-64"/>
        </w:rPr>
      </w:r>
      <w:r>
        <w:rPr>
          <w:spacing w:val="-4"/>
        </w:rPr>
        <w:t>商业模式的可复制性，为公司通过轻资产的模式实现增长形成了良好的示范效应。包材整装供应平台服务模式的应用和推广，</w:t>
      </w:r>
      <w:r>
        <w:rPr>
          <w:spacing w:val="-44"/>
        </w:rPr>
        <w:t> </w:t>
      </w:r>
      <w:r>
        <w:rPr>
          <w:spacing w:val="-44"/>
        </w:rPr>
      </w:r>
      <w:r>
        <w:rPr/>
        <w:t>有利于提升公司综合竞争实力，增强公司客户服务能力，进一步打开包装市场空间。</w:t>
      </w:r>
    </w:p>
    <w:p>
      <w:pPr>
        <w:pStyle w:val="BodyText"/>
        <w:spacing w:line="316" w:lineRule="auto" w:before="144"/>
        <w:ind w:left="153" w:right="190" w:firstLine="360"/>
        <w:jc w:val="both"/>
      </w:pPr>
      <w:r>
        <w:rPr>
          <w:spacing w:val="-2"/>
        </w:rPr>
        <w:t>凭借在技术研发、产品品质、经营管理、制造平台以及服务模式创新等全方位的竞争优势，公司赢得了众多世界级知名</w:t>
      </w:r>
      <w:r>
        <w:rPr/>
        <w:t> </w:t>
      </w:r>
      <w:r>
        <w:rPr>
          <w:spacing w:val="-2"/>
        </w:rPr>
        <w:t>企业及国内细分行业领军企业的青睐，成为他们的策略供应商或核心供应商。自上市至今，公司新客户开发工作取得了良好</w:t>
      </w:r>
      <w:r>
        <w:rPr>
          <w:spacing w:val="-63"/>
        </w:rPr>
        <w:t> </w:t>
      </w:r>
      <w:r>
        <w:rPr>
          <w:spacing w:val="-63"/>
        </w:rPr>
      </w:r>
      <w:r>
        <w:rPr>
          <w:spacing w:val="-2"/>
        </w:rPr>
        <w:t>的成绩，客户集中度持续下降，客户服务领域从以电子通讯类占绝对主导地位到目前的涵盖电子通讯、智能终端、食品饮料</w:t>
      </w:r>
      <w:r>
        <w:rPr>
          <w:spacing w:val="-64"/>
        </w:rPr>
        <w:t> </w:t>
      </w:r>
      <w:r>
        <w:rPr>
          <w:spacing w:val="-64"/>
        </w:rPr>
      </w:r>
      <w:r>
        <w:rPr>
          <w:spacing w:val="-2"/>
        </w:rPr>
        <w:t>保健品、家具家居、电商、快递速运、新能源汽车产业链及智能机器人等，公司服务客户类型更加广泛，服务不同产业客户</w:t>
      </w:r>
      <w:r>
        <w:rPr>
          <w:spacing w:val="-70"/>
        </w:rPr>
        <w:t> </w:t>
      </w:r>
      <w:r>
        <w:rPr>
          <w:spacing w:val="-70"/>
        </w:rPr>
      </w:r>
      <w:r>
        <w:rPr/>
        <w:t>的业务更加均衡。</w:t>
      </w:r>
    </w:p>
    <w:p>
      <w:pPr>
        <w:pStyle w:val="BodyText"/>
        <w:spacing w:line="312" w:lineRule="auto" w:before="139"/>
        <w:ind w:left="153" w:right="190" w:firstLine="360"/>
        <w:jc w:val="both"/>
      </w:pPr>
      <w:r>
        <w:rPr>
          <w:spacing w:val="-2"/>
        </w:rPr>
        <w:t>在销售模式方面，公司以销定产，经营业绩的主要驱动因素是客户订单情况。因此，不断的开发新客户并成为客户的主</w:t>
      </w:r>
      <w:r>
        <w:rPr/>
        <w:t> </w:t>
      </w:r>
      <w:r>
        <w:rPr>
          <w:spacing w:val="-2"/>
        </w:rPr>
        <w:t>力供应商是公司经营工作的重点。近年来，公司客户开发工作卓有成效，从而实现了业务的持续增长。</w:t>
      </w:r>
      <w:r>
        <w:rPr>
          <w:rFonts w:ascii="Times New Roman" w:hAnsi="Times New Roman" w:cs="Times New Roman" w:eastAsia="Times New Roman" w:hint="default"/>
          <w:spacing w:val="-2"/>
        </w:rPr>
        <w:t>2015</w:t>
      </w:r>
      <w:r>
        <w:rPr>
          <w:spacing w:val="-2"/>
        </w:rPr>
        <w:t>年，公司更是取</w:t>
      </w:r>
      <w:r>
        <w:rPr>
          <w:spacing w:val="-65"/>
        </w:rPr>
        <w:t> </w:t>
      </w:r>
      <w:r>
        <w:rPr>
          <w:spacing w:val="-65"/>
        </w:rPr>
      </w:r>
      <w:r>
        <w:rPr/>
        <w:t>得了突出的客户开发成绩，年初至本报告披露之时，公司及下属子公司先后获得了中国移动、</w:t>
      </w:r>
      <w:r>
        <w:rPr>
          <w:rFonts w:ascii="Times New Roman" w:hAnsi="Times New Roman" w:cs="Times New Roman" w:eastAsia="Times New Roman" w:hint="default"/>
        </w:rPr>
        <w:t>Diageo</w:t>
      </w:r>
      <w:r>
        <w:rPr/>
        <w:t>、</w:t>
      </w:r>
      <w:r>
        <w:rPr>
          <w:rFonts w:ascii="Times New Roman" w:hAnsi="Times New Roman" w:cs="Times New Roman" w:eastAsia="Times New Roman" w:hint="default"/>
        </w:rPr>
        <w:t>Sonos</w:t>
      </w:r>
      <w:r>
        <w:rPr/>
        <w:t>、海天味业、</w:t>
      </w:r>
      <w:r>
        <w:rPr>
          <w:w w:val="99"/>
        </w:rPr>
        <w:t> </w:t>
      </w:r>
      <w:r>
        <w:rPr>
          <w:spacing w:val="-2"/>
        </w:rPr>
        <w:t>海康威视、顺丰速运、中国石化、福耀玻璃、优必选机器人公司等在内的众多高端客户的包装产品供应资质。报告期内，公</w:t>
      </w:r>
      <w:r>
        <w:rPr>
          <w:spacing w:val="-69"/>
        </w:rPr>
        <w:t> </w:t>
      </w:r>
      <w:r>
        <w:rPr>
          <w:spacing w:val="-69"/>
        </w:rPr>
      </w:r>
      <w:r>
        <w:rPr>
          <w:spacing w:val="-2"/>
        </w:rPr>
        <w:t>司被批准为二级军工保密资格单位，为公司拓展军工物资市场奠定了良好的基础。新客户的不断开发，进一步丰富了公司高</w:t>
      </w:r>
      <w:r>
        <w:rPr>
          <w:spacing w:val="-64"/>
        </w:rPr>
        <w:t> </w:t>
      </w:r>
      <w:r>
        <w:rPr>
          <w:spacing w:val="-64"/>
        </w:rPr>
      </w:r>
      <w:r>
        <w:rPr/>
        <w:t>端客户资源，为公司未来的持续增长奠定坚实的基础。前述新客户开发情况，公司已在有关临时公告中予以披露。</w:t>
      </w:r>
    </w:p>
    <w:p>
      <w:pPr>
        <w:pStyle w:val="BodyText"/>
        <w:spacing w:line="316" w:lineRule="auto" w:before="142"/>
        <w:ind w:left="153" w:right="190" w:firstLine="360"/>
        <w:jc w:val="both"/>
      </w:pPr>
      <w:r>
        <w:rPr>
          <w:spacing w:val="-2"/>
        </w:rPr>
        <w:t>公司自设立以来，一直高度重视技术研发工作，致力于通过突出的技术研发实力增强自身核心竞争力，增加客户服务的</w:t>
      </w:r>
      <w:r>
        <w:rPr/>
        <w:t> </w:t>
      </w:r>
      <w:r>
        <w:rPr>
          <w:spacing w:val="-2"/>
        </w:rPr>
        <w:t>附加值。报告期内，公司继续加强在包装产品外观创意设计、结构创新设计、包装方案优化以及生产工艺改进等方面的研发</w:t>
      </w:r>
      <w:r>
        <w:rPr>
          <w:spacing w:val="-66"/>
        </w:rPr>
        <w:t> </w:t>
      </w:r>
      <w:r>
        <w:rPr>
          <w:spacing w:val="-66"/>
        </w:rPr>
      </w:r>
      <w:r>
        <w:rPr/>
        <w:t>工作，通过研发的持续提升增强公司的客户开发能力，从而获得良好的客户开发成绩。</w:t>
      </w:r>
    </w:p>
    <w:p>
      <w:pPr>
        <w:pStyle w:val="BodyText"/>
        <w:spacing w:line="312" w:lineRule="auto" w:before="139"/>
        <w:ind w:left="153" w:right="190" w:firstLine="360"/>
        <w:jc w:val="both"/>
      </w:pPr>
      <w:r>
        <w:rPr>
          <w:spacing w:val="-2"/>
        </w:rPr>
        <w:t>按照公司的产业互联网战略，</w:t>
      </w:r>
      <w:r>
        <w:rPr>
          <w:rFonts w:ascii="Times New Roman" w:hAnsi="Times New Roman" w:cs="Times New Roman" w:eastAsia="Times New Roman" w:hint="default"/>
          <w:spacing w:val="-2"/>
        </w:rPr>
        <w:t>2015</w:t>
      </w:r>
      <w:r>
        <w:rPr>
          <w:spacing w:val="-2"/>
        </w:rPr>
        <w:t>年，公司先后设立小美集科技有限公司、美莲检测有限公司，为构建互联网包装印刷</w:t>
      </w:r>
      <w:r>
        <w:rPr/>
        <w:t> </w:t>
      </w:r>
      <w:r>
        <w:rPr>
          <w:spacing w:val="-2"/>
        </w:rPr>
        <w:t>生态系统进行战略布局。按照公司</w:t>
      </w:r>
      <w:r>
        <w:rPr>
          <w:rFonts w:ascii="Times New Roman" w:hAnsi="Times New Roman" w:cs="Times New Roman" w:eastAsia="Times New Roman" w:hint="default"/>
          <w:spacing w:val="-2"/>
        </w:rPr>
        <w:t>2015</w:t>
      </w:r>
      <w:r>
        <w:rPr>
          <w:spacing w:val="-2"/>
        </w:rPr>
        <w:t>年度非公开发行股票预案的募集资金使用计划，公司将投资建设互联网包装印刷产业</w:t>
      </w:r>
      <w:r>
        <w:rPr>
          <w:spacing w:val="-62"/>
        </w:rPr>
        <w:t> </w:t>
      </w:r>
      <w:r>
        <w:rPr>
          <w:spacing w:val="-62"/>
        </w:rPr>
      </w:r>
      <w:r>
        <w:rPr>
          <w:spacing w:val="-2"/>
        </w:rPr>
        <w:t>云平台及生态系统建设项目，该项目旨在打造整合包装产业上下游，汇聚线上、线下各类资源，应用大数据分析、挖掘及提</w:t>
      </w:r>
      <w:r>
        <w:rPr>
          <w:spacing w:val="-67"/>
        </w:rPr>
        <w:t> </w:t>
      </w:r>
      <w:r>
        <w:rPr>
          <w:spacing w:val="-67"/>
        </w:rPr>
      </w:r>
      <w:r>
        <w:rPr>
          <w:spacing w:val="-2"/>
        </w:rPr>
        <w:t>供增值服务的互联网包装印刷生态系统。公司通过打造互联网包装印刷生态系统，打破传统产业的不经济、区域性分散、个</w:t>
      </w:r>
      <w:r>
        <w:rPr>
          <w:spacing w:val="-64"/>
        </w:rPr>
        <w:t> </w:t>
      </w:r>
      <w:r>
        <w:rPr>
          <w:spacing w:val="-64"/>
        </w:rPr>
      </w:r>
      <w:r>
        <w:rPr>
          <w:spacing w:val="-2"/>
        </w:rPr>
        <w:t>性化缺乏等制约和痛点，实现自身跨越式发展。通过互联网包装印刷产业云平台，小企业客户及终端消费者、中小型包装印</w:t>
      </w:r>
      <w:r>
        <w:rPr>
          <w:spacing w:val="-65"/>
        </w:rPr>
        <w:t> </w:t>
      </w:r>
      <w:r>
        <w:rPr>
          <w:spacing w:val="-65"/>
        </w:rPr>
      </w:r>
      <w:r>
        <w:rPr/>
        <w:t>刷企业、设计师等多方主体均能在互联网包装印刷生态系统中发挥各自优势、实现市场化竞争，达到多方共赢的局面。</w:t>
      </w:r>
    </w:p>
    <w:p>
      <w:pPr>
        <w:pStyle w:val="Heading4"/>
        <w:spacing w:line="240" w:lineRule="auto" w:before="144"/>
        <w:ind w:left="513" w:right="104"/>
        <w:jc w:val="left"/>
        <w:rPr>
          <w:b w:val="0"/>
          <w:bCs w:val="0"/>
        </w:rPr>
      </w:pPr>
      <w:r>
        <w:rPr>
          <w:rFonts w:ascii="Times New Roman" w:hAnsi="Times New Roman" w:cs="Times New Roman" w:eastAsia="Times New Roman" w:hint="default"/>
        </w:rPr>
        <w:t>2</w:t>
      </w:r>
      <w:r>
        <w:rPr/>
        <w:t>、公司所属行业的发展阶段、周期性特点及公司所处的行业地位</w:t>
      </w:r>
      <w:r>
        <w:rPr>
          <w:b w:val="0"/>
          <w:bCs w:val="0"/>
        </w:rPr>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b/>
          <w:bCs/>
          <w:sz w:val="25"/>
          <w:szCs w:val="25"/>
        </w:rPr>
      </w:pPr>
    </w:p>
    <w:p>
      <w:pPr>
        <w:pStyle w:val="BodyText"/>
        <w:spacing w:line="309" w:lineRule="auto" w:before="44"/>
        <w:ind w:right="104" w:firstLine="360"/>
        <w:jc w:val="left"/>
      </w:pPr>
      <w:r>
        <w:rPr>
          <w:spacing w:val="-2"/>
        </w:rPr>
        <w:t>公司属于纸制品包装行业。纸制品包装行业，作为国民经济的配套产业，近年来，随着国民经济的增长而持续增长。按</w:t>
      </w:r>
      <w:r>
        <w:rPr/>
        <w:t> </w:t>
      </w:r>
      <w:r>
        <w:rPr>
          <w:spacing w:val="-4"/>
        </w:rPr>
        <w:t>照中国包装联合会的统计数据以及相关研究数据，目前国内纸包装市场容量近</w:t>
      </w:r>
      <w:r>
        <w:rPr>
          <w:rFonts w:ascii="Times New Roman" w:hAnsi="Times New Roman" w:cs="Times New Roman" w:eastAsia="Times New Roman" w:hint="default"/>
          <w:spacing w:val="-4"/>
        </w:rPr>
        <w:t>6000</w:t>
      </w:r>
      <w:r>
        <w:rPr>
          <w:spacing w:val="-4"/>
        </w:rPr>
        <w:t>亿元。但我国包装印刷市场发展起步较晚，</w:t>
      </w:r>
      <w:r>
        <w:rPr>
          <w:spacing w:val="-38"/>
        </w:rPr>
        <w:t> </w:t>
      </w:r>
      <w:r>
        <w:rPr>
          <w:spacing w:val="-38"/>
        </w:rPr>
      </w:r>
      <w:r>
        <w:rPr/>
        <w:t>与发达国家市场相比仍有不小的差距。国内包装印刷行业内企业众多、产业集中度较低，使得我国包装印刷行业呈现</w:t>
      </w:r>
      <w:r>
        <w:rPr>
          <w:rFonts w:ascii="Times New Roman" w:hAnsi="Times New Roman" w:cs="Times New Roman" w:eastAsia="Times New Roman" w:hint="default"/>
        </w:rPr>
        <w:t>“</w:t>
      </w:r>
      <w:r>
        <w:rPr/>
        <w:t>大行 业、小公司</w:t>
      </w:r>
      <w:r>
        <w:rPr>
          <w:rFonts w:ascii="Times New Roman" w:hAnsi="Times New Roman" w:cs="Times New Roman" w:eastAsia="Times New Roman" w:hint="default"/>
        </w:rPr>
        <w:t>”</w:t>
      </w:r>
      <w:r>
        <w:rPr/>
        <w:t>的特点。根据中国包装网中的有关分析，美国的纸包装行业前十名企业市场份额集中度大于</w:t>
      </w:r>
      <w:r>
        <w:rPr>
          <w:rFonts w:ascii="Times New Roman" w:hAnsi="Times New Roman" w:cs="Times New Roman" w:eastAsia="Times New Roman" w:hint="default"/>
        </w:rPr>
        <w:t>70%</w:t>
      </w:r>
      <w:r>
        <w:rPr/>
        <w:t>，澳洲的纸包 装行业前十名企业市场份额集中度达到</w:t>
      </w:r>
      <w:r>
        <w:rPr>
          <w:rFonts w:ascii="Times New Roman" w:hAnsi="Times New Roman" w:cs="Times New Roman" w:eastAsia="Times New Roman" w:hint="default"/>
        </w:rPr>
        <w:t>90%</w:t>
      </w:r>
      <w:r>
        <w:rPr/>
        <w:t>，而国内规模排名前列的大企业市场份额远远不及美国和澳洲。近年来，随着下 </w:t>
      </w:r>
      <w:r>
        <w:rPr>
          <w:spacing w:val="-2"/>
        </w:rPr>
        <w:t>游产业品牌化、集中化的加速，上游包装印刷企业之间的行业整合、集中度提升已开始加速。公司作为行业内的少数上市企</w:t>
      </w:r>
      <w:r>
        <w:rPr>
          <w:spacing w:val="-65"/>
        </w:rPr>
        <w:t> </w:t>
      </w:r>
      <w:r>
        <w:rPr>
          <w:spacing w:val="-65"/>
        </w:rPr>
      </w:r>
      <w:r>
        <w:rPr>
          <w:spacing w:val="-2"/>
        </w:rPr>
        <w:t>业之一，自身在研发设计、工艺技术、制造平台、客户资源、服务模式创新等方面已形成突出的竞争优势，企业品牌得到众</w:t>
      </w:r>
      <w:r>
        <w:rPr>
          <w:spacing w:val="-68"/>
        </w:rPr>
        <w:t> </w:t>
      </w:r>
      <w:r>
        <w:rPr>
          <w:spacing w:val="-68"/>
        </w:rPr>
      </w:r>
      <w:r>
        <w:rPr>
          <w:spacing w:val="-2"/>
        </w:rPr>
        <w:t>多客户和同行企业的认可，公司在优质客户资源向行业领先企业集中以及同行业并购整合过程中将占得先机，整合优势资源</w:t>
      </w:r>
      <w:r>
        <w:rPr>
          <w:spacing w:val="-64"/>
        </w:rPr>
        <w:t> </w:t>
      </w:r>
      <w:r>
        <w:rPr>
          <w:spacing w:val="-64"/>
        </w:rPr>
      </w:r>
      <w:r>
        <w:rPr/>
        <w:t>的能力显著优于众多同行企业，有利于公司快速做强做大。</w:t>
      </w:r>
    </w:p>
    <w:p>
      <w:pPr>
        <w:pStyle w:val="BodyText"/>
        <w:spacing w:line="316" w:lineRule="auto" w:before="144"/>
        <w:ind w:right="111"/>
        <w:jc w:val="both"/>
      </w:pPr>
      <w:r>
        <w:rPr/>
        <w:t>公司目前已经发展成为行业内的领先企业，竞争优势明显，具有非常优质的国内外客户资源，客户群广泛分布于电子通讯、 智能终端、食品饮料保健品、家具家居、电商、快递速运、新能源汽车产业链及智能机器人等优势产业，客户集中度较低， 且客户主要为世界级知名品牌企业或国内细分行业领先企业，其自身业务稳定，因此公司业务不存在周期性特点。</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8"/>
        <w:gridCol w:w="6518"/>
      </w:tblGrid>
      <w:tr>
        <w:trPr>
          <w:trHeight w:val="187"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1"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3" w:hRule="exact"/>
        </w:trPr>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161" w:hRule="exact"/>
        </w:trPr>
        <w:tc>
          <w:tcPr>
            <w:tcW w:w="303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300" w:lineRule="auto" w:before="49"/>
              <w:ind w:left="16" w:right="31"/>
              <w:jc w:val="left"/>
              <w:rPr>
                <w:rFonts w:ascii="宋体" w:hAnsi="宋体" w:cs="宋体" w:eastAsia="宋体" w:hint="default"/>
                <w:sz w:val="18"/>
                <w:szCs w:val="18"/>
              </w:rPr>
            </w:pPr>
            <w:r>
              <w:rPr>
                <w:rFonts w:ascii="宋体" w:hAnsi="宋体" w:cs="宋体" w:eastAsia="宋体" w:hint="default"/>
                <w:sz w:val="18"/>
                <w:szCs w:val="18"/>
              </w:rPr>
              <w:t>在建工程本期较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2,955.23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99.30%</w:t>
            </w:r>
            <w:r>
              <w:rPr>
                <w:rFonts w:ascii="宋体" w:hAnsi="宋体" w:cs="宋体" w:eastAsia="宋体" w:hint="default"/>
                <w:sz w:val="18"/>
                <w:szCs w:val="18"/>
              </w:rPr>
              <w:t>，主要系本期东莞基地 扩建工程增加所致。</w:t>
            </w:r>
          </w:p>
        </w:tc>
      </w:tr>
      <w:tr>
        <w:trPr>
          <w:trHeight w:val="391" w:hRule="exact"/>
        </w:trPr>
        <w:tc>
          <w:tcPr>
            <w:tcW w:w="30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vMerge/>
            <w:tcBorders>
              <w:left w:val="single" w:sz="10" w:space="0" w:color="D4D4D4"/>
              <w:right w:val="single" w:sz="4" w:space="0" w:color="000000"/>
            </w:tcBorders>
          </w:tcPr>
          <w:p>
            <w:pPr/>
          </w:p>
        </w:tc>
      </w:tr>
      <w:tr>
        <w:trPr>
          <w:trHeight w:val="161" w:hRule="exact"/>
        </w:trPr>
        <w:tc>
          <w:tcPr>
            <w:tcW w:w="303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1027" w:hRule="exact"/>
        </w:trPr>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投资性房地产本期较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22,928.37</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万元，增长</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1162.97%</w:t>
            </w:r>
            <w:r>
              <w:rPr>
                <w:rFonts w:ascii="宋体" w:hAnsi="宋体" w:cs="宋体" w:eastAsia="宋体" w:hint="default"/>
                <w:spacing w:val="-4"/>
                <w:sz w:val="18"/>
                <w:szCs w:val="18"/>
              </w:rPr>
              <w:t>，主要系本期新</w:t>
            </w:r>
            <w:r>
              <w:rPr>
                <w:rFonts w:ascii="宋体" w:hAnsi="宋体" w:cs="宋体" w:eastAsia="宋体" w:hint="default"/>
                <w:sz w:val="18"/>
                <w:szCs w:val="18"/>
              </w:rPr>
              <w:t> </w:t>
            </w:r>
            <w:r>
              <w:rPr>
                <w:rFonts w:ascii="宋体" w:hAnsi="宋体" w:cs="宋体" w:eastAsia="宋体" w:hint="default"/>
                <w:spacing w:val="-1"/>
                <w:sz w:val="18"/>
                <w:szCs w:val="18"/>
              </w:rPr>
              <w:t>增房产、其中部分房产用于出租形成投资性房地产以及投资性房地产采用公允价值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计量所致。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04"/>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104"/>
        <w:jc w:val="left"/>
      </w:pPr>
      <w:r>
        <w:rPr/>
        <w:t>报告期内，公司核心竞争力未发生重大变化，公司主要优势情况如下：</w:t>
      </w:r>
    </w:p>
    <w:p>
      <w:pPr>
        <w:spacing w:line="240" w:lineRule="auto" w:before="0"/>
        <w:rPr>
          <w:rFonts w:ascii="宋体" w:hAnsi="宋体" w:cs="宋体" w:eastAsia="宋体" w:hint="default"/>
          <w:sz w:val="15"/>
          <w:szCs w:val="15"/>
        </w:rPr>
      </w:pPr>
    </w:p>
    <w:p>
      <w:pPr>
        <w:pStyle w:val="BodyText"/>
        <w:spacing w:line="415" w:lineRule="auto"/>
        <w:ind w:left="512" w:right="104"/>
        <w:jc w:val="left"/>
      </w:pPr>
      <w:r>
        <w:rPr>
          <w:rFonts w:ascii="Times New Roman" w:hAnsi="Times New Roman" w:cs="Times New Roman" w:eastAsia="Times New Roman" w:hint="default"/>
        </w:rPr>
        <w:t>1</w:t>
      </w:r>
      <w:r>
        <w:rPr/>
        <w:t>、技术研发优势 </w:t>
      </w:r>
      <w:r>
        <w:rPr>
          <w:spacing w:val="-2"/>
        </w:rPr>
        <w:t>公司是包装行业中少数拥有自主知识产权的企业之一，公司、东莞美盈森、苏州美盈森、重庆美盈森及金之彩共计拥有</w:t>
      </w:r>
    </w:p>
    <w:p>
      <w:pPr>
        <w:pStyle w:val="BodyText"/>
        <w:spacing w:line="194" w:lineRule="exact"/>
        <w:ind w:right="0"/>
        <w:jc w:val="left"/>
      </w:pPr>
      <w:r>
        <w:rPr>
          <w:rFonts w:ascii="Times New Roman" w:hAnsi="Times New Roman" w:cs="Times New Roman" w:eastAsia="Times New Roman" w:hint="default"/>
        </w:rPr>
        <w:t>172</w:t>
      </w:r>
      <w:r>
        <w:rPr/>
        <w:t>项实用新型专利、</w:t>
      </w:r>
      <w:r>
        <w:rPr>
          <w:rFonts w:ascii="Times New Roman" w:hAnsi="Times New Roman" w:cs="Times New Roman" w:eastAsia="Times New Roman" w:hint="default"/>
        </w:rPr>
        <w:t>52</w:t>
      </w:r>
      <w:r>
        <w:rPr/>
        <w:t>项发明专利和</w:t>
      </w:r>
      <w:r>
        <w:rPr>
          <w:rFonts w:ascii="Times New Roman" w:hAnsi="Times New Roman" w:cs="Times New Roman" w:eastAsia="Times New Roman" w:hint="default"/>
        </w:rPr>
        <w:t>8</w:t>
      </w:r>
      <w:r>
        <w:rPr/>
        <w:t>项外观专利，是</w:t>
      </w:r>
      <w:r>
        <w:rPr>
          <w:rFonts w:ascii="Times New Roman" w:hAnsi="Times New Roman" w:cs="Times New Roman" w:eastAsia="Times New Roman" w:hint="default"/>
        </w:rPr>
        <w:t>26</w:t>
      </w:r>
      <w:r>
        <w:rPr/>
        <w:t>项国家包装标准的主要起草和参与起草单位，公司拥有的专利及参</w:t>
      </w:r>
    </w:p>
    <w:p>
      <w:pPr>
        <w:pStyle w:val="BodyText"/>
        <w:spacing w:line="300" w:lineRule="auto" w:before="62"/>
        <w:ind w:right="104"/>
        <w:jc w:val="left"/>
      </w:pPr>
      <w:r>
        <w:rPr>
          <w:spacing w:val="-2"/>
        </w:rPr>
        <w:t>与制、修订标准数量业内排名前列。</w:t>
      </w:r>
      <w:r>
        <w:rPr>
          <w:rFonts w:ascii="Times New Roman" w:hAnsi="Times New Roman" w:cs="Times New Roman" w:eastAsia="Times New Roman" w:hint="default"/>
          <w:spacing w:val="-2"/>
        </w:rPr>
        <w:t>2010</w:t>
      </w:r>
      <w:r>
        <w:rPr>
          <w:spacing w:val="-2"/>
        </w:rPr>
        <w:t>年，公司作为国内唯一企业代表中国参加中、日、韩三国亚洲运输包装标准技术专</w:t>
      </w:r>
      <w:r>
        <w:rPr>
          <w:spacing w:val="-65"/>
        </w:rPr>
        <w:t> </w:t>
      </w:r>
      <w:r>
        <w:rPr>
          <w:spacing w:val="-65"/>
        </w:rPr>
      </w:r>
      <w:r>
        <w:rPr>
          <w:spacing w:val="-4"/>
        </w:rPr>
        <w:t>家委员会会议，参与《运输包装指南》标准的起草并已将该标准转化为国际标准。</w:t>
      </w:r>
      <w:r>
        <w:rPr>
          <w:rFonts w:ascii="Times New Roman" w:hAnsi="Times New Roman" w:cs="Times New Roman" w:eastAsia="Times New Roman" w:hint="default"/>
          <w:spacing w:val="-4"/>
        </w:rPr>
        <w:t>2013</w:t>
      </w:r>
      <w:r>
        <w:rPr>
          <w:spacing w:val="-4"/>
        </w:rPr>
        <w:t>年，公司作为主办方，承办了中、日、</w:t>
      </w:r>
      <w:r>
        <w:rPr>
          <w:spacing w:val="-35"/>
        </w:rPr>
        <w:t> </w:t>
      </w:r>
      <w:r>
        <w:rPr>
          <w:spacing w:val="-35"/>
        </w:rPr>
      </w:r>
      <w:r>
        <w:rPr/>
        <w:t>韩三国亚洲运输包装标准技术专家委员会会议。</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93" w:firstLine="360"/>
        <w:jc w:val="both"/>
      </w:pPr>
      <w:r>
        <w:rPr/>
        <w:t>公司研发中心于</w:t>
      </w:r>
      <w:r>
        <w:rPr>
          <w:rFonts w:ascii="Times New Roman" w:hAnsi="Times New Roman" w:cs="Times New Roman" w:eastAsia="Times New Roman" w:hint="default"/>
        </w:rPr>
        <w:t>2011</w:t>
      </w:r>
      <w:r>
        <w:rPr/>
        <w:t>年被深圳市人民政府认定为</w:t>
      </w:r>
      <w:r>
        <w:rPr>
          <w:rFonts w:ascii="Times New Roman" w:hAnsi="Times New Roman" w:cs="Times New Roman" w:eastAsia="Times New Roman" w:hint="default"/>
        </w:rPr>
        <w:t>“</w:t>
      </w:r>
      <w:r>
        <w:rPr/>
        <w:t>市级技术中心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t>年，东莞美盈森被认定为广东省</w:t>
      </w:r>
      <w:r>
        <w:rPr>
          <w:rFonts w:ascii="Times New Roman" w:hAnsi="Times New Roman" w:cs="Times New Roman" w:eastAsia="Times New Roman" w:hint="default"/>
        </w:rPr>
        <w:t>“</w:t>
      </w:r>
      <w:r>
        <w:rPr/>
        <w:t>省级企业技术 中心</w:t>
      </w:r>
      <w:r>
        <w:rPr>
          <w:rFonts w:ascii="Times New Roman" w:hAnsi="Times New Roman" w:cs="Times New Roman" w:eastAsia="Times New Roman" w:hint="default"/>
        </w:rPr>
        <w:t>”</w:t>
      </w:r>
      <w:r>
        <w:rPr/>
        <w:t>。</w:t>
      </w:r>
    </w:p>
    <w:p>
      <w:pPr>
        <w:pStyle w:val="BodyText"/>
        <w:spacing w:line="316" w:lineRule="auto" w:before="133"/>
        <w:ind w:right="111" w:firstLine="360"/>
        <w:jc w:val="both"/>
      </w:pPr>
      <w:r>
        <w:rPr/>
        <w:t>同时，公司通过产品外观设计、创意设计、缓冲设计、一体化设计等提升客户产品视觉传达、艺术水平、产品美誉度、 品牌价值并降低客户综合包装成本，在为客户创造价值的过程中已形成了独特的竞争优势，并代表行业的先进技术水平。</w:t>
      </w:r>
    </w:p>
    <w:p>
      <w:pPr>
        <w:pStyle w:val="BodyText"/>
        <w:spacing w:line="432" w:lineRule="exact" w:before="3"/>
        <w:ind w:left="512" w:right="94"/>
        <w:jc w:val="left"/>
      </w:pPr>
      <w:r>
        <w:rPr>
          <w:rFonts w:ascii="Times New Roman" w:hAnsi="Times New Roman" w:cs="Times New Roman" w:eastAsia="Times New Roman" w:hint="default"/>
        </w:rPr>
        <w:t>2</w:t>
      </w:r>
      <w:r>
        <w:rPr/>
        <w:t>、先进的管理优势 公司建立了基于优化财务表现和追求客户服务水平的精细化管理体系，主要包括订单管理、产品品质管理、设计管理、</w:t>
      </w:r>
    </w:p>
    <w:p>
      <w:pPr>
        <w:pStyle w:val="BodyText"/>
        <w:spacing w:line="316" w:lineRule="auto" w:before="15"/>
        <w:ind w:right="94"/>
        <w:jc w:val="left"/>
      </w:pPr>
      <w:r>
        <w:rPr/>
        <w:t>生产管理、采购管理、成本和费用管控、信息化管理、流程管理和优化等。公司通过涵盖营销、采购、研发、生产、仓储、 </w:t>
      </w:r>
      <w:r>
        <w:rPr>
          <w:spacing w:val="-2"/>
        </w:rPr>
        <w:t>物流等各个环节的精细化管理体系，为公司实现较强的盈利能力、成本和费用的有效管控以及较高的人均产值奠定良好的基</w:t>
      </w:r>
      <w:r>
        <w:rPr>
          <w:spacing w:val="-64"/>
        </w:rPr>
        <w:t> </w:t>
      </w:r>
      <w:r>
        <w:rPr>
          <w:spacing w:val="-64"/>
        </w:rPr>
      </w:r>
      <w:r>
        <w:rPr/>
        <w:t>础。</w:t>
      </w:r>
    </w:p>
    <w:p>
      <w:pPr>
        <w:pStyle w:val="BodyText"/>
        <w:spacing w:line="240" w:lineRule="auto" w:before="139"/>
        <w:ind w:left="512" w:right="94"/>
        <w:jc w:val="left"/>
      </w:pPr>
      <w:r>
        <w:rPr/>
        <w:t>截至目前</w:t>
      </w:r>
      <w:r>
        <w:rPr>
          <w:spacing w:val="-84"/>
        </w:rPr>
        <w:t>，</w:t>
      </w:r>
      <w:r>
        <w:rPr/>
        <w:t>公司先后建立了</w:t>
      </w:r>
      <w:r>
        <w:rPr>
          <w:rFonts w:ascii="Times New Roman" w:hAnsi="Times New Roman" w:cs="Times New Roman" w:eastAsia="Times New Roman" w:hint="default"/>
        </w:rPr>
        <w:t>I</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1</w:t>
      </w:r>
      <w:r>
        <w:rPr>
          <w:spacing w:val="-85"/>
        </w:rPr>
        <w:t>、</w:t>
      </w:r>
      <w:r>
        <w:rPr>
          <w:rFonts w:ascii="Times New Roman" w:hAnsi="Times New Roman" w:cs="Times New Roman" w:eastAsia="Times New Roman" w:hint="default"/>
        </w:rPr>
        <w:t>I</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01</w:t>
      </w:r>
      <w:r>
        <w:rPr>
          <w:spacing w:val="-85"/>
        </w:rPr>
        <w:t>、</w:t>
      </w:r>
      <w:r>
        <w:rPr>
          <w:rFonts w:ascii="Times New Roman" w:hAnsi="Times New Roman" w:cs="Times New Roman" w:eastAsia="Times New Roman" w:hint="default"/>
          <w:spacing w:val="-3"/>
        </w:rPr>
        <w:t>I</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64</w:t>
      </w:r>
      <w:r>
        <w:rPr>
          <w:spacing w:val="-85"/>
        </w:rPr>
        <w:t>、</w:t>
      </w:r>
      <w:r>
        <w:rPr>
          <w:rFonts w:ascii="Times New Roman" w:hAnsi="Times New Roman" w:cs="Times New Roman" w:eastAsia="Times New Roman" w:hint="default"/>
          <w:w w:val="99"/>
        </w:rPr>
        <w:t>S</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spacing w:val="-85"/>
        </w:rPr>
        <w:t>、</w:t>
      </w:r>
      <w:r>
        <w:rPr>
          <w:rFonts w:ascii="Times New Roman" w:hAnsi="Times New Roman" w:cs="Times New Roman" w:eastAsia="Times New Roman" w:hint="default"/>
          <w:spacing w:val="-1"/>
          <w:w w:val="99"/>
        </w:rPr>
        <w:t>OH</w:t>
      </w:r>
      <w:r>
        <w:rPr>
          <w:rFonts w:ascii="Times New Roman" w:hAnsi="Times New Roman" w:cs="Times New Roman" w:eastAsia="Times New Roman" w:hint="default"/>
          <w:w w:val="99"/>
        </w:rPr>
        <w:t>S</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spacing w:val="-85"/>
        </w:rPr>
        <w:t>、</w:t>
      </w:r>
      <w:r>
        <w:rPr>
          <w:rFonts w:ascii="Times New Roman" w:hAnsi="Times New Roman" w:cs="Times New Roman" w:eastAsia="Times New Roman" w:hint="default"/>
          <w:spacing w:val="-1"/>
          <w:w w:val="99"/>
        </w:rPr>
        <w:t>U</w:t>
      </w:r>
      <w:r>
        <w:rPr>
          <w:rFonts w:ascii="Times New Roman" w:hAnsi="Times New Roman" w:cs="Times New Roman" w:eastAsia="Times New Roman" w:hint="default"/>
          <w:spacing w:val="-2"/>
          <w:w w:val="99"/>
        </w:rPr>
        <w:t>L</w:t>
      </w:r>
      <w:r>
        <w:rPr>
          <w:rFonts w:ascii="Times New Roman" w:hAnsi="Times New Roman" w:cs="Times New Roman" w:eastAsia="Times New Roman" w:hint="default"/>
          <w:w w:val="99"/>
        </w:rPr>
        <w:t>-</w:t>
      </w:r>
      <w:r>
        <w:rPr>
          <w:rFonts w:ascii="Times New Roman" w:hAnsi="Times New Roman" w:cs="Times New Roman" w:eastAsia="Times New Roman" w:hint="default"/>
          <w:spacing w:val="3"/>
          <w:w w:val="99"/>
        </w:rPr>
        <w:t>P</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3"/>
          <w:w w:val="99"/>
        </w:rPr>
        <w:t>A</w:t>
      </w:r>
      <w:r>
        <w:rPr>
          <w:spacing w:val="-85"/>
        </w:rPr>
        <w:t>、</w:t>
      </w:r>
      <w:r>
        <w:rPr>
          <w:rFonts w:ascii="Times New Roman" w:hAnsi="Times New Roman" w:cs="Times New Roman" w:eastAsia="Times New Roman" w:hint="default"/>
          <w:spacing w:val="3"/>
          <w:w w:val="99"/>
        </w:rPr>
        <w:t>F</w:t>
      </w:r>
      <w:r>
        <w:rPr>
          <w:rFonts w:ascii="Times New Roman" w:hAnsi="Times New Roman" w:cs="Times New Roman" w:eastAsia="Times New Roman" w:hint="default"/>
          <w:w w:val="99"/>
        </w:rPr>
        <w:t>S</w:t>
      </w:r>
      <w:r>
        <w:rPr>
          <w:rFonts w:ascii="Times New Roman" w:hAnsi="Times New Roman" w:cs="Times New Roman" w:eastAsia="Times New Roman" w:hint="default"/>
        </w:rPr>
        <w:t>C</w:t>
      </w:r>
      <w:r>
        <w:rPr>
          <w:rFonts w:ascii="Times New Roman" w:hAnsi="Times New Roman" w:cs="Times New Roman" w:eastAsia="Times New Roman" w:hint="default"/>
          <w:spacing w:val="-10"/>
        </w:rPr>
        <w:t> </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C</w:t>
      </w:r>
      <w:r>
        <w:rPr>
          <w:spacing w:val="-85"/>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spacing w:val="3"/>
          <w:w w:val="99"/>
        </w:rPr>
        <w:t>P</w:t>
      </w:r>
      <w:r>
        <w:rPr>
          <w:rFonts w:ascii="Times New Roman" w:hAnsi="Times New Roman" w:cs="Times New Roman" w:eastAsia="Times New Roman" w:hint="default"/>
        </w:rPr>
        <w:t>/</w:t>
      </w:r>
      <w:r>
        <w:rPr>
          <w:rFonts w:ascii="Times New Roman" w:hAnsi="Times New Roman" w:cs="Times New Roman" w:eastAsia="Times New Roman" w:hint="default"/>
          <w:spacing w:val="-1"/>
          <w:w w:val="99"/>
        </w:rPr>
        <w:t>Q</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00</w:t>
      </w:r>
      <w:r>
        <w:rPr/>
        <w:t>、</w:t>
      </w:r>
    </w:p>
    <w:p>
      <w:pPr>
        <w:pStyle w:val="BodyText"/>
        <w:spacing w:line="240" w:lineRule="auto" w:before="62"/>
        <w:ind w:right="104"/>
        <w:jc w:val="left"/>
      </w:pPr>
      <w:r>
        <w:rPr>
          <w:rFonts w:ascii="Times New Roman" w:hAnsi="Times New Roman" w:cs="Times New Roman" w:eastAsia="Times New Roman" w:hint="default"/>
        </w:rPr>
        <w:t>GSV/C-TPAT</w:t>
      </w:r>
      <w:r>
        <w:rPr/>
        <w:t>、</w:t>
      </w:r>
      <w:r>
        <w:rPr>
          <w:rFonts w:ascii="Times New Roman" w:hAnsi="Times New Roman" w:cs="Times New Roman" w:eastAsia="Times New Roman" w:hint="default"/>
        </w:rPr>
        <w:t>G7</w:t>
      </w:r>
      <w:r>
        <w:rPr/>
        <w:t>、</w:t>
      </w:r>
      <w:r>
        <w:rPr>
          <w:rFonts w:ascii="Times New Roman" w:hAnsi="Times New Roman" w:cs="Times New Roman" w:eastAsia="Times New Roman" w:hint="default"/>
        </w:rPr>
        <w:t>EICC</w:t>
      </w:r>
      <w:r>
        <w:rPr/>
        <w:t>、</w:t>
      </w:r>
      <w:r>
        <w:rPr>
          <w:rFonts w:ascii="Times New Roman" w:hAnsi="Times New Roman" w:cs="Times New Roman" w:eastAsia="Times New Roman" w:hint="default"/>
        </w:rPr>
        <w:t>ICTI</w:t>
      </w:r>
      <w:r>
        <w:rPr/>
        <w:t>、</w:t>
      </w:r>
      <w:r>
        <w:rPr>
          <w:rFonts w:ascii="Times New Roman" w:hAnsi="Times New Roman" w:cs="Times New Roman" w:eastAsia="Times New Roman" w:hint="default"/>
        </w:rPr>
        <w:t>IWAY</w:t>
      </w:r>
      <w:r>
        <w:rPr/>
        <w:t>等管理体系，体系数量业内排名前列，体现了公司领先的管理水平。</w:t>
      </w:r>
    </w:p>
    <w:p>
      <w:pPr>
        <w:pStyle w:val="BodyText"/>
        <w:spacing w:line="430" w:lineRule="atLeast" w:before="2"/>
        <w:ind w:left="512" w:right="104"/>
        <w:jc w:val="left"/>
      </w:pPr>
      <w:r>
        <w:rPr>
          <w:rFonts w:ascii="Times New Roman" w:hAnsi="Times New Roman" w:cs="Times New Roman" w:eastAsia="Times New Roman" w:hint="default"/>
        </w:rPr>
        <w:t>3</w:t>
      </w:r>
      <w:r>
        <w:rPr/>
        <w:t>、服务模式优势 </w:t>
      </w:r>
      <w:r>
        <w:rPr>
          <w:spacing w:val="-2"/>
        </w:rPr>
        <w:t>公司以市场为驱动、以顾客需求为导向，并深入分析全球包装强国产业发展规律，于行业内率先采用</w:t>
      </w:r>
      <w:r>
        <w:rPr>
          <w:rFonts w:ascii="Times New Roman" w:hAnsi="Times New Roman" w:cs="Times New Roman" w:eastAsia="Times New Roman" w:hint="default"/>
          <w:spacing w:val="-2"/>
        </w:rPr>
        <w:t>“</w:t>
      </w:r>
      <w:r>
        <w:rPr>
          <w:spacing w:val="-2"/>
        </w:rPr>
        <w:t>包装一体化</w:t>
      </w:r>
      <w:r>
        <w:rPr>
          <w:rFonts w:ascii="Times New Roman" w:hAnsi="Times New Roman" w:cs="Times New Roman" w:eastAsia="Times New Roman" w:hint="default"/>
          <w:spacing w:val="-2"/>
        </w:rPr>
        <w:t>”</w:t>
      </w:r>
      <w:r>
        <w:rPr>
          <w:spacing w:val="-2"/>
        </w:rPr>
        <w:t>的服</w:t>
      </w:r>
    </w:p>
    <w:p>
      <w:pPr>
        <w:pStyle w:val="BodyText"/>
        <w:spacing w:line="316" w:lineRule="auto" w:before="62"/>
        <w:ind w:right="104"/>
        <w:jc w:val="left"/>
      </w:pPr>
      <w:r>
        <w:rPr>
          <w:spacing w:val="-2"/>
        </w:rPr>
        <w:t>务模式。作为包装一体化服务供应商，公司兼具生产商、设计服务提供商、采购服务商与物流服务商的特点，从成本与效率</w:t>
      </w:r>
      <w:r>
        <w:rPr>
          <w:spacing w:val="-67"/>
        </w:rPr>
        <w:t> </w:t>
      </w:r>
      <w:r>
        <w:rPr>
          <w:spacing w:val="-67"/>
        </w:rPr>
      </w:r>
      <w:r>
        <w:rPr/>
        <w:t>两方面，为客户提供包装产品与服务。</w:t>
      </w:r>
    </w:p>
    <w:p>
      <w:pPr>
        <w:pStyle w:val="BodyText"/>
        <w:spacing w:line="312" w:lineRule="auto" w:before="139"/>
        <w:ind w:right="191" w:firstLine="360"/>
        <w:jc w:val="both"/>
      </w:pPr>
      <w:r>
        <w:rPr>
          <w:spacing w:val="-2"/>
        </w:rPr>
        <w:t>公司包装一体化的服务模式能够提升客户产品品牌、提升客户供应商管理效率、降低客户综合采购成本，因能够实现客</w:t>
      </w:r>
      <w:r>
        <w:rPr/>
        <w:t> </w:t>
      </w:r>
      <w:r>
        <w:rPr>
          <w:spacing w:val="-2"/>
        </w:rPr>
        <w:t>户价值增值而备受众多客户赞誉。公司在为客户提供一体化服务过程中实现销售规模的增长和较为稳定的毛利水平。公司始</w:t>
      </w:r>
      <w:r>
        <w:rPr>
          <w:spacing w:val="-64"/>
        </w:rPr>
        <w:t> </w:t>
      </w:r>
      <w:r>
        <w:rPr>
          <w:spacing w:val="-64"/>
        </w:rPr>
      </w:r>
      <w:r>
        <w:rPr>
          <w:spacing w:val="-1"/>
        </w:rPr>
        <w:t>终坚持</w:t>
      </w:r>
      <w:r>
        <w:rPr>
          <w:rFonts w:ascii="Times New Roman" w:hAnsi="Times New Roman" w:cs="Times New Roman" w:eastAsia="Times New Roman" w:hint="default"/>
          <w:spacing w:val="-1"/>
        </w:rPr>
        <w:t>“</w:t>
      </w:r>
      <w:r>
        <w:rPr>
          <w:spacing w:val="-1"/>
        </w:rPr>
        <w:t>为客户创造价值、为公司创造利润、为员工创造财富</w:t>
      </w:r>
      <w:r>
        <w:rPr>
          <w:rFonts w:ascii="Times New Roman" w:hAnsi="Times New Roman" w:cs="Times New Roman" w:eastAsia="Times New Roman" w:hint="default"/>
          <w:spacing w:val="-1"/>
        </w:rPr>
        <w:t>”</w:t>
      </w:r>
      <w:r>
        <w:rPr>
          <w:spacing w:val="-1"/>
        </w:rPr>
        <w:t>的经营理念，正是借助于</w:t>
      </w:r>
      <w:r>
        <w:rPr>
          <w:rFonts w:ascii="Times New Roman" w:hAnsi="Times New Roman" w:cs="Times New Roman" w:eastAsia="Times New Roman" w:hint="default"/>
          <w:spacing w:val="-1"/>
        </w:rPr>
        <w:t>“</w:t>
      </w:r>
      <w:r>
        <w:rPr>
          <w:spacing w:val="-1"/>
        </w:rPr>
        <w:t>包装一体化</w:t>
      </w:r>
      <w:r>
        <w:rPr>
          <w:rFonts w:ascii="Times New Roman" w:hAnsi="Times New Roman" w:cs="Times New Roman" w:eastAsia="Times New Roman" w:hint="default"/>
          <w:spacing w:val="-1"/>
        </w:rPr>
        <w:t>”</w:t>
      </w:r>
      <w:r>
        <w:rPr>
          <w:spacing w:val="-1"/>
        </w:rPr>
        <w:t>的服务模式，避开了低</w:t>
      </w:r>
      <w:r>
        <w:rPr>
          <w:spacing w:val="-78"/>
        </w:rPr>
        <w:t> </w:t>
      </w:r>
      <w:r>
        <w:rPr>
          <w:spacing w:val="-78"/>
        </w:rPr>
      </w:r>
      <w:r>
        <w:rPr/>
        <w:t>技术含量、低附加值的激烈竞争，获得高于同行业水平的经济效益。</w:t>
      </w:r>
    </w:p>
    <w:p>
      <w:pPr>
        <w:pStyle w:val="BodyText"/>
        <w:spacing w:line="240" w:lineRule="auto" w:before="142"/>
        <w:ind w:left="512" w:right="104"/>
        <w:jc w:val="left"/>
      </w:pPr>
      <w:r>
        <w:rPr>
          <w:rFonts w:ascii="Times New Roman" w:hAnsi="Times New Roman" w:cs="Times New Roman" w:eastAsia="Times New Roman" w:hint="default"/>
        </w:rPr>
        <w:t>4</w:t>
      </w:r>
      <w:r>
        <w:rPr/>
        <w:t>、新商业模式优势</w:t>
      </w:r>
    </w:p>
    <w:p>
      <w:pPr>
        <w:spacing w:line="240" w:lineRule="auto" w:before="13"/>
        <w:rPr>
          <w:rFonts w:ascii="宋体" w:hAnsi="宋体" w:cs="宋体" w:eastAsia="宋体" w:hint="default"/>
          <w:sz w:val="13"/>
          <w:szCs w:val="13"/>
        </w:rPr>
      </w:pPr>
    </w:p>
    <w:p>
      <w:pPr>
        <w:pStyle w:val="BodyText"/>
        <w:spacing w:line="307" w:lineRule="auto"/>
        <w:ind w:right="133" w:firstLine="360"/>
        <w:jc w:val="both"/>
      </w:pPr>
      <w:r>
        <w:rPr>
          <w:rFonts w:ascii="Times New Roman" w:hAnsi="Times New Roman" w:cs="Times New Roman" w:eastAsia="Times New Roman" w:hint="default"/>
          <w:spacing w:val="-2"/>
        </w:rPr>
        <w:t>2014</w:t>
      </w:r>
      <w:r>
        <w:rPr>
          <w:spacing w:val="-2"/>
        </w:rPr>
        <w:t>年，公司对包装一体化服务模式进行进一步深化，创新性的提出了建立包材整装供应平台的客户服务模式，从而以</w:t>
      </w:r>
      <w:r>
        <w:rPr/>
        <w:t> 轻资产的模式整合包装行业优势资源，实现客户、整装平台服务商及供应商三方</w:t>
      </w:r>
      <w:r>
        <w:rPr>
          <w:rFonts w:ascii="Times New Roman" w:hAnsi="Times New Roman" w:cs="Times New Roman" w:eastAsia="Times New Roman" w:hint="default"/>
        </w:rPr>
        <w:t>“</w:t>
      </w:r>
      <w:r>
        <w:rPr/>
        <w:t>优势互补、资源共享、合作共赢</w:t>
      </w:r>
      <w:r>
        <w:rPr>
          <w:rFonts w:ascii="Times New Roman" w:hAnsi="Times New Roman" w:cs="Times New Roman" w:eastAsia="Times New Roman" w:hint="default"/>
        </w:rPr>
        <w:t>”</w:t>
      </w:r>
      <w:r>
        <w:rPr/>
        <w:t>的目标， </w:t>
      </w:r>
      <w:r>
        <w:rPr>
          <w:spacing w:val="-2"/>
        </w:rPr>
        <w:t>通过打造平台创新盈利模式，形成独特的优势，增强公司客户服务能力和客户合作黏性，为公司销售体量的增加奠定坚实基</w:t>
      </w:r>
      <w:r>
        <w:rPr>
          <w:spacing w:val="-63"/>
        </w:rPr>
        <w:t> </w:t>
      </w:r>
      <w:r>
        <w:rPr>
          <w:spacing w:val="-63"/>
        </w:rPr>
      </w:r>
      <w:r>
        <w:rPr/>
        <w:t>础。未来公司将通过创新服务模式向潜在客户的不断推广和复制，以轻资产运营的方式，进一步打开公司成长空间。</w:t>
      </w:r>
    </w:p>
    <w:p>
      <w:pPr>
        <w:pStyle w:val="BodyText"/>
        <w:spacing w:line="316" w:lineRule="auto" w:before="146"/>
        <w:ind w:right="193" w:firstLine="360"/>
        <w:jc w:val="both"/>
      </w:pPr>
      <w:r>
        <w:rPr>
          <w:spacing w:val="-2"/>
        </w:rPr>
        <w:t>另一方面，公司正顺应包装印刷产业互联网化、定制化新业态，计划建设互联网包装印刷产业云平台及生态系统，并已</w:t>
      </w:r>
      <w:r>
        <w:rPr/>
        <w:t> 进行相关业务的战略布局。</w:t>
      </w:r>
    </w:p>
    <w:p>
      <w:pPr>
        <w:pStyle w:val="BodyText"/>
        <w:spacing w:line="316" w:lineRule="auto" w:before="139"/>
        <w:ind w:right="191" w:firstLine="360"/>
        <w:jc w:val="both"/>
      </w:pPr>
      <w:r>
        <w:rPr>
          <w:spacing w:val="-2"/>
        </w:rPr>
        <w:t>公司作为行业的领先企业，精准把握行业发展趋势，率先提出并开始实施创新服务模式和互联网发展战略，直击行业痛</w:t>
      </w:r>
      <w:r>
        <w:rPr/>
        <w:t> 点，将使公司获得先发优势。</w:t>
      </w:r>
    </w:p>
    <w:p>
      <w:pPr>
        <w:pStyle w:val="BodyText"/>
        <w:spacing w:line="432" w:lineRule="exact" w:before="3"/>
        <w:ind w:left="512" w:right="104"/>
        <w:jc w:val="left"/>
      </w:pPr>
      <w:r>
        <w:rPr>
          <w:rFonts w:ascii="Times New Roman" w:hAnsi="Times New Roman" w:cs="Times New Roman" w:eastAsia="Times New Roman" w:hint="default"/>
        </w:rPr>
        <w:t>5</w:t>
      </w:r>
      <w:r>
        <w:rPr/>
        <w:t>、客户资源优势 </w:t>
      </w:r>
      <w:r>
        <w:rPr>
          <w:spacing w:val="-2"/>
        </w:rPr>
        <w:t>客户价值决定供应商价值。与直接面向终端零售客户的企业不同，上游供应商的品牌和竞争力更多取决于企业客户的品</w:t>
      </w:r>
    </w:p>
    <w:p>
      <w:pPr>
        <w:pStyle w:val="BodyText"/>
        <w:spacing w:line="240" w:lineRule="auto" w:before="15"/>
        <w:ind w:right="104"/>
        <w:jc w:val="left"/>
      </w:pPr>
      <w:r>
        <w:rPr/>
        <w:t>牌知名度和市场地位，拥有一批优质客户是供应商最为重要的优势之一。</w:t>
      </w:r>
    </w:p>
    <w:p>
      <w:pPr>
        <w:spacing w:line="240" w:lineRule="auto" w:before="0"/>
        <w:rPr>
          <w:rFonts w:ascii="宋体" w:hAnsi="宋体" w:cs="宋体" w:eastAsia="宋体" w:hint="default"/>
          <w:sz w:val="15"/>
          <w:szCs w:val="15"/>
        </w:rPr>
      </w:pPr>
    </w:p>
    <w:p>
      <w:pPr>
        <w:pStyle w:val="BodyText"/>
        <w:spacing w:line="316" w:lineRule="auto"/>
        <w:ind w:right="191" w:firstLine="360"/>
        <w:jc w:val="both"/>
      </w:pPr>
      <w:r>
        <w:rPr>
          <w:spacing w:val="-2"/>
        </w:rPr>
        <w:t>一方面，公司以服务世界级知名品牌客户以及国内细分行业领先企业为主，这些客户分布于智能终端、电子通讯、食品</w:t>
      </w:r>
      <w:r>
        <w:rPr/>
        <w:t> </w:t>
      </w:r>
      <w:r>
        <w:rPr>
          <w:spacing w:val="-2"/>
        </w:rPr>
        <w:t>饮料保健品、家具家居、电商、快递速运、新能源汽车产业链及智能机器人等领域，信誉良好，本身业务增长潜力较大，业</w:t>
      </w:r>
      <w:r>
        <w:rPr>
          <w:spacing w:val="-66"/>
        </w:rPr>
        <w:t> </w:t>
      </w:r>
      <w:r>
        <w:rPr>
          <w:spacing w:val="-66"/>
        </w:rPr>
      </w:r>
      <w:r>
        <w:rPr>
          <w:spacing w:val="-2"/>
        </w:rPr>
        <w:t>务风险较小，使得公司业务持续增长。同时，公司能借助这些优质客户的品牌以及在各行业的影响力不断开发新客户，逐步</w:t>
      </w:r>
      <w:r>
        <w:rPr>
          <w:spacing w:val="-64"/>
        </w:rPr>
        <w:t> </w:t>
      </w:r>
      <w:r>
        <w:rPr>
          <w:spacing w:val="-64"/>
        </w:rPr>
      </w:r>
      <w:r>
        <w:rPr/>
        <w:t>扩大和强化公司的品牌优势。</w:t>
      </w:r>
    </w:p>
    <w:p>
      <w:pPr>
        <w:pStyle w:val="BodyText"/>
        <w:spacing w:line="316" w:lineRule="auto" w:before="139"/>
        <w:ind w:right="196" w:firstLine="360"/>
        <w:jc w:val="both"/>
      </w:pPr>
      <w:r>
        <w:rPr>
          <w:spacing w:val="-2"/>
        </w:rPr>
        <w:t>另一方面，公司所服务的众多高端客户普遍具有较高的盈利能力，其对包装的需求除了价格外，更强调品质、服务、信</w:t>
      </w:r>
      <w:r>
        <w:rPr/>
        <w:t> 誉等公司长期素养，选择有限的策略供应商是其多年游戏规则，这也形成了公司行业领先的盈利能力。</w:t>
      </w:r>
    </w:p>
    <w:p>
      <w:pPr>
        <w:pStyle w:val="BodyText"/>
        <w:spacing w:line="240" w:lineRule="auto" w:before="139"/>
        <w:ind w:left="512" w:right="104"/>
        <w:jc w:val="left"/>
      </w:pPr>
      <w:r>
        <w:rPr>
          <w:rFonts w:ascii="Times New Roman" w:hAnsi="Times New Roman" w:cs="Times New Roman" w:eastAsia="Times New Roman" w:hint="default"/>
        </w:rPr>
        <w:t>6</w:t>
      </w:r>
      <w:r>
        <w:rPr/>
        <w:t>、高端制造平台优势</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4" w:lineRule="auto" w:before="44"/>
        <w:ind w:right="100" w:firstLine="360"/>
        <w:jc w:val="left"/>
      </w:pPr>
      <w:r>
        <w:rPr>
          <w:spacing w:val="-2"/>
        </w:rPr>
        <w:t>公司东莞、苏州、重庆三个现代化环保包装研发、生产基地处于国内甚至国际领先水平，公司成都及郑州高端制造平台</w:t>
      </w:r>
      <w:r>
        <w:rPr/>
        <w:t> </w:t>
      </w:r>
      <w:r>
        <w:rPr>
          <w:spacing w:val="-1"/>
        </w:rPr>
        <w:t>将逐步开始筹建。一方面，公司的产品线相对完善，除包装产品外，还包括精品印刷、电子标签及</w:t>
      </w:r>
      <w:r>
        <w:rPr>
          <w:rFonts w:ascii="Times New Roman" w:hAnsi="Times New Roman" w:cs="Times New Roman" w:eastAsia="Times New Roman" w:hint="default"/>
          <w:spacing w:val="-1"/>
        </w:rPr>
        <w:t>RFID</w:t>
      </w:r>
      <w:r>
        <w:rPr>
          <w:spacing w:val="-1"/>
        </w:rPr>
        <w:t>产品线；另一方面，</w:t>
      </w:r>
      <w:r>
        <w:rPr>
          <w:spacing w:val="-83"/>
        </w:rPr>
        <w:t> </w:t>
      </w:r>
      <w:r>
        <w:rPr>
          <w:spacing w:val="-83"/>
        </w:rPr>
      </w:r>
      <w:r>
        <w:rPr>
          <w:spacing w:val="-2"/>
        </w:rPr>
        <w:t>公司已形成能够服务各类高端客户的高端制造平台，既为公司新一轮发展提供坚实的产能保障，又是公司客户开发过程中的</w:t>
      </w:r>
      <w:r>
        <w:rPr>
          <w:spacing w:val="-64"/>
        </w:rPr>
        <w:t> </w:t>
      </w:r>
      <w:r>
        <w:rPr>
          <w:spacing w:val="-64"/>
        </w:rPr>
      </w:r>
      <w:r>
        <w:rPr>
          <w:spacing w:val="-2"/>
        </w:rPr>
        <w:t>一项重要优势。通过十数年在技术、管理、制造等方面的积累，公司在软硬件方面均形成了成熟、完善且高效的体系，竞争</w:t>
      </w:r>
      <w:r>
        <w:rPr>
          <w:spacing w:val="-67"/>
        </w:rPr>
        <w:t> </w:t>
      </w:r>
      <w:r>
        <w:rPr>
          <w:spacing w:val="-67"/>
        </w:rPr>
      </w:r>
      <w:r>
        <w:rPr/>
        <w:t>优势明显。</w:t>
      </w:r>
    </w:p>
    <w:p>
      <w:pPr>
        <w:spacing w:after="0" w:line="314"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124" w:right="104"/>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04"/>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4" w:firstLine="360"/>
        <w:jc w:val="both"/>
      </w:pPr>
      <w:r>
        <w:rPr>
          <w:rFonts w:ascii="Times New Roman" w:hAnsi="Times New Roman" w:cs="Times New Roman" w:eastAsia="Times New Roman" w:hint="default"/>
          <w:spacing w:val="-4"/>
        </w:rPr>
        <w:t>2015</w:t>
      </w:r>
      <w:r>
        <w:rPr>
          <w:spacing w:val="-4"/>
        </w:rPr>
        <w:t>年，中国宏观经济增速整体放缓，经济下滑压力加大，整体需求不振，中国包装印刷行业与国民经济关联性非常高，</w:t>
      </w:r>
      <w:r>
        <w:rPr/>
        <w:t> 在连续多年的两位数增长后，进入到增速放缓、深度调整、融合创新的新常态。</w:t>
      </w:r>
    </w:p>
    <w:p>
      <w:pPr>
        <w:spacing w:line="240" w:lineRule="auto" w:before="4"/>
        <w:rPr>
          <w:rFonts w:ascii="宋体" w:hAnsi="宋体" w:cs="宋体" w:eastAsia="宋体" w:hint="default"/>
          <w:sz w:val="14"/>
          <w:szCs w:val="14"/>
        </w:rPr>
      </w:pPr>
    </w:p>
    <w:p>
      <w:pPr>
        <w:pStyle w:val="BodyText"/>
        <w:spacing w:line="316" w:lineRule="auto"/>
        <w:ind w:right="104" w:firstLine="360"/>
        <w:jc w:val="left"/>
      </w:pPr>
      <w:r>
        <w:rPr>
          <w:spacing w:val="-2"/>
        </w:rPr>
        <w:t>报告期内，在外部经济增速放缓的背景下，公司经营管理层直面各种挑战和压力，积极把握行业内领先企业遇到的发展</w:t>
      </w:r>
      <w:r>
        <w:rPr/>
        <w:t> </w:t>
      </w:r>
      <w:r>
        <w:rPr>
          <w:spacing w:val="-4"/>
        </w:rPr>
        <w:t>机遇，在推动商业模式创新的同时保持战略定力，集中全力开发优质客户，通过强化研发练好企业内功，大力引进技术研发、</w:t>
      </w:r>
      <w:r>
        <w:rPr>
          <w:spacing w:val="-46"/>
        </w:rPr>
        <w:t> </w:t>
      </w:r>
      <w:r>
        <w:rPr>
          <w:spacing w:val="-46"/>
        </w:rPr>
      </w:r>
      <w:r>
        <w:rPr/>
        <w:t>生产管理、营销等方面的人才，为未来几年的持续快速发展夯实基础，引领公司进入新的发展阶段。</w:t>
      </w:r>
    </w:p>
    <w:p>
      <w:pPr>
        <w:spacing w:line="468" w:lineRule="exact" w:before="11"/>
        <w:ind w:left="512" w:right="104" w:firstLine="0"/>
        <w:jc w:val="left"/>
        <w:rPr>
          <w:rFonts w:ascii="宋体" w:hAnsi="宋体" w:cs="宋体" w:eastAsia="宋体" w:hint="default"/>
          <w:sz w:val="18"/>
          <w:szCs w:val="18"/>
        </w:rPr>
      </w:pPr>
      <w:r>
        <w:rPr>
          <w:rFonts w:ascii="宋体" w:hAnsi="宋体" w:cs="宋体" w:eastAsia="宋体" w:hint="default"/>
          <w:b/>
          <w:bCs/>
          <w:sz w:val="18"/>
          <w:szCs w:val="18"/>
        </w:rPr>
        <w:t>一、经济减速换挡，既是挑战也是机遇。</w:t>
      </w:r>
      <w:r>
        <w:rPr>
          <w:rFonts w:ascii="宋体" w:hAnsi="宋体" w:cs="宋体" w:eastAsia="宋体" w:hint="default"/>
          <w:b/>
          <w:bCs/>
          <w:w w:val="99"/>
          <w:sz w:val="18"/>
          <w:szCs w:val="18"/>
        </w:rPr>
        <w:t> </w:t>
      </w:r>
      <w:r>
        <w:rPr>
          <w:rFonts w:ascii="宋体" w:hAnsi="宋体" w:cs="宋体" w:eastAsia="宋体" w:hint="default"/>
          <w:spacing w:val="-2"/>
          <w:sz w:val="18"/>
          <w:szCs w:val="18"/>
        </w:rPr>
        <w:t>包装印刷业作为国民经济的重要组成部分和重要配套产业，与国民经济运行关联性非常高。当前中国经济减速换挡，经</w:t>
      </w:r>
    </w:p>
    <w:p>
      <w:pPr>
        <w:pStyle w:val="BodyText"/>
        <w:spacing w:line="240" w:lineRule="auto" w:before="8"/>
        <w:ind w:right="104"/>
        <w:jc w:val="left"/>
      </w:pPr>
      <w:r>
        <w:rPr/>
        <w:t>济结构调整阵痛，新旧动能转换相互交织，发展面临严峻挑战，但总体上，包装印刷业产业运行情况保持稳定。</w:t>
      </w:r>
    </w:p>
    <w:p>
      <w:pPr>
        <w:spacing w:line="240" w:lineRule="auto" w:before="10"/>
        <w:rPr>
          <w:rFonts w:ascii="宋体" w:hAnsi="宋体" w:cs="宋体" w:eastAsia="宋体" w:hint="default"/>
          <w:sz w:val="17"/>
          <w:szCs w:val="17"/>
        </w:rPr>
      </w:pPr>
    </w:p>
    <w:p>
      <w:pPr>
        <w:pStyle w:val="BodyText"/>
        <w:spacing w:line="316" w:lineRule="auto"/>
        <w:ind w:right="111" w:firstLine="360"/>
        <w:jc w:val="both"/>
      </w:pPr>
      <w:r>
        <w:rPr/>
        <w:t>当前包装印刷业正处于产业结构优化调整的过程中，洗牌与发展并存，产业发展存量不断优化。随着优胜劣汰的加速， 包装印刷企业数量将会继续减少，优质资源进一步向优势企业聚集，强者恒强。</w:t>
      </w:r>
    </w:p>
    <w:p>
      <w:pPr>
        <w:spacing w:line="240" w:lineRule="auto" w:before="5"/>
        <w:rPr>
          <w:rFonts w:ascii="宋体" w:hAnsi="宋体" w:cs="宋体" w:eastAsia="宋体" w:hint="default"/>
          <w:sz w:val="13"/>
          <w:szCs w:val="13"/>
        </w:rPr>
      </w:pPr>
    </w:p>
    <w:p>
      <w:pPr>
        <w:pStyle w:val="BodyText"/>
        <w:spacing w:line="309" w:lineRule="auto"/>
        <w:ind w:right="190" w:firstLine="360"/>
        <w:jc w:val="both"/>
      </w:pPr>
      <w:r>
        <w:rPr/>
        <w:t>互联网背景下，</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包装印刷业</w:t>
      </w:r>
      <w:r>
        <w:rPr>
          <w:rFonts w:ascii="Times New Roman" w:hAnsi="Times New Roman" w:cs="Times New Roman" w:eastAsia="Times New Roman" w:hint="default"/>
        </w:rPr>
        <w:t>”</w:t>
      </w:r>
      <w:r>
        <w:rPr/>
        <w:t>商业模式不断涌现、分工出现巨大调整，传统包装印刷加工模式不适应需求发生 </w:t>
      </w:r>
      <w:r>
        <w:rPr>
          <w:spacing w:val="-2"/>
        </w:rPr>
        <w:t>的新变化，风险抵抗能力弱的企业正在逐步退出市场。企业需要主动探索创新，寻找发展新道路，要以创新和升级发展为主</w:t>
      </w:r>
      <w:r>
        <w:rPr>
          <w:spacing w:val="-65"/>
        </w:rPr>
        <w:t> </w:t>
      </w:r>
      <w:r>
        <w:rPr>
          <w:spacing w:val="-65"/>
        </w:rPr>
      </w:r>
      <w:r>
        <w:rPr/>
        <w:t>要动力，针对市场需求的特点和发展变化趋势，谋划如何迎合市场需求，把握创新和升级发展带来的新机遇。</w:t>
      </w:r>
    </w:p>
    <w:p>
      <w:pPr>
        <w:spacing w:line="468" w:lineRule="exact" w:before="16"/>
        <w:ind w:left="512" w:right="104" w:firstLine="0"/>
        <w:jc w:val="left"/>
        <w:rPr>
          <w:rFonts w:ascii="宋体" w:hAnsi="宋体" w:cs="宋体" w:eastAsia="宋体" w:hint="default"/>
          <w:sz w:val="18"/>
          <w:szCs w:val="18"/>
        </w:rPr>
      </w:pPr>
      <w:r>
        <w:rPr>
          <w:rFonts w:ascii="宋体" w:hAnsi="宋体" w:cs="宋体" w:eastAsia="宋体" w:hint="default"/>
          <w:b/>
          <w:bCs/>
          <w:sz w:val="18"/>
          <w:szCs w:val="18"/>
        </w:rPr>
        <w:t>二、业务收入保持持续增长，新客户开发、创新业务运营等成效显著。</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报告期内，包装一体化业务不断夯实、新客户开发卓有成效、公司研发能力持续增强、包材整装供应服务模式业务快速</w:t>
      </w:r>
    </w:p>
    <w:p>
      <w:pPr>
        <w:pStyle w:val="BodyText"/>
        <w:spacing w:line="307" w:lineRule="auto" w:before="8"/>
        <w:ind w:right="190"/>
        <w:jc w:val="both"/>
      </w:pPr>
      <w:r>
        <w:rPr>
          <w:spacing w:val="-2"/>
        </w:rPr>
        <w:t>发展。凭借突出的包装一体化整体服务能力，公司获得更多新合作客户的认可，新客户订单逐步释放。同时，包材整装供应</w:t>
      </w:r>
      <w:r>
        <w:rPr>
          <w:spacing w:val="-67"/>
        </w:rPr>
        <w:t> </w:t>
      </w:r>
      <w:r>
        <w:rPr>
          <w:spacing w:val="-67"/>
        </w:rPr>
      </w:r>
      <w:r>
        <w:rPr/>
        <w:t>服务模式业务形成新的业务增长点。同比上年，公司销售收入实现较大幅度增长，全年实现营业收入</w:t>
      </w:r>
      <w:r>
        <w:rPr>
          <w:rFonts w:ascii="Times New Roman" w:hAnsi="Times New Roman" w:cs="Times New Roman" w:eastAsia="Times New Roman" w:hint="default"/>
        </w:rPr>
        <w:t>20.16</w:t>
      </w:r>
      <w:r>
        <w:rPr/>
        <w:t>亿元，同比增长</w:t>
      </w:r>
      <w:r>
        <w:rPr>
          <w:spacing w:val="-45"/>
        </w:rPr>
        <w:t> </w:t>
      </w:r>
      <w:r>
        <w:rPr>
          <w:spacing w:val="-45"/>
        </w:rPr>
      </w:r>
      <w:r>
        <w:rPr>
          <w:rFonts w:ascii="Times New Roman" w:hAnsi="Times New Roman" w:cs="Times New Roman" w:eastAsia="Times New Roman" w:hint="default"/>
        </w:rPr>
        <w:t>28.99%</w:t>
      </w:r>
      <w:r>
        <w:rPr/>
        <w:t>；但由于公司收购的控股子公司未完成业绩指标而计提商誉减值以及新开发重点客户合作初期研发费用、销售费用</w:t>
      </w:r>
      <w:r>
        <w:rPr>
          <w:spacing w:val="-22"/>
        </w:rPr>
        <w:t> </w:t>
      </w:r>
      <w:r>
        <w:rPr>
          <w:spacing w:val="-22"/>
        </w:rPr>
      </w:r>
      <w:r>
        <w:rPr/>
        <w:t>及成本等投入较大，公司实现归属于上市公司股东的净利润有所下降，实现净利润</w:t>
      </w:r>
      <w:r>
        <w:rPr>
          <w:rFonts w:ascii="Times New Roman" w:hAnsi="Times New Roman" w:cs="Times New Roman" w:eastAsia="Times New Roman" w:hint="default"/>
        </w:rPr>
        <w:t>2.20</w:t>
      </w:r>
      <w:r>
        <w:rPr/>
        <w:t>亿元，同比下降</w:t>
      </w:r>
      <w:r>
        <w:rPr>
          <w:rFonts w:ascii="Times New Roman" w:hAnsi="Times New Roman" w:cs="Times New Roman" w:eastAsia="Times New Roman" w:hint="default"/>
        </w:rPr>
        <w:t>16.12%</w:t>
      </w:r>
      <w:r>
        <w:rPr/>
        <w:t>。</w:t>
      </w:r>
    </w:p>
    <w:p>
      <w:pPr>
        <w:spacing w:line="240" w:lineRule="auto" w:before="6"/>
        <w:rPr>
          <w:rFonts w:ascii="宋体" w:hAnsi="宋体" w:cs="宋体" w:eastAsia="宋体" w:hint="default"/>
          <w:sz w:val="12"/>
          <w:szCs w:val="12"/>
        </w:rPr>
      </w:pPr>
    </w:p>
    <w:p>
      <w:pPr>
        <w:pStyle w:val="Heading4"/>
        <w:spacing w:line="240" w:lineRule="auto"/>
        <w:ind w:left="512" w:right="104"/>
        <w:jc w:val="left"/>
        <w:rPr>
          <w:b w:val="0"/>
          <w:bCs w:val="0"/>
        </w:rPr>
      </w:pPr>
      <w:r>
        <w:rPr/>
        <w:t>三、把握机遇夯实基础，厚积以待薄发。</w:t>
      </w:r>
      <w:r>
        <w:rPr>
          <w:b w:val="0"/>
          <w:bCs w:val="0"/>
        </w:rPr>
      </w:r>
    </w:p>
    <w:p>
      <w:pPr>
        <w:pStyle w:val="BodyText"/>
        <w:spacing w:line="450" w:lineRule="atLeast" w:before="31"/>
        <w:ind w:left="512" w:right="104"/>
        <w:jc w:val="left"/>
      </w:pPr>
      <w:r>
        <w:rPr>
          <w:rFonts w:ascii="Times New Roman" w:hAnsi="Times New Roman" w:cs="Times New Roman" w:eastAsia="Times New Roman" w:hint="default"/>
        </w:rPr>
        <w:t>1</w:t>
      </w:r>
      <w:r>
        <w:rPr/>
        <w:t>、高度重视并持续提升研发设计和工艺技术水平，提升核心竞争力 </w:t>
      </w:r>
      <w:r>
        <w:rPr>
          <w:spacing w:val="-2"/>
        </w:rPr>
        <w:t>研发设计、工艺技术为包装一体化整体服务的关键因素，是提升公司产品附加值的重要基础，公司一直高度重视。报告</w:t>
      </w:r>
    </w:p>
    <w:p>
      <w:pPr>
        <w:pStyle w:val="BodyText"/>
        <w:spacing w:line="316" w:lineRule="auto" w:before="76"/>
        <w:ind w:right="104"/>
        <w:jc w:val="left"/>
      </w:pPr>
      <w:r>
        <w:rPr>
          <w:spacing w:val="-4"/>
        </w:rPr>
        <w:t>期内，在宏观经济弱势、行业竞争加剧的大环境下，公司依然高度重视研发设计和工艺技术水平的提升，通过增加研发投入、</w:t>
      </w:r>
      <w:r>
        <w:rPr>
          <w:spacing w:val="-46"/>
        </w:rPr>
        <w:t> </w:t>
      </w:r>
      <w:r>
        <w:rPr>
          <w:spacing w:val="-46"/>
        </w:rPr>
      </w:r>
      <w:r>
        <w:rPr>
          <w:spacing w:val="-2"/>
        </w:rPr>
        <w:t>完善相关人才体系建设、升格研发负责人职位等方式来增强研发能力。研发设计和工艺技术的提升不会为公司带来短期的经</w:t>
      </w:r>
      <w:r>
        <w:rPr>
          <w:spacing w:val="-64"/>
        </w:rPr>
        <w:t> </w:t>
      </w:r>
      <w:r>
        <w:rPr>
          <w:spacing w:val="-64"/>
        </w:rPr>
      </w:r>
      <w:r>
        <w:rPr/>
        <w:t>营成果，但在新客户开发、高端产品服务以及增强公司核心竞争力等方面至关重要。</w:t>
      </w:r>
    </w:p>
    <w:p>
      <w:pPr>
        <w:spacing w:line="240" w:lineRule="auto" w:before="5"/>
        <w:rPr>
          <w:rFonts w:ascii="宋体" w:hAnsi="宋体" w:cs="宋体" w:eastAsia="宋体" w:hint="default"/>
          <w:sz w:val="13"/>
          <w:szCs w:val="13"/>
        </w:rPr>
      </w:pPr>
    </w:p>
    <w:p>
      <w:pPr>
        <w:pStyle w:val="BodyText"/>
        <w:spacing w:line="300" w:lineRule="auto"/>
        <w:ind w:right="195" w:firstLine="360"/>
        <w:jc w:val="both"/>
      </w:pPr>
      <w:r>
        <w:rPr>
          <w:rFonts w:ascii="Times New Roman" w:hAnsi="Times New Roman" w:cs="Times New Roman" w:eastAsia="Times New Roman" w:hint="default"/>
          <w:spacing w:val="-2"/>
        </w:rPr>
        <w:t>2015</w:t>
      </w:r>
      <w:r>
        <w:rPr>
          <w:spacing w:val="-2"/>
        </w:rPr>
        <w:t>年，公司设立美莲检测有限公司，拟利用自身在工艺研发、标准制定等方面的优势，通过为同行、下游客户等企业</w:t>
      </w:r>
      <w:r>
        <w:rPr/>
        <w:t> 提供检测服务的方式，构建新的业务模式，形成公司新的业务增长点。</w:t>
      </w:r>
    </w:p>
    <w:p>
      <w:pPr>
        <w:spacing w:line="240" w:lineRule="auto" w:before="4"/>
        <w:rPr>
          <w:rFonts w:ascii="宋体" w:hAnsi="宋体" w:cs="宋体" w:eastAsia="宋体" w:hint="default"/>
          <w:sz w:val="14"/>
          <w:szCs w:val="14"/>
        </w:rPr>
      </w:pPr>
    </w:p>
    <w:p>
      <w:pPr>
        <w:pStyle w:val="BodyText"/>
        <w:spacing w:line="240" w:lineRule="auto"/>
        <w:ind w:left="512" w:right="104"/>
        <w:jc w:val="left"/>
      </w:pPr>
      <w:r>
        <w:rPr>
          <w:rFonts w:ascii="Times New Roman" w:hAnsi="Times New Roman" w:cs="Times New Roman" w:eastAsia="Times New Roman" w:hint="default"/>
        </w:rPr>
        <w:t>2</w:t>
      </w:r>
      <w:r>
        <w:rPr/>
        <w:t>、新客户开发成效显著，为未来几年的收入增长提供坚实的订单基础</w:t>
      </w:r>
    </w:p>
    <w:p>
      <w:pPr>
        <w:spacing w:line="240" w:lineRule="auto" w:before="10"/>
        <w:rPr>
          <w:rFonts w:ascii="宋体" w:hAnsi="宋体" w:cs="宋体" w:eastAsia="宋体" w:hint="default"/>
          <w:sz w:val="16"/>
          <w:szCs w:val="16"/>
        </w:rPr>
      </w:pPr>
    </w:p>
    <w:p>
      <w:pPr>
        <w:pStyle w:val="BodyText"/>
        <w:spacing w:line="300" w:lineRule="auto"/>
        <w:ind w:right="190" w:firstLine="360"/>
        <w:jc w:val="both"/>
      </w:pPr>
      <w:r>
        <w:rPr>
          <w:rFonts w:ascii="Times New Roman" w:hAnsi="Times New Roman" w:cs="Times New Roman" w:eastAsia="Times New Roman" w:hint="default"/>
          <w:spacing w:val="-2"/>
        </w:rPr>
        <w:t>2015</w:t>
      </w:r>
      <w:r>
        <w:rPr>
          <w:spacing w:val="-2"/>
        </w:rPr>
        <w:t>年初至本报告披露之时，尤其是在经济面临下行压力的宏观背景以及行业竞争日趋激烈的产业背景下，公司及下属</w:t>
      </w:r>
      <w:r>
        <w:rPr/>
        <w:t> 子公司先后获得了中国移动、</w:t>
      </w:r>
      <w:r>
        <w:rPr>
          <w:rFonts w:ascii="Times New Roman" w:hAnsi="Times New Roman" w:cs="Times New Roman" w:eastAsia="Times New Roman" w:hint="default"/>
        </w:rPr>
        <w:t>Diageo</w:t>
      </w:r>
      <w:r>
        <w:rPr/>
        <w:t>、</w:t>
      </w:r>
      <w:r>
        <w:rPr>
          <w:rFonts w:ascii="Times New Roman" w:hAnsi="Times New Roman" w:cs="Times New Roman" w:eastAsia="Times New Roman" w:hint="default"/>
        </w:rPr>
        <w:t>Sonos</w:t>
      </w:r>
      <w:r>
        <w:rPr/>
        <w:t>、海天味业、海康威视、顺丰速运、中国石化、福耀玻璃、优必选机器人公司</w:t>
      </w:r>
      <w:r>
        <w:rPr>
          <w:spacing w:val="-65"/>
        </w:rPr>
        <w:t> </w:t>
      </w:r>
      <w:r>
        <w:rPr>
          <w:spacing w:val="-65"/>
        </w:rPr>
      </w:r>
      <w:r>
        <w:rPr>
          <w:spacing w:val="-2"/>
        </w:rPr>
        <w:t>等在内的众多高端客户的包装产品供应资质，更凸显公司强大的竞争力，也是强者恒强的反映。报告期内，公司被批准为二</w:t>
      </w:r>
    </w:p>
    <w:p>
      <w:pPr>
        <w:spacing w:after="0" w:line="300"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04"/>
        <w:jc w:val="left"/>
      </w:pPr>
      <w:r>
        <w:rPr/>
        <w:t>级军工保密资格单位，为公司拓展军工物资市场奠定了良好的基础。</w:t>
      </w:r>
    </w:p>
    <w:p>
      <w:pPr>
        <w:spacing w:line="240" w:lineRule="auto" w:before="10"/>
        <w:rPr>
          <w:rFonts w:ascii="宋体" w:hAnsi="宋体" w:cs="宋体" w:eastAsia="宋体" w:hint="default"/>
          <w:sz w:val="17"/>
          <w:szCs w:val="17"/>
        </w:rPr>
      </w:pPr>
    </w:p>
    <w:p>
      <w:pPr>
        <w:pStyle w:val="BodyText"/>
        <w:spacing w:line="316" w:lineRule="auto"/>
        <w:ind w:right="190" w:firstLine="360"/>
        <w:jc w:val="both"/>
      </w:pPr>
      <w:r>
        <w:rPr>
          <w:spacing w:val="-2"/>
        </w:rPr>
        <w:t>近年来，在市场开发方面，公司一方面紧抓世界知名企业客户拓展力度不放松，另一方面，着力加强国内相关行业标杆</w:t>
      </w:r>
      <w:r>
        <w:rPr/>
        <w:t> </w:t>
      </w:r>
      <w:r>
        <w:rPr>
          <w:spacing w:val="-2"/>
        </w:rPr>
        <w:t>及领先企业的开发，采取了国内外客户并举的市场策略，取得了优秀的市场开发成绩。新客户的不断开发，进一步丰富了公</w:t>
      </w:r>
      <w:r>
        <w:rPr>
          <w:spacing w:val="-65"/>
        </w:rPr>
        <w:t> </w:t>
      </w:r>
      <w:r>
        <w:rPr>
          <w:spacing w:val="-65"/>
        </w:rPr>
      </w:r>
      <w:r>
        <w:rPr/>
        <w:t>司高端客户资源，为公司未来的持续增长奠定坚实的基础。</w:t>
      </w:r>
    </w:p>
    <w:p>
      <w:pPr>
        <w:spacing w:line="240" w:lineRule="auto" w:before="5"/>
        <w:rPr>
          <w:rFonts w:ascii="宋体" w:hAnsi="宋体" w:cs="宋体" w:eastAsia="宋体" w:hint="default"/>
          <w:sz w:val="13"/>
          <w:szCs w:val="13"/>
        </w:rPr>
      </w:pPr>
    </w:p>
    <w:p>
      <w:pPr>
        <w:pStyle w:val="BodyText"/>
        <w:spacing w:line="240" w:lineRule="auto"/>
        <w:ind w:left="512" w:right="104"/>
        <w:jc w:val="left"/>
      </w:pPr>
      <w:r>
        <w:rPr>
          <w:rFonts w:ascii="Times New Roman" w:hAnsi="Times New Roman" w:cs="Times New Roman" w:eastAsia="Times New Roman" w:hint="default"/>
        </w:rPr>
        <w:t>3</w:t>
      </w:r>
      <w:r>
        <w:rPr/>
        <w:t>、创新业务模式实施进展良好，市场推广卓有成效，形成新的业务增长点</w:t>
      </w:r>
    </w:p>
    <w:p>
      <w:pPr>
        <w:spacing w:line="240" w:lineRule="auto" w:before="9"/>
        <w:rPr>
          <w:rFonts w:ascii="宋体" w:hAnsi="宋体" w:cs="宋体" w:eastAsia="宋体" w:hint="default"/>
          <w:sz w:val="16"/>
          <w:szCs w:val="16"/>
        </w:rPr>
      </w:pPr>
    </w:p>
    <w:p>
      <w:pPr>
        <w:pStyle w:val="BodyText"/>
        <w:spacing w:line="307" w:lineRule="auto"/>
        <w:ind w:right="190" w:firstLine="360"/>
        <w:jc w:val="both"/>
      </w:pPr>
      <w:r>
        <w:rPr>
          <w:rFonts w:ascii="Times New Roman" w:hAnsi="Times New Roman" w:cs="Times New Roman" w:eastAsia="Times New Roman" w:hint="default"/>
          <w:spacing w:val="-2"/>
        </w:rPr>
        <w:t>2015</w:t>
      </w:r>
      <w:r>
        <w:rPr>
          <w:spacing w:val="-2"/>
        </w:rPr>
        <w:t>年，包材整装供应服务的运营模式持续优化，销售额快速增长。与此同时，公司包材整装供应服务模式市场培育取</w:t>
      </w:r>
      <w:r>
        <w:rPr/>
        <w:t> </w:t>
      </w:r>
      <w:r>
        <w:rPr>
          <w:spacing w:val="-2"/>
        </w:rPr>
        <w:t>得重要进展，</w:t>
      </w:r>
      <w:r>
        <w:rPr>
          <w:rFonts w:ascii="Times New Roman" w:hAnsi="Times New Roman" w:cs="Times New Roman" w:eastAsia="Times New Roman" w:hint="default"/>
          <w:spacing w:val="-2"/>
        </w:rPr>
        <w:t>2016</w:t>
      </w:r>
      <w:r>
        <w:rPr>
          <w:spacing w:val="-2"/>
        </w:rPr>
        <w:t>年初，公司与宜宾市经信委联合打造专业的供应链管理平台，共同推进产业模式创新，整合企业资源，为</w:t>
      </w:r>
      <w:r>
        <w:rPr>
          <w:spacing w:val="-65"/>
        </w:rPr>
        <w:t> </w:t>
      </w:r>
      <w:r>
        <w:rPr>
          <w:spacing w:val="-65"/>
        </w:rPr>
      </w:r>
      <w:r>
        <w:rPr>
          <w:spacing w:val="-2"/>
        </w:rPr>
        <w:t>宜宾区域企业提供供应链服务。目前，宜宾市包材整装供应链平台公司已设立完毕，将与泸美供应链平台共同开创公司西南</w:t>
      </w:r>
      <w:r>
        <w:rPr>
          <w:spacing w:val="-66"/>
        </w:rPr>
        <w:t> </w:t>
      </w:r>
      <w:r>
        <w:rPr>
          <w:spacing w:val="-66"/>
        </w:rPr>
      </w:r>
      <w:r>
        <w:rPr/>
        <w:t>片区包材供应链整装服务业务新格局。</w:t>
      </w:r>
    </w:p>
    <w:p>
      <w:pPr>
        <w:spacing w:line="240" w:lineRule="auto" w:before="12"/>
        <w:rPr>
          <w:rFonts w:ascii="宋体" w:hAnsi="宋体" w:cs="宋体" w:eastAsia="宋体" w:hint="default"/>
          <w:sz w:val="13"/>
          <w:szCs w:val="13"/>
        </w:rPr>
      </w:pPr>
    </w:p>
    <w:p>
      <w:pPr>
        <w:pStyle w:val="BodyText"/>
        <w:spacing w:line="240" w:lineRule="auto"/>
        <w:ind w:left="512" w:right="10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产业互联网</w:t>
      </w:r>
      <w:r>
        <w:rPr>
          <w:rFonts w:ascii="Times New Roman" w:hAnsi="Times New Roman" w:cs="Times New Roman" w:eastAsia="Times New Roman" w:hint="default"/>
        </w:rPr>
        <w:t>”+“</w:t>
      </w:r>
      <w:r>
        <w:rPr/>
        <w:t>智能制造</w:t>
      </w:r>
      <w:r>
        <w:rPr>
          <w:rFonts w:ascii="Times New Roman" w:hAnsi="Times New Roman" w:cs="Times New Roman" w:eastAsia="Times New Roman" w:hint="default"/>
        </w:rPr>
        <w:t>”</w:t>
      </w:r>
      <w:r>
        <w:rPr/>
        <w:t>，为公司发展插上腾飞的翅膀</w:t>
      </w:r>
    </w:p>
    <w:p>
      <w:pPr>
        <w:spacing w:line="240" w:lineRule="auto" w:before="9"/>
        <w:rPr>
          <w:rFonts w:ascii="宋体" w:hAnsi="宋体" w:cs="宋体" w:eastAsia="宋体" w:hint="default"/>
          <w:sz w:val="16"/>
          <w:szCs w:val="16"/>
        </w:rPr>
      </w:pPr>
    </w:p>
    <w:p>
      <w:pPr>
        <w:pStyle w:val="BodyText"/>
        <w:spacing w:line="312" w:lineRule="auto"/>
        <w:ind w:right="104" w:firstLine="360"/>
        <w:jc w:val="left"/>
      </w:pPr>
      <w:r>
        <w:rPr>
          <w:rFonts w:ascii="Times New Roman" w:hAnsi="Times New Roman" w:cs="Times New Roman" w:eastAsia="Times New Roman" w:hint="default"/>
        </w:rPr>
        <w:t>2015</w:t>
      </w:r>
      <w:r>
        <w:rPr/>
        <w:t>年，公司启动非公开发行股票事项，拟通过包装印刷工业</w:t>
      </w:r>
      <w:r>
        <w:rPr>
          <w:rFonts w:ascii="Times New Roman" w:hAnsi="Times New Roman" w:cs="Times New Roman" w:eastAsia="Times New Roman" w:hint="default"/>
        </w:rPr>
        <w:t>4.0</w:t>
      </w:r>
      <w:r>
        <w:rPr/>
        <w:t>智慧型工厂项目、互联网包装印刷云平台及生态系统 </w:t>
      </w:r>
      <w:r>
        <w:rPr>
          <w:spacing w:val="-2"/>
        </w:rPr>
        <w:t>建设项目、智能包装物联网平台项目的建设，解决行业生产效率低、供需不匹配、个性化需求难以满足等难题。公司将通过</w:t>
      </w:r>
      <w:r>
        <w:rPr>
          <w:spacing w:val="-67"/>
        </w:rPr>
        <w:t> </w:t>
      </w:r>
      <w:r>
        <w:rPr>
          <w:spacing w:val="-67"/>
        </w:rPr>
      </w:r>
      <w:r>
        <w:rPr>
          <w:spacing w:val="-2"/>
        </w:rPr>
        <w:t>引进国际先进生产技术与设备建设智慧工厂，实现精益生产、智能生产，减少人工成本及资源浪费，大幅提高生产效率；其</w:t>
      </w:r>
      <w:r>
        <w:rPr>
          <w:spacing w:val="-67"/>
        </w:rPr>
        <w:t> </w:t>
      </w:r>
      <w:r>
        <w:rPr>
          <w:spacing w:val="-67"/>
        </w:rPr>
      </w:r>
      <w:r>
        <w:rPr>
          <w:spacing w:val="-2"/>
        </w:rPr>
        <w:t>次，公司将充分利用互联网技术，改造传统包装印刷行业，打造互联网包装印刷生态系统，实现各方主体的迅速对接，提高</w:t>
      </w:r>
      <w:r>
        <w:rPr>
          <w:spacing w:val="-67"/>
        </w:rPr>
        <w:t> </w:t>
      </w:r>
      <w:r>
        <w:rPr>
          <w:spacing w:val="-67"/>
        </w:rPr>
      </w:r>
      <w:r>
        <w:rPr>
          <w:spacing w:val="-3"/>
        </w:rPr>
        <w:t>产业运营效率；最后，公司将通过建设智能包装物联网平台，推动实现包装印刷产业由</w:t>
      </w:r>
      <w:r>
        <w:rPr>
          <w:rFonts w:ascii="Times New Roman" w:hAnsi="Times New Roman" w:cs="Times New Roman" w:eastAsia="Times New Roman" w:hint="default"/>
          <w:spacing w:val="-3"/>
        </w:rPr>
        <w:t>“</w:t>
      </w:r>
      <w:r>
        <w:rPr>
          <w:spacing w:val="-3"/>
        </w:rPr>
        <w:t>中国制造</w:t>
      </w:r>
      <w:r>
        <w:rPr>
          <w:rFonts w:ascii="Times New Roman" w:hAnsi="Times New Roman" w:cs="Times New Roman" w:eastAsia="Times New Roman" w:hint="default"/>
          <w:spacing w:val="-3"/>
        </w:rPr>
        <w:t>”</w:t>
      </w:r>
      <w:r>
        <w:rPr>
          <w:spacing w:val="-3"/>
        </w:rPr>
        <w:t>向</w:t>
      </w:r>
      <w:r>
        <w:rPr>
          <w:rFonts w:ascii="Times New Roman" w:hAnsi="Times New Roman" w:cs="Times New Roman" w:eastAsia="Times New Roman" w:hint="default"/>
          <w:spacing w:val="-3"/>
        </w:rPr>
        <w:t>“</w:t>
      </w:r>
      <w:r>
        <w:rPr>
          <w:spacing w:val="-3"/>
        </w:rPr>
        <w:t>中国智造</w:t>
      </w:r>
      <w:r>
        <w:rPr>
          <w:rFonts w:ascii="Times New Roman" w:hAnsi="Times New Roman" w:cs="Times New Roman" w:eastAsia="Times New Roman" w:hint="default"/>
          <w:spacing w:val="-3"/>
        </w:rPr>
        <w:t>”</w:t>
      </w:r>
      <w:r>
        <w:rPr>
          <w:spacing w:val="-3"/>
        </w:rPr>
        <w:t>的转型升级。</w:t>
      </w:r>
      <w:r>
        <w:rPr>
          <w:spacing w:val="-53"/>
        </w:rPr>
        <w:t> </w:t>
      </w:r>
      <w:r>
        <w:rPr>
          <w:spacing w:val="-53"/>
        </w:rPr>
      </w:r>
      <w:r>
        <w:rPr/>
        <w:t>公司把握行业发展机遇，积极谋划布局，将进一步增强自身核心竞争力，成为行业的引领者，进而推动产业发展变革。</w:t>
      </w:r>
    </w:p>
    <w:p>
      <w:pPr>
        <w:pStyle w:val="BodyText"/>
        <w:spacing w:line="468" w:lineRule="exact" w:before="14"/>
        <w:ind w:left="512" w:right="104"/>
        <w:jc w:val="left"/>
      </w:pPr>
      <w:r>
        <w:rPr>
          <w:rFonts w:ascii="Times New Roman" w:hAnsi="Times New Roman" w:cs="Times New Roman" w:eastAsia="Times New Roman" w:hint="default"/>
        </w:rPr>
        <w:t>5</w:t>
      </w:r>
      <w:r>
        <w:rPr/>
        <w:t>、设立企业集团，高效管理助力公司发展进入新阶段 </w:t>
      </w:r>
      <w:r>
        <w:rPr>
          <w:spacing w:val="-2"/>
        </w:rPr>
        <w:t>构建互联网包装印刷生态系统，布局更丰富的产业形态和商业模式，是公司未来发展的重要战略。通过集团化、扁平化</w:t>
      </w:r>
    </w:p>
    <w:p>
      <w:pPr>
        <w:pStyle w:val="BodyText"/>
        <w:spacing w:line="240" w:lineRule="auto" w:before="8"/>
        <w:ind w:right="104"/>
        <w:jc w:val="left"/>
      </w:pPr>
      <w:r>
        <w:rPr/>
        <w:t>管理，打造更高效的运营模式，不仅提升了公司的市场知名度和影响力，更有利于公司战略规划的有效实施。</w:t>
      </w:r>
    </w:p>
    <w:p>
      <w:pPr>
        <w:pStyle w:val="BodyText"/>
        <w:spacing w:line="450" w:lineRule="atLeast" w:before="31"/>
        <w:ind w:left="512" w:right="104"/>
        <w:jc w:val="left"/>
      </w:pPr>
      <w:r>
        <w:rPr>
          <w:rFonts w:ascii="Times New Roman" w:hAnsi="Times New Roman" w:cs="Times New Roman" w:eastAsia="Times New Roman" w:hint="default"/>
        </w:rPr>
        <w:t>6</w:t>
      </w:r>
      <w:r>
        <w:rPr/>
        <w:t>、大力引入研发、工艺、管理及营销类人才，为公司未来发展提供坚实的人才保障 </w:t>
      </w:r>
      <w:r>
        <w:rPr>
          <w:spacing w:val="-2"/>
        </w:rPr>
        <w:t>公司最近几年的快速发展，使得公司在技术研发、商业模式创新、客户资源等方面形成了较为突出的竞争优势，优势的</w:t>
      </w:r>
    </w:p>
    <w:p>
      <w:pPr>
        <w:pStyle w:val="BodyText"/>
        <w:spacing w:line="309" w:lineRule="auto" w:before="76"/>
        <w:ind w:right="104"/>
        <w:jc w:val="left"/>
      </w:pPr>
      <w:r>
        <w:rPr>
          <w:spacing w:val="-4"/>
        </w:rPr>
        <w:t>持续积累使得公司新客户开发工作取得了突出的成绩，为公司未来发展奠定坚实的市场基础。为服务好这些优质新客户资源，</w:t>
      </w:r>
      <w:r>
        <w:rPr>
          <w:spacing w:val="-44"/>
        </w:rPr>
        <w:t> </w:t>
      </w:r>
      <w:r>
        <w:rPr>
          <w:spacing w:val="-44"/>
        </w:rPr>
      </w:r>
      <w:r>
        <w:rPr>
          <w:spacing w:val="-2"/>
        </w:rPr>
        <w:t>实现公司经营业绩的持续提升，</w:t>
      </w:r>
      <w:r>
        <w:rPr>
          <w:rFonts w:ascii="Times New Roman" w:hAnsi="Times New Roman" w:cs="Times New Roman" w:eastAsia="Times New Roman" w:hint="default"/>
          <w:spacing w:val="-2"/>
        </w:rPr>
        <w:t>2015</w:t>
      </w:r>
      <w:r>
        <w:rPr>
          <w:spacing w:val="-2"/>
        </w:rPr>
        <w:t>年，公司大力引入研发、工艺、管理及营销类人才，以确保公司未来发展具有充足的人</w:t>
      </w:r>
      <w:r>
        <w:rPr>
          <w:spacing w:val="-63"/>
        </w:rPr>
        <w:t> </w:t>
      </w:r>
      <w:r>
        <w:rPr>
          <w:spacing w:val="-63"/>
        </w:rPr>
      </w:r>
      <w:r>
        <w:rPr/>
        <w:t>才资源。公司通过不断的人才积累，将在人才资源储备方面领先于同行，以保持持续的行业领军地位。</w:t>
      </w:r>
    </w:p>
    <w:p>
      <w:pPr>
        <w:spacing w:line="240" w:lineRule="auto" w:before="4"/>
        <w:rPr>
          <w:rFonts w:ascii="宋体" w:hAnsi="宋体" w:cs="宋体" w:eastAsia="宋体" w:hint="default"/>
          <w:sz w:val="21"/>
          <w:szCs w:val="21"/>
        </w:rPr>
      </w:pPr>
    </w:p>
    <w:p>
      <w:pPr>
        <w:pStyle w:val="Heading2"/>
        <w:spacing w:line="240" w:lineRule="auto"/>
        <w:ind w:right="104"/>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71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4"/>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96"/>
        <w:gridCol w:w="1594"/>
        <w:gridCol w:w="1583"/>
        <w:gridCol w:w="1607"/>
        <w:gridCol w:w="1570"/>
        <w:gridCol w:w="1606"/>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31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3176" w:type="dxa"/>
            <w:gridSpan w:val="2"/>
            <w:vMerge/>
            <w:tcBorders>
              <w:left w:val="single" w:sz="4" w:space="0" w:color="000000"/>
              <w:bottom w:val="single" w:sz="4" w:space="0" w:color="000000"/>
              <w:right w:val="single" w:sz="4" w:space="0" w:color="000000"/>
            </w:tcBorders>
            <w:shd w:val="clear" w:color="auto" w:fill="D4D4D4"/>
          </w:tcPr>
          <w:p>
            <w:pPr/>
          </w:p>
        </w:tc>
        <w:tc>
          <w:tcPr>
            <w:tcW w:w="3176" w:type="dxa"/>
            <w:gridSpan w:val="2"/>
            <w:vMerge/>
            <w:tcBorders>
              <w:left w:val="single" w:sz="4" w:space="0" w:color="000000"/>
              <w:bottom w:val="single" w:sz="4" w:space="0" w:color="000000"/>
              <w:right w:val="single" w:sz="4" w:space="0" w:color="000000"/>
            </w:tcBorders>
            <w:shd w:val="clear" w:color="auto" w:fill="D4D4D4"/>
          </w:tcPr>
          <w:p>
            <w:pPr/>
          </w:p>
        </w:tc>
        <w:tc>
          <w:tcPr>
            <w:tcW w:w="160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22"/>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83" w:type="dxa"/>
            <w:vMerge/>
            <w:tcBorders>
              <w:left w:val="single" w:sz="4" w:space="0" w:color="000000"/>
              <w:bottom w:val="single" w:sz="4" w:space="0" w:color="000000"/>
              <w:right w:val="single" w:sz="4" w:space="0" w:color="000000"/>
            </w:tcBorders>
            <w:shd w:val="clear" w:color="auto" w:fill="D4D4D4"/>
          </w:tcPr>
          <w:p>
            <w:pPr/>
          </w:p>
        </w:tc>
        <w:tc>
          <w:tcPr>
            <w:tcW w:w="1607" w:type="dxa"/>
            <w:vMerge/>
            <w:tcBorders>
              <w:left w:val="single" w:sz="4" w:space="0" w:color="000000"/>
              <w:bottom w:val="single" w:sz="4" w:space="0" w:color="000000"/>
              <w:right w:val="single" w:sz="4" w:space="0" w:color="000000"/>
            </w:tcBorders>
            <w:shd w:val="clear" w:color="auto" w:fill="D4D4D4"/>
          </w:tcPr>
          <w:p>
            <w:pPr/>
          </w:p>
        </w:tc>
        <w:tc>
          <w:tcPr>
            <w:tcW w:w="1570" w:type="dxa"/>
            <w:vMerge/>
            <w:tcBorders>
              <w:left w:val="single" w:sz="4" w:space="0" w:color="000000"/>
              <w:bottom w:val="single" w:sz="4" w:space="0" w:color="000000"/>
              <w:right w:val="single" w:sz="4" w:space="0" w:color="000000"/>
            </w:tcBorders>
            <w:shd w:val="clear" w:color="auto" w:fill="D4D4D4"/>
          </w:tcPr>
          <w:p>
            <w:pPr/>
          </w:p>
        </w:tc>
        <w:tc>
          <w:tcPr>
            <w:tcW w:w="160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left="284" w:right="0"/>
              <w:jc w:val="left"/>
              <w:rPr>
                <w:rFonts w:ascii="Times New Roman" w:hAnsi="Times New Roman" w:cs="Times New Roman" w:eastAsia="Times New Roman" w:hint="default"/>
                <w:sz w:val="18"/>
                <w:szCs w:val="18"/>
              </w:rPr>
            </w:pPr>
            <w:r>
              <w:rPr>
                <w:rFonts w:ascii="Times New Roman"/>
                <w:sz w:val="18"/>
              </w:rPr>
              <w:t>2,016,422,890.84</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7"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1,563,222,281.96</w:t>
            </w:r>
          </w:p>
        </w:tc>
        <w:tc>
          <w:tcPr>
            <w:tcW w:w="15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100%</w:t>
            </w:r>
          </w:p>
        </w:tc>
        <w:tc>
          <w:tcPr>
            <w:tcW w:w="160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28.99%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1,978,520,190.93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1,545,651,603.12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28.01%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37,902,699.91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17,570,678.84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115.72%</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1,308,117,477.84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1,144,968,342.43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124,029,007.86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94,796,843.67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30.84%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546,373,705.23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305,886,417.02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37,902,699.91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17,570,678.84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115.72%</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1,563,259,434.07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1,246,102,705.66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25.45%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453,163,456.77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317,119,576.30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1,978,520,190.93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1,478,617,260.03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-9.06%</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1,308,117,477.84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910,300,938.84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124,029,007.86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89,831,582.39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546,373,705.23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478,484,738.80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-16.76%</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1,525,356,734.16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1,171,999,897.79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-11.45%</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453,163,456.77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306,617,362.24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-0.86%</w:t>
            </w:r>
          </w:p>
        </w:tc>
      </w:tr>
    </w:tbl>
    <w:p>
      <w:pPr>
        <w:pStyle w:val="BodyText"/>
        <w:spacing w:line="240" w:lineRule="auto" w:before="49"/>
        <w:ind w:right="0"/>
        <w:jc w:val="left"/>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4D4D4"/>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1,000,132,521.23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779,371,281.89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28.33%</w:t>
            </w:r>
          </w:p>
        </w:tc>
      </w:tr>
      <w:tr>
        <w:trPr>
          <w:trHeight w:val="403" w:hRule="exact"/>
        </w:trPr>
        <w:tc>
          <w:tcPr>
            <w:tcW w:w="1608" w:type="dxa"/>
            <w:vMerge/>
            <w:tcBorders>
              <w:left w:val="single" w:sz="4" w:space="0" w:color="000000"/>
              <w:bottom w:val="single" w:sz="4" w:space="0" w:color="000000"/>
              <w:right w:val="single" w:sz="13" w:space="0" w:color="D4D4D4"/>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959,988,194.18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817,182,426.23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17.48%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7"/>
        <w:gridCol w:w="1592"/>
        <w:gridCol w:w="1594"/>
        <w:gridCol w:w="1596"/>
        <w:gridCol w:w="1594"/>
        <w:gridCol w:w="1596"/>
      </w:tblGrid>
      <w:tr>
        <w:trPr>
          <w:trHeight w:val="403" w:hRule="exact"/>
        </w:trPr>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131,550,232.97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171,694,560.02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7" w:right="0"/>
              <w:jc w:val="left"/>
              <w:rPr>
                <w:rFonts w:ascii="Times New Roman" w:hAnsi="Times New Roman" w:cs="Times New Roman" w:eastAsia="Times New Roman" w:hint="default"/>
                <w:sz w:val="18"/>
                <w:szCs w:val="18"/>
              </w:rPr>
            </w:pPr>
            <w:r>
              <w:rPr>
                <w:rFonts w:ascii="Times New Roman"/>
                <w:sz w:val="18"/>
              </w:rPr>
              <w:t>-23.38%</w:t>
            </w:r>
          </w:p>
        </w:tc>
      </w:tr>
    </w:tbl>
    <w:p>
      <w:pPr>
        <w:pStyle w:val="BodyText"/>
        <w:spacing w:line="357" w:lineRule="auto" w:before="49"/>
        <w:ind w:right="6342"/>
        <w:jc w:val="left"/>
      </w:pPr>
      <w:r>
        <w:rPr/>
        <w:t>本表为公司自制产品，以成本金额计算。 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240" w:lineRule="auto" w:before="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739,986,145.33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620,293,878.45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124,852,476.20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90,409,180.09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11.32%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38.10%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135,293,899.70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87,765,247.75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54.15%</w:t>
            </w:r>
          </w:p>
        </w:tc>
      </w:tr>
    </w:tbl>
    <w:p>
      <w:pPr>
        <w:pStyle w:val="BodyText"/>
        <w:spacing w:line="240" w:lineRule="auto" w:before="49"/>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910,300,938.84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747,619,177.85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89,831,582.39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50,849,128.44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76.66%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478,484,738.79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216,603,756.78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120.90%</w:t>
            </w:r>
          </w:p>
        </w:tc>
      </w:tr>
    </w:tbl>
    <w:p>
      <w:pPr>
        <w:pStyle w:val="BodyText"/>
        <w:spacing w:line="357" w:lineRule="auto" w:before="49"/>
        <w:ind w:right="9414"/>
        <w:jc w:val="left"/>
      </w:pPr>
      <w:r>
        <w:rPr/>
        <w:t>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00" w:lineRule="auto" w:before="101"/>
        <w:ind w:left="153" w:right="188" w:firstLine="271"/>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月收购汇天云网集团有限公司</w:t>
      </w:r>
      <w:r>
        <w:rPr>
          <w:rFonts w:ascii="Times New Roman" w:hAnsi="Times New Roman" w:cs="Times New Roman" w:eastAsia="Times New Roman" w:hint="default"/>
        </w:rPr>
        <w:t>51%</w:t>
      </w:r>
      <w:r>
        <w:rPr/>
        <w:t>股权，取得了对汇天云网集团有限公司的实际控制权，按照相应 的会计编制规则，公司本期将汇天云网集团有限公司纳入合并报表范围。</w:t>
      </w:r>
    </w:p>
    <w:p>
      <w:pPr>
        <w:pStyle w:val="BodyText"/>
        <w:spacing w:line="300" w:lineRule="auto" w:before="72"/>
        <w:ind w:left="153" w:right="150" w:firstLine="271"/>
        <w:jc w:val="both"/>
      </w:pPr>
      <w:r>
        <w:rPr>
          <w:spacing w:val="-2"/>
        </w:rPr>
        <w:t>（</w:t>
      </w:r>
      <w:r>
        <w:rPr>
          <w:rFonts w:ascii="Times New Roman" w:hAnsi="Times New Roman" w:cs="Times New Roman" w:eastAsia="Times New Roman" w:hint="default"/>
          <w:spacing w:val="-2"/>
        </w:rPr>
        <w:t>2</w:t>
      </w:r>
      <w:r>
        <w:rPr>
          <w:spacing w:val="-2"/>
        </w:rPr>
        <w:t>）本期公司设立美莲检测有限公司与小美集科技有限公司，分别于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日完成办理工商设立登记手</w:t>
      </w:r>
      <w:r>
        <w:rPr/>
        <w:t> </w:t>
      </w:r>
      <w:r>
        <w:rPr>
          <w:spacing w:val="-2"/>
        </w:rPr>
        <w:t>续，并取得注册号为</w:t>
      </w:r>
      <w:r>
        <w:rPr>
          <w:rFonts w:ascii="Times New Roman" w:hAnsi="Times New Roman" w:cs="Times New Roman" w:eastAsia="Times New Roman" w:hint="default"/>
          <w:spacing w:val="-2"/>
        </w:rPr>
        <w:t>441900002529323</w:t>
      </w:r>
      <w:r>
        <w:rPr>
          <w:spacing w:val="-2"/>
        </w:rPr>
        <w:t>、</w:t>
      </w:r>
      <w:r>
        <w:rPr>
          <w:rFonts w:ascii="Times New Roman" w:hAnsi="Times New Roman" w:cs="Times New Roman" w:eastAsia="Times New Roman" w:hint="default"/>
          <w:spacing w:val="-2"/>
        </w:rPr>
        <w:t>440301113173979</w:t>
      </w:r>
      <w:r>
        <w:rPr>
          <w:spacing w:val="-2"/>
        </w:rPr>
        <w:t>的企业法人营业执照；按照相应的会计编制规则，公司将美莲检测</w:t>
      </w:r>
      <w:r>
        <w:rPr>
          <w:spacing w:val="-49"/>
        </w:rPr>
        <w:t> </w:t>
      </w:r>
      <w:r>
        <w:rPr>
          <w:spacing w:val="-49"/>
        </w:rPr>
      </w:r>
      <w:r>
        <w:rPr/>
        <w:t>有限公司、小美集科技有限公司纳入合并报表范围。</w:t>
      </w:r>
    </w:p>
    <w:p>
      <w:pPr>
        <w:pStyle w:val="BodyText"/>
        <w:spacing w:line="240" w:lineRule="auto" w:before="72"/>
        <w:ind w:left="441" w:right="0"/>
        <w:jc w:val="left"/>
      </w:pPr>
      <w:r>
        <w:rPr/>
        <w:t>（</w:t>
      </w:r>
      <w:r>
        <w:rPr>
          <w:rFonts w:ascii="Times New Roman" w:hAnsi="Times New Roman" w:cs="Times New Roman" w:eastAsia="Times New Roman" w:hint="default"/>
        </w:rPr>
        <w:t>3</w:t>
      </w:r>
      <w:r>
        <w:rPr/>
        <w:t>）本期公司由控股子公司汇天云网全资设立深圳市汇天云网科技有限公司，于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日设立，注册号为</w:t>
      </w:r>
    </w:p>
    <w:p>
      <w:pPr>
        <w:pStyle w:val="BodyText"/>
        <w:spacing w:line="240" w:lineRule="auto" w:before="62"/>
        <w:ind w:left="153" w:right="0"/>
        <w:jc w:val="left"/>
      </w:pPr>
      <w:r>
        <w:rPr>
          <w:rFonts w:ascii="Times New Roman" w:hAnsi="Times New Roman" w:cs="Times New Roman" w:eastAsia="Times New Roman" w:hint="default"/>
        </w:rPr>
        <w:t>440301503509178</w:t>
      </w:r>
      <w:r>
        <w:rPr/>
        <w:t>，该公司注册资本</w:t>
      </w:r>
      <w:r>
        <w:rPr>
          <w:rFonts w:ascii="Times New Roman" w:hAnsi="Times New Roman" w:cs="Times New Roman" w:eastAsia="Times New Roman" w:hint="default"/>
        </w:rPr>
        <w:t>1688</w:t>
      </w:r>
      <w:r>
        <w:rPr/>
        <w:t>万美元；按照相应的会计编制规则，公司本期将深圳市汇天云网科技有限公司纳入</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合并报表范围。</w:t>
      </w:r>
    </w:p>
    <w:p>
      <w:pPr>
        <w:pStyle w:val="BodyText"/>
        <w:spacing w:line="300" w:lineRule="auto" w:before="76"/>
        <w:ind w:right="179" w:firstLine="287"/>
        <w:jc w:val="both"/>
      </w:pPr>
      <w:r>
        <w:rPr/>
        <w:t>（</w:t>
      </w:r>
      <w:r>
        <w:rPr>
          <w:rFonts w:ascii="Times New Roman" w:hAnsi="Times New Roman" w:cs="Times New Roman" w:eastAsia="Times New Roman" w:hint="default"/>
        </w:rPr>
        <w:t>4</w:t>
      </w:r>
      <w:r>
        <w:rPr/>
        <w:t>）本期公司由全资子公司东莞美盈森合资设立东莞市美之兰环保科技有限公司，于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日完成办理工商设立 登记手续，并取得统一社会信用代码为</w:t>
      </w:r>
      <w:r>
        <w:rPr>
          <w:rFonts w:ascii="Times New Roman" w:hAnsi="Times New Roman" w:cs="Times New Roman" w:eastAsia="Times New Roman" w:hint="default"/>
        </w:rPr>
        <w:t>91441900MA4UH46T0Q</w:t>
      </w:r>
      <w:r>
        <w:rPr/>
        <w:t>的企业法人营业执照，该公司注册资本</w:t>
      </w:r>
      <w:r>
        <w:rPr>
          <w:rFonts w:ascii="Times New Roman" w:hAnsi="Times New Roman" w:cs="Times New Roman" w:eastAsia="Times New Roman" w:hint="default"/>
        </w:rPr>
        <w:t>4000</w:t>
      </w:r>
      <w:r>
        <w:rPr/>
        <w:t>万元，东莞美盈 森持股</w:t>
      </w:r>
      <w:r>
        <w:rPr>
          <w:rFonts w:ascii="Times New Roman" w:hAnsi="Times New Roman" w:cs="Times New Roman" w:eastAsia="Times New Roman" w:hint="default"/>
        </w:rPr>
        <w:t>59.5%</w:t>
      </w:r>
      <w:r>
        <w:rPr/>
        <w:t>；按照相应的会计编制规则，公司本期将东莞市美之兰环保科技有限公司纳入合并报表范围。</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581,834,955.10</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28.85%</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142,059,618.34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131,637,819.33</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115,027,496.01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109,932,930.72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83,177,090.70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581,834,955.10</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28.85%</w:t>
            </w:r>
          </w:p>
        </w:tc>
      </w:tr>
    </w:tbl>
    <w:p>
      <w:pPr>
        <w:pStyle w:val="BodyText"/>
        <w:spacing w:line="240" w:lineRule="auto" w:before="49"/>
        <w:ind w:right="0"/>
        <w:jc w:val="left"/>
      </w:pPr>
      <w:r>
        <w:rPr/>
        <w:t>主要客户其他情况说明</w:t>
      </w:r>
    </w:p>
    <w:p>
      <w:pPr>
        <w:pStyle w:val="BodyText"/>
        <w:spacing w:line="340" w:lineRule="auto" w:before="115"/>
        <w:ind w:right="815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397,756,928.56</w:t>
            </w:r>
            <w:r>
              <w:rPr>
                <w:rFonts w:ascii="Times New Roman"/>
                <w:sz w:val="18"/>
              </w:rPr>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27.60%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236,080,520.52</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55,999,159.63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39,193,397.64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38,978,061.74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27,505,789.03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397,756,928.56</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27.60%</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8"/>
      </w:tblGrid>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137,648,236.61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98,966,522.56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39.09%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主要系报告期内大力开拓市场费用 增加及泸美、汇天云网并表所致。</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222,815,077.95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152,278,418.30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46.32%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主要系报告期内人员和研发投入较 </w:t>
            </w:r>
            <w:r>
              <w:rPr>
                <w:rFonts w:ascii="宋体" w:hAnsi="宋体" w:cs="宋体" w:eastAsia="宋体" w:hint="default"/>
                <w:spacing w:val="-2"/>
                <w:sz w:val="18"/>
                <w:szCs w:val="18"/>
              </w:rPr>
              <w:t>上期增加，金之彩员工辞退福利增加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及泸美、汇天云网并表所致。</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3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-38,448,499.75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-13,722,875.26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180.18%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主要系资金利息收入增加及汇率变 动所致。</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4D4D4"/>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37" w:type="dxa"/>
            <w:vMerge/>
            <w:tcBorders>
              <w:left w:val="single" w:sz="9" w:space="0" w:color="D4D4D4"/>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0" w:right="0"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公司研发投入目的是进一步提升公司在主营业务上的竞争优势，更好地满足客户和市场的需求，对公司未来发展有积极</w:t>
      </w:r>
    </w:p>
    <w:p>
      <w:pPr>
        <w:pStyle w:val="BodyText"/>
        <w:spacing w:line="360" w:lineRule="auto"/>
        <w:ind w:right="8334"/>
        <w:jc w:val="left"/>
      </w:pPr>
      <w:r>
        <w:rPr/>
        <w:t>影响。 公司研发投入情况</w:t>
      </w: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54,069,773.52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52,827,700.25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5"/>
        <w:ind w:right="0"/>
        <w:jc w:val="left"/>
      </w:pPr>
      <w:r>
        <w:rPr/>
        <w:t>研发投入总额占营业收入的比重较上年发生显著变化的原因</w:t>
      </w:r>
    </w:p>
    <w:p>
      <w:pPr>
        <w:pStyle w:val="BodyText"/>
        <w:spacing w:line="34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2,151,092,608.45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1,670,481,918.27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1,942,202,239.31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1,377,863,466.43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40.96%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208,890,369.14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292,618,451.84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299,109.98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-55.02%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307,020,478.44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29,676,292.90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934.56%</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-306,721,368.46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-29,011,292.90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957.25%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28,427,323.91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531.72%</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72,495,155.51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44,712,232.83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-44,067,831.60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-40,212,232.83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-129,912,218.31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223,505,645.77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-158.12%</w:t>
            </w:r>
            <w:r>
              <w:rPr>
                <w:rFonts w:ascii="Times New Roman"/>
                <w:sz w:val="18"/>
              </w:rPr>
            </w:r>
          </w:p>
        </w:tc>
      </w:tr>
    </w:tbl>
    <w:p>
      <w:pPr>
        <w:pStyle w:val="BodyText"/>
        <w:spacing w:line="240" w:lineRule="auto" w:before="49"/>
        <w:ind w:right="0"/>
        <w:jc w:val="left"/>
      </w:pPr>
      <w:r>
        <w:rPr/>
        <w:t>相关数据同比发生重大变动的主要影响因素说明</w:t>
      </w:r>
    </w:p>
    <w:p>
      <w:pPr>
        <w:pStyle w:val="BodyText"/>
        <w:spacing w:line="319" w:lineRule="auto" w:before="115"/>
        <w:ind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1"/>
        </w:rPr>
        <w:t>1</w:t>
      </w:r>
      <w:r>
        <w:rPr>
          <w:spacing w:val="-1"/>
        </w:rPr>
        <w:t>、报告期公司经营活动现金流出量比去年同期增加</w:t>
      </w:r>
      <w:r>
        <w:rPr>
          <w:rFonts w:ascii="Times New Roman" w:hAnsi="Times New Roman" w:cs="Times New Roman" w:eastAsia="Times New Roman" w:hint="default"/>
          <w:spacing w:val="-1"/>
        </w:rPr>
        <w:t>40.96%</w:t>
      </w:r>
      <w:r>
        <w:rPr>
          <w:spacing w:val="-1"/>
        </w:rPr>
        <w:t>，主要系随着采购量的增长，支付的货款增加及泸美、汇天云网</w:t>
      </w:r>
      <w:r>
        <w:rPr>
          <w:spacing w:val="-45"/>
        </w:rPr>
        <w:t> </w:t>
      </w:r>
      <w:r>
        <w:rPr>
          <w:spacing w:val="-45"/>
        </w:rPr>
      </w:r>
      <w:r>
        <w:rPr/>
        <w:t>并表所致。</w:t>
      </w:r>
    </w:p>
    <w:p>
      <w:pPr>
        <w:pStyle w:val="BodyText"/>
        <w:spacing w:line="240" w:lineRule="auto" w:before="55"/>
        <w:ind w:right="0"/>
        <w:jc w:val="left"/>
      </w:pPr>
      <w:r>
        <w:rPr>
          <w:rFonts w:ascii="Times New Roman" w:hAnsi="Times New Roman" w:cs="Times New Roman" w:eastAsia="Times New Roman" w:hint="default"/>
        </w:rPr>
        <w:t>2</w:t>
      </w:r>
      <w:r>
        <w:rPr/>
        <w:t>、报告期公司投资活动现金流出量比去年同期增加</w:t>
      </w:r>
      <w:r>
        <w:rPr>
          <w:rFonts w:ascii="Times New Roman" w:hAnsi="Times New Roman" w:cs="Times New Roman" w:eastAsia="Times New Roman" w:hint="default"/>
        </w:rPr>
        <w:t>934.56%</w:t>
      </w:r>
      <w:r>
        <w:rPr/>
        <w:t>，主要系支付购置房产款项及并购汇天云网支付收购款所致。</w:t>
      </w:r>
    </w:p>
    <w:p>
      <w:pPr>
        <w:pStyle w:val="BodyText"/>
        <w:spacing w:line="300" w:lineRule="auto" w:before="103"/>
        <w:ind w:left="153" w:right="0" w:hanging="1"/>
        <w:jc w:val="left"/>
      </w:pPr>
      <w:r>
        <w:rPr>
          <w:rFonts w:ascii="Times New Roman" w:hAnsi="Times New Roman" w:cs="Times New Roman" w:eastAsia="Times New Roman" w:hint="default"/>
        </w:rPr>
        <w:t>3</w:t>
      </w:r>
      <w:r>
        <w:rPr/>
        <w:t>、报告期公司筹资活动现金流入量比去年同期增加</w:t>
      </w:r>
      <w:r>
        <w:rPr>
          <w:rFonts w:ascii="Times New Roman" w:hAnsi="Times New Roman" w:cs="Times New Roman" w:eastAsia="Times New Roman" w:hint="default"/>
        </w:rPr>
        <w:t>531.72%</w:t>
      </w:r>
      <w:r>
        <w:rPr/>
        <w:t>，主要系子公司汇天云网少数股东增资款及汇天云网收到银行 借款所致。</w:t>
      </w:r>
    </w:p>
    <w:p>
      <w:pPr>
        <w:pStyle w:val="BodyText"/>
        <w:spacing w:line="300" w:lineRule="auto" w:before="72"/>
        <w:ind w:left="153" w:right="0" w:hanging="1"/>
        <w:jc w:val="left"/>
      </w:pPr>
      <w:r>
        <w:rPr>
          <w:rFonts w:ascii="Times New Roman" w:hAnsi="Times New Roman" w:cs="Times New Roman" w:eastAsia="Times New Roman" w:hint="default"/>
          <w:spacing w:val="-1"/>
        </w:rPr>
        <w:t>4</w:t>
      </w:r>
      <w:r>
        <w:rPr>
          <w:spacing w:val="-1"/>
        </w:rPr>
        <w:t>、报告期公司筹资活动现金流出量比去年同期增加</w:t>
      </w:r>
      <w:r>
        <w:rPr>
          <w:rFonts w:ascii="Times New Roman" w:hAnsi="Times New Roman" w:cs="Times New Roman" w:eastAsia="Times New Roman" w:hint="default"/>
          <w:spacing w:val="-1"/>
        </w:rPr>
        <w:t>62.14%</w:t>
      </w:r>
      <w:r>
        <w:rPr>
          <w:spacing w:val="-1"/>
        </w:rPr>
        <w:t>，主要系公司实施了</w:t>
      </w:r>
      <w:r>
        <w:rPr>
          <w:rFonts w:ascii="Times New Roman" w:hAnsi="Times New Roman" w:cs="Times New Roman" w:eastAsia="Times New Roman" w:hint="default"/>
          <w:spacing w:val="-1"/>
        </w:rPr>
        <w:t>2014</w:t>
      </w:r>
      <w:r>
        <w:rPr>
          <w:spacing w:val="-1"/>
        </w:rPr>
        <w:t>年度的现金股利分配以及汇天云网偿还</w:t>
      </w:r>
      <w:r>
        <w:rPr>
          <w:spacing w:val="-43"/>
        </w:rPr>
        <w:t> </w:t>
      </w:r>
      <w:r>
        <w:rPr>
          <w:spacing w:val="-43"/>
        </w:rPr>
      </w:r>
      <w:r>
        <w:rPr/>
        <w:t>债务所致。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240" w:lineRule="auto"/>
        <w:ind w:left="153" w:right="0"/>
        <w:jc w:val="left"/>
      </w:pPr>
      <w:r>
        <w:rPr/>
        <w:t>报告期内公司经营活动产生的现金净流量与本年度净利润存在重大差异的原因说明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7"/>
        <w:gridCol w:w="1622"/>
        <w:gridCol w:w="2254"/>
        <w:gridCol w:w="2254"/>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0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3" w:right="0"/>
              <w:jc w:val="left"/>
              <w:rPr>
                <w:rFonts w:ascii="Times New Roman" w:hAnsi="Times New Roman" w:cs="Times New Roman" w:eastAsia="Times New Roman" w:hint="default"/>
                <w:sz w:val="18"/>
                <w:szCs w:val="18"/>
              </w:rPr>
            </w:pPr>
            <w:r>
              <w:rPr>
                <w:rFonts w:ascii="Times New Roman"/>
                <w:sz w:val="18"/>
              </w:rPr>
              <w:t>1,504,303.79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0.60%</w:t>
            </w:r>
          </w:p>
        </w:tc>
        <w:tc>
          <w:tcPr>
            <w:tcW w:w="2254"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联营企业四川金剑包装制品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年度投资性 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7"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57,147,863.03</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22.75%</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当期投资性房地产公允价值 变动损益形成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7"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102,330,717.61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40.74%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left"/>
              <w:rPr>
                <w:rFonts w:ascii="宋体" w:hAnsi="宋体" w:cs="宋体" w:eastAsia="宋体" w:hint="default"/>
                <w:sz w:val="18"/>
                <w:szCs w:val="18"/>
              </w:rPr>
            </w:pPr>
            <w:r>
              <w:rPr>
                <w:rFonts w:ascii="宋体" w:hAnsi="宋体" w:cs="宋体" w:eastAsia="宋体" w:hint="default"/>
                <w:sz w:val="18"/>
                <w:szCs w:val="18"/>
              </w:rPr>
              <w:t>金之彩商誉减值及计提存货 跌价准备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7"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00" w:type="dxa"/>
            <w:tcBorders>
              <w:top w:val="single" w:sz="4" w:space="0" w:color="000000"/>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94,467,428.90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37.61%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因金之彩未达到业绩承诺， 不需要支付的股权收购转让 款及政府补助款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7"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1,475,966.27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0.59%</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固定资产报废</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四、资产及负债状况分析" w:id="41"/>
      <w:bookmarkEnd w:id="41"/>
      <w:r>
        <w:rPr>
          <w:b w:val="0"/>
          <w:bCs w:val="0"/>
        </w:rPr>
      </w: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379" w:hRule="exact"/>
        </w:trPr>
        <w:tc>
          <w:tcPr>
            <w:tcW w:w="1368"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68" w:type="dxa"/>
            <w:vMerge w:val="restart"/>
            <w:tcBorders>
              <w:top w:val="single" w:sz="13" w:space="0" w:color="FFFFFF"/>
              <w:left w:val="single" w:sz="4" w:space="0" w:color="000000"/>
              <w:right w:val="single" w:sz="4" w:space="0" w:color="000000"/>
            </w:tcBorders>
            <w:shd w:val="clear" w:color="auto" w:fill="D4D4D4"/>
          </w:tcPr>
          <w:p>
            <w:pPr/>
          </w:p>
        </w:tc>
        <w:tc>
          <w:tcPr>
            <w:tcW w:w="1164"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823,790,669.4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25.53%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953,702,887.72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32.50%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-6.97%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主要系支付购置房产款项及支付汇 天云网收购款所致。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487,415,607.1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15.11%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401,780,455.05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13.69%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365,185,680.1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11.32%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296,551,102.41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10.11%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1.21%</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248,999,117.6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19,715,424.00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0.67%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7.05%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主要系本期新增房产、其中部分房产 用于出租形成投资性房地产以及投 资性房地产采用公允价值计量所致。</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7,820,300.81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6,315,997.02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783,841,847.4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24.29%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741,172,530.91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25.26%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-0.97%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59,311,618.90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29,759,342.14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6,886,086.20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403,046,887.3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277,788,465.05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18,858,934.05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7,673,383.31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54,386,074.45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127,859,145.81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主要系金之彩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年未实 </w:t>
            </w:r>
            <w:r>
              <w:rPr>
                <w:rFonts w:ascii="宋体" w:hAnsi="宋体" w:cs="宋体" w:eastAsia="宋体" w:hint="default"/>
                <w:spacing w:val="-2"/>
                <w:sz w:val="18"/>
                <w:szCs w:val="18"/>
              </w:rPr>
              <w:t>现业绩承诺，相应减少剩余股权转让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款的支付所致。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7"/>
        <w:gridCol w:w="1218"/>
        <w:gridCol w:w="1209"/>
        <w:gridCol w:w="1212"/>
        <w:gridCol w:w="1208"/>
        <w:gridCol w:w="1218"/>
        <w:gridCol w:w="1212"/>
        <w:gridCol w:w="1075"/>
      </w:tblGrid>
      <w:tr>
        <w:trPr>
          <w:trHeight w:val="161" w:hRule="exact"/>
        </w:trPr>
        <w:tc>
          <w:tcPr>
            <w:tcW w:w="1207" w:type="dxa"/>
            <w:vMerge w:val="restart"/>
            <w:tcBorders>
              <w:top w:val="single" w:sz="4" w:space="0" w:color="000000"/>
              <w:left w:val="single" w:sz="4" w:space="0" w:color="000000"/>
              <w:right w:val="single" w:sz="4" w:space="0" w:color="000000"/>
            </w:tcBorders>
            <w:shd w:val="clear" w:color="auto" w:fill="D4D4D4"/>
          </w:tcPr>
          <w:p>
            <w:pPr/>
          </w:p>
        </w:tc>
        <w:tc>
          <w:tcPr>
            <w:tcW w:w="1218" w:type="dxa"/>
            <w:vMerge w:val="restart"/>
            <w:tcBorders>
              <w:top w:val="single" w:sz="4" w:space="0" w:color="000000"/>
              <w:left w:val="single" w:sz="4" w:space="0" w:color="000000"/>
              <w:right w:val="single" w:sz="4" w:space="0" w:color="000000"/>
            </w:tcBorders>
            <w:shd w:val="clear" w:color="auto" w:fill="D4D4D4"/>
          </w:tcPr>
          <w:p>
            <w:pPr/>
          </w:p>
        </w:tc>
        <w:tc>
          <w:tcPr>
            <w:tcW w:w="12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8" w:type="dxa"/>
            <w:vMerge w:val="restart"/>
            <w:tcBorders>
              <w:top w:val="single" w:sz="4" w:space="0" w:color="000000"/>
              <w:left w:val="single" w:sz="4" w:space="0" w:color="000000"/>
              <w:right w:val="single" w:sz="4" w:space="0" w:color="000000"/>
            </w:tcBorders>
            <w:shd w:val="clear" w:color="auto" w:fill="D4D4D4"/>
          </w:tcPr>
          <w:p>
            <w:pPr/>
          </w:p>
        </w:tc>
        <w:tc>
          <w:tcPr>
            <w:tcW w:w="1212" w:type="dxa"/>
            <w:vMerge w:val="restart"/>
            <w:tcBorders>
              <w:top w:val="single" w:sz="4" w:space="0" w:color="000000"/>
              <w:left w:val="single" w:sz="4" w:space="0" w:color="000000"/>
              <w:right w:val="single" w:sz="4" w:space="0" w:color="000000"/>
            </w:tcBorders>
            <w:shd w:val="clear" w:color="auto" w:fill="D4D4D4"/>
          </w:tcPr>
          <w:p>
            <w:pPr/>
          </w:p>
        </w:tc>
        <w:tc>
          <w:tcPr>
            <w:tcW w:w="1075" w:type="dxa"/>
            <w:vMerge w:val="restart"/>
            <w:tcBorders>
              <w:top w:val="single" w:sz="4" w:space="0" w:color="000000"/>
              <w:left w:val="single" w:sz="4" w:space="0" w:color="000000"/>
              <w:right w:val="single" w:sz="4" w:space="0" w:color="000000"/>
            </w:tcBorders>
            <w:shd w:val="clear" w:color="auto" w:fill="D4D4D4"/>
          </w:tcPr>
          <w:p>
            <w:pPr/>
          </w:p>
        </w:tc>
      </w:tr>
      <w:tr>
        <w:trPr>
          <w:trHeight w:val="156" w:hRule="exact"/>
        </w:trPr>
        <w:tc>
          <w:tcPr>
            <w:tcW w:w="1207" w:type="dxa"/>
            <w:vMerge/>
            <w:tcBorders>
              <w:left w:val="single" w:sz="4" w:space="0" w:color="000000"/>
              <w:bottom w:val="nil" w:sz="6" w:space="0" w:color="auto"/>
              <w:right w:val="single" w:sz="4" w:space="0" w:color="000000"/>
            </w:tcBorders>
            <w:shd w:val="clear" w:color="auto" w:fill="D4D4D4"/>
          </w:tcPr>
          <w:p>
            <w:pPr/>
          </w:p>
        </w:tc>
        <w:tc>
          <w:tcPr>
            <w:tcW w:w="1218" w:type="dxa"/>
            <w:vMerge/>
            <w:tcBorders>
              <w:left w:val="single" w:sz="4" w:space="0" w:color="000000"/>
              <w:bottom w:val="nil" w:sz="6" w:space="0" w:color="auto"/>
              <w:right w:val="single" w:sz="4" w:space="0" w:color="000000"/>
            </w:tcBorders>
            <w:shd w:val="clear" w:color="auto" w:fill="D4D4D4"/>
          </w:tcPr>
          <w:p>
            <w:pPr/>
          </w:p>
        </w:tc>
        <w:tc>
          <w:tcPr>
            <w:tcW w:w="120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6" w:right="6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4D4D4"/>
          </w:tcPr>
          <w:p>
            <w:pPr/>
          </w:p>
        </w:tc>
        <w:tc>
          <w:tcPr>
            <w:tcW w:w="1212" w:type="dxa"/>
            <w:vMerge/>
            <w:tcBorders>
              <w:left w:val="single" w:sz="4" w:space="0" w:color="000000"/>
              <w:bottom w:val="nil" w:sz="6" w:space="0" w:color="auto"/>
              <w:right w:val="single" w:sz="4" w:space="0" w:color="000000"/>
            </w:tcBorders>
            <w:shd w:val="clear" w:color="auto" w:fill="D4D4D4"/>
          </w:tcPr>
          <w:p>
            <w:pPr/>
          </w:p>
        </w:tc>
        <w:tc>
          <w:tcPr>
            <w:tcW w:w="1075" w:type="dxa"/>
            <w:vMerge/>
            <w:tcBorders>
              <w:left w:val="single" w:sz="4" w:space="0" w:color="000000"/>
              <w:bottom w:val="nil" w:sz="6" w:space="0" w:color="auto"/>
              <w:right w:val="single" w:sz="4" w:space="0" w:color="000000"/>
            </w:tcBorders>
            <w:shd w:val="clear" w:color="auto" w:fill="D4D4D4"/>
          </w:tcPr>
          <w:p>
            <w:pPr/>
          </w:p>
        </w:tc>
      </w:tr>
      <w:tr>
        <w:trPr>
          <w:trHeight w:val="394" w:hRule="exact"/>
        </w:trPr>
        <w:tc>
          <w:tcPr>
            <w:tcW w:w="120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9" w:type="dxa"/>
            <w:vMerge/>
            <w:tcBorders>
              <w:left w:val="single" w:sz="4" w:space="0" w:color="000000"/>
              <w:right w:val="single" w:sz="4" w:space="0" w:color="000000"/>
            </w:tcBorders>
            <w:shd w:val="clear" w:color="auto" w:fill="D4D4D4"/>
          </w:tcPr>
          <w:p>
            <w:pPr/>
          </w:p>
        </w:tc>
        <w:tc>
          <w:tcPr>
            <w:tcW w:w="1212" w:type="dxa"/>
            <w:vMerge/>
            <w:tcBorders>
              <w:left w:val="single" w:sz="4" w:space="0" w:color="000000"/>
              <w:right w:val="single" w:sz="4" w:space="0" w:color="000000"/>
            </w:tcBorders>
            <w:shd w:val="clear" w:color="auto" w:fill="D4D4D4"/>
          </w:tcPr>
          <w:p>
            <w:pPr/>
          </w:p>
        </w:tc>
        <w:tc>
          <w:tcPr>
            <w:tcW w:w="1208" w:type="dxa"/>
            <w:vMerge/>
            <w:tcBorders>
              <w:left w:val="single" w:sz="4" w:space="0" w:color="000000"/>
              <w:right w:val="single" w:sz="4" w:space="0" w:color="000000"/>
            </w:tcBorders>
            <w:shd w:val="clear" w:color="auto" w:fill="D4D4D4"/>
          </w:tcPr>
          <w:p>
            <w:pPr/>
          </w:p>
        </w:tc>
        <w:tc>
          <w:tcPr>
            <w:tcW w:w="12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7" w:type="dxa"/>
            <w:vMerge w:val="restart"/>
            <w:tcBorders>
              <w:top w:val="nil" w:sz="6" w:space="0" w:color="auto"/>
              <w:left w:val="single" w:sz="4" w:space="0" w:color="000000"/>
              <w:right w:val="single" w:sz="4" w:space="0" w:color="000000"/>
            </w:tcBorders>
            <w:shd w:val="clear" w:color="auto" w:fill="D4D4D4"/>
          </w:tcPr>
          <w:p>
            <w:pPr/>
          </w:p>
        </w:tc>
        <w:tc>
          <w:tcPr>
            <w:tcW w:w="1218" w:type="dxa"/>
            <w:vMerge w:val="restart"/>
            <w:tcBorders>
              <w:top w:val="nil" w:sz="6" w:space="0" w:color="auto"/>
              <w:left w:val="single" w:sz="4" w:space="0" w:color="000000"/>
              <w:right w:val="single" w:sz="4" w:space="0" w:color="000000"/>
            </w:tcBorders>
            <w:shd w:val="clear" w:color="auto" w:fill="D4D4D4"/>
          </w:tcPr>
          <w:p>
            <w:pPr/>
          </w:p>
        </w:tc>
        <w:tc>
          <w:tcPr>
            <w:tcW w:w="1209" w:type="dxa"/>
            <w:vMerge/>
            <w:tcBorders>
              <w:left w:val="single" w:sz="4" w:space="0" w:color="000000"/>
              <w:bottom w:val="nil" w:sz="6" w:space="0" w:color="auto"/>
              <w:right w:val="single" w:sz="4" w:space="0" w:color="000000"/>
            </w:tcBorders>
            <w:shd w:val="clear" w:color="auto" w:fill="D4D4D4"/>
          </w:tcPr>
          <w:p>
            <w:pPr/>
          </w:p>
        </w:tc>
        <w:tc>
          <w:tcPr>
            <w:tcW w:w="1212" w:type="dxa"/>
            <w:vMerge/>
            <w:tcBorders>
              <w:left w:val="single" w:sz="4" w:space="0" w:color="000000"/>
              <w:right w:val="single" w:sz="4" w:space="0" w:color="000000"/>
            </w:tcBorders>
            <w:shd w:val="clear" w:color="auto" w:fill="D4D4D4"/>
          </w:tcPr>
          <w:p>
            <w:pPr/>
          </w:p>
        </w:tc>
        <w:tc>
          <w:tcPr>
            <w:tcW w:w="1208" w:type="dxa"/>
            <w:vMerge/>
            <w:tcBorders>
              <w:left w:val="single" w:sz="4" w:space="0" w:color="000000"/>
              <w:bottom w:val="nil" w:sz="6" w:space="0" w:color="auto"/>
              <w:right w:val="single" w:sz="4" w:space="0" w:color="000000"/>
            </w:tcBorders>
            <w:shd w:val="clear" w:color="auto" w:fill="D4D4D4"/>
          </w:tcPr>
          <w:p>
            <w:pPr/>
          </w:p>
        </w:tc>
        <w:tc>
          <w:tcPr>
            <w:tcW w:w="1218" w:type="dxa"/>
            <w:vMerge w:val="restart"/>
            <w:tcBorders>
              <w:top w:val="nil" w:sz="6" w:space="0" w:color="auto"/>
              <w:left w:val="single" w:sz="4" w:space="0" w:color="000000"/>
              <w:right w:val="single" w:sz="4" w:space="0" w:color="000000"/>
            </w:tcBorders>
            <w:shd w:val="clear" w:color="auto" w:fill="D4D4D4"/>
          </w:tcPr>
          <w:p>
            <w:pPr/>
          </w:p>
        </w:tc>
        <w:tc>
          <w:tcPr>
            <w:tcW w:w="1212" w:type="dxa"/>
            <w:vMerge w:val="restart"/>
            <w:tcBorders>
              <w:top w:val="nil" w:sz="6" w:space="0" w:color="auto"/>
              <w:left w:val="single" w:sz="4" w:space="0" w:color="000000"/>
              <w:right w:val="single" w:sz="4" w:space="0" w:color="000000"/>
            </w:tcBorders>
            <w:shd w:val="clear" w:color="auto" w:fill="D4D4D4"/>
          </w:tcPr>
          <w:p>
            <w:pPr/>
          </w:p>
        </w:tc>
        <w:tc>
          <w:tcPr>
            <w:tcW w:w="1075" w:type="dxa"/>
            <w:vMerge w:val="restart"/>
            <w:tcBorders>
              <w:top w:val="nil" w:sz="6" w:space="0" w:color="auto"/>
              <w:left w:val="single" w:sz="4" w:space="0" w:color="000000"/>
              <w:right w:val="single" w:sz="4" w:space="0" w:color="000000"/>
            </w:tcBorders>
            <w:shd w:val="clear" w:color="auto" w:fill="D4D4D4"/>
          </w:tcPr>
          <w:p>
            <w:pPr/>
          </w:p>
        </w:tc>
      </w:tr>
      <w:tr>
        <w:trPr>
          <w:trHeight w:val="166" w:hRule="exact"/>
        </w:trPr>
        <w:tc>
          <w:tcPr>
            <w:tcW w:w="1207" w:type="dxa"/>
            <w:vMerge/>
            <w:tcBorders>
              <w:left w:val="single" w:sz="4" w:space="0" w:color="000000"/>
              <w:bottom w:val="single" w:sz="4" w:space="0" w:color="000000"/>
              <w:right w:val="single" w:sz="4" w:space="0" w:color="000000"/>
            </w:tcBorders>
            <w:shd w:val="clear" w:color="auto" w:fill="D4D4D4"/>
          </w:tcPr>
          <w:p>
            <w:pPr/>
          </w:p>
        </w:tc>
        <w:tc>
          <w:tcPr>
            <w:tcW w:w="1218" w:type="dxa"/>
            <w:vMerge/>
            <w:tcBorders>
              <w:left w:val="single" w:sz="4" w:space="0" w:color="000000"/>
              <w:bottom w:val="single" w:sz="4" w:space="0" w:color="000000"/>
              <w:right w:val="single" w:sz="4" w:space="0" w:color="000000"/>
            </w:tcBorders>
            <w:shd w:val="clear" w:color="auto" w:fill="D4D4D4"/>
          </w:tcPr>
          <w:p>
            <w:pPr/>
          </w:p>
        </w:tc>
        <w:tc>
          <w:tcPr>
            <w:tcW w:w="1209"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2" w:type="dxa"/>
            <w:vMerge/>
            <w:tcBorders>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8" w:type="dxa"/>
            <w:vMerge/>
            <w:tcBorders>
              <w:left w:val="single" w:sz="4" w:space="0" w:color="000000"/>
              <w:bottom w:val="single" w:sz="4" w:space="0" w:color="000000"/>
              <w:right w:val="single" w:sz="4" w:space="0" w:color="000000"/>
            </w:tcBorders>
            <w:shd w:val="clear" w:color="auto" w:fill="D4D4D4"/>
          </w:tcPr>
          <w:p>
            <w:pPr/>
          </w:p>
        </w:tc>
        <w:tc>
          <w:tcPr>
            <w:tcW w:w="1212" w:type="dxa"/>
            <w:vMerge/>
            <w:tcBorders>
              <w:left w:val="single" w:sz="4" w:space="0" w:color="000000"/>
              <w:bottom w:val="single" w:sz="4" w:space="0" w:color="000000"/>
              <w:right w:val="single" w:sz="4" w:space="0" w:color="000000"/>
            </w:tcBorders>
            <w:shd w:val="clear" w:color="auto" w:fill="D4D4D4"/>
          </w:tcPr>
          <w:p>
            <w:pPr/>
          </w:p>
        </w:tc>
        <w:tc>
          <w:tcPr>
            <w:tcW w:w="1075" w:type="dxa"/>
            <w:vMerge/>
            <w:tcBorders>
              <w:left w:val="single" w:sz="4" w:space="0" w:color="000000"/>
              <w:bottom w:val="single" w:sz="4" w:space="0" w:color="000000"/>
              <w:right w:val="single" w:sz="4" w:space="0" w:color="000000"/>
            </w:tcBorders>
            <w:shd w:val="clear" w:color="auto" w:fill="D4D4D4"/>
          </w:tcPr>
          <w:p>
            <w:pPr/>
          </w:p>
        </w:tc>
      </w:tr>
      <w:tr>
        <w:trPr>
          <w:trHeight w:val="396" w:hRule="exact"/>
        </w:trPr>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161" w:hRule="exact"/>
        </w:trPr>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c>
          <w:tcPr>
            <w:tcW w:w="121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19,715,424.00</w:t>
            </w:r>
          </w:p>
        </w:tc>
        <w:tc>
          <w:tcPr>
            <w:tcW w:w="12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57,147,863.03</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64,860,576.86</w:t>
            </w:r>
          </w:p>
        </w:tc>
        <w:tc>
          <w:tcPr>
            <w:tcW w:w="1208" w:type="dxa"/>
            <w:vMerge w:val="restart"/>
            <w:tcBorders>
              <w:top w:val="single" w:sz="4" w:space="0" w:color="000000"/>
              <w:left w:val="single" w:sz="4" w:space="0" w:color="000000"/>
              <w:right w:val="single" w:sz="4" w:space="0" w:color="000000"/>
            </w:tcBorders>
          </w:tcPr>
          <w:p>
            <w:pP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172,135,830.65</w:t>
            </w:r>
          </w:p>
        </w:tc>
        <w:tc>
          <w:tcPr>
            <w:tcW w:w="1212"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248,999,117.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r>
        <w:trPr>
          <w:trHeight w:val="394" w:hRule="exact"/>
        </w:trPr>
        <w:tc>
          <w:tcPr>
            <w:tcW w:w="120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8" w:type="dxa"/>
            <w:vMerge/>
            <w:tcBorders>
              <w:left w:val="single" w:sz="9" w:space="0" w:color="D4D4D4"/>
              <w:right w:val="single" w:sz="4" w:space="0" w:color="000000"/>
            </w:tcBorders>
          </w:tcPr>
          <w:p>
            <w:pPr/>
          </w:p>
        </w:tc>
        <w:tc>
          <w:tcPr>
            <w:tcW w:w="1209"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161" w:hRule="exact"/>
        </w:trPr>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8" w:type="dxa"/>
            <w:vMerge/>
            <w:tcBorders>
              <w:left w:val="single" w:sz="9" w:space="0" w:color="D4D4D4"/>
              <w:bottom w:val="single" w:sz="4" w:space="0" w:color="000000"/>
              <w:right w:val="single" w:sz="4" w:space="0" w:color="000000"/>
            </w:tcBorders>
          </w:tcPr>
          <w:p>
            <w:pPr/>
          </w:p>
        </w:tc>
        <w:tc>
          <w:tcPr>
            <w:tcW w:w="1209"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8"/>
        <w:gridCol w:w="1212"/>
        <w:gridCol w:w="1214"/>
        <w:gridCol w:w="1212"/>
        <w:gridCol w:w="1214"/>
        <w:gridCol w:w="1212"/>
        <w:gridCol w:w="1212"/>
        <w:gridCol w:w="1075"/>
      </w:tblGrid>
      <w:tr>
        <w:trPr>
          <w:trHeight w:val="713" w:hRule="exact"/>
        </w:trPr>
        <w:tc>
          <w:tcPr>
            <w:tcW w:w="12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19,715,424.00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57,147,863.03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64,860,576.86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172,135,830.65</w:t>
            </w: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248,999,117.</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12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bl>
    <w:p>
      <w:pPr>
        <w:pStyle w:val="BodyText"/>
        <w:spacing w:line="240" w:lineRule="auto" w:before="49"/>
        <w:ind w:right="0"/>
        <w:jc w:val="left"/>
      </w:pPr>
      <w:r>
        <w:rPr/>
        <w:t>报告期内公司主要资产计量属性是否发生重大变化</w:t>
      </w:r>
    </w:p>
    <w:p>
      <w:pPr>
        <w:pStyle w:val="BodyText"/>
        <w:spacing w:line="340" w:lineRule="auto" w:before="115"/>
        <w:ind w:right="27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报告期内公司主要资产计量属性发生重大变化的原因说明及对其经营成果和财务状况影响</w:t>
      </w:r>
    </w:p>
    <w:p>
      <w:pPr>
        <w:pStyle w:val="BodyText"/>
        <w:spacing w:line="300" w:lineRule="auto" w:before="41"/>
        <w:ind w:right="153" w:firstLine="288"/>
        <w:jc w:val="both"/>
      </w:pPr>
      <w:r>
        <w:rPr>
          <w:spacing w:val="-1"/>
        </w:rPr>
        <w:t>经公司第三届董事会第二十一次（临时）会议、第三届监事会第十三次会议审议通过，公司自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日起将持有</w:t>
      </w:r>
      <w:r>
        <w:rPr/>
        <w:t> 的投资性房地产的后续计量由成本计量模式变更为公允价值计量模式，主要原因：</w:t>
      </w:r>
    </w:p>
    <w:p>
      <w:pPr>
        <w:pStyle w:val="BodyText"/>
        <w:spacing w:line="309" w:lineRule="auto" w:before="70"/>
        <w:ind w:right="153" w:firstLine="360"/>
        <w:jc w:val="both"/>
      </w:pPr>
      <w:r>
        <w:rPr>
          <w:rFonts w:ascii="Times New Roman" w:hAnsi="Times New Roman" w:cs="Times New Roman" w:eastAsia="Times New Roman" w:hint="default"/>
        </w:rPr>
        <w:t>1</w:t>
      </w:r>
      <w:r>
        <w:rPr/>
        <w:t>、公司公司所持有的投资性房地产采用公允价值模式进行后续计量有助于增强公司财务信息的准确性，便于公司管理 </w:t>
      </w:r>
      <w:r>
        <w:rPr>
          <w:spacing w:val="-2"/>
        </w:rPr>
        <w:t>层及投资者及时了解公司真实财务状况及经营成果，采用公允价值模式对公司投资性房地产进行后续计量具备合理性、可操</w:t>
      </w:r>
      <w:r>
        <w:rPr>
          <w:spacing w:val="-64"/>
        </w:rPr>
        <w:t> </w:t>
      </w:r>
      <w:r>
        <w:rPr>
          <w:spacing w:val="-64"/>
        </w:rPr>
      </w:r>
      <w:r>
        <w:rPr/>
        <w:t>作性。</w:t>
      </w:r>
    </w:p>
    <w:p>
      <w:pPr>
        <w:pStyle w:val="BodyText"/>
        <w:spacing w:line="309" w:lineRule="auto" w:before="65"/>
        <w:ind w:right="153" w:firstLine="360"/>
        <w:jc w:val="both"/>
      </w:pPr>
      <w:r>
        <w:rPr>
          <w:rFonts w:ascii="Times New Roman" w:hAnsi="Times New Roman" w:cs="Times New Roman" w:eastAsia="Times New Roman" w:hint="default"/>
        </w:rPr>
        <w:t>2</w:t>
      </w:r>
      <w:r>
        <w:rPr/>
        <w:t>、公司所持有的投资性房地产所在地有活跃的房地产租赁和交易市场，公司能够从房地产市场上取得同类或类似房地 </w:t>
      </w:r>
      <w:r>
        <w:rPr>
          <w:spacing w:val="-2"/>
        </w:rPr>
        <w:t>产的市场价格及其他相关信息，从而对投资性房地产的公允价值做出科学合理的估计，投资性房地产的公允价值能够持续可</w:t>
      </w:r>
      <w:r>
        <w:rPr>
          <w:spacing w:val="-64"/>
        </w:rPr>
        <w:t> </w:t>
      </w:r>
      <w:r>
        <w:rPr>
          <w:spacing w:val="-64"/>
        </w:rPr>
      </w:r>
      <w:r>
        <w:rPr/>
        <w:t>靠取得。</w:t>
      </w:r>
    </w:p>
    <w:p>
      <w:pPr>
        <w:pStyle w:val="BodyText"/>
        <w:spacing w:line="312" w:lineRule="auto" w:before="65"/>
        <w:ind w:right="153" w:firstLine="360"/>
        <w:jc w:val="both"/>
      </w:pPr>
      <w:r>
        <w:rPr>
          <w:rFonts w:ascii="Times New Roman" w:hAnsi="Times New Roman" w:cs="Times New Roman" w:eastAsia="Times New Roman" w:hint="default"/>
        </w:rPr>
        <w:t>3</w:t>
      </w:r>
      <w:r>
        <w:rPr/>
        <w:t>、公司采用公允价值模式对投资性房地产进行后续计量，可以更加真实客观地反映公司价值。公司的投资性房地产主 </w:t>
      </w:r>
      <w:r>
        <w:rPr>
          <w:spacing w:val="-2"/>
        </w:rPr>
        <w:t>要为用于出租的房产，采用公允价值模式进行后续计量是目前国际通行的成熟方法，有助于广大投资者更全面地了解公司经</w:t>
      </w:r>
      <w:r>
        <w:rPr>
          <w:spacing w:val="-64"/>
        </w:rPr>
        <w:t> </w:t>
      </w:r>
      <w:r>
        <w:rPr>
          <w:spacing w:val="-64"/>
        </w:rPr>
      </w:r>
      <w:r>
        <w:rPr>
          <w:spacing w:val="-2"/>
        </w:rPr>
        <w:t>营和资产情况，更能公允、恰当反映公司的财务状况和经营成果。因此，采用公允价值模式对投资性房地产进行后续计量的</w:t>
      </w:r>
      <w:r>
        <w:rPr>
          <w:spacing w:val="-66"/>
        </w:rPr>
        <w:t> </w:t>
      </w:r>
      <w:r>
        <w:rPr>
          <w:spacing w:val="-66"/>
        </w:rPr>
      </w:r>
      <w:r>
        <w:rPr/>
        <w:t>会计政策更能够提供可靠、相关的会计信息。</w:t>
      </w:r>
    </w:p>
    <w:p>
      <w:pPr>
        <w:pStyle w:val="BodyText"/>
        <w:spacing w:line="240" w:lineRule="auto" w:before="61"/>
        <w:ind w:left="512" w:right="0"/>
        <w:jc w:val="left"/>
        <w:rPr>
          <w:rFonts w:ascii="Times New Roman" w:hAnsi="Times New Roman" w:cs="Times New Roman" w:eastAsia="Times New Roman" w:hint="default"/>
        </w:rPr>
      </w:pPr>
      <w:r>
        <w:rPr>
          <w:spacing w:val="-2"/>
        </w:rPr>
        <w:t>公司自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日起对投资性房地产采用公允价值模式进行后续计量，本次会计政策变更需要对</w:t>
      </w:r>
      <w:r>
        <w:rPr>
          <w:spacing w:val="25"/>
        </w:rPr>
        <w:t> </w:t>
      </w:r>
      <w:r>
        <w:rPr>
          <w:rFonts w:ascii="Times New Roman" w:hAnsi="Times New Roman" w:cs="Times New Roman" w:eastAsia="Times New Roman" w:hint="default"/>
          <w:spacing w:val="-8"/>
        </w:rPr>
        <w:t>2012</w:t>
      </w:r>
      <w:r>
        <w:rPr>
          <w:spacing w:val="-8"/>
        </w:rPr>
        <w:t>、</w:t>
      </w:r>
      <w:r>
        <w:rPr>
          <w:rFonts w:ascii="Times New Roman" w:hAnsi="Times New Roman" w:cs="Times New Roman" w:eastAsia="Times New Roman" w:hint="default"/>
          <w:spacing w:val="-8"/>
        </w:rPr>
        <w:t>2013</w:t>
      </w:r>
      <w:r>
        <w:rPr>
          <w:spacing w:val="-8"/>
        </w:rPr>
        <w:t>、</w:t>
      </w:r>
      <w:r>
        <w:rPr>
          <w:rFonts w:ascii="Times New Roman" w:hAnsi="Times New Roman" w:cs="Times New Roman" w:eastAsia="Times New Roman" w:hint="default"/>
          <w:spacing w:val="-8"/>
        </w:rPr>
        <w:t>2014</w:t>
      </w:r>
      <w:r>
        <w:rPr>
          <w:rFonts w:ascii="Times New Roman" w:hAnsi="Times New Roman" w:cs="Times New Roman" w:eastAsia="Times New Roman" w:hint="default"/>
        </w:rPr>
      </w:r>
    </w:p>
    <w:p>
      <w:pPr>
        <w:pStyle w:val="BodyText"/>
        <w:spacing w:line="240" w:lineRule="auto" w:before="62"/>
        <w:ind w:right="0"/>
        <w:jc w:val="left"/>
      </w:pPr>
      <w:r>
        <w:rPr/>
        <w:t>年度财务报表进行追溯调整。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79,694,000.00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r>
        <w:rPr/>
        <w:pict>
          <v:shape style="position:absolute;margin-left:449.399994pt;margin-top:364.079987pt;width:85.2pt;height:78pt;mso-position-horizontal-relative:page;mso-position-vertical-relative:page;z-index:-944584" type="#_x0000_t202" filled="false" stroked="false">
            <v:textbox inset="0,0,0,0">
              <w:txbxContent>
                <w:p>
                  <w:pPr>
                    <w:pStyle w:val="BodyText"/>
                    <w:spacing w:line="205" w:lineRule="exact"/>
                    <w:ind w:left="0" w:right="0"/>
                    <w:jc w:val="left"/>
                  </w:pPr>
                  <w:r>
                    <w:rPr/>
                    <w:t>金专户中，</w:t>
                  </w:r>
                </w:p>
              </w:txbxContent>
            </v:textbox>
            <w10:wrap type="none"/>
          </v:shape>
        </w:pict>
      </w:r>
      <w:r>
        <w:rPr/>
        <w:pict>
          <v:group style="position:absolute;margin-left:491.640015pt;margin-top:364.079987pt;width:43pt;height:78pt;mso-position-horizontal-relative:page;mso-position-vertical-relative:page;z-index:-944560" coordorigin="9833,7282" coordsize="860,1560">
            <v:shape style="position:absolute;left:9833;top:7282;width:860;height:1560" coordorigin="9833,7282" coordsize="860,1560" path="m9833,8842l10692,8842,10692,7282,9833,7282,9833,8842xe" filled="true" fillcolor="#ffffff" stroked="false">
              <v:path arrowok="t"/>
              <v:fill type="solid"/>
            </v:shape>
            <w10:wrap type="none"/>
          </v:group>
        </w:pict>
      </w:r>
    </w:p>
    <w:p>
      <w:pPr>
        <w:pStyle w:val="Heading3"/>
        <w:spacing w:line="240" w:lineRule="auto" w:before="36"/>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21"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2009</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109,812.94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101,474.81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3,066.02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14,731.52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3,431.4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314" w:lineRule="auto" w:before="63"/>
              <w:ind w:left="26"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8"/>
                <w:sz w:val="18"/>
                <w:szCs w:val="18"/>
              </w:rPr>
              <w:t>日，尚未使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用的募集 资金存放 在募集资</w:t>
            </w: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6" w:right="113"/>
              <w:jc w:val="both"/>
              <w:rPr>
                <w:rFonts w:ascii="宋体" w:hAnsi="宋体" w:cs="宋体" w:eastAsia="宋体" w:hint="default"/>
                <w:sz w:val="18"/>
                <w:szCs w:val="18"/>
              </w:rPr>
            </w:pPr>
            <w:r>
              <w:rPr>
                <w:rFonts w:ascii="宋体" w:hAnsi="宋体" w:cs="宋体" w:eastAsia="宋体" w:hint="default"/>
                <w:sz w:val="18"/>
                <w:szCs w:val="18"/>
              </w:rPr>
              <w:t>将用于超 募资金投 资项目的 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109,812.94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101,474.81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3,066.02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14,731.52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13.42%</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3,431.4</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7"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[2009]1013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号文《关于核准深圳市美盈森环保科技股份有限公司首次公开发行股票的 </w:t>
            </w:r>
            <w:r>
              <w:rPr>
                <w:rFonts w:ascii="宋体" w:hAnsi="宋体" w:cs="宋体" w:eastAsia="宋体" w:hint="default"/>
                <w:spacing w:val="-1"/>
                <w:sz w:val="18"/>
                <w:szCs w:val="18"/>
              </w:rPr>
              <w:t>批复》核准，深圳市美盈森环保科技股份有限公司（以下简称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）采用网下向询价对象询价配售和网上资金申购定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价发行相结合的方式，向社会公众公开发行了普通股（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股）股票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万股，每股发行价格为人民币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25.36</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元。本公司共</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1,141,200,000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元，扣除发行费用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43,070,599.49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元后，募集资金净额为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1,098,129,400.51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元。该募集资金已于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p>
          <w:p>
            <w:pPr>
              <w:pStyle w:val="TableParagraph"/>
              <w:spacing w:line="312" w:lineRule="auto" w:before="63"/>
              <w:ind w:left="24" w:right="-1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日全部到位，并经大信会计师事务有限公司大信验字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号《验资报告》审验确认。公司按照中国 </w:t>
            </w:r>
            <w:r>
              <w:rPr>
                <w:rFonts w:ascii="宋体" w:hAnsi="宋体" w:cs="宋体" w:eastAsia="宋体" w:hint="default"/>
                <w:spacing w:val="-1"/>
                <w:sz w:val="18"/>
                <w:szCs w:val="18"/>
              </w:rPr>
              <w:t>证券监督管理委员会和深圳证券交易所关于募集资金存储和使用的相关规定和要求存储和使用募集资金。公司募集资金实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行专户存储，并与银行及保荐机构签订了募集资金三方监管协议。募集资金使用过程中严格履行相应的申请和审批程序， 充分接受保荐机构、独立董事以及公司监事会的监督。</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0"/>
        <w:gridCol w:w="780"/>
        <w:gridCol w:w="780"/>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9"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bl>
    <w:p>
      <w:pPr>
        <w:spacing w:after="0" w:line="316"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东莞市美盈森环保科 技有限公司环保包装 生产建设项目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42,059.37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4,134.12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环保轻型包装生产线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包装物流一体化项目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6,706.48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51,758.78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45,035.05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45,035.05</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4,134.12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苏州美盈森现代化环 保包装生产基地项目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3,065.07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重庆美盈森现代化环 保包装物流综合基地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2,995.79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低碳环保包装研发总 部基地项目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238.98</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561.14</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22.45%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9"/>
                <w:sz w:val="18"/>
                <w:szCs w:val="18"/>
              </w:rPr>
              <w:t>美盈森（成都）现代化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环保包装生产基地项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833.72</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914.26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59,464.35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56,439.75</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6,060.86</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8" w:type="dxa"/>
            <w:tcBorders>
              <w:top w:val="single" w:sz="4" w:space="0" w:color="000000"/>
              <w:left w:val="single" w:sz="4" w:space="0" w:color="000000"/>
              <w:bottom w:val="nil" w:sz="6" w:space="0" w:color="auto"/>
              <w:right w:val="single" w:sz="4" w:space="0" w:color="000000"/>
            </w:tcBorders>
            <w:shd w:val="clear" w:color="auto" w:fill="D4D4D4"/>
          </w:tcPr>
          <w:p>
            <w:pPr/>
          </w:p>
        </w:tc>
        <w:tc>
          <w:tcPr>
            <w:tcW w:w="780" w:type="dxa"/>
            <w:vMerge w:val="restart"/>
            <w:tcBorders>
              <w:top w:val="single" w:sz="4" w:space="0" w:color="000000"/>
              <w:left w:val="single" w:sz="9" w:space="0" w:color="D4D4D4"/>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101,258.7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104,499.4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1,072.7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101,474.8</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10,194.98</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4D4D4"/>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61"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8" w:type="dxa"/>
            <w:tcBorders>
              <w:top w:val="nil" w:sz="6" w:space="0" w:color="auto"/>
              <w:left w:val="single" w:sz="4" w:space="0" w:color="000000"/>
              <w:bottom w:val="single" w:sz="4" w:space="0" w:color="000000"/>
              <w:right w:val="single" w:sz="4" w:space="0" w:color="000000"/>
            </w:tcBorders>
            <w:shd w:val="clear" w:color="auto" w:fill="D4D4D4"/>
          </w:tcPr>
          <w:p>
            <w:pPr/>
          </w:p>
        </w:tc>
        <w:tc>
          <w:tcPr>
            <w:tcW w:w="780" w:type="dxa"/>
            <w:vMerge/>
            <w:tcBorders>
              <w:left w:val="single" w:sz="9" w:space="0" w:color="D4D4D4"/>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800"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）包装物流一体化项目，因项目实施的可行性发生变化，公司已履行必要审批程序，终止该项目</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的实施。</w:t>
            </w:r>
          </w:p>
          <w:p>
            <w:pPr>
              <w:pStyle w:val="TableParagraph"/>
              <w:spacing w:line="300" w:lineRule="auto" w:before="70"/>
              <w:ind w:left="16" w:right="1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）低碳环保包装研发总部基地项目尚处于前期筹备过程中；美盈森（成都）现代化环保包装生产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基地项目尚未开始建设。</w:t>
            </w:r>
          </w:p>
          <w:p>
            <w:pPr>
              <w:pStyle w:val="TableParagraph"/>
              <w:spacing w:line="309" w:lineRule="auto" w:before="72"/>
              <w:ind w:left="16" w:right="2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：东莞市美盈森环保科技有限公司环保包装生产建设项目实际投资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40,095.66</w:t>
            </w:r>
            <w:r>
              <w:rPr>
                <w:rFonts w:ascii="Times New Roman" w:hAnsi="Times New Roman" w:cs="Times New Roman" w:eastAsia="Times New Roman" w:hint="default"/>
                <w:spacing w:val="-6"/>
                <w:sz w:val="18"/>
                <w:szCs w:val="18"/>
              </w:rPr>
              <w:t> </w:t>
            </w:r>
            <w:r>
              <w:rPr>
                <w:rFonts w:ascii="宋体" w:hAnsi="宋体" w:cs="宋体" w:eastAsia="宋体" w:hint="default"/>
                <w:spacing w:val="-11"/>
                <w:sz w:val="18"/>
                <w:szCs w:val="18"/>
              </w:rPr>
              <w:t>万元，于</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月底投产试运行，逐步达到预定可使用状态，产能逐年释放，新客户开发卓有成效，实现利润持续 快速增长，有效提升了公司的市场知名度和综合竞争力。</w:t>
            </w:r>
          </w:p>
          <w:p>
            <w:pPr>
              <w:pStyle w:val="TableParagraph"/>
              <w:spacing w:line="300" w:lineRule="auto" w:before="65"/>
              <w:ind w:left="16" w:right="67"/>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：环保轻型包装生产线技术改造项目无法单独计算效益，主要系技改设备产出的产品类别原因 无法单独计算收益所致。</w:t>
            </w:r>
          </w:p>
          <w:p>
            <w:pPr>
              <w:pStyle w:val="TableParagraph"/>
              <w:spacing w:line="300" w:lineRule="auto" w:before="70"/>
              <w:ind w:left="16" w:right="72"/>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：苏州美盈森现代化环保包装生产基地项目系公司超募资金投资建设项目，该项目实际投资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月投产试运行，逐步达到预定可使用状态，产能逐年释放，新客户开 发卓有成效，实现利润快速增长，取得良好经济效益，有效提升了公司的综合竞争力。</w:t>
            </w:r>
          </w:p>
          <w:p>
            <w:pPr>
              <w:pStyle w:val="TableParagraph"/>
              <w:spacing w:line="300" w:lineRule="auto" w:before="72"/>
              <w:ind w:left="16" w:right="2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：重庆美盈森现代化环保包装物流综合基地项目系公司超募资金投资建设项目，该项目实际投 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27,085.97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月投产试运行，逐步达到预定可使用状态，产能陆续释放，实现利</w:t>
            </w:r>
          </w:p>
        </w:tc>
      </w:tr>
      <w:tr>
        <w:trPr>
          <w:trHeight w:val="1018"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10" w:space="0" w:color="D4D4D4"/>
              <w:right w:val="single" w:sz="4" w:space="0" w:color="000000"/>
            </w:tcBorders>
          </w:tcPr>
          <w:p>
            <w:pPr/>
          </w:p>
        </w:tc>
      </w:tr>
      <w:tr>
        <w:trPr>
          <w:trHeight w:val="1800"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润增长，取得良好经济效益，有效提升了公司的综合竞争力。</w:t>
            </w:r>
          </w:p>
        </w:tc>
      </w:tr>
      <w:tr>
        <w:trPr>
          <w:trHeight w:val="227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继续实施的可行性发生变化，经过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年度第一次临时股东大会批准，公</w:t>
            </w:r>
            <w:r>
              <w:rPr>
                <w:rFonts w:ascii="宋体" w:hAnsi="宋体" w:cs="宋体" w:eastAsia="宋体" w:hint="default"/>
                <w:sz w:val="18"/>
                <w:szCs w:val="18"/>
              </w:rPr>
              <w:t> 司已决定终止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的继续实施，对该募投项目进行变更。项目继续实施的可行性 </w:t>
            </w:r>
            <w:r>
              <w:rPr>
                <w:rFonts w:ascii="宋体" w:hAnsi="宋体" w:cs="宋体" w:eastAsia="宋体" w:hint="default"/>
                <w:spacing w:val="-3"/>
                <w:sz w:val="18"/>
                <w:szCs w:val="18"/>
              </w:rPr>
              <w:t>发生变化原因如下：（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）上市以来，公司通过增加物流运输设备、优化物流配送调度、精确掌握客</w:t>
            </w:r>
            <w:r>
              <w:rPr>
                <w:rFonts w:ascii="宋体" w:hAnsi="宋体" w:cs="宋体" w:eastAsia="宋体" w:hint="default"/>
                <w:spacing w:val="-49"/>
                <w:sz w:val="18"/>
                <w:szCs w:val="18"/>
              </w:rPr>
              <w:t> </w:t>
            </w:r>
            <w:r>
              <w:rPr>
                <w:rFonts w:ascii="宋体" w:hAnsi="宋体" w:cs="宋体" w:eastAsia="宋体" w:hint="default"/>
                <w:sz w:val="18"/>
                <w:szCs w:val="18"/>
              </w:rPr>
              <w:t>户下单计划等，较大程度上提升物流配送体系的效能，更好的实现及时响应能力。鉴于此，并依据 </w:t>
            </w:r>
            <w:r>
              <w:rPr>
                <w:rFonts w:ascii="宋体" w:hAnsi="宋体" w:cs="宋体" w:eastAsia="宋体" w:hint="default"/>
                <w:spacing w:val="-3"/>
                <w:sz w:val="18"/>
                <w:szCs w:val="18"/>
              </w:rPr>
              <w:t>客户布局调整、产品所需包材种类以及充分考虑包装一体化成本结构，公司原计划设置</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座仓库的</w:t>
            </w:r>
            <w:r>
              <w:rPr>
                <w:rFonts w:ascii="宋体" w:hAnsi="宋体" w:cs="宋体" w:eastAsia="宋体" w:hint="default"/>
                <w:spacing w:val="-87"/>
                <w:sz w:val="18"/>
                <w:szCs w:val="18"/>
              </w:rPr>
              <w:t> </w:t>
            </w:r>
            <w:r>
              <w:rPr>
                <w:rFonts w:ascii="宋体" w:hAnsi="宋体" w:cs="宋体" w:eastAsia="宋体" w:hint="default"/>
                <w:spacing w:val="-3"/>
                <w:sz w:val="18"/>
                <w:szCs w:val="18"/>
              </w:rPr>
              <w:t>方案需要调整。（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）减少仓库配置同时，相应的流动资金需求减少。鉴于上述原因，公司决定调整</w:t>
            </w:r>
            <w:r>
              <w:rPr>
                <w:rFonts w:ascii="宋体" w:hAnsi="宋体" w:cs="宋体" w:eastAsia="宋体" w:hint="default"/>
                <w:spacing w:val="-49"/>
                <w:sz w:val="18"/>
                <w:szCs w:val="18"/>
              </w:rPr>
              <w:t> </w:t>
            </w:r>
            <w:r>
              <w:rPr>
                <w:rFonts w:ascii="宋体" w:hAnsi="宋体" w:cs="宋体" w:eastAsia="宋体" w:hint="default"/>
                <w:sz w:val="18"/>
                <w:szCs w:val="18"/>
              </w:rPr>
              <w:t>包装一体化项目原有投资计划，以更好的适应公司发展需要，并提高募集资金使用效率。</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09"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公司首次公开发行股票共超募资金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44"/>
                <w:sz w:val="18"/>
                <w:szCs w:val="18"/>
              </w:rPr>
              <w:t>。</w:t>
            </w:r>
            <w:r>
              <w:rPr>
                <w:rFonts w:ascii="宋体" w:hAnsi="宋体" w:cs="宋体" w:eastAsia="宋体" w:hint="default"/>
                <w:sz w:val="18"/>
                <w:szCs w:val="18"/>
              </w:rPr>
              <w:t>具体投</w:t>
            </w:r>
            <w:r>
              <w:rPr>
                <w:rFonts w:ascii="宋体" w:hAnsi="宋体" w:cs="宋体" w:eastAsia="宋体" w:hint="default"/>
                <w:spacing w:val="-3"/>
                <w:sz w:val="18"/>
                <w:szCs w:val="18"/>
              </w:rPr>
              <w:t>资</w:t>
            </w:r>
            <w:r>
              <w:rPr>
                <w:rFonts w:ascii="宋体" w:hAnsi="宋体" w:cs="宋体" w:eastAsia="宋体" w:hint="default"/>
                <w:sz w:val="18"/>
                <w:szCs w:val="18"/>
              </w:rPr>
              <w:t>情况如下</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公司共计投资</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z w:val="18"/>
                <w:szCs w:val="18"/>
              </w:rPr>
            </w:r>
          </w:p>
          <w:p>
            <w:pPr>
              <w:pStyle w:val="TableParagraph"/>
              <w:spacing w:line="300"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万元募集资金（其中超募资金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年度第一次临时股东大会批准）用于全资子 </w:t>
            </w:r>
            <w:r>
              <w:rPr>
                <w:rFonts w:ascii="宋体" w:hAnsi="宋体" w:cs="宋体" w:eastAsia="宋体" w:hint="default"/>
                <w:spacing w:val="-5"/>
                <w:sz w:val="18"/>
                <w:szCs w:val="18"/>
              </w:rPr>
              <w:t>公司苏州美盈森环保科技有限公司实施的</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现代化环保包装生产基地项目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）经</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年度第二次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临时股东大会和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年度第一次临时股东大会批准，公司共计投资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万元超募资金用于全 </w:t>
            </w:r>
            <w:r>
              <w:rPr>
                <w:rFonts w:ascii="宋体" w:hAnsi="宋体" w:cs="宋体" w:eastAsia="宋体" w:hint="default"/>
                <w:spacing w:val="-2"/>
                <w:sz w:val="18"/>
                <w:szCs w:val="18"/>
              </w:rPr>
              <w:t>资子公司重庆市美盈森环保包装工程有限公司实施的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现代化环保包装物流综合基地项目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）经</w:t>
            </w:r>
            <w:r>
              <w:rPr>
                <w:rFonts w:ascii="宋体" w:hAnsi="宋体" w:cs="宋体" w:eastAsia="宋体" w:hint="default"/>
                <w:sz w:val="18"/>
                <w:szCs w:val="18"/>
              </w:rPr>
              <w:t> </w:t>
            </w:r>
            <w:r>
              <w:rPr>
                <w:rFonts w:ascii="宋体" w:hAnsi="宋体" w:cs="宋体" w:eastAsia="宋体" w:hint="default"/>
                <w:spacing w:val="-4"/>
                <w:sz w:val="18"/>
                <w:szCs w:val="18"/>
              </w:rPr>
              <w:t>第一届董事会第十九次临时会议批准，公司投资</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2,500.00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万元超募资金用于投资新建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低碳环保包装</w:t>
            </w:r>
            <w:r>
              <w:rPr>
                <w:rFonts w:ascii="宋体" w:hAnsi="宋体" w:cs="宋体" w:eastAsia="宋体" w:hint="default"/>
                <w:spacing w:val="-86"/>
                <w:sz w:val="18"/>
                <w:szCs w:val="18"/>
              </w:rPr>
              <w:t> </w:t>
            </w:r>
            <w:r>
              <w:rPr>
                <w:rFonts w:ascii="宋体" w:hAnsi="宋体" w:cs="宋体" w:eastAsia="宋体" w:hint="default"/>
                <w:spacing w:val="-6"/>
                <w:sz w:val="18"/>
                <w:szCs w:val="18"/>
              </w:rPr>
              <w:t>研发总部基地项目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）经第二届董事会第七次会议批准，公司投资</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万元超募资金用于设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立成都市美盈森环保科技有限公司以实施</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美盈森（成都）现代化环保包装生产基地项目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）经</w:t>
            </w:r>
            <w:r>
              <w:rPr>
                <w:rFonts w:ascii="宋体" w:hAnsi="宋体" w:cs="宋体" w:eastAsia="宋体" w:hint="default"/>
                <w:sz w:val="18"/>
                <w:szCs w:val="18"/>
              </w:rPr>
              <w:t> </w:t>
            </w:r>
            <w:r>
              <w:rPr>
                <w:rFonts w:ascii="宋体" w:hAnsi="宋体" w:cs="宋体" w:eastAsia="宋体" w:hint="default"/>
                <w:spacing w:val="-4"/>
                <w:sz w:val="18"/>
                <w:szCs w:val="18"/>
              </w:rPr>
              <w:t>第三届董事会第二十次（临时）会议审议和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年第三次临时股东大会批准，公司将募集资金账户</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尚未有明确使用用途的超募资金余额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3,066.02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公司已终止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的继续实施，并将剩余资金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万元增资全资子公司苏州美盈森 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以弥补苏州一期项目设备款、工程 款、运营资金等的不足。</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1" w:hRule="exact"/>
        </w:trPr>
        <w:tc>
          <w:tcPr>
            <w:tcW w:w="1770" w:type="dxa"/>
            <w:vMerge/>
            <w:tcBorders>
              <w:left w:val="single" w:sz="4" w:space="0" w:color="000000"/>
              <w:bottom w:val="single" w:sz="4" w:space="0" w:color="FFFFFF"/>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在首次公开发行股票募集资金到位前，公司根据生产经营的需要，利用自有资金先期投入募集资金 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万元。募集资金到位后，公司第一届董事会第十二次会议审议通过了《关于使用募集 </w:t>
            </w:r>
            <w:r>
              <w:rPr>
                <w:rFonts w:ascii="宋体" w:hAnsi="宋体" w:cs="宋体" w:eastAsia="宋体" w:hint="default"/>
                <w:spacing w:val="-5"/>
                <w:sz w:val="18"/>
                <w:szCs w:val="18"/>
              </w:rPr>
              <w:t>资金置换预先已投入募集资金项目的自筹资金的议案》，并由保荐机构国信证券股份有限公司出具了</w:t>
            </w:r>
          </w:p>
          <w:p>
            <w:pPr>
              <w:pStyle w:val="TableParagraph"/>
              <w:spacing w:line="316" w:lineRule="auto" w:before="24"/>
              <w:ind w:left="23" w:right="23"/>
              <w:jc w:val="both"/>
              <w:rPr>
                <w:rFonts w:ascii="宋体" w:hAnsi="宋体" w:cs="宋体" w:eastAsia="宋体" w:hint="default"/>
                <w:sz w:val="18"/>
                <w:szCs w:val="18"/>
              </w:rPr>
            </w:pPr>
            <w:r>
              <w:rPr>
                <w:rFonts w:ascii="宋体" w:hAnsi="宋体" w:cs="宋体" w:eastAsia="宋体" w:hint="default"/>
                <w:sz w:val="18"/>
                <w:szCs w:val="18"/>
              </w:rPr>
              <w:t>《关于深圳市美盈森环保科技股份有限公司首次公开发行股票募集资金使用情况的专项意见</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大信</w:t>
            </w:r>
            <w:r>
              <w:rPr>
                <w:rFonts w:ascii="宋体" w:hAnsi="宋体" w:cs="宋体" w:eastAsia="宋体" w:hint="default"/>
                <w:sz w:val="18"/>
                <w:szCs w:val="18"/>
              </w:rPr>
              <w:t> 会计师事务有限公司出具了</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大信专审字</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5"/>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专项审核报告</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报告期内公司以募集</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资金置换先期投入募集资金金额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4D4D4"/>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86"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）公司募集资金投资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环保轻型包装生产线技术改造项目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已实施完毕，公司通过规模集约化采购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有效控制成本，截至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万元。公司第二届董事会第十三</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11"/>
                <w:sz w:val="18"/>
                <w:szCs w:val="18"/>
              </w:rPr>
              <w:t>次（临时）会议和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年第一次临时股东大会已决议将该部分剩余资金增资苏州美盈森环保科技有</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482"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both"/>
              <w:rPr>
                <w:rFonts w:ascii="宋体" w:hAnsi="宋体" w:cs="宋体" w:eastAsia="宋体" w:hint="default"/>
                <w:sz w:val="18"/>
                <w:szCs w:val="18"/>
              </w:rPr>
            </w:pPr>
            <w:r>
              <w:rPr>
                <w:rFonts w:ascii="宋体" w:hAnsi="宋体" w:cs="宋体" w:eastAsia="宋体" w:hint="default"/>
                <w:spacing w:val="-3"/>
                <w:sz w:val="18"/>
                <w:szCs w:val="18"/>
              </w:rPr>
              <w:t>限公司用于其实施的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现代化环保生产基地项目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东莞市美盈森环保科技有</w:t>
            </w:r>
            <w:r>
              <w:rPr>
                <w:rFonts w:ascii="宋体" w:hAnsi="宋体" w:cs="宋体" w:eastAsia="宋体" w:hint="default"/>
                <w:spacing w:val="-48"/>
                <w:sz w:val="18"/>
                <w:szCs w:val="18"/>
              </w:rPr>
              <w:t> </w:t>
            </w:r>
            <w:r>
              <w:rPr>
                <w:rFonts w:ascii="宋体" w:hAnsi="宋体" w:cs="宋体" w:eastAsia="宋体" w:hint="default"/>
                <w:sz w:val="18"/>
                <w:szCs w:val="18"/>
              </w:rPr>
              <w:t>限公司环保包装生产建设项目已实施完毕，该项目计划总投资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42,059.37</w:t>
            </w:r>
            <w:r>
              <w:rPr>
                <w:rFonts w:ascii="Times New Roman" w:hAnsi="Times New Roman" w:cs="Times New Roman" w:eastAsia="Times New Roman" w:hint="default"/>
                <w:spacing w:val="-17"/>
                <w:sz w:val="18"/>
                <w:szCs w:val="18"/>
              </w:rPr>
              <w:t> </w:t>
            </w:r>
            <w:r>
              <w:rPr>
                <w:rFonts w:ascii="宋体" w:hAnsi="宋体" w:cs="宋体" w:eastAsia="宋体" w:hint="default"/>
                <w:spacing w:val="-5"/>
                <w:sz w:val="18"/>
                <w:szCs w:val="18"/>
              </w:rPr>
              <w:t>万元，公司通过规模集约化</w:t>
            </w:r>
          </w:p>
          <w:p>
            <w:pPr>
              <w:pStyle w:val="TableParagraph"/>
              <w:spacing w:line="300" w:lineRule="auto" w:before="13"/>
              <w:ind w:left="23" w:right="18"/>
              <w:jc w:val="both"/>
              <w:rPr>
                <w:rFonts w:ascii="宋体" w:hAnsi="宋体" w:cs="宋体" w:eastAsia="宋体" w:hint="default"/>
                <w:sz w:val="18"/>
                <w:szCs w:val="18"/>
              </w:rPr>
            </w:pPr>
            <w:r>
              <w:rPr>
                <w:rFonts w:ascii="宋体" w:hAnsi="宋体" w:cs="宋体" w:eastAsia="宋体" w:hint="default"/>
                <w:spacing w:val="-9"/>
                <w:sz w:val="18"/>
                <w:szCs w:val="18"/>
              </w:rPr>
              <w:t>采购有效控制成本，截至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pacing w:val="-10"/>
                <w:sz w:val="18"/>
                <w:szCs w:val="18"/>
              </w:rPr>
              <w:t>日，该项目已累计投入</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40,095.66</w:t>
            </w:r>
            <w:r>
              <w:rPr>
                <w:rFonts w:ascii="Times New Roman" w:hAnsi="Times New Roman" w:cs="Times New Roman" w:eastAsia="Times New Roman" w:hint="default"/>
                <w:spacing w:val="-11"/>
                <w:sz w:val="18"/>
                <w:szCs w:val="18"/>
              </w:rPr>
              <w:t> </w:t>
            </w:r>
            <w:r>
              <w:rPr>
                <w:rFonts w:ascii="宋体" w:hAnsi="宋体" w:cs="宋体" w:eastAsia="宋体" w:hint="default"/>
                <w:spacing w:val="-11"/>
                <w:sz w:val="18"/>
                <w:szCs w:val="18"/>
              </w:rPr>
              <w:t>万元，节余募集资金</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3,654.75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）公司超募项目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苏州美盈森现代化环保包装生产基地项目已实施完毕，该项目计划总</w:t>
            </w:r>
            <w:r>
              <w:rPr>
                <w:rFonts w:ascii="宋体" w:hAnsi="宋体" w:cs="宋体" w:eastAsia="宋体" w:hint="default"/>
                <w:spacing w:val="-49"/>
                <w:sz w:val="18"/>
                <w:szCs w:val="18"/>
              </w:rPr>
              <w:t> </w:t>
            </w:r>
            <w:r>
              <w:rPr>
                <w:rFonts w:ascii="宋体" w:hAnsi="宋体" w:cs="宋体" w:eastAsia="宋体" w:hint="default"/>
                <w:sz w:val="18"/>
                <w:szCs w:val="18"/>
              </w:rPr>
              <w:t>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29,781.14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万元，公司通过规模集约化采购有效控制成本，截至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日，该项目已投</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29"/>
                <w:sz w:val="18"/>
                <w:szCs w:val="18"/>
              </w:rPr>
              <w:t>，</w:t>
            </w:r>
            <w:r>
              <w:rPr>
                <w:rFonts w:ascii="宋体" w:hAnsi="宋体" w:cs="宋体" w:eastAsia="宋体" w:hint="default"/>
                <w:sz w:val="18"/>
                <w:szCs w:val="18"/>
              </w:rPr>
              <w:t>节余募集</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2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9"/>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超</w:t>
            </w:r>
            <w:r>
              <w:rPr>
                <w:rFonts w:ascii="宋体" w:hAnsi="宋体" w:cs="宋体" w:eastAsia="宋体" w:hint="default"/>
                <w:sz w:val="18"/>
                <w:szCs w:val="18"/>
              </w:rPr>
              <w:t>募项目</w:t>
            </w:r>
            <w:r>
              <w:rPr>
                <w:rFonts w:ascii="Times New Roman" w:hAnsi="Times New Roman" w:cs="Times New Roman" w:eastAsia="Times New Roman" w:hint="default"/>
                <w:sz w:val="18"/>
                <w:szCs w:val="18"/>
              </w:rPr>
              <w:t>——</w:t>
            </w:r>
            <w:r>
              <w:rPr>
                <w:rFonts w:ascii="宋体" w:hAnsi="宋体" w:cs="宋体" w:eastAsia="宋体" w:hint="default"/>
                <w:sz w:val="18"/>
                <w:szCs w:val="18"/>
              </w:rPr>
              <w:t>重庆美盈森现代化环保包装</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物流综合基地项目已实施完毕，该项目计划总投资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万元，公司通过规模集约化采购有效控制</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5"/>
                <w:sz w:val="18"/>
                <w:szCs w:val="18"/>
              </w:rPr>
              <w:t>成本，截至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日，该项目已投入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27,085.97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1,298.26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万元。公司第</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三届董事会第四次会议和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年度股东大会审议通过了《关于部分募集资金项目完成后节余资金变</w:t>
            </w:r>
            <w:r>
              <w:rPr>
                <w:rFonts w:ascii="宋体" w:hAnsi="宋体" w:cs="宋体" w:eastAsia="宋体" w:hint="default"/>
                <w:sz w:val="18"/>
                <w:szCs w:val="18"/>
              </w:rPr>
              <w:t> </w:t>
            </w:r>
            <w:r>
              <w:rPr>
                <w:rFonts w:ascii="宋体" w:hAnsi="宋体" w:cs="宋体" w:eastAsia="宋体" w:hint="default"/>
                <w:spacing w:val="-5"/>
                <w:sz w:val="18"/>
                <w:szCs w:val="18"/>
              </w:rPr>
              <w:t>更为永久补充流动资金的议案》，决议将上述东莞、苏州及重庆项目节余募集资金变更为永久补充流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动资金。考虑利息因素，实际变更为永久补充流动资金金额以转入自有资金账户当日金额为准。</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日，尚未使用的募集资金存放在募集资金专户中，将用于有关超募资金投资项</w:t>
            </w:r>
            <w:r>
              <w:rPr>
                <w:rFonts w:ascii="宋体" w:hAnsi="宋体" w:cs="宋体" w:eastAsia="宋体" w:hint="default"/>
                <w:sz w:val="18"/>
                <w:szCs w:val="18"/>
              </w:rPr>
              <w:t> 目的投资。</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55"/>
        <w:jc w:val="right"/>
      </w:pPr>
      <w:r>
        <w:rPr/>
        <w:pict>
          <v:shape style="position:absolute;margin-left:56.459999pt;margin-top:-265.968262pt;width:479.25pt;height:344.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958"/>
                    <w:gridCol w:w="958"/>
                    <w:gridCol w:w="958"/>
                    <w:gridCol w:w="958"/>
                    <w:gridCol w:w="955"/>
                    <w:gridCol w:w="958"/>
                    <w:gridCol w:w="955"/>
                    <w:gridCol w:w="958"/>
                    <w:gridCol w:w="958"/>
                  </w:tblGrid>
                  <w:tr>
                    <w:trPr>
                      <w:trHeight w:val="1337"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苏州美盈森 现代化环保 包装生产基 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包装物流一 体化项目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3,065.07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27,878.38</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3,065.07</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79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鉴于公司募集资金投资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实际运行情况、资金使用进度等，公司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日召开的第二届董事会第十三次（临时）会议和于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0" w:lineRule="auto" w:before="15"/>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年第一次临时股东大会审议通过《关于部分变更募集资金投资项目的 </w:t>
                        </w:r>
                        <w:r>
                          <w:rPr>
                            <w:rFonts w:ascii="宋体" w:hAnsi="宋体" w:cs="宋体" w:eastAsia="宋体" w:hint="default"/>
                            <w:spacing w:val="-5"/>
                            <w:w w:val="99"/>
                            <w:sz w:val="18"/>
                            <w:szCs w:val="18"/>
                          </w:rPr>
                          <w:t>议案》，决议终止</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包装一体化项目</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的继续实施，并将剩余资金增资全资子公司苏州美</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盈森环保科技有限公司用于其实施的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 项目设备款、工程款、运营资金等的不足。上述募集资金变更事宜详见公司于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日披露于证券时报和巨潮资讯网</w:t>
                        </w:r>
                      </w:p>
                      <w:p>
                        <w:pPr>
                          <w:pStyle w:val="TableParagraph"/>
                          <w:spacing w:line="300" w:lineRule="auto" w:before="63"/>
                          <w:ind w:left="24" w:right="41"/>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1">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）的相关公告。本次募集资金变更相关情况说明如下：（</w:t>
                        </w:r>
                        <w:r>
                          <w:rPr>
                            <w:rFonts w:ascii="Times New Roman" w:hAnsi="Times New Roman" w:cs="Times New Roman" w:eastAsia="Times New Roman" w:hint="default"/>
                            <w:spacing w:val="-4"/>
                            <w:w w:val="99"/>
                            <w:sz w:val="18"/>
                            <w:szCs w:val="18"/>
                          </w:rPr>
                          <w:t>1</w:t>
                        </w:r>
                        <w:r>
                          <w:rPr>
                            <w:rFonts w:ascii="Times New Roman" w:hAnsi="Times New Roman" w:cs="Times New Roman" w:eastAsia="Times New Roman" w:hint="default"/>
                            <w:spacing w:val="-11"/>
                            <w:w w:val="99"/>
                            <w:sz w:val="18"/>
                            <w:szCs w:val="18"/>
                          </w:rPr>
                          <w:t> </w:t>
                        </w:r>
                        <w:r>
                          <w:rPr>
                            <w:rFonts w:ascii="宋体" w:hAnsi="宋体" w:cs="宋体" w:eastAsia="宋体" w:hint="default"/>
                            <w:sz w:val="18"/>
                            <w:szCs w:val="18"/>
                          </w:rPr>
                          <w:t>变更的募集资金投资项目概况：包装一体化项目计划通过设置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仓库和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系统 建设来提升公司的整体服务能力。该项目总投资为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6,706.48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万元，其中建设投资</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万元，项目配套流动资金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4,042.00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日，包装一体</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化项目仅部分实施，已投入募集资金共计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2,335.35 </w:t>
                        </w:r>
                        <w:r>
                          <w:rPr>
                            <w:rFonts w:ascii="宋体" w:hAnsi="宋体" w:cs="宋体" w:eastAsia="宋体" w:hint="default"/>
                            <w:spacing w:val="-7"/>
                            <w:sz w:val="18"/>
                            <w:szCs w:val="18"/>
                          </w:rPr>
                          <w:t>万元，剩余募集资金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4,371.13 </w:t>
                        </w:r>
                        <w:r>
                          <w:rPr>
                            <w:rFonts w:ascii="宋体" w:hAnsi="宋体" w:cs="宋体" w:eastAsia="宋体" w:hint="default"/>
                            <w:sz w:val="18"/>
                            <w:szCs w:val="18"/>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53"/>
        <w:jc w:val="right"/>
      </w:pPr>
      <w:r>
        <w:rPr/>
        <w:t>。</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6"/>
          <w:szCs w:val="26"/>
        </w:rPr>
      </w:pPr>
    </w:p>
    <w:p>
      <w:pPr>
        <w:pStyle w:val="BodyText"/>
        <w:spacing w:line="240" w:lineRule="auto" w:before="44"/>
        <w:ind w:left="0" w:right="155"/>
        <w:jc w:val="right"/>
      </w:pPr>
      <w:r>
        <w:rPr/>
        <w:pict>
          <v:shape style="position:absolute;margin-left:56.459999pt;margin-top:1.310738pt;width:479.25pt;height:248.0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8"/>
                  </w:tblGrid>
                  <w:tr>
                    <w:trPr>
                      <w:trHeight w:val="2546" w:hRule="exact"/>
                    </w:trPr>
                    <w:tc>
                      <w:tcPr>
                        <w:tcW w:w="287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2"/>
                          <w:jc w:val="left"/>
                          <w:rPr>
                            <w:rFonts w:ascii="宋体" w:hAnsi="宋体" w:cs="宋体" w:eastAsia="宋体" w:hint="default"/>
                            <w:sz w:val="18"/>
                            <w:szCs w:val="18"/>
                          </w:rPr>
                        </w:pPr>
                        <w:r>
                          <w:rPr>
                            <w:rFonts w:ascii="宋体" w:hAnsi="宋体" w:cs="宋体" w:eastAsia="宋体" w:hint="default"/>
                            <w:spacing w:val="-3"/>
                            <w:sz w:val="18"/>
                            <w:szCs w:val="18"/>
                          </w:rPr>
                          <w:t>包装一体化实际投资具体为：</w:t>
                        </w:r>
                        <w:r>
                          <w:rPr>
                            <w:rFonts w:ascii="Times New Roman" w:hAnsi="Times New Roman" w:cs="Times New Roman" w:eastAsia="Times New Roman" w:hint="default"/>
                            <w:spacing w:val="-3"/>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仓库租金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604.59</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ERP</w:t>
                        </w:r>
                        <w:r>
                          <w:rPr>
                            <w:rFonts w:ascii="Times New Roman" w:hAnsi="Times New Roman" w:cs="Times New Roman" w:eastAsia="Times New Roman" w:hint="default"/>
                            <w:sz w:val="18"/>
                            <w:szCs w:val="18"/>
                          </w:rPr>
                          <w:t> </w:t>
                        </w:r>
                        <w:r>
                          <w:rPr>
                            <w:rFonts w:ascii="宋体" w:hAnsi="宋体" w:cs="宋体" w:eastAsia="宋体" w:hint="default"/>
                            <w:sz w:val="18"/>
                            <w:szCs w:val="18"/>
                          </w:rPr>
                          <w:t>系统建设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654.54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87"/>
                            <w:sz w:val="18"/>
                            <w:szCs w:val="18"/>
                          </w:rPr>
                          <w:t> </w:t>
                        </w:r>
                        <w:r>
                          <w:rPr>
                            <w:rFonts w:ascii="宋体" w:hAnsi="宋体" w:cs="宋体" w:eastAsia="宋体" w:hint="default"/>
                            <w:w w:val="99"/>
                            <w:sz w:val="18"/>
                            <w:szCs w:val="18"/>
                          </w:rPr>
                          <w:t>配套流动资金</w:t>
                        </w:r>
                        <w:r>
                          <w:rPr>
                            <w:rFonts w:ascii="宋体" w:hAnsi="宋体" w:cs="宋体" w:eastAsia="宋体" w:hint="default"/>
                            <w:spacing w:val="-42"/>
                            <w:w w:val="99"/>
                            <w:sz w:val="18"/>
                            <w:szCs w:val="18"/>
                          </w:rPr>
                          <w:t> </w:t>
                        </w:r>
                        <w:r>
                          <w:rPr>
                            <w:rFonts w:ascii="Times New Roman" w:hAnsi="Times New Roman" w:cs="Times New Roman" w:eastAsia="Times New Roman" w:hint="default"/>
                            <w:spacing w:val="-1"/>
                            <w:w w:val="99"/>
                            <w:sz w:val="18"/>
                            <w:szCs w:val="18"/>
                          </w:rPr>
                          <w:t>1,076.15</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8"/>
                            <w:w w:val="99"/>
                            <w:sz w:val="18"/>
                            <w:szCs w:val="18"/>
                          </w:rPr>
                          <w:t>万元、银行费用</w:t>
                        </w:r>
                        <w:r>
                          <w:rPr>
                            <w:rFonts w:ascii="宋体" w:hAnsi="宋体" w:cs="宋体" w:eastAsia="宋体" w:hint="default"/>
                            <w:spacing w:val="-42"/>
                            <w:w w:val="99"/>
                            <w:sz w:val="18"/>
                            <w:szCs w:val="18"/>
                          </w:rPr>
                          <w:t> </w:t>
                        </w:r>
                        <w:r>
                          <w:rPr>
                            <w:rFonts w:ascii="Times New Roman" w:hAnsi="Times New Roman" w:cs="Times New Roman" w:eastAsia="Times New Roman" w:hint="default"/>
                            <w:spacing w:val="-1"/>
                            <w:w w:val="99"/>
                            <w:sz w:val="18"/>
                            <w:szCs w:val="18"/>
                          </w:rPr>
                          <w:t>0.07</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1"/>
                            <w:w w:val="99"/>
                            <w:sz w:val="18"/>
                            <w:szCs w:val="18"/>
                          </w:rPr>
                          <w:t>万元。（</w:t>
                        </w:r>
                        <w:r>
                          <w:rPr>
                            <w:rFonts w:ascii="Times New Roman" w:hAnsi="Times New Roman" w:cs="Times New Roman" w:eastAsia="Times New Roman" w:hint="default"/>
                            <w:spacing w:val="-11"/>
                            <w:w w:val="99"/>
                            <w:sz w:val="18"/>
                            <w:szCs w:val="18"/>
                          </w:rPr>
                          <w:t>2</w:t>
                        </w:r>
                        <w:r>
                          <w:rPr>
                            <w:rFonts w:ascii="宋体" w:hAnsi="宋体" w:cs="宋体" w:eastAsia="宋体" w:hint="default"/>
                            <w:spacing w:val="-11"/>
                            <w:w w:val="99"/>
                            <w:sz w:val="18"/>
                            <w:szCs w:val="18"/>
                          </w:rPr>
                          <w:t>）变更募集资金投资项目的原因</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）上市以来，公司通过增加物流运输设备、优化物流配送调度、精确掌握客户下单</w:t>
                        </w:r>
                        <w:r>
                          <w:rPr>
                            <w:rFonts w:ascii="宋体" w:hAnsi="宋体" w:cs="宋体" w:eastAsia="宋体" w:hint="default"/>
                            <w:w w:val="99"/>
                            <w:sz w:val="18"/>
                            <w:szCs w:val="18"/>
                          </w:rPr>
                          <w:t> </w:t>
                        </w:r>
                        <w:r>
                          <w:rPr>
                            <w:rFonts w:ascii="宋体" w:hAnsi="宋体" w:cs="宋体" w:eastAsia="宋体" w:hint="default"/>
                            <w:sz w:val="18"/>
                            <w:szCs w:val="18"/>
                          </w:rPr>
                          <w:t>计划等，较大程度上提升物流配送体系的效能，更好的实现及时响应能力。鉴于此，</w:t>
                        </w:r>
                        <w:r>
                          <w:rPr>
                            <w:rFonts w:ascii="宋体" w:hAnsi="宋体" w:cs="宋体" w:eastAsia="宋体" w:hint="default"/>
                            <w:w w:val="99"/>
                            <w:sz w:val="18"/>
                            <w:szCs w:val="18"/>
                          </w:rPr>
                          <w:t> </w:t>
                        </w:r>
                        <w:r>
                          <w:rPr>
                            <w:rFonts w:ascii="宋体" w:hAnsi="宋体" w:cs="宋体" w:eastAsia="宋体" w:hint="default"/>
                            <w:sz w:val="18"/>
                            <w:szCs w:val="18"/>
                          </w:rPr>
                          <w:t>并依据客户布局调整、产品所需包材种类以及充分考虑包装一体化成本结构，公司原</w:t>
                        </w:r>
                        <w:r>
                          <w:rPr>
                            <w:rFonts w:ascii="宋体" w:hAnsi="宋体" w:cs="宋体" w:eastAsia="宋体" w:hint="default"/>
                            <w:w w:val="99"/>
                            <w:sz w:val="18"/>
                            <w:szCs w:val="18"/>
                          </w:rPr>
                          <w:t> </w:t>
                        </w:r>
                        <w:r>
                          <w:rPr>
                            <w:rFonts w:ascii="宋体" w:hAnsi="宋体" w:cs="宋体" w:eastAsia="宋体" w:hint="default"/>
                            <w:sz w:val="18"/>
                            <w:szCs w:val="18"/>
                          </w:rPr>
                          <w:t>计划设置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座仓库的方案需要调整。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）减少仓库配置同时，相应的流动资金需求减</w:t>
                        </w:r>
                        <w:r>
                          <w:rPr>
                            <w:rFonts w:ascii="宋体" w:hAnsi="宋体" w:cs="宋体" w:eastAsia="宋体" w:hint="default"/>
                            <w:w w:val="99"/>
                            <w:sz w:val="18"/>
                            <w:szCs w:val="18"/>
                          </w:rPr>
                          <w:t> </w:t>
                        </w:r>
                        <w:r>
                          <w:rPr>
                            <w:rFonts w:ascii="宋体" w:hAnsi="宋体" w:cs="宋体" w:eastAsia="宋体" w:hint="default"/>
                            <w:sz w:val="18"/>
                            <w:szCs w:val="18"/>
                          </w:rPr>
                          <w:t>少。鉴于上述原因，公司决定调整包装一体化项目原有投资计划，以更好的适应公司</w:t>
                        </w:r>
                        <w:r>
                          <w:rPr>
                            <w:rFonts w:ascii="宋体" w:hAnsi="宋体" w:cs="宋体" w:eastAsia="宋体" w:hint="default"/>
                            <w:w w:val="99"/>
                            <w:sz w:val="18"/>
                            <w:szCs w:val="18"/>
                          </w:rPr>
                          <w:t> </w:t>
                        </w:r>
                        <w:r>
                          <w:rPr>
                            <w:rFonts w:ascii="宋体" w:hAnsi="宋体" w:cs="宋体" w:eastAsia="宋体" w:hint="default"/>
                            <w:sz w:val="18"/>
                            <w:szCs w:val="18"/>
                          </w:rPr>
                          <w:t>发展需要，并提高募集资金使用效率。</w:t>
                        </w:r>
                      </w:p>
                    </w:tc>
                  </w:tr>
                  <w:tr>
                    <w:trPr>
                      <w:trHeight w:val="1690" w:hRule="exact"/>
                    </w:trPr>
                    <w:tc>
                      <w:tcPr>
                        <w:tcW w:w="2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16"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307" w:lineRule="auto" w:before="115"/>
                          <w:ind w:left="24" w:right="7"/>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：苏州美盈森现代化环保包装生产基地项目系公司超募资金投资建设项目，该项 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月投产试运行，逐步达到预定可使用状态， </w:t>
                        </w:r>
                        <w:r>
                          <w:rPr>
                            <w:rFonts w:ascii="宋体" w:hAnsi="宋体" w:cs="宋体" w:eastAsia="宋体" w:hint="default"/>
                            <w:spacing w:val="-1"/>
                            <w:sz w:val="18"/>
                            <w:szCs w:val="18"/>
                          </w:rPr>
                          <w:t>产能逐年释放，新客户开发卓有成效，实现利润快速增长，取得良好经济效益，有效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提升了公司的综合竞争力。</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pStyle w:val="BodyText"/>
        <w:spacing w:line="240" w:lineRule="auto" w:before="76"/>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8"/>
        <w:jc w:val="left"/>
      </w:pPr>
      <w:r>
        <w:rPr/>
        <w:t>主要子公司及对公司净利润影响达</w:t>
      </w:r>
      <w:r>
        <w:rPr>
          <w:spacing w:val="-45"/>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50" w:space="4068"/>
            <w:col w:w="1032"/>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9"/>
              <w:jc w:val="both"/>
              <w:rPr>
                <w:rFonts w:ascii="宋体" w:hAnsi="宋体" w:cs="宋体" w:eastAsia="宋体" w:hint="default"/>
                <w:sz w:val="18"/>
                <w:szCs w:val="18"/>
              </w:rPr>
            </w:pPr>
            <w:r>
              <w:rPr>
                <w:rFonts w:ascii="宋体" w:hAnsi="宋体" w:cs="宋体" w:eastAsia="宋体" w:hint="default"/>
                <w:sz w:val="18"/>
                <w:szCs w:val="18"/>
              </w:rPr>
              <w:t>东莞市美盈 森环保科技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425,002,500.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773,723,741.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585,755,307.</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501,632,831.</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46,213,852.6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41,323,551.0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both"/>
              <w:rPr>
                <w:rFonts w:ascii="宋体" w:hAnsi="宋体" w:cs="宋体" w:eastAsia="宋体" w:hint="default"/>
                <w:sz w:val="18"/>
                <w:szCs w:val="18"/>
              </w:rPr>
            </w:pPr>
            <w:r>
              <w:rPr>
                <w:rFonts w:ascii="宋体" w:hAnsi="宋体" w:cs="宋体" w:eastAsia="宋体" w:hint="default"/>
                <w:sz w:val="18"/>
                <w:szCs w:val="18"/>
              </w:rPr>
              <w:t>苏州美盈森 环保科技有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8"/>
              <w:jc w:val="both"/>
              <w:rPr>
                <w:rFonts w:ascii="宋体" w:hAnsi="宋体" w:cs="宋体" w:eastAsia="宋体" w:hint="default"/>
                <w:sz w:val="18"/>
                <w:szCs w:val="18"/>
              </w:rPr>
            </w:pPr>
            <w:r>
              <w:rPr>
                <w:rFonts w:ascii="宋体" w:hAnsi="宋体" w:cs="宋体" w:eastAsia="宋体" w:hint="default"/>
                <w:sz w:val="18"/>
                <w:szCs w:val="18"/>
              </w:rPr>
              <w:t>该公司主营 业务是轻重 型环保包装</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298,311,400.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519,198,486.</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411,850,195.</w:t>
            </w:r>
            <w:r>
              <w:rPr>
                <w:rFonts w:ascii="Times New Roman"/>
                <w:sz w:val="18"/>
              </w:rPr>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341,039,961.</w:t>
            </w:r>
            <w:r>
              <w:rPr>
                <w:rFonts w:ascii="Times New Roman"/>
                <w:sz w:val="18"/>
              </w:rPr>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34,172,876.4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30,650,681.0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left"/>
              <w:rPr>
                <w:rFonts w:ascii="宋体" w:hAnsi="宋体" w:cs="宋体" w:eastAsia="宋体" w:hint="default"/>
                <w:sz w:val="18"/>
                <w:szCs w:val="18"/>
              </w:rPr>
            </w:pPr>
            <w:r>
              <w:rPr>
                <w:rFonts w:ascii="宋体" w:hAnsi="宋体" w:cs="宋体" w:eastAsia="宋体" w:hint="default"/>
                <w:sz w:val="18"/>
                <w:szCs w:val="18"/>
              </w:rPr>
              <w:t>制品的研 发、生产及 销售。</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119"/>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该公司主营 业务是为客 户提供包括 品牌策划、 创意设计、 工艺研发、 材料创新及 应用、包装 服务为一体 的整体解决 方案。</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241,289,538.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177,184,422.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205,856,919.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-14,917,209.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-10,191,155.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70</w:t>
            </w:r>
          </w:p>
        </w:tc>
      </w:tr>
      <w:tr>
        <w:trPr>
          <w:trHeight w:val="19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9"/>
              <w:jc w:val="both"/>
              <w:rPr>
                <w:rFonts w:ascii="宋体" w:hAnsi="宋体" w:cs="宋体" w:eastAsia="宋体" w:hint="default"/>
                <w:sz w:val="18"/>
                <w:szCs w:val="18"/>
              </w:rPr>
            </w:pPr>
            <w:r>
              <w:rPr>
                <w:rFonts w:ascii="宋体" w:hAnsi="宋体" w:cs="宋体" w:eastAsia="宋体" w:hint="default"/>
                <w:sz w:val="18"/>
                <w:szCs w:val="18"/>
              </w:rPr>
              <w:t>重庆市美盈 森环保包装 工程有限公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416,583,835.</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354,634,546.</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169,609,612.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35,282,860.3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29,957,894.0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-787,494.96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-17,659.60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2" w:right="0"/>
        <w:jc w:val="left"/>
      </w:pPr>
      <w:r>
        <w:rPr/>
        <w:t>一、行业竞争格局和发展趋势</w:t>
      </w:r>
    </w:p>
    <w:p>
      <w:pPr>
        <w:pStyle w:val="BodyText"/>
        <w:spacing w:line="240" w:lineRule="auto" w:before="76"/>
        <w:ind w:left="512" w:right="0"/>
        <w:jc w:val="left"/>
      </w:pPr>
      <w:r>
        <w:rPr/>
        <w:t>（</w:t>
      </w:r>
      <w:r>
        <w:rPr>
          <w:rFonts w:ascii="Times New Roman" w:hAnsi="Times New Roman" w:cs="Times New Roman" w:eastAsia="Times New Roman" w:hint="default"/>
        </w:rPr>
        <w:t>1</w:t>
      </w:r>
      <w:r>
        <w:rPr/>
        <w:t>）宏观环境分析</w:t>
      </w:r>
    </w:p>
    <w:p>
      <w:pPr>
        <w:pStyle w:val="BodyText"/>
        <w:spacing w:line="300" w:lineRule="auto" w:before="62"/>
        <w:ind w:left="512" w:right="0"/>
        <w:jc w:val="left"/>
      </w:pPr>
      <w:r>
        <w:rPr>
          <w:rFonts w:ascii="Times New Roman" w:hAnsi="Times New Roman" w:cs="Times New Roman" w:eastAsia="Times New Roman" w:hint="default"/>
        </w:rPr>
        <w:t>1</w:t>
      </w:r>
      <w:r>
        <w:rPr/>
        <w:t>）作为国民经济的配套产业，经过多年快速增长，环保纸制品包装产业形成了巨大的市场容量 </w:t>
      </w:r>
      <w:r>
        <w:rPr>
          <w:spacing w:val="-2"/>
        </w:rPr>
        <w:t>包装产业，作为国民经济的配套产业，多年来，随着国民经济的持续增长尤其是消费升级的带动以及包装产品在促进商</w:t>
      </w:r>
    </w:p>
    <w:p>
      <w:pPr>
        <w:pStyle w:val="BodyText"/>
        <w:spacing w:line="309" w:lineRule="auto" w:before="31"/>
        <w:ind w:right="150"/>
        <w:jc w:val="both"/>
      </w:pPr>
      <w:r>
        <w:rPr>
          <w:spacing w:val="-2"/>
        </w:rPr>
        <w:t>品销售、提升商品品牌价值的作用日益凸显，经历了快速发展的时期，形成了巨大的市场容量。根据中国包装联合会统计工</w:t>
      </w:r>
      <w:r>
        <w:rPr>
          <w:spacing w:val="-65"/>
        </w:rPr>
        <w:t> </w:t>
      </w:r>
      <w:r>
        <w:rPr>
          <w:spacing w:val="-65"/>
        </w:rPr>
      </w:r>
      <w:r>
        <w:rPr/>
        <w:t>作部的统计数据，</w:t>
      </w:r>
      <w:r>
        <w:rPr>
          <w:rFonts w:ascii="Times New Roman" w:hAnsi="Times New Roman" w:cs="Times New Roman" w:eastAsia="Times New Roman" w:hint="default"/>
        </w:rPr>
        <w:t>2010-2014</w:t>
      </w:r>
      <w:r>
        <w:rPr/>
        <w:t>年，我国包装工业工业总产值平均增速超过</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2014</w:t>
      </w:r>
      <w:r>
        <w:rPr/>
        <w:t>年我国包装工业总产值超过</w:t>
      </w:r>
      <w:r>
        <w:rPr>
          <w:rFonts w:ascii="Times New Roman" w:hAnsi="Times New Roman" w:cs="Times New Roman" w:eastAsia="Times New Roman" w:hint="default"/>
        </w:rPr>
        <w:t>1.5</w:t>
      </w:r>
      <w:r>
        <w:rPr/>
        <w:t>万亿元， 其中纸包装占比近</w:t>
      </w:r>
      <w:r>
        <w:rPr>
          <w:rFonts w:ascii="Times New Roman" w:hAnsi="Times New Roman" w:cs="Times New Roman" w:eastAsia="Times New Roman" w:hint="default"/>
        </w:rPr>
        <w:t>40%</w:t>
      </w:r>
      <w:r>
        <w:rPr/>
        <w:t>，目前的市场容量近</w:t>
      </w:r>
      <w:r>
        <w:rPr>
          <w:rFonts w:ascii="Times New Roman" w:hAnsi="Times New Roman" w:cs="Times New Roman" w:eastAsia="Times New Roman" w:hint="default"/>
        </w:rPr>
        <w:t>6000</w:t>
      </w:r>
      <w:r>
        <w:rPr/>
        <w:t>亿元。</w:t>
      </w:r>
    </w:p>
    <w:p>
      <w:pPr>
        <w:pStyle w:val="BodyText"/>
        <w:spacing w:line="240" w:lineRule="auto" w:before="5"/>
        <w:ind w:left="512" w:right="0"/>
        <w:jc w:val="left"/>
      </w:pPr>
      <w:r>
        <w:rPr/>
        <w:t>同时，国家经济战略支持循环经济发展，环保纸包装及相关产业因其环保、轻量减量、可循环利用而获得政策助力，有</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望实现又好又快发展。</w:t>
      </w:r>
    </w:p>
    <w:p>
      <w:pPr>
        <w:pStyle w:val="BodyText"/>
        <w:spacing w:line="300" w:lineRule="auto" w:before="76"/>
        <w:ind w:left="512" w:right="184"/>
        <w:jc w:val="left"/>
      </w:pPr>
      <w:r>
        <w:rPr>
          <w:rFonts w:ascii="Times New Roman" w:hAnsi="Times New Roman" w:cs="Times New Roman" w:eastAsia="Times New Roman" w:hint="default"/>
        </w:rPr>
        <w:t>2</w:t>
      </w:r>
      <w:r>
        <w:rPr/>
        <w:t>）印刷产业市场容量大，发展机遇良好 根据国家新闻出版广电总局的统计，</w:t>
      </w:r>
      <w:r>
        <w:rPr>
          <w:rFonts w:ascii="Times New Roman" w:hAnsi="Times New Roman" w:cs="Times New Roman" w:eastAsia="Times New Roman" w:hint="default"/>
        </w:rPr>
        <w:t>2013</w:t>
      </w:r>
      <w:r>
        <w:rPr/>
        <w:t>年中国印刷业总产值已首次突破</w:t>
      </w:r>
      <w:r>
        <w:rPr>
          <w:rFonts w:ascii="Times New Roman" w:hAnsi="Times New Roman" w:cs="Times New Roman" w:eastAsia="Times New Roman" w:hint="default"/>
        </w:rPr>
        <w:t>1</w:t>
      </w:r>
      <w:r>
        <w:rPr/>
        <w:t>万亿元，整体规模位居全球第二位，市场规</w:t>
      </w:r>
    </w:p>
    <w:p>
      <w:pPr>
        <w:pStyle w:val="BodyText"/>
        <w:spacing w:line="316" w:lineRule="auto" w:before="13"/>
        <w:ind w:right="193"/>
        <w:jc w:val="both"/>
      </w:pPr>
      <w:r>
        <w:rPr>
          <w:spacing w:val="-2"/>
        </w:rPr>
        <w:t>模空间巨大，而目前国内互联网包装印刷正处于起步阶段，这为印刷企业尤其是具有互联网战略规划的规模性大企业提供了</w:t>
      </w:r>
      <w:r>
        <w:rPr>
          <w:spacing w:val="-64"/>
        </w:rPr>
        <w:t> </w:t>
      </w:r>
      <w:r>
        <w:rPr>
          <w:spacing w:val="-64"/>
        </w:rPr>
      </w:r>
      <w:r>
        <w:rPr/>
        <w:t>快速发展的市场基础。</w:t>
      </w:r>
    </w:p>
    <w:p>
      <w:pPr>
        <w:pStyle w:val="BodyText"/>
        <w:spacing w:line="300" w:lineRule="auto" w:before="18"/>
        <w:ind w:left="512" w:right="104"/>
        <w:jc w:val="left"/>
      </w:pPr>
      <w:r>
        <w:rPr/>
        <w:t>（</w:t>
      </w:r>
      <w:r>
        <w:rPr>
          <w:rFonts w:ascii="Times New Roman" w:hAnsi="Times New Roman" w:cs="Times New Roman" w:eastAsia="Times New Roman" w:hint="default"/>
        </w:rPr>
        <w:t>2</w:t>
      </w:r>
      <w:r>
        <w:rPr/>
        <w:t>）行业发展环境及趋势分析 </w:t>
      </w:r>
      <w:r>
        <w:rPr>
          <w:spacing w:val="-2"/>
        </w:rPr>
        <w:t>客户包装需求不断升级、产业集中度持续提升、包装印刷互联网化和定制化、包装智能化等是包装印刷产业未来发展的</w:t>
      </w:r>
    </w:p>
    <w:p>
      <w:pPr>
        <w:pStyle w:val="BodyText"/>
        <w:spacing w:line="240" w:lineRule="auto" w:before="31"/>
        <w:ind w:right="0"/>
        <w:jc w:val="both"/>
      </w:pPr>
      <w:r>
        <w:rPr/>
        <w:t>主要特点。</w:t>
      </w:r>
    </w:p>
    <w:p>
      <w:pPr>
        <w:pStyle w:val="BodyText"/>
        <w:spacing w:line="300" w:lineRule="auto" w:before="76"/>
        <w:ind w:left="512" w:right="104"/>
        <w:jc w:val="left"/>
      </w:pPr>
      <w:r>
        <w:rPr>
          <w:rFonts w:ascii="Times New Roman" w:hAnsi="Times New Roman" w:cs="Times New Roman" w:eastAsia="Times New Roman" w:hint="default"/>
        </w:rPr>
        <w:t>1</w:t>
      </w:r>
      <w:r>
        <w:rPr/>
        <w:t>）包装需求升级为行业内优势企业带来发展机遇 </w:t>
      </w:r>
      <w:r>
        <w:rPr>
          <w:spacing w:val="-2"/>
        </w:rPr>
        <w:t>随着消费升级的加速，下游行业包装需求呈现包装功能多样化趋势。纸制品包装越来越多的由单纯运输包装，向兼具销</w:t>
      </w:r>
    </w:p>
    <w:p>
      <w:pPr>
        <w:pStyle w:val="BodyText"/>
        <w:spacing w:line="316" w:lineRule="auto" w:before="31"/>
        <w:ind w:right="104"/>
        <w:jc w:val="both"/>
      </w:pPr>
      <w:r>
        <w:rPr>
          <w:spacing w:val="-4"/>
        </w:rPr>
        <w:t>售包装功能的方向发展；下游行业对同时具有良好广告宣传功能的纸箱、精品盒的需求与日俱增，对精美印刷要求越来越高。</w:t>
      </w:r>
      <w:r>
        <w:rPr>
          <w:spacing w:val="-44"/>
        </w:rPr>
        <w:t> </w:t>
      </w:r>
      <w:r>
        <w:rPr>
          <w:spacing w:val="-44"/>
        </w:rPr>
      </w:r>
      <w:r>
        <w:rPr>
          <w:spacing w:val="-4"/>
        </w:rPr>
        <w:t>包装对于促进产品销售和品牌形象提升具有重大意义。尤其是智能型设备、电子通讯、食品饮料保健品等品牌消费品的包装，</w:t>
      </w:r>
      <w:r>
        <w:rPr>
          <w:spacing w:val="-44"/>
        </w:rPr>
        <w:t> </w:t>
      </w:r>
      <w:r>
        <w:rPr>
          <w:spacing w:val="-44"/>
        </w:rPr>
      </w:r>
      <w:r>
        <w:rPr/>
        <w:t>其通过视觉传达美化产品、促进销售的作用倍受重视，已有效带动包装产业尤其是高端包装产业市场容量的增加。</w:t>
      </w:r>
    </w:p>
    <w:p>
      <w:pPr>
        <w:pStyle w:val="BodyText"/>
        <w:spacing w:line="316" w:lineRule="auto" w:before="18"/>
        <w:ind w:right="104" w:firstLine="360"/>
        <w:jc w:val="left"/>
      </w:pPr>
      <w:r>
        <w:rPr>
          <w:spacing w:val="-4"/>
        </w:rPr>
        <w:t>同时，众多下游客户除要求纸包装产品品质良好、外观精美、轻量减量外，还希望包装企业能够依据客户的产品的尺寸、</w:t>
      </w:r>
      <w:r>
        <w:rPr/>
        <w:t> </w:t>
      </w:r>
      <w:r>
        <w:rPr>
          <w:spacing w:val="-4"/>
        </w:rPr>
        <w:t>性能等进行包装方案策划和设计，提供物流、仓储、包装作业指导等一体化解决方案，客户需求的升级使得具有竞争优势的、</w:t>
      </w:r>
      <w:r>
        <w:rPr>
          <w:spacing w:val="-46"/>
        </w:rPr>
        <w:t> </w:t>
      </w:r>
      <w:r>
        <w:rPr>
          <w:spacing w:val="-46"/>
        </w:rPr>
      </w:r>
      <w:r>
        <w:rPr>
          <w:spacing w:val="-2"/>
        </w:rPr>
        <w:t>能够提供包装综合服务以及具备创新服务能力的优势企业获得更多的订单，毛利率水平亦可得到有效改善。不具备竞争优势</w:t>
      </w:r>
      <w:r>
        <w:rPr>
          <w:spacing w:val="-64"/>
        </w:rPr>
        <w:t> </w:t>
      </w:r>
      <w:r>
        <w:rPr>
          <w:spacing w:val="-64"/>
        </w:rPr>
      </w:r>
      <w:r>
        <w:rPr/>
        <w:t>的企业将在需求升级以及激烈的行业竞争过程中面临被淘汰的风险。</w:t>
      </w:r>
    </w:p>
    <w:p>
      <w:pPr>
        <w:pStyle w:val="BodyText"/>
        <w:spacing w:line="300" w:lineRule="auto" w:before="18"/>
        <w:ind w:left="512" w:right="672"/>
        <w:jc w:val="left"/>
      </w:pPr>
      <w:r>
        <w:rPr>
          <w:rFonts w:ascii="Times New Roman" w:hAnsi="Times New Roman" w:cs="Times New Roman" w:eastAsia="Times New Roman" w:hint="default"/>
        </w:rPr>
        <w:t>2</w:t>
      </w:r>
      <w:r>
        <w:rPr/>
        <w:t>）行业集中度提升是包装产业发展规律 对比成熟市场，中国纸包装行业产业集中度差距非常明显，根据中国包装网的统计数据，美国</w:t>
      </w:r>
      <w:r>
        <w:rPr>
          <w:rFonts w:ascii="Times New Roman" w:hAnsi="Times New Roman" w:cs="Times New Roman" w:eastAsia="Times New Roman" w:hint="default"/>
        </w:rPr>
        <w:t>TOP5&gt;70%</w:t>
      </w:r>
      <w:r>
        <w:rPr/>
        <w:t>，澳洲</w:t>
      </w:r>
    </w:p>
    <w:p>
      <w:pPr>
        <w:pStyle w:val="BodyText"/>
        <w:spacing w:line="300" w:lineRule="auto" w:before="13"/>
        <w:ind w:right="128"/>
        <w:jc w:val="both"/>
      </w:pPr>
      <w:r>
        <w:rPr>
          <w:rFonts w:ascii="Times New Roman" w:hAnsi="Times New Roman" w:cs="Times New Roman" w:eastAsia="Times New Roman" w:hint="default"/>
        </w:rPr>
        <w:t>TOP2&gt;90%</w:t>
      </w:r>
      <w:r>
        <w:rPr/>
        <w:t>，台湾地区</w:t>
      </w:r>
      <w:r>
        <w:rPr>
          <w:rFonts w:ascii="Times New Roman" w:hAnsi="Times New Roman" w:cs="Times New Roman" w:eastAsia="Times New Roman" w:hint="default"/>
        </w:rPr>
        <w:t>TOP3&gt;50%</w:t>
      </w:r>
      <w:r>
        <w:rPr/>
        <w:t>，而中国领先纸包装企业的市场占有率不到</w:t>
      </w:r>
      <w:r>
        <w:rPr>
          <w:rFonts w:ascii="Times New Roman" w:hAnsi="Times New Roman" w:cs="Times New Roman" w:eastAsia="Times New Roman" w:hint="default"/>
        </w:rPr>
        <w:t>1%</w:t>
      </w:r>
      <w:r>
        <w:rPr/>
        <w:t>。随着国内纸包装企业竞争力的不断提升， 优势企业在获取市场资源方面优势明显，行业内并购整合加速，未来行业集中度提升将是大势所趋。</w:t>
      </w:r>
    </w:p>
    <w:p>
      <w:pPr>
        <w:pStyle w:val="BodyText"/>
        <w:spacing w:line="300" w:lineRule="auto" w:before="31"/>
        <w:ind w:left="512" w:right="104"/>
        <w:jc w:val="left"/>
      </w:pPr>
      <w:r>
        <w:rPr>
          <w:rFonts w:ascii="Times New Roman" w:hAnsi="Times New Roman" w:cs="Times New Roman" w:eastAsia="Times New Roman" w:hint="default"/>
        </w:rPr>
        <w:t>3</w:t>
      </w:r>
      <w:r>
        <w:rPr/>
        <w:t>）包装印刷产业的互联网化、定制化的发展趋势已开始加速 </w:t>
      </w:r>
      <w:r>
        <w:rPr>
          <w:spacing w:val="-7"/>
          <w:w w:val="99"/>
        </w:rPr>
        <w:t>近年来随着互联网行业的飞速发展，以及市场对电子商务的高度认可，广大消费者不断享受着电子商务、线上线下（</w:t>
      </w:r>
      <w:r>
        <w:rPr>
          <w:rFonts w:ascii="Times New Roman" w:hAnsi="Times New Roman" w:cs="Times New Roman" w:eastAsia="Times New Roman" w:hint="default"/>
          <w:spacing w:val="-7"/>
          <w:w w:val="99"/>
        </w:rPr>
        <w:t>O2O</w:t>
      </w:r>
      <w:r>
        <w:rPr>
          <w:spacing w:val="-7"/>
          <w:w w:val="99"/>
        </w:rPr>
        <w:t>）</w:t>
      </w:r>
    </w:p>
    <w:p>
      <w:pPr>
        <w:pStyle w:val="BodyText"/>
        <w:spacing w:line="316" w:lineRule="auto" w:before="13"/>
        <w:ind w:right="191"/>
        <w:jc w:val="both"/>
      </w:pPr>
      <w:r>
        <w:rPr>
          <w:spacing w:val="-2"/>
        </w:rPr>
        <w:t>给生活带来的便利和实惠，传统印刷包装行业与互联网结合越来越多地被市场认同，大量的定制化、中高端包装及印刷需求</w:t>
      </w:r>
      <w:r>
        <w:rPr>
          <w:spacing w:val="-63"/>
        </w:rPr>
        <w:t> </w:t>
      </w:r>
      <w:r>
        <w:rPr>
          <w:spacing w:val="-63"/>
        </w:rPr>
      </w:r>
      <w:r>
        <w:rPr>
          <w:spacing w:val="-2"/>
        </w:rPr>
        <w:t>不断涌现，将为业内企业带来战略性发展机遇。市场需求的快速增加，将使得包装印刷行业的互联网化、定制化发展速度加</w:t>
      </w:r>
      <w:r>
        <w:rPr>
          <w:spacing w:val="-65"/>
        </w:rPr>
        <w:t> </w:t>
      </w:r>
      <w:r>
        <w:rPr>
          <w:spacing w:val="-65"/>
        </w:rPr>
      </w:r>
      <w:r>
        <w:rPr/>
        <w:t>快，对于包装印刷企业拥抱工业</w:t>
      </w:r>
      <w:r>
        <w:rPr>
          <w:rFonts w:ascii="Times New Roman" w:hAnsi="Times New Roman" w:cs="Times New Roman" w:eastAsia="Times New Roman" w:hint="default"/>
        </w:rPr>
        <w:t>4.0</w:t>
      </w:r>
      <w:r>
        <w:rPr/>
        <w:t>、升级产品和服务也将起到极大的推动作用。</w:t>
      </w:r>
    </w:p>
    <w:p>
      <w:pPr>
        <w:pStyle w:val="BodyText"/>
        <w:spacing w:line="316" w:lineRule="auto"/>
        <w:ind w:right="104" w:firstLine="432"/>
        <w:jc w:val="left"/>
      </w:pPr>
      <w:r>
        <w:rPr>
          <w:spacing w:val="-2"/>
        </w:rPr>
        <w:t>目前，市场上已经有较多的传统包装印刷行业开始拥抱互联网，将包装印刷销售与服务同互联网相结合。需求的增加、</w:t>
      </w:r>
      <w:r>
        <w:rPr/>
        <w:t> </w:t>
      </w:r>
      <w:r>
        <w:rPr>
          <w:spacing w:val="-2"/>
        </w:rPr>
        <w:t>供应侧企业的升级，将加速包装印刷产业的互联网化、定制化，尤其是为具有品牌、服务、技术、资金等综合实力强大的包</w:t>
      </w:r>
      <w:r>
        <w:rPr>
          <w:spacing w:val="-68"/>
        </w:rPr>
        <w:t> </w:t>
      </w:r>
      <w:r>
        <w:rPr>
          <w:spacing w:val="-68"/>
        </w:rPr>
      </w:r>
      <w:r>
        <w:rPr/>
        <w:t>装印刷企业升级提供了战略机遇，强者恒强将是主旋律。</w:t>
      </w:r>
    </w:p>
    <w:p>
      <w:pPr>
        <w:pStyle w:val="BodyText"/>
        <w:spacing w:line="300" w:lineRule="auto" w:before="18"/>
        <w:ind w:left="512" w:right="104"/>
        <w:jc w:val="left"/>
      </w:pPr>
      <w:r>
        <w:rPr>
          <w:rFonts w:ascii="Times New Roman" w:hAnsi="Times New Roman" w:cs="Times New Roman" w:eastAsia="Times New Roman" w:hint="default"/>
        </w:rPr>
        <w:t>4</w:t>
      </w:r>
      <w:r>
        <w:rPr/>
        <w:t>）市场需求倒逼智能包装的应用和普及 </w:t>
      </w:r>
      <w:r>
        <w:rPr>
          <w:spacing w:val="-2"/>
        </w:rPr>
        <w:t>随着科技发展，产品和包装的智能化已经成为市场发展的新蓝海。在食品安全事件发生率居高不下、消费升级以及消费</w:t>
      </w:r>
    </w:p>
    <w:p>
      <w:pPr>
        <w:pStyle w:val="BodyText"/>
        <w:spacing w:line="312" w:lineRule="auto" w:before="31"/>
        <w:ind w:right="191"/>
        <w:jc w:val="both"/>
      </w:pPr>
      <w:r>
        <w:rPr>
          <w:spacing w:val="-2"/>
        </w:rPr>
        <w:t>者对产品品牌的要求提升的当下，智能包装将逐步成为包装行业发展的重要细分领域。智能包装在发达国家已经获得了足够</w:t>
      </w:r>
      <w:r>
        <w:rPr>
          <w:spacing w:val="-64"/>
        </w:rPr>
        <w:t> </w:t>
      </w:r>
      <w:r>
        <w:rPr>
          <w:spacing w:val="-64"/>
        </w:rPr>
      </w:r>
      <w:r>
        <w:rPr>
          <w:spacing w:val="-2"/>
        </w:rPr>
        <w:t>的重视和发展，而在国内，智能包装的研发和在各个领域的应用还处于起步阶段。目前，终端消费者对于农产品、药品等健</w:t>
      </w:r>
      <w:r>
        <w:rPr>
          <w:spacing w:val="-67"/>
        </w:rPr>
        <w:t> </w:t>
      </w:r>
      <w:r>
        <w:rPr>
          <w:spacing w:val="-67"/>
        </w:rPr>
      </w:r>
      <w:r>
        <w:rPr>
          <w:spacing w:val="-1"/>
        </w:rPr>
        <w:t>康领域产品可追溯、保真的需求正在倒逼产品生产企业搭建全流程可追溯系统，搭载</w:t>
      </w:r>
      <w:r>
        <w:rPr>
          <w:rFonts w:ascii="Times New Roman" w:hAnsi="Times New Roman" w:cs="Times New Roman" w:eastAsia="Times New Roman" w:hint="default"/>
          <w:spacing w:val="-1"/>
        </w:rPr>
        <w:t>RFID</w:t>
      </w:r>
      <w:r>
        <w:rPr>
          <w:spacing w:val="-1"/>
        </w:rPr>
        <w:t>等物联网技术以及将</w:t>
      </w:r>
      <w:r>
        <w:rPr>
          <w:rFonts w:ascii="Times New Roman" w:hAnsi="Times New Roman" w:cs="Times New Roman" w:eastAsia="Times New Roman" w:hint="default"/>
          <w:spacing w:val="-1"/>
        </w:rPr>
        <w:t>VR</w:t>
      </w:r>
      <w:r>
        <w:rPr>
          <w:spacing w:val="-1"/>
        </w:rPr>
        <w:t>（虚拟现</w:t>
      </w:r>
      <w:r>
        <w:rPr>
          <w:spacing w:val="-62"/>
        </w:rPr>
        <w:t> </w:t>
      </w:r>
      <w:r>
        <w:rPr>
          <w:spacing w:val="-62"/>
        </w:rPr>
      </w:r>
      <w:r>
        <w:rPr/>
        <w:t>实）、</w:t>
      </w:r>
      <w:r>
        <w:rPr>
          <w:rFonts w:ascii="Times New Roman" w:hAnsi="Times New Roman" w:cs="Times New Roman" w:eastAsia="Times New Roman" w:hint="default"/>
        </w:rPr>
        <w:t>AR</w:t>
      </w:r>
      <w:r>
        <w:rPr/>
        <w:t>（增强现实）技术与包装相结合的智能包装将作为直接面向终端消费者的信息交互媒介。随着物联网技术、电子 </w:t>
      </w:r>
      <w:r>
        <w:rPr>
          <w:spacing w:val="-2"/>
        </w:rPr>
        <w:t>信息技术的成熟以及互联网的快速发展，智能包装在产品防伪、追溯以及实现制造商、销售商与终端消费者进行交互等功能</w:t>
      </w:r>
      <w:r>
        <w:rPr>
          <w:spacing w:val="-66"/>
        </w:rPr>
        <w:t> </w:t>
      </w:r>
      <w:r>
        <w:rPr>
          <w:spacing w:val="-66"/>
        </w:rPr>
      </w:r>
      <w:r>
        <w:rPr>
          <w:spacing w:val="-2"/>
        </w:rPr>
        <w:t>都变得非常便捷。技术的成熟、市场需求的增加，智能包装必然成为未来包装行业发展的一大重要方向，将释放巨大的市场</w:t>
      </w:r>
      <w:r>
        <w:rPr>
          <w:spacing w:val="-64"/>
        </w:rPr>
        <w:t> </w:t>
      </w:r>
      <w:r>
        <w:rPr>
          <w:spacing w:val="-64"/>
        </w:rPr>
      </w:r>
      <w:r>
        <w:rPr/>
        <w:t>空间。</w:t>
      </w:r>
    </w:p>
    <w:p>
      <w:pPr>
        <w:spacing w:line="240" w:lineRule="auto" w:before="7"/>
        <w:rPr>
          <w:rFonts w:ascii="宋体" w:hAnsi="宋体" w:cs="宋体" w:eastAsia="宋体" w:hint="default"/>
          <w:sz w:val="25"/>
          <w:szCs w:val="25"/>
        </w:rPr>
      </w:pPr>
    </w:p>
    <w:p>
      <w:pPr>
        <w:pStyle w:val="BodyText"/>
        <w:spacing w:line="240" w:lineRule="auto"/>
        <w:ind w:left="512" w:right="104"/>
        <w:jc w:val="left"/>
      </w:pPr>
      <w:r>
        <w:rPr/>
        <w:t>二、公司发展战略</w:t>
      </w:r>
    </w:p>
    <w:p>
      <w:pPr>
        <w:pStyle w:val="BodyText"/>
        <w:spacing w:line="300" w:lineRule="auto" w:before="76"/>
        <w:ind w:left="512" w:right="104"/>
        <w:jc w:val="left"/>
      </w:pPr>
      <w:r>
        <w:rPr/>
        <w:t>（</w:t>
      </w:r>
      <w:r>
        <w:rPr>
          <w:rFonts w:ascii="Times New Roman" w:hAnsi="Times New Roman" w:cs="Times New Roman" w:eastAsia="Times New Roman" w:hint="default"/>
        </w:rPr>
        <w:t>1</w:t>
      </w:r>
      <w:r>
        <w:rPr/>
        <w:t>）愿景 </w:t>
      </w:r>
      <w:r>
        <w:rPr>
          <w:spacing w:val="-2"/>
        </w:rPr>
        <w:t>公司愿景是坚持绿色环保、可持续发展理念，致力于绿色环保包装产品、智能包装产品以及各类创意产品的研发、生产</w:t>
      </w:r>
    </w:p>
    <w:p>
      <w:pPr>
        <w:pStyle w:val="BodyText"/>
        <w:spacing w:line="316" w:lineRule="auto" w:before="31"/>
        <w:ind w:right="191"/>
        <w:jc w:val="both"/>
      </w:pPr>
      <w:r>
        <w:rPr>
          <w:spacing w:val="-2"/>
        </w:rPr>
        <w:t>和销售，帮助客户促进产品销售，提升客户产品品牌美誉度，降低客户综合包装成本，引领国内包装供应链整体水平的持续</w:t>
      </w:r>
      <w:r>
        <w:rPr>
          <w:spacing w:val="-64"/>
        </w:rPr>
        <w:t> </w:t>
      </w:r>
      <w:r>
        <w:rPr>
          <w:spacing w:val="-64"/>
        </w:rPr>
      </w:r>
      <w:r>
        <w:rPr>
          <w:spacing w:val="-2"/>
        </w:rPr>
        <w:t>提升，为</w:t>
      </w:r>
      <w:r>
        <w:rPr>
          <w:rFonts w:ascii="Times New Roman" w:hAnsi="Times New Roman" w:cs="Times New Roman" w:eastAsia="Times New Roman" w:hint="default"/>
          <w:spacing w:val="-2"/>
        </w:rPr>
        <w:t>“</w:t>
      </w:r>
      <w:r>
        <w:rPr>
          <w:spacing w:val="-2"/>
        </w:rPr>
        <w:t>美丽中国、绿色中国</w:t>
      </w:r>
      <w:r>
        <w:rPr>
          <w:rFonts w:ascii="Times New Roman" w:hAnsi="Times New Roman" w:cs="Times New Roman" w:eastAsia="Times New Roman" w:hint="default"/>
          <w:spacing w:val="-2"/>
        </w:rPr>
        <w:t>”</w:t>
      </w:r>
      <w:r>
        <w:rPr>
          <w:spacing w:val="-2"/>
        </w:rPr>
        <w:t>的可持续发展以及更有质量的经济增长目标做出应有的贡献，并把握经济发展质量提升、消</w:t>
      </w:r>
    </w:p>
    <w:p>
      <w:pPr>
        <w:spacing w:after="0" w:line="316"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104"/>
        <w:jc w:val="left"/>
      </w:pPr>
      <w:r>
        <w:rPr/>
        <w:t>费升级以及</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政策为行业领先企业带来的发展机遇。</w:t>
      </w:r>
    </w:p>
    <w:p>
      <w:pPr>
        <w:pStyle w:val="BodyText"/>
        <w:spacing w:line="300" w:lineRule="auto" w:before="62"/>
        <w:ind w:left="512" w:right="2454"/>
        <w:jc w:val="left"/>
      </w:pPr>
      <w:r>
        <w:rPr/>
        <w:t>（</w:t>
      </w:r>
      <w:r>
        <w:rPr>
          <w:rFonts w:ascii="Times New Roman" w:hAnsi="Times New Roman" w:cs="Times New Roman" w:eastAsia="Times New Roman" w:hint="default"/>
        </w:rPr>
        <w:t>2</w:t>
      </w:r>
      <w:r>
        <w:rPr/>
        <w:t>）发展战略 公司战略是坚持</w:t>
      </w:r>
      <w:r>
        <w:rPr>
          <w:rFonts w:ascii="Times New Roman" w:hAnsi="Times New Roman" w:cs="Times New Roman" w:eastAsia="Times New Roman" w:hint="default"/>
        </w:rPr>
        <w:t>“</w:t>
      </w:r>
      <w:r>
        <w:rPr/>
        <w:t>专业化、高端化、内生性和外延式相结合以及产业互联网</w:t>
      </w:r>
      <w:r>
        <w:rPr>
          <w:rFonts w:ascii="Times New Roman" w:hAnsi="Times New Roman" w:cs="Times New Roman" w:eastAsia="Times New Roman" w:hint="default"/>
        </w:rPr>
        <w:t>”</w:t>
      </w:r>
      <w:r>
        <w:rPr/>
        <w:t>的发展之路。</w:t>
      </w:r>
    </w:p>
    <w:p>
      <w:pPr>
        <w:pStyle w:val="BodyText"/>
        <w:spacing w:line="300" w:lineRule="auto" w:before="13"/>
        <w:ind w:right="104" w:firstLine="360"/>
        <w:jc w:val="left"/>
      </w:pPr>
      <w:r>
        <w:rPr>
          <w:rFonts w:ascii="Times New Roman" w:hAnsi="Times New Roman" w:cs="Times New Roman" w:eastAsia="Times New Roman" w:hint="default"/>
          <w:spacing w:val="-2"/>
        </w:rPr>
        <w:t>“</w:t>
      </w:r>
      <w:r>
        <w:rPr>
          <w:spacing w:val="-2"/>
        </w:rPr>
        <w:t>专业化</w:t>
      </w:r>
      <w:r>
        <w:rPr>
          <w:rFonts w:ascii="Times New Roman" w:hAnsi="Times New Roman" w:cs="Times New Roman" w:eastAsia="Times New Roman" w:hint="default"/>
          <w:spacing w:val="-2"/>
        </w:rPr>
        <w:t>”</w:t>
      </w:r>
      <w:r>
        <w:rPr>
          <w:spacing w:val="-2"/>
        </w:rPr>
        <w:t>方面，不断加强公司在产品研发、工业设计、创意设计、一体化服务等方面优势，持续提升包装印刷产品附加</w:t>
      </w:r>
      <w:r>
        <w:rPr/>
        <w:t> 值，实现精品包装、电子标签、文化创意产品、互联网定制化印刷包装、智能包装等多业务线协同发展。</w:t>
      </w:r>
    </w:p>
    <w:p>
      <w:pPr>
        <w:pStyle w:val="BodyText"/>
        <w:spacing w:line="312" w:lineRule="auto" w:before="31"/>
        <w:ind w:right="152" w:firstLine="360"/>
        <w:jc w:val="both"/>
      </w:pPr>
      <w:r>
        <w:rPr>
          <w:rFonts w:ascii="Times New Roman" w:hAnsi="Times New Roman" w:cs="Times New Roman" w:eastAsia="Times New Roman" w:hint="default"/>
        </w:rPr>
        <w:t>“</w:t>
      </w:r>
      <w:r>
        <w:rPr/>
        <w:t>高端化</w:t>
      </w:r>
      <w:r>
        <w:rPr>
          <w:rFonts w:ascii="Times New Roman" w:hAnsi="Times New Roman" w:cs="Times New Roman" w:eastAsia="Times New Roman" w:hint="default"/>
        </w:rPr>
        <w:t>”</w:t>
      </w:r>
      <w:r>
        <w:rPr/>
        <w:t>方面，继续实施</w:t>
      </w:r>
      <w:r>
        <w:rPr>
          <w:rFonts w:ascii="Times New Roman" w:hAnsi="Times New Roman" w:cs="Times New Roman" w:eastAsia="Times New Roman" w:hint="default"/>
        </w:rPr>
        <w:t>“</w:t>
      </w:r>
      <w:r>
        <w:rPr/>
        <w:t>高端客户、高端产品</w:t>
      </w:r>
      <w:r>
        <w:rPr>
          <w:rFonts w:ascii="Times New Roman" w:hAnsi="Times New Roman" w:cs="Times New Roman" w:eastAsia="Times New Roman" w:hint="default"/>
        </w:rPr>
        <w:t>”</w:t>
      </w:r>
      <w:r>
        <w:rPr/>
        <w:t>的市场开发策略，持续丰富高端客户类型，致力于开发全球知名企业、 </w:t>
      </w:r>
      <w:r>
        <w:rPr>
          <w:spacing w:val="-2"/>
        </w:rPr>
        <w:t>国内外细分领域领先企业以及拥有高附加值产品的企业等类型的新客户，积极开发多领域高端客户，包括智能终端、电子通</w:t>
      </w:r>
      <w:r>
        <w:rPr>
          <w:spacing w:val="-66"/>
        </w:rPr>
        <w:t> </w:t>
      </w:r>
      <w:r>
        <w:rPr>
          <w:spacing w:val="-66"/>
        </w:rPr>
      </w:r>
      <w:r>
        <w:rPr>
          <w:spacing w:val="-2"/>
        </w:rPr>
        <w:t>讯、化妆品、食品饮料保健品、品牌研发型制造企业、品牌消费品、电商、快递速运、汽车及新能源汽车产业链、智能机器</w:t>
      </w:r>
      <w:r>
        <w:rPr>
          <w:spacing w:val="-65"/>
        </w:rPr>
        <w:t> </w:t>
      </w:r>
      <w:r>
        <w:rPr>
          <w:spacing w:val="-65"/>
        </w:rPr>
      </w:r>
      <w:r>
        <w:rPr/>
        <w:t>人以及其他类高端客户。</w:t>
      </w:r>
    </w:p>
    <w:p>
      <w:pPr>
        <w:pStyle w:val="BodyText"/>
        <w:spacing w:line="309" w:lineRule="auto" w:before="22"/>
        <w:ind w:right="104" w:firstLine="360"/>
        <w:jc w:val="left"/>
      </w:pPr>
      <w:r>
        <w:rPr>
          <w:rFonts w:ascii="Times New Roman" w:hAnsi="Times New Roman" w:cs="Times New Roman" w:eastAsia="Times New Roman" w:hint="default"/>
        </w:rPr>
        <w:t>“</w:t>
      </w:r>
      <w:r>
        <w:rPr/>
        <w:t>内生性和外延式相结合</w:t>
      </w:r>
      <w:r>
        <w:rPr>
          <w:rFonts w:ascii="Times New Roman" w:hAnsi="Times New Roman" w:cs="Times New Roman" w:eastAsia="Times New Roman" w:hint="default"/>
        </w:rPr>
        <w:t>”</w:t>
      </w:r>
      <w:r>
        <w:rPr/>
        <w:t>方面，</w:t>
      </w:r>
      <w:r>
        <w:rPr>
          <w:spacing w:val="-19"/>
        </w:rPr>
        <w:t> </w:t>
      </w:r>
      <w:r>
        <w:rPr/>
        <w:t>实施</w:t>
      </w:r>
      <w:r>
        <w:rPr>
          <w:rFonts w:ascii="Times New Roman" w:hAnsi="Times New Roman" w:cs="Times New Roman" w:eastAsia="Times New Roman" w:hint="default"/>
        </w:rPr>
        <w:t>“</w:t>
      </w:r>
      <w:r>
        <w:rPr/>
        <w:t>内生增长和外延扩张</w:t>
      </w:r>
      <w:r>
        <w:rPr>
          <w:rFonts w:ascii="Times New Roman" w:hAnsi="Times New Roman" w:cs="Times New Roman" w:eastAsia="Times New Roman" w:hint="default"/>
        </w:rPr>
        <w:t>”</w:t>
      </w:r>
      <w:r>
        <w:rPr/>
        <w:t>双引擎驱动的发展模式，吸纳、集聚在创意包装、智能包 </w:t>
      </w:r>
      <w:r>
        <w:rPr>
          <w:spacing w:val="-2"/>
        </w:rPr>
        <w:t>装、消费品包装以及互联网等方面具有一定竞争优势的优秀企业，积极打造涵盖包装一体化、创意包装、智能包装、消费品</w:t>
      </w:r>
      <w:r>
        <w:rPr>
          <w:spacing w:val="-65"/>
        </w:rPr>
        <w:t> </w:t>
      </w:r>
      <w:r>
        <w:rPr>
          <w:spacing w:val="-65"/>
        </w:rPr>
      </w:r>
      <w:r>
        <w:rPr/>
        <w:t>包装以及互联网包装印刷等高端价值链体系的世界级环保包装印刷企业集团。</w:t>
      </w:r>
    </w:p>
    <w:p>
      <w:pPr>
        <w:pStyle w:val="BodyText"/>
        <w:spacing w:line="314" w:lineRule="auto" w:before="24"/>
        <w:ind w:right="94" w:firstLine="360"/>
        <w:jc w:val="left"/>
      </w:pPr>
      <w:r>
        <w:rPr>
          <w:rFonts w:ascii="Times New Roman" w:hAnsi="Times New Roman" w:cs="Times New Roman" w:eastAsia="Times New Roman" w:hint="default"/>
          <w:spacing w:val="-2"/>
        </w:rPr>
        <w:t>“</w:t>
      </w:r>
      <w:r>
        <w:rPr>
          <w:spacing w:val="-2"/>
        </w:rPr>
        <w:t>产业互联网</w:t>
      </w:r>
      <w:r>
        <w:rPr>
          <w:rFonts w:ascii="Times New Roman" w:hAnsi="Times New Roman" w:cs="Times New Roman" w:eastAsia="Times New Roman" w:hint="default"/>
          <w:spacing w:val="-2"/>
        </w:rPr>
        <w:t>”</w:t>
      </w:r>
      <w:r>
        <w:rPr>
          <w:spacing w:val="-2"/>
        </w:rPr>
        <w:t>方面，在经济新常态形势下，积极响应印刷包装行业供给侧改革，顺应包装印刷产业互联网化、定制化新</w:t>
      </w:r>
      <w:r>
        <w:rPr/>
        <w:t> 业态，打造互联网包装印刷生态型企业，建立功能强大的互联网包装印刷及个性化定制服务运营平台，通过互联网的方式， </w:t>
      </w:r>
      <w:r>
        <w:rPr>
          <w:spacing w:val="-2"/>
        </w:rPr>
        <w:t>实现策划设计、包装印刷及个性化产品制造、物流配送、支付等一体化服务的全产业链整合，通过建立标准的包材供应商遴</w:t>
      </w:r>
      <w:r>
        <w:rPr>
          <w:spacing w:val="-64"/>
        </w:rPr>
        <w:t> </w:t>
      </w:r>
      <w:r>
        <w:rPr>
          <w:spacing w:val="-64"/>
        </w:rPr>
      </w:r>
      <w:r>
        <w:rPr>
          <w:spacing w:val="-2"/>
        </w:rPr>
        <w:t>选体系将同行优质企业纳入互联网包装印刷生态圈，让消费者、用户在分享公司高品质产品、优质的一体化服务同时享受便</w:t>
      </w:r>
      <w:r>
        <w:rPr>
          <w:spacing w:val="-63"/>
        </w:rPr>
        <w:t> </w:t>
      </w:r>
      <w:r>
        <w:rPr>
          <w:spacing w:val="-63"/>
        </w:rPr>
      </w:r>
      <w:r>
        <w:rPr/>
        <w:t>利性，从而在国内包装印刷业务从传统模式向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新模式升级过程中掌握主动权，形成公司新的业务增长极。</w:t>
      </w:r>
    </w:p>
    <w:p>
      <w:pPr>
        <w:pStyle w:val="BodyText"/>
        <w:spacing w:line="240" w:lineRule="auto" w:before="1"/>
        <w:ind w:left="512" w:right="104"/>
        <w:jc w:val="left"/>
      </w:pPr>
      <w:r>
        <w:rPr/>
        <w:t>（</w:t>
      </w:r>
      <w:r>
        <w:rPr>
          <w:rFonts w:ascii="Times New Roman" w:hAnsi="Times New Roman" w:cs="Times New Roman" w:eastAsia="Times New Roman" w:hint="default"/>
        </w:rPr>
        <w:t>2</w:t>
      </w:r>
      <w:r>
        <w:rPr/>
        <w:t>）发展面临机遇</w:t>
      </w:r>
    </w:p>
    <w:p>
      <w:pPr>
        <w:pStyle w:val="BodyText"/>
        <w:spacing w:line="300" w:lineRule="auto" w:before="62"/>
        <w:ind w:left="512" w:right="104"/>
        <w:jc w:val="left"/>
      </w:pPr>
      <w:r>
        <w:rPr>
          <w:rFonts w:ascii="Times New Roman" w:hAnsi="Times New Roman" w:cs="Times New Roman" w:eastAsia="Times New Roman" w:hint="default"/>
        </w:rPr>
        <w:t>1</w:t>
      </w:r>
      <w:r>
        <w:rPr/>
        <w:t>）分享智能手机、平板电脑、可穿戴设备、智能音响、智能机器人等消费类电子产品包装蓝海。 </w:t>
      </w:r>
      <w:r>
        <w:rPr>
          <w:spacing w:val="-2"/>
        </w:rPr>
        <w:t>近年来，随着互联网、移动互联网和电子商务的快速发展，全球范围内的智能手机、平板电脑、可穿戴设备等智能型设</w:t>
      </w:r>
    </w:p>
    <w:p>
      <w:pPr>
        <w:pStyle w:val="BodyText"/>
        <w:spacing w:line="316" w:lineRule="auto" w:before="31"/>
        <w:ind w:right="104"/>
        <w:jc w:val="left"/>
      </w:pPr>
      <w:r>
        <w:rPr>
          <w:spacing w:val="-4"/>
        </w:rPr>
        <w:t>备市场需求非常旺盛。市场普遍认为，随着新产品的不断推出以及智能终端的进一步普及，全球智能型设备将继续呈现增长。</w:t>
      </w:r>
      <w:r>
        <w:rPr>
          <w:spacing w:val="-44"/>
        </w:rPr>
        <w:t> </w:t>
      </w:r>
      <w:r>
        <w:rPr>
          <w:spacing w:val="-44"/>
        </w:rPr>
      </w:r>
      <w:r>
        <w:rPr>
          <w:spacing w:val="-2"/>
        </w:rPr>
        <w:t>而品牌智能型设备在中国境内代工生产居多，已经带来旺盛的高端包装需求。公司作为国内包装行业的领先企业，已经进入</w:t>
      </w:r>
      <w:r>
        <w:rPr>
          <w:spacing w:val="-63"/>
        </w:rPr>
        <w:t> </w:t>
      </w:r>
      <w:r>
        <w:rPr>
          <w:spacing w:val="-63"/>
        </w:rPr>
      </w:r>
      <w:r>
        <w:rPr/>
        <w:t>了智能型设备的包材供应链，将充分受益并获得新一轮发展的重要机遇。</w:t>
      </w:r>
    </w:p>
    <w:p>
      <w:pPr>
        <w:pStyle w:val="BodyText"/>
        <w:spacing w:line="300" w:lineRule="auto" w:before="18"/>
        <w:ind w:right="104" w:firstLine="360"/>
        <w:jc w:val="left"/>
      </w:pPr>
      <w:r>
        <w:rPr/>
        <w:t>目前公司已进入包括三星、中兴移动、</w:t>
      </w:r>
      <w:r>
        <w:rPr>
          <w:rFonts w:ascii="Times New Roman" w:hAnsi="Times New Roman" w:cs="Times New Roman" w:eastAsia="Times New Roman" w:hint="default"/>
        </w:rPr>
        <w:t>Harman</w:t>
      </w:r>
      <w:r>
        <w:rPr/>
        <w:t>、</w:t>
      </w:r>
      <w:r>
        <w:rPr>
          <w:rFonts w:ascii="Times New Roman" w:hAnsi="Times New Roman" w:cs="Times New Roman" w:eastAsia="Times New Roman" w:hint="default"/>
        </w:rPr>
        <w:t>Bose</w:t>
      </w:r>
      <w:r>
        <w:rPr/>
        <w:t>、</w:t>
      </w:r>
      <w:r>
        <w:rPr>
          <w:rFonts w:ascii="Times New Roman" w:hAnsi="Times New Roman" w:cs="Times New Roman" w:eastAsia="Times New Roman" w:hint="default"/>
        </w:rPr>
        <w:t>sonos</w:t>
      </w:r>
      <w:r>
        <w:rPr/>
        <w:t>、优必选等在内的众多高端科技企业的包材供应链。</w:t>
      </w:r>
      <w:r>
        <w:rPr>
          <w:rFonts w:ascii="Times New Roman" w:hAnsi="Times New Roman" w:cs="Times New Roman" w:eastAsia="Times New Roman" w:hint="default"/>
        </w:rPr>
        <w:t>2016</w:t>
      </w:r>
      <w:r>
        <w:rPr>
          <w:rFonts w:ascii="Times New Roman" w:hAnsi="Times New Roman" w:cs="Times New Roman" w:eastAsia="Times New Roman" w:hint="default"/>
          <w:w w:val="99"/>
        </w:rPr>
        <w:t> </w:t>
      </w:r>
      <w:r>
        <w:rPr>
          <w:spacing w:val="-3"/>
        </w:rPr>
        <w:t>年</w:t>
      </w:r>
      <w:r>
        <w:rPr>
          <w:rFonts w:ascii="Times New Roman" w:hAnsi="Times New Roman" w:cs="Times New Roman" w:eastAsia="Times New Roman" w:hint="default"/>
          <w:spacing w:val="-3"/>
        </w:rPr>
        <w:t>1</w:t>
      </w:r>
      <w:r>
        <w:rPr>
          <w:spacing w:val="-3"/>
        </w:rPr>
        <w:t>月，公司与新郑市人民政府签署《项目投资协议书》，拟于郑州市新郑新港产业集聚区投资建设战略性包装工业</w:t>
      </w:r>
      <w:r>
        <w:rPr>
          <w:rFonts w:ascii="Times New Roman" w:hAnsi="Times New Roman" w:cs="Times New Roman" w:eastAsia="Times New Roman" w:hint="default"/>
          <w:spacing w:val="-3"/>
        </w:rPr>
        <w:t>4.0</w:t>
      </w:r>
      <w:r>
        <w:rPr>
          <w:spacing w:val="-3"/>
        </w:rPr>
        <w:t>项目，</w:t>
      </w:r>
      <w:r>
        <w:rPr>
          <w:spacing w:val="-57"/>
        </w:rPr>
        <w:t> </w:t>
      </w:r>
      <w:r>
        <w:rPr>
          <w:spacing w:val="-57"/>
        </w:rPr>
      </w:r>
      <w:r>
        <w:rPr/>
        <w:t>以进一步分享智能手机等相关智能硬件制造持续快速发展带来的旺盛包装需求。</w:t>
      </w:r>
    </w:p>
    <w:p>
      <w:pPr>
        <w:pStyle w:val="BodyText"/>
        <w:spacing w:line="240" w:lineRule="auto" w:before="31"/>
        <w:ind w:left="512" w:right="104"/>
        <w:jc w:val="left"/>
      </w:pPr>
      <w:r>
        <w:rPr>
          <w:rFonts w:ascii="Times New Roman" w:hAnsi="Times New Roman" w:cs="Times New Roman" w:eastAsia="Times New Roman" w:hint="default"/>
        </w:rPr>
        <w:t>2</w:t>
      </w:r>
      <w:r>
        <w:rPr/>
        <w:t>）互联网和现代制造业的结合带来的发展机遇。</w:t>
      </w:r>
    </w:p>
    <w:p>
      <w:pPr>
        <w:pStyle w:val="BodyText"/>
        <w:spacing w:line="300" w:lineRule="auto" w:before="62"/>
        <w:ind w:right="193" w:firstLine="36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年，李克强总理在政府工作报告中提出，制定</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行动计划，推动移动互联网、云计算、大数据、物联网等 与现代制造业结合，促进电子商务、工业互联网和互联网金融健康发展，引导互联网企业拓展国际市场。</w:t>
      </w:r>
      <w:r>
        <w:rPr>
          <w:rFonts w:ascii="Times New Roman" w:hAnsi="Times New Roman" w:cs="Times New Roman" w:eastAsia="Times New Roman" w:hint="default"/>
        </w:rPr>
        <w:t>”</w:t>
      </w:r>
    </w:p>
    <w:p>
      <w:pPr>
        <w:pStyle w:val="BodyText"/>
        <w:spacing w:line="316" w:lineRule="auto" w:before="13"/>
        <w:ind w:right="191" w:firstLine="360"/>
        <w:jc w:val="both"/>
      </w:pPr>
      <w:r>
        <w:rPr>
          <w:spacing w:val="-2"/>
        </w:rPr>
        <w:t>随着居民消费水平的提升，包装本身承载的防护与运输功能已经无法满足企业和消费者的当前需求，消费者对于包装的</w:t>
      </w:r>
      <w:r>
        <w:rPr/>
        <w:t> </w:t>
      </w:r>
      <w:r>
        <w:rPr>
          <w:spacing w:val="-2"/>
        </w:rPr>
        <w:t>个性化诉求和企业对于包装的商务定制需求均与日俱增，因此包装的个性化、商务定制化以及在一些特有场景中可能发挥出</w:t>
      </w:r>
      <w:r>
        <w:rPr>
          <w:spacing w:val="-64"/>
        </w:rPr>
        <w:t> </w:t>
      </w:r>
      <w:r>
        <w:rPr>
          <w:spacing w:val="-64"/>
        </w:rPr>
      </w:r>
      <w:r>
        <w:rPr>
          <w:spacing w:val="-2"/>
        </w:rPr>
        <w:t>的潜在功能都将逐渐成为包装印刷企业竞相关注的突破点。个性化、定制化包装以及包装功能多样化势必会成为包装产品未</w:t>
      </w:r>
      <w:r>
        <w:rPr>
          <w:spacing w:val="-64"/>
        </w:rPr>
        <w:t> </w:t>
      </w:r>
      <w:r>
        <w:rPr>
          <w:spacing w:val="-64"/>
        </w:rPr>
      </w:r>
      <w:r>
        <w:rPr>
          <w:spacing w:val="-2"/>
        </w:rPr>
        <w:t>来发展趋势。互联网技术的飞速发展及应用，移动智能终端的快速普及，为包装印刷产品与互联网紧密结合创造了绝佳的契</w:t>
      </w:r>
      <w:r>
        <w:rPr>
          <w:spacing w:val="-63"/>
        </w:rPr>
        <w:t> </w:t>
      </w:r>
      <w:r>
        <w:rPr>
          <w:spacing w:val="-63"/>
        </w:rPr>
      </w:r>
      <w:r>
        <w:rPr/>
        <w:t>机。</w:t>
      </w:r>
    </w:p>
    <w:p>
      <w:pPr>
        <w:pStyle w:val="BodyText"/>
        <w:spacing w:line="300" w:lineRule="auto" w:before="18"/>
        <w:ind w:right="104" w:firstLine="360"/>
        <w:jc w:val="left"/>
      </w:pPr>
      <w:r>
        <w:rPr>
          <w:rFonts w:ascii="Times New Roman" w:hAnsi="Times New Roman" w:cs="Times New Roman" w:eastAsia="Times New Roman" w:hint="default"/>
          <w:spacing w:val="-4"/>
        </w:rPr>
        <w:t>2015</w:t>
      </w:r>
      <w:r>
        <w:rPr>
          <w:spacing w:val="-4"/>
        </w:rPr>
        <w:t>年公司提出了利用互联网技术，改造传统包装印刷行业，打造互联网包装印刷生态系统，实现各方主体的迅速对接，</w:t>
      </w:r>
      <w:r>
        <w:rPr/>
        <w:t> 提高产业运营效率。</w:t>
      </w:r>
    </w:p>
    <w:p>
      <w:pPr>
        <w:pStyle w:val="BodyText"/>
        <w:spacing w:line="300" w:lineRule="auto" w:before="31"/>
        <w:ind w:left="512" w:right="104"/>
        <w:jc w:val="left"/>
      </w:pPr>
      <w:r>
        <w:rPr>
          <w:rFonts w:ascii="Times New Roman" w:hAnsi="Times New Roman" w:cs="Times New Roman" w:eastAsia="Times New Roman" w:hint="default"/>
        </w:rPr>
        <w:t>3</w:t>
      </w:r>
      <w:r>
        <w:rPr/>
        <w:t>）行业整合、集中度提升带来的发展机遇。 </w:t>
      </w:r>
      <w:r>
        <w:rPr>
          <w:spacing w:val="-2"/>
        </w:rPr>
        <w:t>目前，随着下游产业品牌化、集中化的加速，上游包装印刷企业之间的行业整合、集中度提升显著加速。公司作为行业</w:t>
      </w:r>
    </w:p>
    <w:p>
      <w:pPr>
        <w:pStyle w:val="BodyText"/>
        <w:spacing w:line="316" w:lineRule="auto" w:before="31"/>
        <w:ind w:right="104"/>
        <w:jc w:val="left"/>
      </w:pPr>
      <w:r>
        <w:rPr>
          <w:spacing w:val="-2"/>
        </w:rPr>
        <w:t>内的少数上市企业之一，自身在研发设计、工艺技术、制造平台、客户资源等方面已形成突出的竞争优势，借助资本市场平</w:t>
      </w:r>
      <w:r>
        <w:rPr>
          <w:spacing w:val="-67"/>
        </w:rPr>
        <w:t> </w:t>
      </w:r>
      <w:r>
        <w:rPr>
          <w:spacing w:val="-67"/>
        </w:rPr>
      </w:r>
      <w:r>
        <w:rPr/>
        <w:t>台，将在抢占市场优质资源和并购整合过程中占得先机，有利于公司快速做大做强。</w:t>
      </w:r>
    </w:p>
    <w:p>
      <w:pPr>
        <w:pStyle w:val="BodyText"/>
        <w:spacing w:line="240" w:lineRule="auto" w:before="18"/>
        <w:ind w:left="512" w:right="104"/>
        <w:jc w:val="left"/>
      </w:pPr>
      <w:r>
        <w:rPr/>
        <w:t>（</w:t>
      </w:r>
      <w:r>
        <w:rPr>
          <w:rFonts w:ascii="Times New Roman" w:hAnsi="Times New Roman" w:cs="Times New Roman" w:eastAsia="Times New Roman" w:hint="default"/>
        </w:rPr>
        <w:t>3</w:t>
      </w:r>
      <w:r>
        <w:rPr/>
        <w:t>）发展面临挑战</w:t>
      </w:r>
    </w:p>
    <w:p>
      <w:pPr>
        <w:pStyle w:val="BodyText"/>
        <w:spacing w:line="300" w:lineRule="auto" w:before="62"/>
        <w:ind w:left="512" w:right="104"/>
        <w:jc w:val="left"/>
      </w:pPr>
      <w:r>
        <w:rPr>
          <w:rFonts w:ascii="Times New Roman" w:hAnsi="Times New Roman" w:cs="Times New Roman" w:eastAsia="Times New Roman" w:hint="default"/>
        </w:rPr>
        <w:t>1</w:t>
      </w:r>
      <w:r>
        <w:rPr/>
        <w:t>）</w:t>
      </w:r>
      <w:r>
        <w:rPr>
          <w:spacing w:val="-18"/>
        </w:rPr>
        <w:t> </w:t>
      </w:r>
      <w:r>
        <w:rPr/>
        <w:t>行业竞争日趋激烈带来的挑战。</w:t>
      </w:r>
      <w:r>
        <w:rPr/>
        <w:t> </w:t>
      </w:r>
      <w:r>
        <w:rPr>
          <w:spacing w:val="-2"/>
        </w:rPr>
        <w:t>总体而言，包装印刷行业市场空间巨大，集中度不断提升，强者恒强。但随着行业内众多具有一定竞争优势的企业的发</w:t>
      </w:r>
    </w:p>
    <w:p>
      <w:pPr>
        <w:pStyle w:val="BodyText"/>
        <w:spacing w:line="240" w:lineRule="auto" w:before="31"/>
        <w:ind w:right="0"/>
        <w:jc w:val="left"/>
      </w:pPr>
      <w:r>
        <w:rPr>
          <w:spacing w:val="-3"/>
        </w:rPr>
        <w:t>展壮大，行业竞争日趋激烈，部分业内企业甚至采取打</w:t>
      </w:r>
      <w:r>
        <w:rPr>
          <w:rFonts w:ascii="Times New Roman" w:hAnsi="Times New Roman" w:cs="Times New Roman" w:eastAsia="Times New Roman" w:hint="default"/>
          <w:spacing w:val="-3"/>
        </w:rPr>
        <w:t>“</w:t>
      </w:r>
      <w:r>
        <w:rPr>
          <w:spacing w:val="-3"/>
        </w:rPr>
        <w:t>价格战</w:t>
      </w:r>
      <w:r>
        <w:rPr>
          <w:rFonts w:ascii="Times New Roman" w:hAnsi="Times New Roman" w:cs="Times New Roman" w:eastAsia="Times New Roman" w:hint="default"/>
          <w:spacing w:val="-3"/>
        </w:rPr>
        <w:t>”</w:t>
      </w:r>
      <w:r>
        <w:rPr>
          <w:spacing w:val="-3"/>
        </w:rPr>
        <w:t>的低层次的竞争模式，给业内领先企业带来一定的竞争压力。</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2" w:right="104"/>
        <w:jc w:val="left"/>
      </w:pPr>
      <w:r>
        <w:rPr>
          <w:rFonts w:ascii="Times New Roman" w:hAnsi="Times New Roman" w:cs="Times New Roman" w:eastAsia="Times New Roman" w:hint="default"/>
        </w:rPr>
        <w:t>2</w:t>
      </w:r>
      <w:r>
        <w:rPr/>
        <w:t>）人才引进方面的挑战。 </w:t>
      </w:r>
      <w:r>
        <w:rPr>
          <w:spacing w:val="-2"/>
        </w:rPr>
        <w:t>公司正处于快速发展期，对于较多的中高级管理人员，核心研发人员、工艺工程师等关键岗位人员的引进、培训管理以</w:t>
      </w:r>
    </w:p>
    <w:p>
      <w:pPr>
        <w:pStyle w:val="BodyText"/>
        <w:spacing w:line="316" w:lineRule="auto" w:before="31"/>
        <w:ind w:right="193"/>
        <w:jc w:val="both"/>
      </w:pPr>
      <w:r>
        <w:rPr>
          <w:spacing w:val="-2"/>
        </w:rPr>
        <w:t>及生产供应链的管理提出了更高的要求。能否及时引进适合公司发展、理解并契合公司商业模式的人才并通过更先进更完善</w:t>
      </w:r>
      <w:r>
        <w:rPr>
          <w:spacing w:val="-64"/>
        </w:rPr>
        <w:t> </w:t>
      </w:r>
      <w:r>
        <w:rPr>
          <w:spacing w:val="-64"/>
        </w:rPr>
      </w:r>
      <w:r>
        <w:rPr/>
        <w:t>的管理机制、激励机制来满足快速发展的需求存在一定的挑战。</w:t>
      </w:r>
    </w:p>
    <w:p>
      <w:pPr>
        <w:spacing w:line="240" w:lineRule="auto" w:before="4"/>
        <w:rPr>
          <w:rFonts w:ascii="宋体" w:hAnsi="宋体" w:cs="宋体" w:eastAsia="宋体" w:hint="default"/>
          <w:sz w:val="25"/>
          <w:szCs w:val="25"/>
        </w:rPr>
      </w:pPr>
    </w:p>
    <w:p>
      <w:pPr>
        <w:pStyle w:val="BodyText"/>
        <w:spacing w:line="240" w:lineRule="auto"/>
        <w:ind w:left="512" w:right="104"/>
        <w:jc w:val="left"/>
      </w:pPr>
      <w:r>
        <w:rPr/>
        <w:t>三、公司</w:t>
      </w:r>
      <w:r>
        <w:rPr>
          <w:rFonts w:ascii="Times New Roman" w:hAnsi="Times New Roman" w:cs="Times New Roman" w:eastAsia="Times New Roman" w:hint="default"/>
        </w:rPr>
        <w:t>2016</w:t>
      </w:r>
      <w:r>
        <w:rPr/>
        <w:t>年度经营计划</w:t>
      </w:r>
    </w:p>
    <w:p>
      <w:pPr>
        <w:pStyle w:val="BodyText"/>
        <w:spacing w:line="309" w:lineRule="auto" w:before="62"/>
        <w:ind w:right="193" w:firstLine="360"/>
        <w:jc w:val="both"/>
      </w:pPr>
      <w:r>
        <w:rPr>
          <w:rFonts w:ascii="Times New Roman" w:hAnsi="Times New Roman" w:cs="Times New Roman" w:eastAsia="Times New Roman" w:hint="default"/>
          <w:spacing w:val="-2"/>
        </w:rPr>
        <w:t>2016</w:t>
      </w:r>
      <w:r>
        <w:rPr>
          <w:spacing w:val="-2"/>
        </w:rPr>
        <w:t>年，公司将在战略规划指引下，坚持既定的</w:t>
      </w:r>
      <w:r>
        <w:rPr>
          <w:rFonts w:ascii="Times New Roman" w:hAnsi="Times New Roman" w:cs="Times New Roman" w:eastAsia="Times New Roman" w:hint="default"/>
          <w:spacing w:val="-2"/>
        </w:rPr>
        <w:t>“</w:t>
      </w:r>
      <w:r>
        <w:rPr>
          <w:spacing w:val="-2"/>
        </w:rPr>
        <w:t>高端客户、高端产品</w:t>
      </w:r>
      <w:r>
        <w:rPr>
          <w:rFonts w:ascii="Times New Roman" w:hAnsi="Times New Roman" w:cs="Times New Roman" w:eastAsia="Times New Roman" w:hint="default"/>
          <w:spacing w:val="-2"/>
        </w:rPr>
        <w:t>”</w:t>
      </w:r>
      <w:r>
        <w:rPr>
          <w:spacing w:val="-2"/>
        </w:rPr>
        <w:t>以及核心竞争力构建策略，积极把握包装印刷产</w:t>
      </w:r>
      <w:r>
        <w:rPr/>
        <w:t> </w:t>
      </w:r>
      <w:r>
        <w:rPr>
          <w:spacing w:val="-2"/>
        </w:rPr>
        <w:t>业与互联网、移动互联网、物联网结合带来的发展机遇，力争实现销售收入和净利润大幅增长。为此，公司将着力做好如下</w:t>
      </w:r>
      <w:r>
        <w:rPr>
          <w:spacing w:val="-67"/>
        </w:rPr>
        <w:t> </w:t>
      </w:r>
      <w:r>
        <w:rPr>
          <w:spacing w:val="-67"/>
        </w:rPr>
      </w:r>
      <w:r>
        <w:rPr/>
        <w:t>工作：</w:t>
      </w:r>
    </w:p>
    <w:p>
      <w:pPr>
        <w:pStyle w:val="BodyText"/>
        <w:spacing w:line="300" w:lineRule="auto" w:before="24"/>
        <w:ind w:left="512" w:right="104"/>
        <w:jc w:val="left"/>
      </w:pPr>
      <w:r>
        <w:rPr/>
        <w:t>（</w:t>
      </w:r>
      <w:r>
        <w:rPr>
          <w:rFonts w:ascii="Times New Roman" w:hAnsi="Times New Roman" w:cs="Times New Roman" w:eastAsia="Times New Roman" w:hint="default"/>
        </w:rPr>
        <w:t>1</w:t>
      </w:r>
      <w:r>
        <w:rPr/>
        <w:t>）强化新开发客户的服务深度和广度，实现销售收入和净利润大幅增长 </w:t>
      </w:r>
      <w:r>
        <w:rPr>
          <w:spacing w:val="-4"/>
        </w:rPr>
        <w:t>最近三年，公司开发了众多优质新客户，这些客户包装需求大，附加值高，公司将充分发挥自身在服务模式、产品品质、</w:t>
      </w:r>
    </w:p>
    <w:p>
      <w:pPr>
        <w:pStyle w:val="BodyText"/>
        <w:spacing w:line="316" w:lineRule="auto" w:before="31"/>
        <w:ind w:right="190"/>
        <w:jc w:val="both"/>
      </w:pPr>
      <w:r>
        <w:rPr>
          <w:spacing w:val="-2"/>
        </w:rPr>
        <w:t>精益制造方面的优势，为这些新客户提供优质服务，强化新客户服务深度和广度，将新客户转化为新订单，将新订单转化为</w:t>
      </w:r>
      <w:r>
        <w:rPr>
          <w:spacing w:val="-65"/>
        </w:rPr>
        <w:t> </w:t>
      </w:r>
      <w:r>
        <w:rPr>
          <w:spacing w:val="-65"/>
        </w:rPr>
      </w:r>
      <w:r>
        <w:rPr/>
        <w:t>新增销售额，实现销售收入和净利润大幅增长。</w:t>
      </w:r>
    </w:p>
    <w:p>
      <w:pPr>
        <w:pStyle w:val="BodyText"/>
        <w:spacing w:line="240" w:lineRule="auto" w:before="18"/>
        <w:ind w:left="512" w:right="104"/>
        <w:jc w:val="left"/>
      </w:pPr>
      <w:r>
        <w:rPr/>
        <w:t>（</w:t>
      </w:r>
      <w:r>
        <w:rPr>
          <w:rFonts w:ascii="Times New Roman" w:hAnsi="Times New Roman" w:cs="Times New Roman" w:eastAsia="Times New Roman" w:hint="default"/>
        </w:rPr>
        <w:t>2</w:t>
      </w:r>
      <w:r>
        <w:rPr/>
        <w:t>）持续加大客户开发力度，着力加大国内细分行业龙头企业新客户的开发</w:t>
      </w:r>
    </w:p>
    <w:p>
      <w:pPr>
        <w:pStyle w:val="BodyText"/>
        <w:spacing w:line="309" w:lineRule="auto" w:before="62"/>
        <w:ind w:right="190" w:firstLine="360"/>
        <w:jc w:val="both"/>
      </w:pPr>
      <w:r>
        <w:rPr>
          <w:rFonts w:ascii="Times New Roman" w:hAnsi="Times New Roman" w:cs="Times New Roman" w:eastAsia="Times New Roman" w:hint="default"/>
          <w:spacing w:val="-2"/>
        </w:rPr>
        <w:t>2016</w:t>
      </w:r>
      <w:r>
        <w:rPr>
          <w:spacing w:val="-2"/>
        </w:rPr>
        <w:t>年，公司将继续实施</w:t>
      </w:r>
      <w:r>
        <w:rPr>
          <w:rFonts w:ascii="Times New Roman" w:hAnsi="Times New Roman" w:cs="Times New Roman" w:eastAsia="Times New Roman" w:hint="default"/>
          <w:spacing w:val="-2"/>
        </w:rPr>
        <w:t>“</w:t>
      </w:r>
      <w:r>
        <w:rPr>
          <w:spacing w:val="-2"/>
        </w:rPr>
        <w:t>高端客户、高端产品</w:t>
      </w:r>
      <w:r>
        <w:rPr>
          <w:rFonts w:ascii="Times New Roman" w:hAnsi="Times New Roman" w:cs="Times New Roman" w:eastAsia="Times New Roman" w:hint="default"/>
          <w:spacing w:val="-2"/>
        </w:rPr>
        <w:t>”</w:t>
      </w:r>
      <w:r>
        <w:rPr>
          <w:spacing w:val="-2"/>
        </w:rPr>
        <w:t>的市场策略，把握客户资源向规模化企业集中的机遇，在继续开发世界</w:t>
      </w:r>
      <w:r>
        <w:rPr/>
        <w:t> </w:t>
      </w:r>
      <w:r>
        <w:rPr>
          <w:spacing w:val="-2"/>
        </w:rPr>
        <w:t>级企业客户的同时，着力加大国内各领域细分行业龙头企业的开发力度，通过中型客户的大量积累，为未来业绩的持续增长</w:t>
      </w:r>
      <w:r>
        <w:rPr>
          <w:spacing w:val="-63"/>
        </w:rPr>
        <w:t> </w:t>
      </w:r>
      <w:r>
        <w:rPr>
          <w:spacing w:val="-63"/>
        </w:rPr>
      </w:r>
      <w:r>
        <w:rPr/>
        <w:t>构建新的业务基础。</w:t>
      </w:r>
    </w:p>
    <w:p>
      <w:pPr>
        <w:pStyle w:val="BodyText"/>
        <w:spacing w:line="240" w:lineRule="auto" w:before="24"/>
        <w:ind w:left="512" w:right="104"/>
        <w:jc w:val="left"/>
      </w:pPr>
      <w:r>
        <w:rPr/>
        <w:t>（</w:t>
      </w:r>
      <w:r>
        <w:rPr>
          <w:rFonts w:ascii="Times New Roman" w:hAnsi="Times New Roman" w:cs="Times New Roman" w:eastAsia="Times New Roman" w:hint="default"/>
        </w:rPr>
        <w:t>3</w:t>
      </w:r>
      <w:r>
        <w:rPr/>
        <w:t>）继续推进创新客户服务模式业务的快速发展</w:t>
      </w:r>
    </w:p>
    <w:p>
      <w:pPr>
        <w:pStyle w:val="BodyText"/>
        <w:spacing w:line="309" w:lineRule="auto" w:before="62"/>
        <w:ind w:right="190" w:firstLine="360"/>
        <w:jc w:val="both"/>
      </w:pPr>
      <w:r>
        <w:rPr>
          <w:rFonts w:ascii="Times New Roman" w:hAnsi="Times New Roman" w:cs="Times New Roman" w:eastAsia="Times New Roman" w:hint="default"/>
          <w:spacing w:val="-2"/>
        </w:rPr>
        <w:t>2015</w:t>
      </w:r>
      <w:r>
        <w:rPr>
          <w:spacing w:val="-2"/>
        </w:rPr>
        <w:t>年，公司包材整装供应平台运营情况良好，实现了包材整装供应销售额的大幅提升。</w:t>
      </w:r>
      <w:r>
        <w:rPr>
          <w:rFonts w:ascii="Times New Roman" w:hAnsi="Times New Roman" w:cs="Times New Roman" w:eastAsia="Times New Roman" w:hint="default"/>
          <w:spacing w:val="-2"/>
        </w:rPr>
        <w:t>2016</w:t>
      </w:r>
      <w:r>
        <w:rPr>
          <w:spacing w:val="-2"/>
        </w:rPr>
        <w:t>年，公司将顺势而为，进</w:t>
      </w:r>
      <w:r>
        <w:rPr/>
        <w:t> </w:t>
      </w:r>
      <w:r>
        <w:rPr>
          <w:spacing w:val="-2"/>
        </w:rPr>
        <w:t>一步扩大泸美供应链管理平台的业务规模，积极推进宜美供应链管理平台业务的开展，并继续将包材整装供应服务模式向更</w:t>
      </w:r>
      <w:r>
        <w:rPr>
          <w:spacing w:val="-64"/>
        </w:rPr>
        <w:t> </w:t>
      </w:r>
      <w:r>
        <w:rPr>
          <w:spacing w:val="-64"/>
        </w:rPr>
      </w:r>
      <w:r>
        <w:rPr/>
        <w:t>大范围的客户进行推广。</w:t>
      </w:r>
    </w:p>
    <w:p>
      <w:pPr>
        <w:pStyle w:val="BodyText"/>
        <w:spacing w:line="240" w:lineRule="auto" w:before="24"/>
        <w:ind w:left="512" w:right="104"/>
        <w:jc w:val="left"/>
      </w:pPr>
      <w:r>
        <w:rPr/>
        <w:t>（</w:t>
      </w:r>
      <w:r>
        <w:rPr>
          <w:rFonts w:ascii="Times New Roman" w:hAnsi="Times New Roman" w:cs="Times New Roman" w:eastAsia="Times New Roman" w:hint="default"/>
        </w:rPr>
        <w:t>4</w:t>
      </w:r>
      <w:r>
        <w:rPr/>
        <w:t>）厚积薄发，加大互联网业务战略实施力度</w:t>
      </w:r>
    </w:p>
    <w:p>
      <w:pPr>
        <w:pStyle w:val="BodyText"/>
        <w:spacing w:line="309" w:lineRule="auto" w:before="62"/>
        <w:ind w:right="94" w:firstLine="360"/>
        <w:jc w:val="left"/>
      </w:pPr>
      <w:r>
        <w:rPr>
          <w:rFonts w:ascii="Times New Roman" w:hAnsi="Times New Roman" w:cs="Times New Roman" w:eastAsia="Times New Roman" w:hint="default"/>
          <w:spacing w:val="-2"/>
        </w:rPr>
        <w:t>2016</w:t>
      </w:r>
      <w:r>
        <w:rPr>
          <w:spacing w:val="-2"/>
        </w:rPr>
        <w:t>年，公司将在上年打造互联网包装印刷生态圈进行的工作基础上，一方面将投入更多的资源，另一方面通过非公开</w:t>
      </w:r>
      <w:r>
        <w:rPr/>
        <w:t> 发行股票融资，有效保障包装印刷互联网业务战略的顺利实施，充分把握行业发展机遇，将包装印刷产业与互联网相结合， 致力于成为国内包装印刷互联网行业的引领者。</w:t>
      </w:r>
    </w:p>
    <w:p>
      <w:pPr>
        <w:pStyle w:val="BodyText"/>
        <w:spacing w:line="300" w:lineRule="auto" w:before="24"/>
        <w:ind w:left="512" w:right="104"/>
        <w:jc w:val="left"/>
      </w:pPr>
      <w:r>
        <w:rPr/>
        <w:t>（</w:t>
      </w:r>
      <w:r>
        <w:rPr>
          <w:rFonts w:ascii="Times New Roman" w:hAnsi="Times New Roman" w:cs="Times New Roman" w:eastAsia="Times New Roman" w:hint="default"/>
        </w:rPr>
        <w:t>5</w:t>
      </w:r>
      <w:r>
        <w:rPr/>
        <w:t>）智能包装物联网项目的实施 </w:t>
      </w:r>
      <w:r>
        <w:rPr>
          <w:spacing w:val="-2"/>
        </w:rPr>
        <w:t>作为包装行业的领先企业，公司将积极把握包装智能化的行业发展新趋势，力争通过直接投资或者与物联网、互联网企</w:t>
      </w:r>
    </w:p>
    <w:p>
      <w:pPr>
        <w:pStyle w:val="BodyText"/>
        <w:spacing w:line="240" w:lineRule="auto" w:before="31"/>
        <w:ind w:right="0"/>
        <w:jc w:val="both"/>
      </w:pPr>
      <w:r>
        <w:rPr/>
        <w:t>业进行战略合作的方式来实施智能包装物联网项目。</w:t>
      </w:r>
    </w:p>
    <w:p>
      <w:pPr>
        <w:pStyle w:val="BodyText"/>
        <w:spacing w:line="300" w:lineRule="auto" w:before="76"/>
        <w:ind w:left="512" w:right="104"/>
        <w:jc w:val="left"/>
      </w:pPr>
      <w:r>
        <w:rPr/>
        <w:t>（</w:t>
      </w:r>
      <w:r>
        <w:rPr>
          <w:rFonts w:ascii="Times New Roman" w:hAnsi="Times New Roman" w:cs="Times New Roman" w:eastAsia="Times New Roman" w:hint="default"/>
        </w:rPr>
        <w:t>6</w:t>
      </w:r>
      <w:r>
        <w:rPr/>
        <w:t>）大力加强人才梯队建设，为公司下一轮快速发展引入充足的人才 </w:t>
      </w:r>
      <w:r>
        <w:rPr>
          <w:spacing w:val="-2"/>
        </w:rPr>
        <w:t>目前，公司已迈入新的发展阶段，商业模式进一步升级，高端客户资源更加丰富，管理跨度显著增加，需要非常充足的</w:t>
      </w:r>
    </w:p>
    <w:p>
      <w:pPr>
        <w:pStyle w:val="BodyText"/>
        <w:spacing w:line="309" w:lineRule="auto" w:before="31"/>
        <w:ind w:right="193"/>
        <w:jc w:val="both"/>
      </w:pPr>
      <w:r>
        <w:rPr>
          <w:spacing w:val="-2"/>
        </w:rPr>
        <w:t>各类人才资源作为保障，这些人才不仅是研发技术、运营管理、市场营销方面的，还包括互联网、物联网、电子商务等方面</w:t>
      </w:r>
      <w:r>
        <w:rPr>
          <w:spacing w:val="-68"/>
        </w:rPr>
        <w:t> </w:t>
      </w:r>
      <w:r>
        <w:rPr>
          <w:spacing w:val="-68"/>
        </w:rPr>
      </w:r>
      <w:r>
        <w:rPr>
          <w:spacing w:val="-2"/>
        </w:rPr>
        <w:t>的高端人才。</w:t>
      </w:r>
      <w:r>
        <w:rPr>
          <w:rFonts w:ascii="Times New Roman" w:hAnsi="Times New Roman" w:cs="Times New Roman" w:eastAsia="Times New Roman" w:hint="default"/>
          <w:spacing w:val="-2"/>
        </w:rPr>
        <w:t>2016</w:t>
      </w:r>
      <w:r>
        <w:rPr>
          <w:spacing w:val="-2"/>
        </w:rPr>
        <w:t>年，公司将充分发挥公司品牌优势，优化激励机制，通过多种方式大力引进公司发展所需的各类人才，为</w:t>
      </w:r>
      <w:r>
        <w:rPr>
          <w:spacing w:val="-65"/>
        </w:rPr>
        <w:t> </w:t>
      </w:r>
      <w:r>
        <w:rPr>
          <w:spacing w:val="-65"/>
        </w:rPr>
      </w:r>
      <w:r>
        <w:rPr/>
        <w:t>公司下一轮发展提供坚实的人才保障。</w:t>
      </w:r>
    </w:p>
    <w:p>
      <w:pPr>
        <w:spacing w:line="240" w:lineRule="auto" w:before="9"/>
        <w:rPr>
          <w:rFonts w:ascii="宋体" w:hAnsi="宋体" w:cs="宋体" w:eastAsia="宋体" w:hint="default"/>
          <w:sz w:val="25"/>
          <w:szCs w:val="25"/>
        </w:rPr>
      </w:pPr>
    </w:p>
    <w:p>
      <w:pPr>
        <w:pStyle w:val="BodyText"/>
        <w:spacing w:line="309" w:lineRule="auto"/>
        <w:ind w:left="512" w:right="184"/>
        <w:jc w:val="left"/>
      </w:pPr>
      <w:r>
        <w:rPr/>
        <w:t>四、其他可能存在的风险和应对措施分析 </w:t>
      </w:r>
      <w:r>
        <w:rPr>
          <w:rFonts w:ascii="Times New Roman" w:hAnsi="Times New Roman" w:cs="Times New Roman" w:eastAsia="Times New Roman" w:hint="default"/>
        </w:rPr>
        <w:t>1</w:t>
      </w:r>
      <w:r>
        <w:rPr/>
        <w:t>、市场风险：中国经济增速下滑，一些包装下游产业受到影响，如市场信心和需求不能回升，容易传导至包装产业。 </w:t>
      </w:r>
      <w:r>
        <w:rPr>
          <w:spacing w:val="-2"/>
        </w:rPr>
        <w:t>应对措施：深化研发和一体化服务，提升核心竞争力，着力开发高端包装市场国内细分行业龙头企业客户，增加中型客</w:t>
      </w:r>
    </w:p>
    <w:p>
      <w:pPr>
        <w:pStyle w:val="BodyText"/>
        <w:spacing w:line="240" w:lineRule="auto" w:before="24"/>
        <w:ind w:right="0"/>
        <w:jc w:val="both"/>
      </w:pPr>
      <w:r>
        <w:rPr/>
        <w:t>户数量，增强抗风险能力。</w:t>
      </w:r>
    </w:p>
    <w:p>
      <w:pPr>
        <w:pStyle w:val="BodyText"/>
        <w:spacing w:line="240" w:lineRule="auto" w:before="76"/>
        <w:ind w:left="512" w:right="10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、行业竞争加剧风险：参见</w:t>
      </w:r>
      <w:r>
        <w:rPr>
          <w:rFonts w:ascii="Times New Roman" w:hAnsi="Times New Roman" w:cs="Times New Roman" w:eastAsia="Times New Roman" w:hint="default"/>
        </w:rPr>
        <w:t>“</w:t>
      </w:r>
      <w:r>
        <w:rPr/>
        <w:t>二、公司发展战略（</w:t>
      </w:r>
      <w:r>
        <w:rPr>
          <w:rFonts w:ascii="Times New Roman" w:hAnsi="Times New Roman" w:cs="Times New Roman" w:eastAsia="Times New Roman" w:hint="default"/>
        </w:rPr>
        <w:t>3</w:t>
      </w:r>
      <w:r>
        <w:rPr/>
        <w:t>）发展面临挑战</w:t>
      </w:r>
      <w:r>
        <w:rPr>
          <w:rFonts w:ascii="Times New Roman" w:hAnsi="Times New Roman" w:cs="Times New Roman" w:eastAsia="Times New Roman" w:hint="default"/>
        </w:rPr>
        <w:t>”</w:t>
      </w:r>
    </w:p>
    <w:p>
      <w:pPr>
        <w:pStyle w:val="BodyText"/>
        <w:spacing w:line="316" w:lineRule="auto" w:before="62"/>
        <w:ind w:right="195" w:firstLine="360"/>
        <w:jc w:val="both"/>
      </w:pPr>
      <w:r>
        <w:rPr>
          <w:spacing w:val="-2"/>
        </w:rPr>
        <w:t>应对措施：持续扩大公司在研发设计、高端制造、服务模式创新等方面的竞争优势，积极把握行业发展趋势，提升综合</w:t>
      </w:r>
      <w:r>
        <w:rPr/>
        <w:t> 竞争实力。</w:t>
      </w:r>
    </w:p>
    <w:p>
      <w:pPr>
        <w:pStyle w:val="BodyText"/>
        <w:spacing w:line="240" w:lineRule="auto" w:before="18"/>
        <w:ind w:left="512" w:right="10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、人才引进方面的风险：参见</w:t>
      </w:r>
      <w:r>
        <w:rPr>
          <w:rFonts w:ascii="Times New Roman" w:hAnsi="Times New Roman" w:cs="Times New Roman" w:eastAsia="Times New Roman" w:hint="default"/>
        </w:rPr>
        <w:t>“</w:t>
      </w:r>
      <w:r>
        <w:rPr/>
        <w:t>二、公司发展战略（</w:t>
      </w:r>
      <w:r>
        <w:rPr>
          <w:rFonts w:ascii="Times New Roman" w:hAnsi="Times New Roman" w:cs="Times New Roman" w:eastAsia="Times New Roman" w:hint="default"/>
        </w:rPr>
        <w:t>3</w:t>
      </w:r>
      <w:r>
        <w:rPr/>
        <w:t>）发展面临挑战</w:t>
      </w:r>
      <w:r>
        <w:rPr>
          <w:rFonts w:ascii="Times New Roman" w:hAnsi="Times New Roman" w:cs="Times New Roman" w:eastAsia="Times New Roman" w:hint="default"/>
        </w:rPr>
        <w:t>”</w:t>
      </w:r>
    </w:p>
    <w:p>
      <w:pPr>
        <w:pStyle w:val="BodyText"/>
        <w:spacing w:line="316" w:lineRule="auto" w:before="62"/>
        <w:ind w:left="513" w:right="5603"/>
        <w:jc w:val="left"/>
        <w:rPr>
          <w:rFonts w:ascii="Times New Roman" w:hAnsi="Times New Roman" w:cs="Times New Roman" w:eastAsia="Times New Roman" w:hint="default"/>
        </w:rPr>
      </w:pPr>
      <w:r>
        <w:rPr/>
        <w:t>应对措施： 参见</w:t>
      </w:r>
      <w:r>
        <w:rPr>
          <w:rFonts w:ascii="Times New Roman" w:hAnsi="Times New Roman" w:cs="Times New Roman" w:eastAsia="Times New Roman" w:hint="default"/>
        </w:rPr>
        <w:t>“</w:t>
      </w:r>
      <w:r>
        <w:rPr/>
        <w:t>三、公司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年度经营计划（</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p>
    <w:p>
      <w:pPr>
        <w:spacing w:after="0" w:line="316" w:lineRule="auto"/>
        <w:jc w:val="left"/>
        <w:rPr>
          <w:rFonts w:ascii="Times New Roman" w:hAnsi="Times New Roman" w:cs="Times New Roman" w:eastAsia="Times New Roman" w:hint="default"/>
        </w:rPr>
        <w:sectPr>
          <w:pgSz w:w="11910" w:h="16840"/>
          <w:pgMar w:header="745"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p>
      <w:pPr>
        <w:pStyle w:val="BodyText"/>
        <w:spacing w:line="240" w:lineRule="auto" w:before="44"/>
        <w:ind w:left="512" w:right="104"/>
        <w:jc w:val="left"/>
      </w:pPr>
      <w:r>
        <w:rPr/>
        <w:t>五、</w:t>
      </w:r>
      <w:r>
        <w:rPr>
          <w:rFonts w:ascii="Times New Roman" w:hAnsi="Times New Roman" w:cs="Times New Roman" w:eastAsia="Times New Roman" w:hint="default"/>
        </w:rPr>
        <w:t>2015</w:t>
      </w:r>
      <w:r>
        <w:rPr/>
        <w:t>年度经营计划完成情况</w:t>
      </w:r>
    </w:p>
    <w:p>
      <w:pPr>
        <w:pStyle w:val="BodyText"/>
        <w:spacing w:line="240" w:lineRule="auto" w:before="62"/>
        <w:ind w:left="512" w:right="104"/>
        <w:jc w:val="left"/>
      </w:pPr>
      <w:r>
        <w:rPr>
          <w:rFonts w:ascii="Times New Roman" w:hAnsi="Times New Roman" w:cs="Times New Roman" w:eastAsia="Times New Roman" w:hint="default"/>
        </w:rPr>
        <w:t>2015</w:t>
      </w:r>
      <w:r>
        <w:rPr/>
        <w:t>年，公司按照年初制定的经营计划着力开展以下工作，进展情况顺利：</w:t>
      </w:r>
    </w:p>
    <w:p>
      <w:pPr>
        <w:pStyle w:val="BodyText"/>
        <w:spacing w:line="240" w:lineRule="auto" w:before="62"/>
        <w:ind w:left="512" w:right="104"/>
        <w:jc w:val="left"/>
      </w:pPr>
      <w:r>
        <w:rPr/>
        <w:t>（</w:t>
      </w:r>
      <w:r>
        <w:rPr>
          <w:rFonts w:ascii="Times New Roman" w:hAnsi="Times New Roman" w:cs="Times New Roman" w:eastAsia="Times New Roman" w:hint="default"/>
        </w:rPr>
        <w:t>1</w:t>
      </w:r>
      <w:r>
        <w:rPr/>
        <w:t>）深耕市场，继续大力拓展高附加值新客户</w:t>
      </w:r>
    </w:p>
    <w:p>
      <w:pPr>
        <w:pStyle w:val="BodyText"/>
        <w:spacing w:line="312" w:lineRule="auto" w:before="62"/>
        <w:ind w:right="190" w:firstLine="360"/>
        <w:jc w:val="both"/>
      </w:pPr>
      <w:r>
        <w:rPr>
          <w:rFonts w:ascii="Times New Roman" w:hAnsi="Times New Roman" w:cs="Times New Roman" w:eastAsia="Times New Roman" w:hint="default"/>
        </w:rPr>
        <w:t>2015</w:t>
      </w:r>
      <w:r>
        <w:rPr/>
        <w:t>年初至本报告披露之日，公司及下属子公司先后获得了中国移动、</w:t>
      </w:r>
      <w:r>
        <w:rPr>
          <w:rFonts w:ascii="Times New Roman" w:hAnsi="Times New Roman" w:cs="Times New Roman" w:eastAsia="Times New Roman" w:hint="default"/>
        </w:rPr>
        <w:t>Diageo</w:t>
      </w:r>
      <w:r>
        <w:rPr/>
        <w:t>、</w:t>
      </w:r>
      <w:r>
        <w:rPr>
          <w:rFonts w:ascii="Times New Roman" w:hAnsi="Times New Roman" w:cs="Times New Roman" w:eastAsia="Times New Roman" w:hint="default"/>
        </w:rPr>
        <w:t>Sonos</w:t>
      </w:r>
      <w:r>
        <w:rPr/>
        <w:t>、海天味业、海康威视、顺丰速</w:t>
      </w:r>
      <w:r>
        <w:rPr>
          <w:w w:val="99"/>
        </w:rPr>
        <w:t> </w:t>
      </w:r>
      <w:r>
        <w:rPr>
          <w:spacing w:val="-2"/>
        </w:rPr>
        <w:t>运、中国石化、福耀玻璃、优必选机器人公司等在内的众多高端客户的包装产品供应资质。报告期内，公司被批准为二级军</w:t>
      </w:r>
      <w:r>
        <w:rPr>
          <w:spacing w:val="-66"/>
        </w:rPr>
        <w:t> </w:t>
      </w:r>
      <w:r>
        <w:rPr>
          <w:spacing w:val="-66"/>
        </w:rPr>
      </w:r>
      <w:r>
        <w:rPr>
          <w:spacing w:val="-2"/>
        </w:rPr>
        <w:t>工保密资格单位，为公司拓展军工物资市场奠定了良好的基础。新客户的不断开发，进一步丰富了公司高端客户资源，为公</w:t>
      </w:r>
      <w:r>
        <w:rPr>
          <w:spacing w:val="-65"/>
        </w:rPr>
        <w:t> </w:t>
      </w:r>
      <w:r>
        <w:rPr>
          <w:spacing w:val="-65"/>
        </w:rPr>
      </w:r>
      <w:r>
        <w:rPr/>
        <w:t>司未来的持续增长奠定坚实的基础。</w:t>
      </w:r>
    </w:p>
    <w:p>
      <w:pPr>
        <w:pStyle w:val="BodyText"/>
        <w:spacing w:line="300" w:lineRule="auto" w:before="22"/>
        <w:ind w:left="512" w:right="104"/>
        <w:jc w:val="left"/>
      </w:pPr>
      <w:r>
        <w:rPr/>
        <w:t>（</w:t>
      </w:r>
      <w:r>
        <w:rPr>
          <w:rFonts w:ascii="Times New Roman" w:hAnsi="Times New Roman" w:cs="Times New Roman" w:eastAsia="Times New Roman" w:hint="default"/>
        </w:rPr>
        <w:t>2</w:t>
      </w:r>
      <w:r>
        <w:rPr/>
        <w:t>）积极推动创新客户服务模式业务发展 </w:t>
      </w:r>
      <w:r>
        <w:rPr>
          <w:spacing w:val="-2"/>
        </w:rPr>
        <w:t>作为对包装一体化服务模式的深化，公司于</w:t>
      </w:r>
      <w:r>
        <w:rPr>
          <w:rFonts w:ascii="Times New Roman" w:hAnsi="Times New Roman" w:cs="Times New Roman" w:eastAsia="Times New Roman" w:hint="default"/>
          <w:spacing w:val="-2"/>
        </w:rPr>
        <w:t>2014</w:t>
      </w:r>
      <w:r>
        <w:rPr>
          <w:spacing w:val="-2"/>
        </w:rPr>
        <w:t>年创新性的提出了建立包材整装供应平台的客户服务模式，以轻资产的</w:t>
      </w:r>
    </w:p>
    <w:p>
      <w:pPr>
        <w:pStyle w:val="BodyText"/>
        <w:spacing w:line="312" w:lineRule="auto" w:before="13"/>
        <w:ind w:right="94" w:hanging="1"/>
        <w:jc w:val="left"/>
      </w:pPr>
      <w:r>
        <w:rPr>
          <w:spacing w:val="-2"/>
        </w:rPr>
        <w:t>模式整合包装行业优势资源，实现客户、整装平台服务商及供应商三方</w:t>
      </w:r>
      <w:r>
        <w:rPr>
          <w:rFonts w:ascii="Times New Roman" w:hAnsi="Times New Roman" w:cs="Times New Roman" w:eastAsia="Times New Roman" w:hint="default"/>
          <w:spacing w:val="-2"/>
        </w:rPr>
        <w:t>“</w:t>
      </w:r>
      <w:r>
        <w:rPr>
          <w:spacing w:val="-2"/>
        </w:rPr>
        <w:t>优势互补、资源共享、合作共赢</w:t>
      </w:r>
      <w:r>
        <w:rPr>
          <w:rFonts w:ascii="Times New Roman" w:hAnsi="Times New Roman" w:cs="Times New Roman" w:eastAsia="Times New Roman" w:hint="default"/>
          <w:spacing w:val="-2"/>
        </w:rPr>
        <w:t>”</w:t>
      </w:r>
      <w:r>
        <w:rPr>
          <w:spacing w:val="-2"/>
        </w:rPr>
        <w:t>的目标，通过打造</w:t>
      </w:r>
      <w:r>
        <w:rPr>
          <w:spacing w:val="-42"/>
        </w:rPr>
        <w:t> </w:t>
      </w:r>
      <w:r>
        <w:rPr>
          <w:spacing w:val="-42"/>
        </w:rPr>
      </w:r>
      <w:r>
        <w:rPr>
          <w:spacing w:val="-2"/>
        </w:rPr>
        <w:t>平台创新盈利模式，形成独特的优势，增强公司客户服务能力和客户合作黏性，形成新的业务增长点。公司包材整装供应平</w:t>
      </w:r>
      <w:r>
        <w:rPr>
          <w:spacing w:val="-66"/>
        </w:rPr>
        <w:t> </w:t>
      </w:r>
      <w:r>
        <w:rPr>
          <w:spacing w:val="-66"/>
        </w:rPr>
      </w:r>
      <w:r>
        <w:rPr>
          <w:spacing w:val="-2"/>
        </w:rPr>
        <w:t>台自设立以来，实现了快速的发展，并获得客户及产业相关方的认可和赞誉。作为公司包材整装供应平台服务模式的推广和</w:t>
      </w:r>
      <w:r>
        <w:rPr>
          <w:spacing w:val="-64"/>
        </w:rPr>
        <w:t> </w:t>
      </w:r>
      <w:r>
        <w:rPr>
          <w:spacing w:val="-64"/>
        </w:rPr>
      </w:r>
      <w:r>
        <w:rPr>
          <w:spacing w:val="-2"/>
        </w:rPr>
        <w:t>复制，公司于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4</w:t>
      </w:r>
      <w:r>
        <w:rPr>
          <w:spacing w:val="-2"/>
        </w:rPr>
        <w:t>日与宜宾市经济和信息化委员会签署《共建宜宾市供应链平台战略合作框架协议》，约定共建宜宾</w:t>
      </w:r>
      <w:r>
        <w:rPr>
          <w:spacing w:val="-61"/>
        </w:rPr>
        <w:t> </w:t>
      </w:r>
      <w:r>
        <w:rPr>
          <w:spacing w:val="-61"/>
        </w:rPr>
      </w:r>
      <w:r>
        <w:rPr>
          <w:spacing w:val="-2"/>
        </w:rPr>
        <w:t>市包材供应链平台。协议的签订，一方面反映了公司在泸州区域推出的包材整装供应服务模式获得了产业相关方的认可；另</w:t>
      </w:r>
      <w:r>
        <w:rPr>
          <w:spacing w:val="-64"/>
        </w:rPr>
        <w:t> </w:t>
      </w:r>
      <w:r>
        <w:rPr>
          <w:spacing w:val="-64"/>
        </w:rPr>
      </w:r>
      <w:r>
        <w:rPr/>
        <w:t>一方面说明了公司包材整装供应服务这一商业模式的可复制性，为公司通过轻资产的模式实现增长形成了良好的示范效应。 </w:t>
      </w:r>
      <w:r>
        <w:rPr>
          <w:spacing w:val="-2"/>
        </w:rPr>
        <w:t>包材整装供应平台服务模式的应用和推广是公司现有服务模式的进一步深化，有利于提升公司综合竞争实力，增强公司客户</w:t>
      </w:r>
      <w:r>
        <w:rPr>
          <w:spacing w:val="-65"/>
        </w:rPr>
        <w:t> </w:t>
      </w:r>
      <w:r>
        <w:rPr>
          <w:spacing w:val="-65"/>
        </w:rPr>
      </w:r>
      <w:r>
        <w:rPr/>
        <w:t>服务能力，进一步打开包装市场空间。</w:t>
      </w:r>
    </w:p>
    <w:p>
      <w:pPr>
        <w:pStyle w:val="BodyText"/>
        <w:spacing w:line="300" w:lineRule="auto" w:before="22"/>
        <w:ind w:left="512" w:right="104"/>
        <w:jc w:val="left"/>
      </w:pPr>
      <w:r>
        <w:rPr/>
        <w:t>（</w:t>
      </w:r>
      <w:r>
        <w:rPr>
          <w:rFonts w:ascii="Times New Roman" w:hAnsi="Times New Roman" w:cs="Times New Roman" w:eastAsia="Times New Roman" w:hint="default"/>
        </w:rPr>
        <w:t>3</w:t>
      </w:r>
      <w:r>
        <w:rPr/>
        <w:t>）大力推进包装印刷产业互联网业务的实施 </w:t>
      </w:r>
      <w:r>
        <w:rPr>
          <w:spacing w:val="-2"/>
        </w:rPr>
        <w:t>报告期内，公司先后设立小美集科技有限公司、美莲检测有限公司，为构建互联网包装印刷生态系统进行战略布局。按</w:t>
      </w:r>
    </w:p>
    <w:p>
      <w:pPr>
        <w:pStyle w:val="BodyText"/>
        <w:spacing w:line="314" w:lineRule="auto" w:before="31"/>
        <w:ind w:right="94"/>
        <w:jc w:val="left"/>
      </w:pPr>
      <w:r>
        <w:rPr/>
        <w:t>照公司</w:t>
      </w:r>
      <w:r>
        <w:rPr>
          <w:rFonts w:ascii="Times New Roman" w:hAnsi="Times New Roman" w:cs="Times New Roman" w:eastAsia="Times New Roman" w:hint="default"/>
        </w:rPr>
        <w:t>2015</w:t>
      </w:r>
      <w:r>
        <w:rPr/>
        <w:t>年度非公开发行股票预案的募集资金使用计划，公司将投资建设互联网包装印刷产业云平台及生态系统建设项 </w:t>
      </w:r>
      <w:r>
        <w:rPr>
          <w:spacing w:val="-2"/>
        </w:rPr>
        <w:t>目，该项目旨在打造整合包装产业上下游，汇聚线上、线下各类资源，应用大数据分析、挖掘及提供增值服务的互联网包装</w:t>
      </w:r>
      <w:r>
        <w:rPr>
          <w:spacing w:val="-67"/>
        </w:rPr>
        <w:t> </w:t>
      </w:r>
      <w:r>
        <w:rPr>
          <w:spacing w:val="-67"/>
        </w:rPr>
      </w:r>
      <w:r>
        <w:rPr/>
        <w:t>印刷生态系统。公司通过打造互联网包装印刷生态系统，打破传统产业的不经济、区域性分散、个性化缺乏等制约和痛点， </w:t>
      </w:r>
      <w:r>
        <w:rPr>
          <w:spacing w:val="-2"/>
        </w:rPr>
        <w:t>实现自身跨越式发展。通过互联网包装印刷产业云平台，小企业客户及终端消费者、中小型包装印刷企业、设计师等多方主</w:t>
      </w:r>
      <w:r>
        <w:rPr>
          <w:spacing w:val="-65"/>
        </w:rPr>
        <w:t> </w:t>
      </w:r>
      <w:r>
        <w:rPr>
          <w:spacing w:val="-65"/>
        </w:rPr>
      </w:r>
      <w:r>
        <w:rPr/>
        <w:t>体均能在互联网包装印刷生态系统中发挥各自优势、实现市场化竞争，达到多方共赢的局面。</w:t>
      </w:r>
    </w:p>
    <w:p>
      <w:pPr>
        <w:pStyle w:val="BodyText"/>
        <w:spacing w:line="240" w:lineRule="auto" w:before="20"/>
        <w:ind w:left="512" w:right="104"/>
        <w:jc w:val="left"/>
      </w:pPr>
      <w:r>
        <w:rPr/>
        <w:t>（</w:t>
      </w:r>
      <w:r>
        <w:rPr>
          <w:rFonts w:ascii="Times New Roman" w:hAnsi="Times New Roman" w:cs="Times New Roman" w:eastAsia="Times New Roman" w:hint="default"/>
        </w:rPr>
        <w:t>4</w:t>
      </w:r>
      <w:r>
        <w:rPr/>
        <w:t>）加强人才梯队建设，保障公司快速发展所需的人力资源</w:t>
      </w:r>
    </w:p>
    <w:p>
      <w:pPr>
        <w:pStyle w:val="BodyText"/>
        <w:spacing w:line="300" w:lineRule="auto" w:before="62"/>
        <w:ind w:right="94" w:firstLine="360"/>
        <w:jc w:val="left"/>
      </w:pPr>
      <w:r>
        <w:rPr>
          <w:rFonts w:ascii="Times New Roman" w:hAnsi="Times New Roman" w:cs="Times New Roman" w:eastAsia="Times New Roman" w:hint="default"/>
          <w:spacing w:val="-2"/>
        </w:rPr>
        <w:t>2015</w:t>
      </w:r>
      <w:r>
        <w:rPr>
          <w:spacing w:val="-2"/>
        </w:rPr>
        <w:t>年，公司一方面继续加强各类基础人才资源梯队的建设，通过内外部培训，为公司组建高素质、高效率的岗位人员</w:t>
      </w:r>
      <w:r>
        <w:rPr/>
        <w:t> </w:t>
      </w:r>
      <w:r>
        <w:rPr>
          <w:spacing w:val="-3"/>
        </w:rPr>
        <w:t>储备人才，使其成为公司发展的生力军；另一方面将通过外部发掘，大力引进各类</w:t>
      </w:r>
      <w:r>
        <w:rPr>
          <w:rFonts w:ascii="Times New Roman" w:hAnsi="Times New Roman" w:cs="Times New Roman" w:eastAsia="Times New Roman" w:hint="default"/>
          <w:spacing w:val="-3"/>
        </w:rPr>
        <w:t>“</w:t>
      </w:r>
      <w:r>
        <w:rPr>
          <w:spacing w:val="-3"/>
        </w:rPr>
        <w:t>高、精、尖</w:t>
      </w:r>
      <w:r>
        <w:rPr>
          <w:rFonts w:ascii="Times New Roman" w:hAnsi="Times New Roman" w:cs="Times New Roman" w:eastAsia="Times New Roman" w:hint="default"/>
          <w:spacing w:val="-3"/>
        </w:rPr>
        <w:t>”</w:t>
      </w:r>
      <w:r>
        <w:rPr>
          <w:spacing w:val="-3"/>
        </w:rPr>
        <w:t>人才，提升公司的研发实力、</w:t>
      </w:r>
      <w:r>
        <w:rPr>
          <w:spacing w:val="-78"/>
        </w:rPr>
        <w:t> </w:t>
      </w:r>
      <w:r>
        <w:rPr>
          <w:spacing w:val="-78"/>
        </w:rPr>
      </w:r>
      <w:r>
        <w:rPr/>
        <w:t>综合管理水平、市场营销能力以及互联网经营能力。</w:t>
      </w:r>
    </w:p>
    <w:p>
      <w:pPr>
        <w:spacing w:line="240" w:lineRule="auto" w:before="12"/>
        <w:rPr>
          <w:rFonts w:ascii="宋体" w:hAnsi="宋体" w:cs="宋体" w:eastAsia="宋体" w:hint="default"/>
          <w:sz w:val="21"/>
          <w:szCs w:val="21"/>
        </w:rPr>
      </w:pPr>
    </w:p>
    <w:p>
      <w:pPr>
        <w:pStyle w:val="Heading2"/>
        <w:spacing w:line="240" w:lineRule="auto"/>
        <w:ind w:right="104"/>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4"/>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6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4"/>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04"/>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报告期内普通股利润分配政策，特别是现金分红政策的制定、执行或调整情况</w:t>
      </w:r>
    </w:p>
    <w:p>
      <w:pPr>
        <w:pStyle w:val="BodyText"/>
        <w:spacing w:line="240" w:lineRule="auto" w:before="117"/>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2" w:lineRule="auto" w:before="101"/>
        <w:ind w:right="102"/>
        <w:jc w:val="left"/>
      </w:pPr>
      <w:r>
        <w:rPr/>
        <w:t>公司</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年度第二次临时股东大会，审议通过《公司未来三年股东回报规划（</w:t>
      </w:r>
      <w:r>
        <w:rPr>
          <w:rFonts w:ascii="Times New Roman" w:hAnsi="Times New Roman" w:cs="Times New Roman" w:eastAsia="Times New Roman" w:hint="default"/>
        </w:rPr>
        <w:t>2012-2014</w:t>
      </w:r>
      <w:r>
        <w:rPr/>
        <w:t>）》并修订《公司章程》中利润分 </w:t>
      </w:r>
      <w:r>
        <w:rPr>
          <w:spacing w:val="-2"/>
        </w:rPr>
        <w:t>配的部分条款，着眼于公司的长远和可持续发展，在综合分析公司经营发展的实际情况、现金流量状况、未来盈利规模、项</w:t>
      </w:r>
      <w:r>
        <w:rPr>
          <w:spacing w:val="-67"/>
        </w:rPr>
        <w:t> </w:t>
      </w:r>
      <w:r>
        <w:rPr>
          <w:spacing w:val="-67"/>
        </w:rPr>
      </w:r>
      <w:r>
        <w:rPr>
          <w:spacing w:val="-2"/>
        </w:rPr>
        <w:t>目投资资金需求、银行信贷及外部融资环境等基础上，考虑股东的意愿和要求，充分保护中小投资者的合法权益，对利润分</w:t>
      </w:r>
      <w:r>
        <w:rPr>
          <w:spacing w:val="-65"/>
        </w:rPr>
        <w:t> </w:t>
      </w:r>
      <w:r>
        <w:rPr>
          <w:spacing w:val="-65"/>
        </w:rPr>
      </w:r>
      <w:r>
        <w:rPr>
          <w:spacing w:val="-2"/>
        </w:rPr>
        <w:t>配作出了制度性安排，明确了分红标准和分红比例，保证了利润分配政策的连续性和稳定性。鉴于《公司未来三年股东回报</w:t>
      </w:r>
      <w:r>
        <w:rPr>
          <w:spacing w:val="-64"/>
        </w:rPr>
        <w:t> </w:t>
      </w:r>
      <w:r>
        <w:rPr>
          <w:spacing w:val="-64"/>
        </w:rPr>
      </w:r>
      <w:r>
        <w:rPr>
          <w:spacing w:val="-8"/>
        </w:rPr>
        <w:t>规划（</w:t>
      </w:r>
      <w:r>
        <w:rPr>
          <w:rFonts w:ascii="Times New Roman" w:hAnsi="Times New Roman" w:cs="Times New Roman" w:eastAsia="Times New Roman" w:hint="default"/>
          <w:spacing w:val="-8"/>
        </w:rPr>
        <w:t>2012-2014</w:t>
      </w:r>
      <w:r>
        <w:rPr>
          <w:spacing w:val="-8"/>
        </w:rPr>
        <w:t>）》已到期，</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20</w:t>
      </w:r>
      <w:r>
        <w:rPr>
          <w:spacing w:val="-8"/>
        </w:rPr>
        <w:t>日，公司</w:t>
      </w:r>
      <w:r>
        <w:rPr>
          <w:rFonts w:ascii="Times New Roman" w:hAnsi="Times New Roman" w:cs="Times New Roman" w:eastAsia="Times New Roman" w:hint="default"/>
          <w:spacing w:val="-8"/>
        </w:rPr>
        <w:t>2014</w:t>
      </w:r>
      <w:r>
        <w:rPr>
          <w:spacing w:val="-8"/>
        </w:rPr>
        <w:t>年度股东大会审议通过了《公司未来三年股东回报规划（</w:t>
      </w:r>
      <w:r>
        <w:rPr>
          <w:rFonts w:ascii="Times New Roman" w:hAnsi="Times New Roman" w:cs="Times New Roman" w:eastAsia="Times New Roman" w:hint="default"/>
          <w:spacing w:val="-8"/>
        </w:rPr>
        <w:t>2015-2017</w:t>
      </w:r>
      <w:r>
        <w:rPr>
          <w:spacing w:val="-8"/>
        </w:rPr>
        <w:t>）》，</w:t>
      </w:r>
      <w:r>
        <w:rPr/>
        <w:t> </w:t>
      </w:r>
      <w:r>
        <w:rPr>
          <w:spacing w:val="-2"/>
        </w:rPr>
        <w:t>相关回报规划内容未发生变化。报告期内利润分配方案的制定符合相应审议程序的规定，经独立董事发表意见并严格按照相</w:t>
      </w:r>
      <w:r>
        <w:rPr>
          <w:spacing w:val="-64"/>
        </w:rPr>
        <w:t> </w:t>
      </w:r>
      <w:r>
        <w:rPr>
          <w:spacing w:val="-64"/>
        </w:rPr>
      </w:r>
      <w:r>
        <w:rPr/>
        <w:t>关规定执行。</w:t>
      </w: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4"/>
        <w:ind w:right="10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04"/>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年度中期利润分配方案为：向全体股东每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178,800,000</w:t>
      </w:r>
      <w:r>
        <w:rPr/>
        <w:t>股，转增后公司总股本增加至</w:t>
      </w:r>
    </w:p>
    <w:p>
      <w:pPr>
        <w:pStyle w:val="BodyText"/>
        <w:spacing w:line="240" w:lineRule="auto" w:before="62"/>
        <w:ind w:right="104"/>
        <w:jc w:val="left"/>
      </w:pPr>
      <w:r>
        <w:rPr>
          <w:rFonts w:ascii="Times New Roman" w:hAnsi="Times New Roman" w:cs="Times New Roman" w:eastAsia="Times New Roman" w:hint="default"/>
        </w:rPr>
        <w:t>357,600,000</w:t>
      </w:r>
      <w:r>
        <w:rPr/>
        <w:t>股。</w:t>
      </w:r>
    </w:p>
    <w:p>
      <w:pPr>
        <w:pStyle w:val="BodyText"/>
        <w:spacing w:line="300" w:lineRule="auto" w:before="62"/>
        <w:ind w:right="184"/>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0.8</w:t>
      </w:r>
      <w:r>
        <w:rPr/>
        <w:t>元（含税），本次利润分配</w:t>
      </w:r>
      <w:r>
        <w:rPr>
          <w:rFonts w:ascii="Times New Roman" w:hAnsi="Times New Roman" w:cs="Times New Roman" w:eastAsia="Times New Roman" w:hint="default"/>
        </w:rPr>
        <w:t>2860.8</w:t>
      </w:r>
      <w:r>
        <w:rPr/>
        <w:t>万元，同时以资本公积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spacing w:val="-19"/>
        </w:rPr>
        <w:t> </w:t>
      </w:r>
      <w:r>
        <w:rPr>
          <w:rFonts w:ascii="Times New Roman" w:hAnsi="Times New Roman" w:cs="Times New Roman" w:eastAsia="Times New Roman" w:hint="default"/>
        </w:rPr>
        <w:t>357,600,000</w:t>
      </w:r>
      <w:r>
        <w:rPr/>
        <w:t>股，转增后公司总股本增加至</w:t>
      </w:r>
      <w:r>
        <w:rPr>
          <w:rFonts w:ascii="Times New Roman" w:hAnsi="Times New Roman" w:cs="Times New Roman" w:eastAsia="Times New Roman" w:hint="default"/>
        </w:rPr>
        <w:t>715,200,000</w:t>
      </w:r>
      <w:r>
        <w:rPr/>
        <w:t>股。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年度利润分配预案为：向全体股东每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0.75</w:t>
      </w:r>
      <w:r>
        <w:rPr/>
        <w:t>元（含税），本次利润分配</w:t>
      </w:r>
      <w:r>
        <w:rPr>
          <w:rFonts w:ascii="Times New Roman" w:hAnsi="Times New Roman" w:cs="Times New Roman" w:eastAsia="Times New Roman" w:hint="default"/>
        </w:rPr>
        <w:t>5364</w:t>
      </w:r>
      <w:r>
        <w:rPr/>
        <w:t>万元，以未分配利润向 </w:t>
      </w:r>
      <w:r>
        <w:rPr>
          <w:spacing w:val="-2"/>
        </w:rPr>
        <w:t>全体股东每</w:t>
      </w:r>
      <w:r>
        <w:rPr>
          <w:rFonts w:ascii="Times New Roman" w:hAnsi="Times New Roman" w:cs="Times New Roman" w:eastAsia="Times New Roman" w:hint="default"/>
          <w:spacing w:val="-2"/>
        </w:rPr>
        <w:t>10</w:t>
      </w:r>
      <w:r>
        <w:rPr>
          <w:spacing w:val="-2"/>
        </w:rPr>
        <w:t>股派送红股</w:t>
      </w:r>
      <w:r>
        <w:rPr>
          <w:rFonts w:ascii="Times New Roman" w:hAnsi="Times New Roman" w:cs="Times New Roman" w:eastAsia="Times New Roman" w:hint="default"/>
          <w:spacing w:val="-2"/>
        </w:rPr>
        <w:t>3</w:t>
      </w:r>
      <w:r>
        <w:rPr>
          <w:spacing w:val="-2"/>
        </w:rPr>
        <w:t>股，共计派发股票股利</w:t>
      </w:r>
      <w:r>
        <w:rPr>
          <w:rFonts w:ascii="Times New Roman" w:hAnsi="Times New Roman" w:cs="Times New Roman" w:eastAsia="Times New Roman" w:hint="default"/>
          <w:spacing w:val="-2"/>
        </w:rPr>
        <w:t>214,560,000</w:t>
      </w:r>
      <w:r>
        <w:rPr>
          <w:spacing w:val="-2"/>
        </w:rPr>
        <w:t>股；同时，以资本公积金向全体股东每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股，共计转增</w:t>
      </w:r>
      <w:r>
        <w:rPr>
          <w:spacing w:val="-54"/>
        </w:rPr>
        <w:t> </w:t>
      </w:r>
      <w:r>
        <w:rPr>
          <w:spacing w:val="-54"/>
        </w:rPr>
      </w:r>
      <w:r>
        <w:rPr/>
        <w:t>股本</w:t>
      </w:r>
      <w:r>
        <w:rPr>
          <w:rFonts w:ascii="Times New Roman" w:hAnsi="Times New Roman" w:cs="Times New Roman" w:eastAsia="Times New Roman" w:hint="default"/>
        </w:rPr>
        <w:t>500,640,000</w:t>
      </w:r>
      <w:r>
        <w:rPr/>
        <w:t>股。</w:t>
      </w:r>
    </w:p>
    <w:p>
      <w:pPr>
        <w:pStyle w:val="BodyText"/>
        <w:spacing w:line="340" w:lineRule="auto" w:before="13"/>
        <w:ind w:right="1264"/>
        <w:jc w:val="left"/>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2015</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0.24</w:t>
      </w:r>
      <w:r>
        <w:rPr/>
        <w:t>元（含税），本次利润分配</w:t>
      </w:r>
      <w:r>
        <w:rPr>
          <w:rFonts w:ascii="Times New Roman" w:hAnsi="Times New Roman" w:cs="Times New Roman" w:eastAsia="Times New Roman" w:hint="default"/>
        </w:rPr>
        <w:t>3432.96</w:t>
      </w:r>
      <w:r>
        <w:rPr/>
        <w:t>万元。 公司近三年（包括本报告期）普通股现金分红情况表</w:t>
      </w:r>
    </w:p>
    <w:p>
      <w:pPr>
        <w:pStyle w:val="BodyText"/>
        <w:spacing w:line="240" w:lineRule="auto" w:before="41"/>
        <w:ind w:left="0" w:right="193"/>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5"/>
        <w:gridCol w:w="1594"/>
        <w:gridCol w:w="1583"/>
        <w:gridCol w:w="1606"/>
        <w:gridCol w:w="1594"/>
      </w:tblGrid>
      <w:tr>
        <w:trPr>
          <w:trHeight w:val="319"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0"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0" w:right="6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606"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83" w:type="dxa"/>
            <w:vMerge/>
            <w:tcBorders>
              <w:left w:val="single" w:sz="4" w:space="0" w:color="000000"/>
              <w:right w:val="single" w:sz="4" w:space="0" w:color="000000"/>
            </w:tcBorders>
            <w:shd w:val="clear" w:color="auto" w:fill="D4D4D4"/>
          </w:tcPr>
          <w:p>
            <w:pPr/>
          </w:p>
        </w:tc>
        <w:tc>
          <w:tcPr>
            <w:tcW w:w="1606"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44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83" w:type="dxa"/>
            <w:vMerge/>
            <w:tcBorders>
              <w:left w:val="single" w:sz="4" w:space="0" w:color="000000"/>
              <w:right w:val="single" w:sz="4" w:space="0" w:color="000000"/>
            </w:tcBorders>
            <w:shd w:val="clear" w:color="auto" w:fill="D4D4D4"/>
          </w:tcPr>
          <w:p>
            <w:pPr/>
          </w:p>
        </w:tc>
        <w:tc>
          <w:tcPr>
            <w:tcW w:w="160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5"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83" w:type="dxa"/>
            <w:vMerge/>
            <w:tcBorders>
              <w:left w:val="single" w:sz="4" w:space="0" w:color="000000"/>
              <w:right w:val="single" w:sz="4" w:space="0" w:color="000000"/>
            </w:tcBorders>
            <w:shd w:val="clear" w:color="auto" w:fill="D4D4D4"/>
          </w:tcPr>
          <w:p>
            <w:pPr/>
          </w:p>
        </w:tc>
        <w:tc>
          <w:tcPr>
            <w:tcW w:w="1606"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83" w:type="dxa"/>
            <w:vMerge/>
            <w:tcBorders>
              <w:left w:val="single" w:sz="4" w:space="0" w:color="000000"/>
              <w:bottom w:val="single" w:sz="4" w:space="0" w:color="000000"/>
              <w:right w:val="single" w:sz="4" w:space="0" w:color="000000"/>
            </w:tcBorders>
            <w:shd w:val="clear" w:color="auto" w:fill="D4D4D4"/>
          </w:tcPr>
          <w:p>
            <w:pPr/>
          </w:p>
        </w:tc>
        <w:tc>
          <w:tcPr>
            <w:tcW w:w="1606"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34,329,600.00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220,482,825.97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15.57%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53,640,000.00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262,848,840.93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28,608,000.00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175,470,063.49</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2"/>
        <w:gridCol w:w="5785"/>
      </w:tblGrid>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0.24</w:t>
            </w:r>
            <w:r>
              <w:rPr>
                <w:rFonts w:ascii="Times New Roman"/>
                <w:sz w:val="18"/>
              </w:rPr>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1,430,400,000</w:t>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34,329,600.00</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824,830,227.10</w:t>
            </w:r>
            <w:r>
              <w:rPr>
                <w:rFonts w:ascii="Times New Roman"/>
                <w:sz w:val="18"/>
              </w:rPr>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以截止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4D4D4"/>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234"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美盈森集团 股份有限公 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根据深圳证 </w:t>
            </w:r>
            <w:r>
              <w:rPr>
                <w:rFonts w:ascii="宋体" w:hAnsi="宋体" w:cs="宋体" w:eastAsia="宋体" w:hint="default"/>
                <w:spacing w:val="-2"/>
                <w:sz w:val="18"/>
                <w:szCs w:val="18"/>
              </w:rPr>
              <w:t>券交易所《中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小企业板信 息披露业务 备忘录第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号：重大资产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重组相关事 </w:t>
            </w:r>
            <w:r>
              <w:rPr>
                <w:rFonts w:ascii="宋体" w:hAnsi="宋体" w:cs="宋体" w:eastAsia="宋体" w:hint="default"/>
                <w:spacing w:val="-2"/>
                <w:sz w:val="18"/>
                <w:szCs w:val="18"/>
              </w:rPr>
              <w:t>项》等文件的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规定，承诺自</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sz w:val="18"/>
              </w:rPr>
              <w:t>2015-01-11</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91"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10" w:space="0" w:color="D4D4D4"/>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234"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10" w:space="0" w:color="D4D4D4"/>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794"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露《关于终止 筹划发行股 份购买资产 事项暨公司 股票复牌公 告》之日起至 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 再筹划重大 资产重组事 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329" w:hRule="exact"/>
        </w:trPr>
        <w:tc>
          <w:tcPr>
            <w:tcW w:w="28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王海鹏、王治</w:t>
            </w:r>
            <w:r>
              <w:rPr>
                <w:rFonts w:ascii="宋体" w:hAnsi="宋体" w:cs="宋体" w:eastAsia="宋体" w:hint="default"/>
                <w:sz w:val="18"/>
                <w:szCs w:val="18"/>
              </w:rPr>
              <w:t> 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在任职期间 每年转让的 股份不超过 其持有公司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w:t>
            </w:r>
            <w:r>
              <w:rPr>
                <w:rFonts w:ascii="宋体" w:hAnsi="宋体" w:cs="宋体" w:eastAsia="宋体" w:hint="default"/>
                <w:spacing w:val="-2"/>
                <w:sz w:val="18"/>
                <w:szCs w:val="18"/>
              </w:rPr>
              <w:t>半年内，不转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让其持有的 </w:t>
            </w:r>
            <w:r>
              <w:rPr>
                <w:rFonts w:ascii="宋体" w:hAnsi="宋体" w:cs="宋体" w:eastAsia="宋体" w:hint="default"/>
                <w:spacing w:val="-2"/>
                <w:sz w:val="18"/>
                <w:szCs w:val="18"/>
              </w:rPr>
              <w:t>公司股份，在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申报离任六 个月后的十 二个月内通 过证券交易 所挂牌交易 出售本公司 股票数量占 其所持有本 公司股票总 数的比例不 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3794"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目前不存在， 将来也不会 存在任何直 接或间接与 被承诺方集 团的业务构 成竞争的业 务，亦不会以 任何形式（包 括但不限于 通过控股子 公司、合资经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营、合作经营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或拥有在其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他公司或企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业的股票或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权益等）从事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与被承诺方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集团有竞争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的业务；对于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自己将来可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能出现的下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属全资子公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司、能实际控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业、参股企业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所从事的业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务与被承诺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方集团有竞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争或构成竞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争的情况，承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诺在被承诺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方集团提出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要求时转让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自己在该等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部出资或股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份。并承诺给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予被承诺方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集团对该等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出资或股份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权，并尽力促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使有关交易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的价格是公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平合理且基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于与独立第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三者进行正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常商业交易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的基础确定；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承诺不向其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业务与被承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诺方集团所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从事的业务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473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构成竞争的 </w:t>
            </w:r>
            <w:r>
              <w:rPr>
                <w:rFonts w:ascii="宋体" w:hAnsi="宋体" w:cs="宋体" w:eastAsia="宋体" w:hint="default"/>
                <w:spacing w:val="-2"/>
                <w:sz w:val="18"/>
                <w:szCs w:val="18"/>
              </w:rPr>
              <w:t>其他公司、企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业或其他机 </w:t>
            </w:r>
            <w:r>
              <w:rPr>
                <w:rFonts w:ascii="宋体" w:hAnsi="宋体" w:cs="宋体" w:eastAsia="宋体" w:hint="default"/>
                <w:spacing w:val="-2"/>
                <w:sz w:val="18"/>
                <w:szCs w:val="18"/>
              </w:rPr>
              <w:t>构、组织或个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人提供销售 </w:t>
            </w:r>
            <w:r>
              <w:rPr>
                <w:rFonts w:ascii="宋体" w:hAnsi="宋体" w:cs="宋体" w:eastAsia="宋体" w:hint="default"/>
                <w:spacing w:val="-2"/>
                <w:sz w:val="18"/>
                <w:szCs w:val="18"/>
              </w:rPr>
              <w:t>渠道、客户信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息等商业秘 </w:t>
            </w:r>
            <w:r>
              <w:rPr>
                <w:rFonts w:ascii="宋体" w:hAnsi="宋体" w:cs="宋体" w:eastAsia="宋体" w:hint="default"/>
                <w:spacing w:val="-2"/>
                <w:sz w:val="18"/>
                <w:szCs w:val="18"/>
              </w:rPr>
              <w:t>密；承诺赔偿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被承诺方集 团因自己违 反本协议的 任何条款而 遭受或产生 的任何损失 或开支。</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3" w:right="137"/>
              <w:jc w:val="left"/>
              <w:rPr>
                <w:rFonts w:ascii="宋体" w:hAnsi="宋体" w:cs="宋体" w:eastAsia="宋体" w:hint="default"/>
                <w:sz w:val="18"/>
                <w:szCs w:val="18"/>
              </w:rPr>
            </w:pPr>
            <w:r>
              <w:rPr>
                <w:rFonts w:ascii="宋体" w:hAnsi="宋体" w:cs="宋体" w:eastAsia="宋体" w:hint="default"/>
                <w:sz w:val="18"/>
                <w:szCs w:val="18"/>
              </w:rPr>
              <w:t>王海鹏</w:t>
            </w:r>
            <w:r>
              <w:rPr>
                <w:rFonts w:ascii="Times New Roman" w:hAnsi="Times New Roman" w:cs="Times New Roman" w:eastAsia="Times New Roman" w:hint="default"/>
                <w:sz w:val="18"/>
                <w:szCs w:val="18"/>
              </w:rPr>
              <w:t>;</w:t>
            </w:r>
            <w:r>
              <w:rPr>
                <w:rFonts w:ascii="宋体" w:hAnsi="宋体" w:cs="宋体" w:eastAsia="宋体" w:hint="default"/>
                <w:sz w:val="18"/>
                <w:szCs w:val="18"/>
              </w:rPr>
              <w:t>王治 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如因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月前没有 为员工缴纳 养老及失业 保险、住房公 积金而产生 补缴义务或 公司因此遭 受任何损失， 由王海鹏、王 治军以连带 责任形式对 公司进行补 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04"/>
        <w:gridCol w:w="1178"/>
        <w:gridCol w:w="1181"/>
        <w:gridCol w:w="1181"/>
        <w:gridCol w:w="1178"/>
        <w:gridCol w:w="1182"/>
        <w:gridCol w:w="1182"/>
        <w:gridCol w:w="1176"/>
      </w:tblGrid>
      <w:tr>
        <w:trPr>
          <w:trHeight w:val="715" w:hRule="exact"/>
        </w:trPr>
        <w:tc>
          <w:tcPr>
            <w:tcW w:w="1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5" w:right="107"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2"/>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5" w:right="47"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94" w:right="38" w:hanging="449"/>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1178"/>
        <w:gridCol w:w="1181"/>
        <w:gridCol w:w="1181"/>
        <w:gridCol w:w="1178"/>
        <w:gridCol w:w="1181"/>
        <w:gridCol w:w="1183"/>
        <w:gridCol w:w="1176"/>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344"/>
        <w:jc w:val="left"/>
      </w:pPr>
      <w:r>
        <w:rPr/>
        <w:t>公司股东、交易对手方在报告年度经营业绩做出的承诺情况</w:t>
      </w:r>
    </w:p>
    <w:p>
      <w:pPr>
        <w:pStyle w:val="BodyText"/>
        <w:spacing w:line="240" w:lineRule="auto" w:before="115"/>
        <w:ind w:right="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4"/>
          <w:szCs w:val="14"/>
        </w:rPr>
      </w:pPr>
    </w:p>
    <w:p>
      <w:pPr>
        <w:pStyle w:val="BodyText"/>
        <w:spacing w:line="297" w:lineRule="auto"/>
        <w:ind w:right="344"/>
        <w:jc w:val="left"/>
      </w:pPr>
      <w:r>
        <w:rPr>
          <w:rFonts w:ascii="Times New Roman" w:hAnsi="Times New Roman" w:cs="Times New Roman" w:eastAsia="Times New Roman" w:hint="default"/>
        </w:rPr>
        <w:t>1</w:t>
      </w:r>
      <w:r>
        <w:rPr/>
        <w:t>、按照公司与西藏新天地投资合伙企业（有限合伙）、欧阳宣及金之彩签订的《股权收购协议》（以下简称</w:t>
      </w:r>
      <w:r>
        <w:rPr>
          <w:rFonts w:ascii="Times New Roman" w:hAnsi="Times New Roman" w:cs="Times New Roman" w:eastAsia="Times New Roman" w:hint="default"/>
        </w:rPr>
        <w:t>“</w:t>
      </w:r>
      <w:r>
        <w:rPr/>
        <w:t>协议</w:t>
      </w:r>
      <w:r>
        <w:rPr>
          <w:rFonts w:ascii="Times New Roman" w:hAnsi="Times New Roman" w:cs="Times New Roman" w:eastAsia="Times New Roman" w:hint="default"/>
        </w:rPr>
        <w:t>”</w:t>
      </w:r>
      <w:r>
        <w:rPr/>
        <w:t>）的约 定，金之彩和西藏新天地投资合伙企业（有限合伙）、欧阳宣共同承诺金之彩</w:t>
      </w:r>
      <w:r>
        <w:rPr>
          <w:rFonts w:ascii="Times New Roman" w:hAnsi="Times New Roman" w:cs="Times New Roman" w:eastAsia="Times New Roman" w:hint="default"/>
        </w:rPr>
        <w:t>2015</w:t>
      </w:r>
      <w:r>
        <w:rPr/>
        <w:t>年度经审计净利润不低于</w:t>
      </w:r>
      <w:r>
        <w:rPr>
          <w:rFonts w:ascii="Times New Roman" w:hAnsi="Times New Roman" w:cs="Times New Roman" w:eastAsia="Times New Roman" w:hint="default"/>
        </w:rPr>
        <w:t>5,577</w:t>
      </w:r>
      <w:r>
        <w:rPr/>
        <w:t>万元。</w:t>
      </w:r>
    </w:p>
    <w:p>
      <w:pPr>
        <w:pStyle w:val="BodyText"/>
        <w:spacing w:line="300" w:lineRule="auto" w:before="135"/>
        <w:ind w:right="166"/>
        <w:jc w:val="left"/>
      </w:pPr>
      <w:r>
        <w:rPr/>
        <w:t>经大信会计师事务所（特殊普通合伙）的审计，金之彩</w:t>
      </w:r>
      <w:r>
        <w:rPr>
          <w:rFonts w:ascii="Times New Roman" w:hAnsi="Times New Roman" w:cs="Times New Roman" w:eastAsia="Times New Roman" w:hint="default"/>
        </w:rPr>
        <w:t>2015</w:t>
      </w:r>
      <w:r>
        <w:rPr/>
        <w:t>年度实现营业收入</w:t>
      </w:r>
      <w:r>
        <w:rPr>
          <w:rFonts w:ascii="Times New Roman" w:hAnsi="Times New Roman" w:cs="Times New Roman" w:eastAsia="Times New Roman" w:hint="default"/>
        </w:rPr>
        <w:t>205,856,919.41</w:t>
      </w:r>
      <w:r>
        <w:rPr/>
        <w:t>元，实现净利润</w:t>
      </w:r>
      <w:r>
        <w:rPr>
          <w:rFonts w:ascii="Times New Roman" w:hAnsi="Times New Roman" w:cs="Times New Roman" w:eastAsia="Times New Roman" w:hint="default"/>
        </w:rPr>
        <w:t>-10,191,155.70</w:t>
      </w:r>
      <w:r>
        <w:rPr>
          <w:rFonts w:ascii="Times New Roman" w:hAnsi="Times New Roman" w:cs="Times New Roman" w:eastAsia="Times New Roman" w:hint="default"/>
          <w:spacing w:val="-2"/>
        </w:rPr>
        <w:t> </w:t>
      </w:r>
      <w:r>
        <w:rPr/>
        <w:t>元，未实现承诺的净利润指标。</w:t>
      </w:r>
    </w:p>
    <w:p>
      <w:pPr>
        <w:pStyle w:val="BodyText"/>
        <w:spacing w:line="300" w:lineRule="auto" w:before="151"/>
        <w:ind w:right="166"/>
        <w:jc w:val="left"/>
      </w:pPr>
      <w:r>
        <w:rPr>
          <w:spacing w:val="-2"/>
        </w:rPr>
        <w:t>因此，按照协议约定，公司将在支付剩余部分收购款项时按照协议约定扣减</w:t>
      </w:r>
      <w:r>
        <w:rPr>
          <w:rFonts w:ascii="Times New Roman" w:hAnsi="Times New Roman" w:cs="Times New Roman" w:eastAsia="Times New Roman" w:hint="default"/>
          <w:spacing w:val="-2"/>
        </w:rPr>
        <w:t>2015</w:t>
      </w:r>
      <w:r>
        <w:rPr>
          <w:spacing w:val="-2"/>
        </w:rPr>
        <w:t>年经审计的净利润与所承诺业绩之间的差额</w:t>
      </w:r>
      <w:r>
        <w:rPr>
          <w:spacing w:val="-62"/>
        </w:rPr>
        <w:t> </w:t>
      </w:r>
      <w:r>
        <w:rPr>
          <w:spacing w:val="-62"/>
        </w:rPr>
      </w:r>
      <w:r>
        <w:rPr/>
        <w:t>部分</w:t>
      </w:r>
      <w:r>
        <w:rPr>
          <w:rFonts w:ascii="Times New Roman" w:hAnsi="Times New Roman" w:cs="Times New Roman" w:eastAsia="Times New Roman" w:hint="default"/>
        </w:rPr>
        <w:t>65,961,155.70</w:t>
      </w:r>
      <w:r>
        <w:rPr/>
        <w:t>元。</w:t>
      </w:r>
    </w:p>
    <w:p>
      <w:pPr>
        <w:pStyle w:val="BodyText"/>
        <w:spacing w:line="240" w:lineRule="auto" w:before="133"/>
        <w:ind w:right="166"/>
        <w:jc w:val="left"/>
      </w:pPr>
      <w:r>
        <w:rPr>
          <w:rFonts w:ascii="Times New Roman" w:hAnsi="Times New Roman" w:cs="Times New Roman" w:eastAsia="Times New Roman" w:hint="default"/>
        </w:rPr>
        <w:t>2</w:t>
      </w:r>
      <w:r>
        <w:rPr/>
        <w:t>、按照公司与郑荣华、郑重科及汇天云网签订的《股权收购协议》的约定，郑荣华、郑重科及汇天云网共同承诺汇天云网</w:t>
      </w:r>
    </w:p>
    <w:p>
      <w:pPr>
        <w:pStyle w:val="BodyText"/>
        <w:spacing w:line="240" w:lineRule="auto" w:before="62"/>
        <w:ind w:right="344"/>
        <w:jc w:val="left"/>
      </w:pPr>
      <w:r>
        <w:rPr>
          <w:rFonts w:ascii="Times New Roman" w:hAnsi="Times New Roman" w:cs="Times New Roman" w:eastAsia="Times New Roman" w:hint="default"/>
        </w:rPr>
        <w:t>2015</w:t>
      </w:r>
      <w:r>
        <w:rPr/>
        <w:t>年度经审计净利润不低于</w:t>
      </w:r>
      <w:r>
        <w:rPr>
          <w:rFonts w:ascii="Times New Roman" w:hAnsi="Times New Roman" w:cs="Times New Roman" w:eastAsia="Times New Roman" w:hint="default"/>
        </w:rPr>
        <w:t>960</w:t>
      </w:r>
      <w:r>
        <w:rPr/>
        <w:t>万元。</w:t>
      </w:r>
    </w:p>
    <w:p>
      <w:pPr>
        <w:spacing w:line="240" w:lineRule="auto" w:before="13"/>
        <w:rPr>
          <w:rFonts w:ascii="宋体" w:hAnsi="宋体" w:cs="宋体" w:eastAsia="宋体" w:hint="default"/>
          <w:sz w:val="13"/>
          <w:szCs w:val="13"/>
        </w:rPr>
      </w:pPr>
    </w:p>
    <w:p>
      <w:pPr>
        <w:pStyle w:val="BodyText"/>
        <w:spacing w:line="316" w:lineRule="auto"/>
        <w:ind w:right="166"/>
        <w:jc w:val="left"/>
      </w:pPr>
      <w:r>
        <w:rPr>
          <w:spacing w:val="-3"/>
        </w:rPr>
        <w:t>经大信会计师事务所（特殊普通合伙）的审计，汇天云网</w:t>
      </w:r>
      <w:r>
        <w:rPr>
          <w:rFonts w:ascii="宋体" w:hAnsi="宋体" w:cs="宋体" w:eastAsia="宋体" w:hint="default"/>
          <w:spacing w:val="-3"/>
        </w:rPr>
        <w:t>2015</w:t>
      </w:r>
      <w:r>
        <w:rPr>
          <w:spacing w:val="-3"/>
        </w:rPr>
        <w:t>年度实现营业收入</w:t>
      </w:r>
      <w:r>
        <w:rPr>
          <w:rFonts w:ascii="宋体" w:hAnsi="宋体" w:cs="宋体" w:eastAsia="宋体" w:hint="default"/>
          <w:spacing w:val="-3"/>
        </w:rPr>
        <w:t>126,552,302.98</w:t>
      </w:r>
      <w:r>
        <w:rPr>
          <w:spacing w:val="-3"/>
        </w:rPr>
        <w:t>元，实现净利润</w:t>
      </w:r>
      <w:r>
        <w:rPr>
          <w:rFonts w:ascii="宋体" w:hAnsi="宋体" w:cs="宋体" w:eastAsia="宋体" w:hint="default"/>
          <w:spacing w:val="-3"/>
        </w:rPr>
        <w:t>-116,289.99</w:t>
      </w:r>
      <w:r>
        <w:rPr>
          <w:rFonts w:ascii="宋体" w:hAnsi="宋体" w:cs="宋体" w:eastAsia="宋体" w:hint="default"/>
          <w:spacing w:val="-72"/>
        </w:rPr>
        <w:t> </w:t>
      </w:r>
      <w:r>
        <w:rPr>
          <w:rFonts w:ascii="宋体" w:hAnsi="宋体" w:cs="宋体" w:eastAsia="宋体" w:hint="default"/>
          <w:spacing w:val="-72"/>
        </w:rPr>
      </w:r>
      <w:r>
        <w:rPr/>
        <w:t>元，未实现承诺的净利润指标。</w:t>
      </w:r>
    </w:p>
    <w:p>
      <w:pPr>
        <w:pStyle w:val="BodyText"/>
        <w:spacing w:line="240" w:lineRule="auto" w:before="139"/>
        <w:ind w:right="344"/>
        <w:jc w:val="left"/>
      </w:pPr>
      <w:r>
        <w:rPr/>
        <w:t>因此，按照协议有关约定，公司将要求原股东补偿盈利差额</w:t>
      </w:r>
      <w:r>
        <w:rPr>
          <w:rFonts w:ascii="宋体" w:hAnsi="宋体" w:cs="宋体" w:eastAsia="宋体" w:hint="default"/>
        </w:rPr>
        <w:t>9,716,289.99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2"/>
        <w:spacing w:line="240" w:lineRule="auto"/>
        <w:ind w:right="344"/>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1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6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344"/>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440" w:right="166"/>
        <w:jc w:val="left"/>
      </w:pPr>
      <w:r>
        <w:rPr>
          <w:spacing w:val="-5"/>
        </w:rPr>
        <w:t>根据《企业会计准则第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spacing w:val="-5"/>
        </w:rPr>
        <w:t>号</w:t>
      </w:r>
      <w:r>
        <w:rPr>
          <w:rFonts w:ascii="Times New Roman" w:hAnsi="Times New Roman" w:cs="Times New Roman" w:eastAsia="Times New Roman" w:hint="default"/>
          <w:spacing w:val="-5"/>
        </w:rPr>
        <w:t>——</w:t>
      </w:r>
      <w:r>
        <w:rPr>
          <w:spacing w:val="-5"/>
        </w:rPr>
        <w:t>投资性房地产》规定，成本模式转为公允价值模式的，应当作为会计政策变更，按照《企</w:t>
      </w:r>
    </w:p>
    <w:p>
      <w:pPr>
        <w:pStyle w:val="BodyText"/>
        <w:spacing w:line="340" w:lineRule="auto" w:before="62"/>
        <w:ind w:left="440" w:right="166" w:hanging="288"/>
        <w:jc w:val="left"/>
      </w:pPr>
      <w:r>
        <w:rPr/>
        <w:t>业会计准则第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会计政策、会计估计变更和差错更正》进行会计处理。 </w:t>
      </w:r>
      <w:r>
        <w:rPr>
          <w:spacing w:val="-1"/>
        </w:rPr>
        <w:t>公司对上述会计政策变更采用追溯调整法核算并重述了可比年度的财务报表。受到上述会计政策变更影响的报表项目名</w:t>
      </w:r>
    </w:p>
    <w:p>
      <w:pPr>
        <w:pStyle w:val="BodyText"/>
        <w:spacing w:line="240" w:lineRule="auto"/>
        <w:ind w:right="344"/>
        <w:jc w:val="left"/>
      </w:pPr>
      <w:r>
        <w:rPr/>
        <w:t>称及</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2013</w:t>
      </w:r>
      <w:r>
        <w:rPr/>
        <w:t>年度调整影响如下：</w:t>
      </w:r>
    </w:p>
    <w:p>
      <w:pPr>
        <w:pStyle w:val="BodyText"/>
        <w:spacing w:line="240" w:lineRule="auto" w:before="101"/>
        <w:ind w:left="0" w:right="2003"/>
        <w:jc w:val="right"/>
      </w:pPr>
      <w:r>
        <w:rPr/>
        <w:t>单位：人民币元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2105"/>
        <w:gridCol w:w="1788"/>
        <w:gridCol w:w="1704"/>
        <w:gridCol w:w="1702"/>
      </w:tblGrid>
      <w:tr>
        <w:trPr>
          <w:trHeight w:val="341" w:hRule="exact"/>
        </w:trPr>
        <w:tc>
          <w:tcPr>
            <w:tcW w:w="2556" w:type="dxa"/>
            <w:vMerge w:val="restart"/>
            <w:tcBorders>
              <w:top w:val="single" w:sz="4" w:space="0" w:color="000000"/>
              <w:left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38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3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43" w:hRule="exact"/>
        </w:trPr>
        <w:tc>
          <w:tcPr>
            <w:tcW w:w="2556" w:type="dxa"/>
            <w:vMerge/>
            <w:tcBorders>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0"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sz w:val="18"/>
                <w:szCs w:val="18"/>
              </w:rPr>
              <w:t>调整后金额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调整前金额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5" w:right="0"/>
              <w:jc w:val="lef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7,481,835.66</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19,715,424.00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7,428,188.45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18,025,538.67</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210,919,147.02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207,222,311.45</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216,142,327.88</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212,542,483.76</w:t>
            </w:r>
            <w:r>
              <w:rPr>
                <w:rFonts w:ascii="Times New Roman"/>
                <w:sz w:val="18"/>
              </w:rPr>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1,280,512.91</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1,049,625.91</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884,902,823.95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892,159,063.81</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663,474,075.58</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669,421,955.77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6"/>
        <w:gridCol w:w="2105"/>
        <w:gridCol w:w="1788"/>
        <w:gridCol w:w="1704"/>
        <w:gridCol w:w="1702"/>
      </w:tblGrid>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1,017,806,160.53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1,017,545,615.45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871,569,044.17</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871,305,052.29</w:t>
            </w:r>
            <w:r>
              <w:rPr>
                <w:rFonts w:ascii="Times New Roman"/>
                <w:sz w:val="18"/>
              </w:rPr>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152,355,838.94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152,278,418.30</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123,188,243.55</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123,114,400.59</w:t>
            </w:r>
            <w:r>
              <w:rPr>
                <w:rFonts w:ascii="Times New Roman"/>
                <w:sz w:val="18"/>
              </w:rPr>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10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1,201,280.96</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1,308,888.14</w:t>
            </w:r>
          </w:p>
        </w:tc>
      </w:tr>
      <w:tr>
        <w:trPr>
          <w:trHeight w:val="341"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45,673,439.34</w:t>
            </w:r>
            <w:r>
              <w:rPr>
                <w:rFonts w:ascii="Times New Roman"/>
                <w:sz w:val="18"/>
              </w:rPr>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45,904,326.34</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43,479,303.23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43,726,311.67</w:t>
            </w:r>
          </w:p>
        </w:tc>
      </w:tr>
      <w:tr>
        <w:trPr>
          <w:trHeight w:val="34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261,540,481.25</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262,848,840.93</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174,070,348.95</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175,470,063.49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344"/>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344"/>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0" w:right="166"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1"/>
        </w:rPr>
        <w:t>在上年度财务报告编制的基础上，公司本年度将汇天云网、美莲检测、小美集、深圳汇天云网、美之兰新纳入合并报表</w:t>
      </w:r>
    </w:p>
    <w:p>
      <w:pPr>
        <w:pStyle w:val="BodyText"/>
        <w:spacing w:line="240" w:lineRule="auto"/>
        <w:ind w:right="344"/>
        <w:jc w:val="left"/>
      </w:pPr>
      <w:r>
        <w:rPr/>
        <w:t>范围。</w:t>
      </w:r>
    </w:p>
    <w:p>
      <w:pPr>
        <w:pStyle w:val="BodyText"/>
        <w:spacing w:line="300" w:lineRule="auto" w:before="76"/>
        <w:ind w:left="153" w:right="322" w:hanging="1"/>
        <w:jc w:val="left"/>
      </w:pPr>
      <w:r>
        <w:rPr>
          <w:spacing w:val="-1"/>
        </w:rPr>
        <w:t>（</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月收购汇天云网集团有限公司</w:t>
      </w:r>
      <w:r>
        <w:rPr>
          <w:rFonts w:ascii="Times New Roman" w:hAnsi="Times New Roman" w:cs="Times New Roman" w:eastAsia="Times New Roman" w:hint="default"/>
          <w:spacing w:val="-1"/>
        </w:rPr>
        <w:t>51%</w:t>
      </w:r>
      <w:r>
        <w:rPr>
          <w:spacing w:val="-1"/>
        </w:rPr>
        <w:t>股权，取得了对汇天云网集团有限公司的实际控制权，按照相应的会</w:t>
      </w:r>
      <w:r>
        <w:rPr>
          <w:spacing w:val="-86"/>
        </w:rPr>
        <w:t> </w:t>
      </w:r>
      <w:r>
        <w:rPr>
          <w:spacing w:val="-86"/>
        </w:rPr>
      </w:r>
      <w:r>
        <w:rPr/>
        <w:t>计编制规则，公司本期将汇天云网集团有限公司纳入合并报表范围。</w:t>
      </w:r>
    </w:p>
    <w:p>
      <w:pPr>
        <w:pStyle w:val="BodyText"/>
        <w:spacing w:line="300" w:lineRule="auto" w:before="31"/>
        <w:ind w:left="153" w:right="166" w:hanging="1"/>
        <w:jc w:val="left"/>
      </w:pPr>
      <w:r>
        <w:rPr>
          <w:spacing w:val="-2"/>
        </w:rPr>
        <w:t>（</w:t>
      </w:r>
      <w:r>
        <w:rPr>
          <w:rFonts w:ascii="Times New Roman" w:hAnsi="Times New Roman" w:cs="Times New Roman" w:eastAsia="Times New Roman" w:hint="default"/>
          <w:spacing w:val="-2"/>
        </w:rPr>
        <w:t>2</w:t>
      </w:r>
      <w:r>
        <w:rPr>
          <w:spacing w:val="-2"/>
        </w:rPr>
        <w:t>）本期公司设立美莲检测有限公司与小美集科技有限公司，分别于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日完成办理工商设立登记手续，</w:t>
      </w:r>
      <w:r>
        <w:rPr>
          <w:spacing w:val="-57"/>
        </w:rPr>
        <w:t> </w:t>
      </w:r>
      <w:r>
        <w:rPr>
          <w:spacing w:val="-2"/>
        </w:rPr>
        <w:t>并取得注册号为</w:t>
      </w:r>
      <w:r>
        <w:rPr>
          <w:rFonts w:ascii="Times New Roman" w:hAnsi="Times New Roman" w:cs="Times New Roman" w:eastAsia="Times New Roman" w:hint="default"/>
          <w:spacing w:val="-2"/>
        </w:rPr>
        <w:t>441900002529323</w:t>
      </w:r>
      <w:r>
        <w:rPr>
          <w:spacing w:val="-2"/>
        </w:rPr>
        <w:t>、</w:t>
      </w:r>
      <w:r>
        <w:rPr>
          <w:rFonts w:ascii="Times New Roman" w:hAnsi="Times New Roman" w:cs="Times New Roman" w:eastAsia="Times New Roman" w:hint="default"/>
          <w:spacing w:val="-2"/>
        </w:rPr>
        <w:t>440301113173979</w:t>
      </w:r>
      <w:r>
        <w:rPr>
          <w:spacing w:val="-2"/>
        </w:rPr>
        <w:t>的企业法人营业执照；按照相应的会计编制规则，公司将美莲检测有限</w:t>
      </w:r>
      <w:r>
        <w:rPr>
          <w:spacing w:val="-49"/>
        </w:rPr>
        <w:t> </w:t>
      </w:r>
      <w:r>
        <w:rPr>
          <w:spacing w:val="-49"/>
        </w:rPr>
      </w:r>
      <w:r>
        <w:rPr/>
        <w:t>公司、小美集科技有限公司纳入合并报表范围。</w:t>
      </w:r>
    </w:p>
    <w:p>
      <w:pPr>
        <w:pStyle w:val="BodyText"/>
        <w:spacing w:line="300" w:lineRule="auto" w:before="31"/>
        <w:ind w:left="153" w:right="323" w:hanging="1"/>
        <w:jc w:val="left"/>
      </w:pPr>
      <w:r>
        <w:rPr/>
        <w:t>（</w:t>
      </w:r>
      <w:r>
        <w:rPr>
          <w:rFonts w:ascii="Times New Roman" w:hAnsi="Times New Roman" w:cs="Times New Roman" w:eastAsia="Times New Roman" w:hint="default"/>
        </w:rPr>
        <w:t>3</w:t>
      </w:r>
      <w:r>
        <w:rPr/>
        <w:t>）本期公司由控股子公司汇天云网全资设立深圳市汇天云网科技有限公司，于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日设立，注册号为 </w:t>
      </w:r>
      <w:r>
        <w:rPr>
          <w:rFonts w:ascii="Times New Roman" w:hAnsi="Times New Roman" w:cs="Times New Roman" w:eastAsia="Times New Roman" w:hint="default"/>
        </w:rPr>
        <w:t>440301503509178</w:t>
      </w:r>
      <w:r>
        <w:rPr/>
        <w:t>，该公司注册资本</w:t>
      </w:r>
      <w:r>
        <w:rPr>
          <w:rFonts w:ascii="Times New Roman" w:hAnsi="Times New Roman" w:cs="Times New Roman" w:eastAsia="Times New Roman" w:hint="default"/>
        </w:rPr>
        <w:t>1688</w:t>
      </w:r>
      <w:r>
        <w:rPr/>
        <w:t>万美元；按照相应的会计编制规则，公司本期将深圳市汇天云网科技有限公司纳入 合并报表范围。</w:t>
      </w:r>
    </w:p>
    <w:p>
      <w:pPr>
        <w:pStyle w:val="BodyText"/>
        <w:spacing w:line="300" w:lineRule="auto" w:before="31"/>
        <w:ind w:left="153" w:right="339" w:hanging="1"/>
        <w:jc w:val="both"/>
      </w:pPr>
      <w:r>
        <w:rPr/>
        <w:t>（</w:t>
      </w:r>
      <w:r>
        <w:rPr>
          <w:rFonts w:ascii="Times New Roman" w:hAnsi="Times New Roman" w:cs="Times New Roman" w:eastAsia="Times New Roman" w:hint="default"/>
        </w:rPr>
        <w:t>4</w:t>
      </w:r>
      <w:r>
        <w:rPr/>
        <w:t>）本期公司由全资子公司东莞美盈森合资设立东莞市美之兰环保科技有限公司，于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日完成办理工商设立登记 手续，并取得统一社会信用代码为</w:t>
      </w:r>
      <w:r>
        <w:rPr>
          <w:rFonts w:ascii="Times New Roman" w:hAnsi="Times New Roman" w:cs="Times New Roman" w:eastAsia="Times New Roman" w:hint="default"/>
        </w:rPr>
        <w:t>91441900MA4UH46T0Q</w:t>
      </w:r>
      <w:r>
        <w:rPr/>
        <w:t>的企业法人营业执照，该公司注册资本</w:t>
      </w:r>
      <w:r>
        <w:rPr>
          <w:rFonts w:ascii="Times New Roman" w:hAnsi="Times New Roman" w:cs="Times New Roman" w:eastAsia="Times New Roman" w:hint="default"/>
        </w:rPr>
        <w:t>4000</w:t>
      </w:r>
      <w:r>
        <w:rPr/>
        <w:t>万元，东莞美盈森持 股</w:t>
      </w:r>
      <w:r>
        <w:rPr>
          <w:rFonts w:ascii="Times New Roman" w:hAnsi="Times New Roman" w:cs="Times New Roman" w:eastAsia="Times New Roman" w:hint="default"/>
        </w:rPr>
        <w:t>59.5%</w:t>
      </w:r>
      <w:r>
        <w:rPr/>
        <w:t>；按照相应的会计编制规则，公司本期将东莞市美之兰环保科技有限公司纳入合并报表范围。</w:t>
      </w:r>
    </w:p>
    <w:p>
      <w:pPr>
        <w:spacing w:line="240" w:lineRule="auto" w:before="6"/>
        <w:rPr>
          <w:rFonts w:ascii="宋体" w:hAnsi="宋体" w:cs="宋体" w:eastAsia="宋体" w:hint="default"/>
          <w:sz w:val="20"/>
          <w:szCs w:val="20"/>
        </w:rPr>
      </w:pPr>
    </w:p>
    <w:p>
      <w:pPr>
        <w:pStyle w:val="Heading2"/>
        <w:spacing w:line="240" w:lineRule="auto"/>
        <w:ind w:right="344"/>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344"/>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陈菁佩、张斌</w:t>
            </w:r>
          </w:p>
        </w:tc>
      </w:tr>
    </w:tbl>
    <w:p>
      <w:pPr>
        <w:pStyle w:val="BodyText"/>
        <w:spacing w:line="240" w:lineRule="auto" w:before="49"/>
        <w:ind w:right="344"/>
        <w:jc w:val="left"/>
      </w:pPr>
      <w:r>
        <w:rPr/>
        <w:t>当期是否改聘会计师事务所</w:t>
      </w:r>
    </w:p>
    <w:p>
      <w:pPr>
        <w:pStyle w:val="BodyText"/>
        <w:spacing w:line="338" w:lineRule="auto" w:before="117"/>
        <w:ind w:right="54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3"/>
        <w:ind w:right="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81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26" w:right="71"/>
              <w:jc w:val="left"/>
              <w:rPr>
                <w:rFonts w:ascii="宋体" w:hAnsi="宋体" w:cs="宋体" w:eastAsia="宋体" w:hint="default"/>
                <w:sz w:val="18"/>
                <w:szCs w:val="18"/>
              </w:rPr>
            </w:pPr>
            <w:r>
              <w:rPr>
                <w:rFonts w:ascii="宋体" w:hAnsi="宋体" w:cs="宋体" w:eastAsia="宋体" w:hint="default"/>
                <w:sz w:val="18"/>
                <w:szCs w:val="18"/>
              </w:rPr>
              <w:t>控股股东（或第 一大股东）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432"/>
              <w:jc w:val="right"/>
              <w:rPr>
                <w:rFonts w:ascii="宋体" w:hAnsi="宋体" w:cs="宋体" w:eastAsia="宋体" w:hint="default"/>
                <w:sz w:val="18"/>
                <w:szCs w:val="18"/>
              </w:rPr>
            </w:pPr>
            <w:r>
              <w:rPr>
                <w:rFonts w:ascii="宋体" w:hAnsi="宋体" w:cs="宋体" w:eastAsia="宋体" w:hint="default"/>
                <w:sz w:val="18"/>
                <w:szCs w:val="18"/>
              </w:rPr>
              <w:t>超比例减持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根据当事人违法 行为的事实、性 质、情节与社会 危害程度，依据</w:t>
            </w:r>
          </w:p>
          <w:p>
            <w:pPr>
              <w:pStyle w:val="TableParagraph"/>
              <w:spacing w:line="314"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《证券法》第一 百九十三条第二 款、第二百零四 条的规定，我会 </w:t>
            </w:r>
            <w:r>
              <w:rPr>
                <w:rFonts w:ascii="宋体" w:hAnsi="宋体" w:cs="宋体" w:eastAsia="宋体" w:hint="default"/>
                <w:spacing w:val="-5"/>
                <w:sz w:val="18"/>
                <w:szCs w:val="18"/>
              </w:rPr>
              <w:t>决定：</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、责令王</w:t>
            </w:r>
            <w:r>
              <w:rPr>
                <w:rFonts w:ascii="宋体" w:hAnsi="宋体" w:cs="宋体" w:eastAsia="宋体" w:hint="default"/>
                <w:sz w:val="18"/>
                <w:szCs w:val="18"/>
              </w:rPr>
              <w:t> 海鹏、王治军改 正，在收到行政 处罚决定书之日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日内对超比 例减持情况进行 报告和公告，并 就超比例减持行 为公开致歉。</w:t>
            </w:r>
            <w:r>
              <w:rPr>
                <w:rFonts w:ascii="Times New Roman" w:hAnsi="Times New Roman" w:cs="Times New Roman" w:eastAsia="Times New Roman" w:hint="default"/>
                <w:sz w:val="18"/>
                <w:szCs w:val="18"/>
              </w:rPr>
              <w:t>2</w:t>
            </w:r>
            <w:r>
              <w:rPr>
                <w:rFonts w:ascii="宋体" w:hAnsi="宋体" w:cs="宋体" w:eastAsia="宋体" w:hint="default"/>
                <w:sz w:val="18"/>
                <w:szCs w:val="18"/>
              </w:rPr>
              <w:t>、 对王海鹏、王治 军超比例减持未 披露及限制转让 期内的减持行为 </w:t>
            </w:r>
            <w:r>
              <w:rPr>
                <w:rFonts w:ascii="宋体" w:hAnsi="宋体" w:cs="宋体" w:eastAsia="宋体" w:hint="default"/>
                <w:spacing w:val="-8"/>
                <w:sz w:val="18"/>
                <w:szCs w:val="18"/>
              </w:rPr>
              <w:t>予以警告。</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w:t>
            </w:r>
            <w:r>
              <w:rPr>
                <w:rFonts w:ascii="宋体" w:hAnsi="宋体" w:cs="宋体" w:eastAsia="宋体" w:hint="default"/>
                <w:spacing w:val="-85"/>
                <w:sz w:val="18"/>
                <w:szCs w:val="18"/>
              </w:rPr>
              <w:t> </w:t>
            </w:r>
            <w:r>
              <w:rPr>
                <w:rFonts w:ascii="宋体" w:hAnsi="宋体" w:cs="宋体" w:eastAsia="宋体" w:hint="default"/>
                <w:sz w:val="18"/>
                <w:szCs w:val="18"/>
              </w:rPr>
              <w:t>王海鹏超比例减</w:t>
            </w:r>
            <w:r>
              <w:rPr>
                <w:rFonts w:ascii="宋体" w:hAnsi="宋体" w:cs="宋体" w:eastAsia="宋体" w:hint="default"/>
                <w:sz w:val="18"/>
                <w:szCs w:val="18"/>
              </w:rPr>
              <w:t> 持未披露行为处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万元罚款， 对王海鹏在限制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《关于股东收到 中国证券监督管 理委员会行政处 罚决定书的相关 </w:t>
            </w:r>
            <w:r>
              <w:rPr>
                <w:rFonts w:ascii="宋体" w:hAnsi="宋体" w:cs="宋体" w:eastAsia="宋体" w:hint="default"/>
                <w:spacing w:val="-14"/>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2015-086</w:t>
            </w:r>
            <w:r>
              <w:rPr>
                <w:rFonts w:ascii="宋体" w:hAnsi="宋体" w:cs="宋体" w:eastAsia="宋体" w:hint="default"/>
                <w:sz w:val="18"/>
                <w:szCs w:val="18"/>
              </w:rPr>
              <w:t>）</w:t>
            </w: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详见公司刊载的 证券时报及巨潮 资讯网</w:t>
            </w:r>
          </w:p>
          <w:p>
            <w:pPr>
              <w:pStyle w:val="TableParagraph"/>
              <w:spacing w:line="300" w:lineRule="auto" w:before="19"/>
              <w:ind w:left="23" w:right="54"/>
              <w:jc w:val="left"/>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pacing w:val="-32"/>
                <w:sz w:val="18"/>
                <w:szCs w:val="18"/>
              </w:rPr>
              <w:t>m.cn</w:t>
            </w:r>
            <w:r>
              <w:rPr>
                <w:rFonts w:ascii="宋体" w:hAnsi="宋体" w:cs="宋体" w:eastAsia="宋体" w:hint="default"/>
                <w:spacing w:val="-32"/>
                <w:sz w:val="18"/>
                <w:szCs w:val="18"/>
              </w:rPr>
              <w:t>）。</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418"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转让期内的减持 行为处以</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1775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 元罚款，对王海 鹏合计罚款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万元。对王治军 超比例减持未披 露行为处以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 元罚款，对王治 军在限制转让期 内的减持行为处 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 款，对王治军合 计罚款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94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超比例减持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被中国证监会立 案调查或行政处 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根据当事人违法 行为的事实、性 质、情节与社会 危害程度，依据</w:t>
            </w:r>
          </w:p>
          <w:p>
            <w:pPr>
              <w:pStyle w:val="TableParagraph"/>
              <w:spacing w:line="314" w:lineRule="auto" w:before="1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《证券法》第一 百九十三条第二 款、第二百零四 条的规定，我会 </w:t>
            </w:r>
            <w:r>
              <w:rPr>
                <w:rFonts w:ascii="宋体" w:hAnsi="宋体" w:cs="宋体" w:eastAsia="宋体" w:hint="default"/>
                <w:spacing w:val="-5"/>
                <w:sz w:val="18"/>
                <w:szCs w:val="18"/>
              </w:rPr>
              <w:t>决定：</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、责令王</w:t>
            </w:r>
            <w:r>
              <w:rPr>
                <w:rFonts w:ascii="宋体" w:hAnsi="宋体" w:cs="宋体" w:eastAsia="宋体" w:hint="default"/>
                <w:sz w:val="18"/>
                <w:szCs w:val="18"/>
              </w:rPr>
              <w:t> 海鹏、王治军改 正，在收到行政 处罚决定书之日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日内对超比 例减持情况进行 报告和公告，并 就超比例减持行 为公开致歉。</w:t>
            </w:r>
            <w:r>
              <w:rPr>
                <w:rFonts w:ascii="Times New Roman" w:hAnsi="Times New Roman" w:cs="Times New Roman" w:eastAsia="Times New Roman" w:hint="default"/>
                <w:sz w:val="18"/>
                <w:szCs w:val="18"/>
              </w:rPr>
              <w:t>2</w:t>
            </w:r>
            <w:r>
              <w:rPr>
                <w:rFonts w:ascii="宋体" w:hAnsi="宋体" w:cs="宋体" w:eastAsia="宋体" w:hint="default"/>
                <w:sz w:val="18"/>
                <w:szCs w:val="18"/>
              </w:rPr>
              <w:t>、 对王海鹏、王治 军超比例减持未 披露及限制转让 期内的减持行为 </w:t>
            </w:r>
            <w:r>
              <w:rPr>
                <w:rFonts w:ascii="宋体" w:hAnsi="宋体" w:cs="宋体" w:eastAsia="宋体" w:hint="default"/>
                <w:spacing w:val="-8"/>
                <w:sz w:val="18"/>
                <w:szCs w:val="18"/>
              </w:rPr>
              <w:t>予以警告。</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w:t>
            </w:r>
            <w:r>
              <w:rPr>
                <w:rFonts w:ascii="宋体" w:hAnsi="宋体" w:cs="宋体" w:eastAsia="宋体" w:hint="default"/>
                <w:spacing w:val="-85"/>
                <w:sz w:val="18"/>
                <w:szCs w:val="18"/>
              </w:rPr>
              <w:t> </w:t>
            </w:r>
            <w:r>
              <w:rPr>
                <w:rFonts w:ascii="宋体" w:hAnsi="宋体" w:cs="宋体" w:eastAsia="宋体" w:hint="default"/>
                <w:sz w:val="18"/>
                <w:szCs w:val="18"/>
              </w:rPr>
              <w:t>王海鹏超比例减</w:t>
            </w:r>
            <w:r>
              <w:rPr>
                <w:rFonts w:ascii="宋体" w:hAnsi="宋体" w:cs="宋体" w:eastAsia="宋体" w:hint="default"/>
                <w:sz w:val="18"/>
                <w:szCs w:val="18"/>
              </w:rPr>
              <w:t> 持未披露行为处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万元罚款， 对王海鹏在限制 转让期内的减持 行为处以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1775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 元罚款，对王海 鹏合计罚款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72"/>
              <w:jc w:val="left"/>
              <w:rPr>
                <w:rFonts w:ascii="宋体" w:hAnsi="宋体" w:cs="宋体" w:eastAsia="宋体" w:hint="default"/>
                <w:sz w:val="18"/>
                <w:szCs w:val="18"/>
              </w:rPr>
            </w:pPr>
            <w:r>
              <w:rPr>
                <w:rFonts w:ascii="宋体" w:hAnsi="宋体" w:cs="宋体" w:eastAsia="宋体" w:hint="default"/>
                <w:sz w:val="18"/>
                <w:szCs w:val="18"/>
              </w:rPr>
              <w:t>《关于股东收到 中国证券监督管 理委员会行政处 罚决定书的相关 </w:t>
            </w:r>
            <w:r>
              <w:rPr>
                <w:rFonts w:ascii="宋体" w:hAnsi="宋体" w:cs="宋体" w:eastAsia="宋体" w:hint="default"/>
                <w:spacing w:val="-14"/>
                <w:sz w:val="18"/>
                <w:szCs w:val="18"/>
              </w:rPr>
              <w:t>公告》（公告编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2015-086</w:t>
            </w:r>
            <w:r>
              <w:rPr>
                <w:rFonts w:ascii="宋体" w:hAnsi="宋体" w:cs="宋体" w:eastAsia="宋体" w:hint="default"/>
                <w:sz w:val="18"/>
                <w:szCs w:val="18"/>
              </w:rPr>
              <w:t>）</w:t>
            </w:r>
          </w:p>
          <w:p>
            <w:pPr>
              <w:pStyle w:val="TableParagraph"/>
              <w:spacing w:line="316" w:lineRule="auto"/>
              <w:ind w:left="23" w:right="72"/>
              <w:jc w:val="both"/>
              <w:rPr>
                <w:rFonts w:ascii="宋体" w:hAnsi="宋体" w:cs="宋体" w:eastAsia="宋体" w:hint="default"/>
                <w:sz w:val="18"/>
                <w:szCs w:val="18"/>
              </w:rPr>
            </w:pPr>
            <w:r>
              <w:rPr>
                <w:rFonts w:ascii="宋体" w:hAnsi="宋体" w:cs="宋体" w:eastAsia="宋体" w:hint="default"/>
                <w:sz w:val="18"/>
                <w:szCs w:val="18"/>
              </w:rPr>
              <w:t>详见公司刊载的 证券时报及巨潮 资讯网</w:t>
            </w:r>
          </w:p>
          <w:p>
            <w:pPr>
              <w:pStyle w:val="TableParagraph"/>
              <w:spacing w:line="300" w:lineRule="auto" w:before="19"/>
              <w:ind w:left="23" w:right="54"/>
              <w:jc w:val="left"/>
              <w:rPr>
                <w:rFonts w:ascii="宋体" w:hAnsi="宋体" w:cs="宋体" w:eastAsia="宋体" w:hint="default"/>
                <w:sz w:val="18"/>
                <w:szCs w:val="18"/>
              </w:rPr>
            </w:pPr>
            <w:r>
              <w:rPr>
                <w:rFonts w:ascii="宋体" w:hAnsi="宋体" w:cs="宋体" w:eastAsia="宋体" w:hint="default"/>
                <w:spacing w:val="-2"/>
                <w:sz w:val="18"/>
                <w:szCs w:val="18"/>
              </w:rPr>
              <w:t>（</w:t>
            </w:r>
            <w:hyperlink r:id="rId12">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pacing w:val="-32"/>
                <w:sz w:val="18"/>
                <w:szCs w:val="18"/>
              </w:rPr>
              <w:t>m.cn</w:t>
            </w:r>
            <w:r>
              <w:rPr>
                <w:rFonts w:ascii="宋体" w:hAnsi="宋体" w:cs="宋体" w:eastAsia="宋体" w:hint="default"/>
                <w:spacing w:val="-32"/>
                <w:sz w:val="18"/>
                <w:szCs w:val="18"/>
              </w:rPr>
              <w:t>）。</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15" w:hRule="exact"/>
        </w:trPr>
        <w:tc>
          <w:tcPr>
            <w:tcW w:w="1368"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万元。对王治军</w:t>
            </w:r>
          </w:p>
        </w:tc>
        <w:tc>
          <w:tcPr>
            <w:tcW w:w="1366"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12"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超比例减持未披</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17"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露行为处以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07"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元罚款，对王治</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12"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军在限制转让期</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12"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内的减持行为处</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17"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07"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款，对王治军合</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17" w:hRule="exact"/>
        </w:trPr>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计罚款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66"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55" w:hRule="exact"/>
        </w:trPr>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66"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报告期内，公司及其控股股东、实际控制人不存在未履行法院生效判决、所负数额较大的债务到期未清偿等情况。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0"/>
        <w:jc w:val="left"/>
      </w:pPr>
      <w:r>
        <w:rPr/>
        <w:t>公司部分董监高及核心骨干人员于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日通过成立的</w:t>
      </w:r>
      <w:r>
        <w:rPr>
          <w:rFonts w:ascii="Times New Roman" w:hAnsi="Times New Roman" w:cs="Times New Roman" w:eastAsia="Times New Roman" w:hint="default"/>
        </w:rPr>
        <w:t>“</w:t>
      </w:r>
      <w:r>
        <w:rPr/>
        <w:t>平安汇通</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成长</w:t>
      </w:r>
      <w:r>
        <w:rPr>
          <w:rFonts w:ascii="Times New Roman" w:hAnsi="Times New Roman" w:cs="Times New Roman" w:eastAsia="Times New Roman" w:hint="default"/>
        </w:rPr>
        <w:t>1</w:t>
      </w:r>
      <w:r>
        <w:rPr/>
        <w:t>号专项资产管理计划</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购入本公司股 </w:t>
      </w:r>
      <w:r>
        <w:rPr>
          <w:spacing w:val="-2"/>
        </w:rPr>
        <w:t>票</w:t>
      </w:r>
      <w:r>
        <w:rPr>
          <w:rFonts w:ascii="Times New Roman" w:hAnsi="Times New Roman" w:cs="Times New Roman" w:eastAsia="Times New Roman" w:hint="default"/>
          <w:spacing w:val="-2"/>
        </w:rPr>
        <w:t>859</w:t>
      </w:r>
      <w:r>
        <w:rPr>
          <w:spacing w:val="-2"/>
        </w:rPr>
        <w:t>万股（</w:t>
      </w:r>
      <w:r>
        <w:rPr>
          <w:rFonts w:ascii="Times New Roman" w:hAnsi="Times New Roman" w:cs="Times New Roman" w:eastAsia="Times New Roman" w:hint="default"/>
          <w:spacing w:val="-2"/>
        </w:rPr>
        <w:t>2014</w:t>
      </w:r>
      <w:r>
        <w:rPr>
          <w:spacing w:val="-2"/>
        </w:rPr>
        <w:t>年度资本公积转增股本方案实施后变为</w:t>
      </w:r>
      <w:r>
        <w:rPr>
          <w:rFonts w:ascii="Times New Roman" w:hAnsi="Times New Roman" w:cs="Times New Roman" w:eastAsia="Times New Roman" w:hint="default"/>
          <w:spacing w:val="-2"/>
        </w:rPr>
        <w:t>1718</w:t>
      </w:r>
      <w:r>
        <w:rPr>
          <w:spacing w:val="-2"/>
        </w:rPr>
        <w:t>万股），具体情况详见公司于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日刊载在证券时报及</w:t>
      </w:r>
      <w:r>
        <w:rPr>
          <w:spacing w:val="-57"/>
        </w:rPr>
        <w:t> </w:t>
      </w:r>
      <w:r>
        <w:rPr>
          <w:spacing w:val="-57"/>
        </w:rPr>
      </w:r>
      <w:r>
        <w:rPr/>
        <w:t>巨潮资讯网（</w:t>
      </w:r>
      <w:hyperlink r:id="rId11">
        <w:r>
          <w:rPr>
            <w:rFonts w:ascii="Times New Roman" w:hAnsi="Times New Roman" w:cs="Times New Roman" w:eastAsia="Times New Roman" w:hint="default"/>
          </w:rPr>
          <w:t>www.cninfo.com.cn</w:t>
        </w:r>
      </w:hyperlink>
      <w:r>
        <w:rPr/>
        <w:t>）上的《关于公司部分董监高及核心骨干人员融资增持公司股份的公告》。</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after="0" w:line="3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3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公司报告期不存在其他重大合同。</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Heading4"/>
        <w:spacing w:line="240" w:lineRule="auto"/>
        <w:ind w:left="0" w:right="1209"/>
        <w:jc w:val="right"/>
        <w:rPr>
          <w:b w:val="0"/>
          <w:bCs w:val="0"/>
        </w:rPr>
      </w:pPr>
      <w:r>
        <w:rPr/>
        <w:pict>
          <v:shape style="position:absolute;margin-left:56.279999pt;margin-top:-17.328291pt;width:427.2pt;height:351.1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4"/>
                    <w:gridCol w:w="1560"/>
                    <w:gridCol w:w="1702"/>
                    <w:gridCol w:w="4586"/>
                  </w:tblGrid>
                  <w:tr>
                    <w:trPr>
                      <w:trHeight w:val="972"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b/>
                            <w:bCs/>
                            <w:sz w:val="18"/>
                            <w:szCs w:val="18"/>
                          </w:rPr>
                          <w:t>重大事件类型</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09" w:firstLine="192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查询索引</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详见信息披露指定网站巨潮资讯网（</w:t>
                        </w:r>
                        <w:hyperlink r:id="rId11">
                          <w:r>
                            <w:rPr>
                              <w:rFonts w:ascii="Times New Roman" w:hAnsi="Times New Roman" w:cs="Times New Roman" w:eastAsia="Times New Roman" w:hint="default"/>
                              <w:b/>
                              <w:bCs/>
                              <w:sz w:val="18"/>
                              <w:szCs w:val="18"/>
                            </w:rPr>
                            <w:t>www.cninfo.com.cn</w:t>
                          </w:r>
                        </w:hyperlink>
                        <w:r>
                          <w:rPr>
                            <w:rFonts w:ascii="Times New Roman" w:hAnsi="Times New Roman" w:cs="Times New Roman" w:eastAsia="Times New Roman" w:hint="default"/>
                            <w:b/>
                            <w:bCs/>
                            <w:w w:val="99"/>
                            <w:sz w:val="18"/>
                            <w:szCs w:val="18"/>
                          </w:rPr>
                          <w:t> </w:t>
                        </w:r>
                        <w:r>
                          <w:rPr>
                            <w:rFonts w:ascii="宋体" w:hAnsi="宋体" w:cs="宋体" w:eastAsia="宋体" w:hint="default"/>
                            <w:b/>
                            <w:bCs/>
                            <w:sz w:val="18"/>
                            <w:szCs w:val="18"/>
                          </w:rPr>
                          <w:t>的如下公告</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董事变动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《关于公司独立董事辞职的公告》（公告编号：</w:t>
                        </w:r>
                        <w:r>
                          <w:rPr>
                            <w:rFonts w:ascii="Times New Roman" w:hAnsi="Times New Roman" w:cs="Times New Roman" w:eastAsia="Times New Roman" w:hint="default"/>
                            <w:sz w:val="18"/>
                            <w:szCs w:val="18"/>
                          </w:rPr>
                          <w:t>2015-005</w:t>
                        </w:r>
                      </w:p>
                    </w:tc>
                  </w:tr>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购置财产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《关于拟购置房产的公告》（公告编号：</w:t>
                        </w:r>
                        <w:r>
                          <w:rPr>
                            <w:rFonts w:ascii="Times New Roman" w:hAnsi="Times New Roman" w:cs="Times New Roman" w:eastAsia="Times New Roman" w:hint="default"/>
                            <w:sz w:val="18"/>
                            <w:szCs w:val="18"/>
                          </w:rPr>
                          <w:t>2015-008</w:t>
                        </w:r>
                        <w:r>
                          <w:rPr>
                            <w:rFonts w:ascii="宋体" w:hAnsi="宋体" w:cs="宋体" w:eastAsia="宋体" w:hint="default"/>
                            <w:sz w:val="18"/>
                            <w:szCs w:val="18"/>
                          </w:rPr>
                          <w:t>）</w:t>
                        </w:r>
                      </w:p>
                    </w:tc>
                  </w:tr>
                  <w:tr>
                    <w:trPr>
                      <w:trHeight w:val="660"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《关于同意控股子公司汇天云网集团有限公司投资设立公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司的公告》（公告编号：</w:t>
                        </w:r>
                        <w:r>
                          <w:rPr>
                            <w:rFonts w:ascii="Times New Roman" w:hAnsi="Times New Roman" w:cs="Times New Roman" w:eastAsia="Times New Roman" w:hint="default"/>
                            <w:sz w:val="18"/>
                            <w:szCs w:val="18"/>
                          </w:rPr>
                          <w:t>2015-009</w:t>
                        </w:r>
                        <w:r>
                          <w:rPr>
                            <w:rFonts w:ascii="宋体" w:hAnsi="宋体" w:cs="宋体" w:eastAsia="宋体" w:hint="default"/>
                            <w:sz w:val="18"/>
                            <w:szCs w:val="18"/>
                          </w:rPr>
                          <w:t>）</w:t>
                        </w:r>
                      </w:p>
                    </w:tc>
                  </w:tr>
                  <w:tr>
                    <w:trPr>
                      <w:trHeight w:val="34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购置财产</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《关于拟购置房产的公告》（公告编号：</w:t>
                        </w:r>
                        <w:r>
                          <w:rPr>
                            <w:rFonts w:ascii="Times New Roman" w:hAnsi="Times New Roman" w:cs="Times New Roman" w:eastAsia="Times New Roman" w:hint="default"/>
                            <w:sz w:val="18"/>
                            <w:szCs w:val="18"/>
                          </w:rPr>
                          <w:t>2015-019</w:t>
                        </w:r>
                        <w:r>
                          <w:rPr>
                            <w:rFonts w:ascii="宋体" w:hAnsi="宋体" w:cs="宋体" w:eastAsia="宋体" w:hint="default"/>
                            <w:sz w:val="18"/>
                            <w:szCs w:val="18"/>
                          </w:rPr>
                          <w:t>）</w:t>
                        </w:r>
                      </w:p>
                    </w:tc>
                  </w:tr>
                  <w:tr>
                    <w:trPr>
                      <w:trHeight w:val="660"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9"/>
                          <w:jc w:val="left"/>
                          <w:rPr>
                            <w:rFonts w:ascii="宋体" w:hAnsi="宋体" w:cs="宋体" w:eastAsia="宋体" w:hint="default"/>
                            <w:sz w:val="18"/>
                            <w:szCs w:val="18"/>
                          </w:rPr>
                        </w:pPr>
                        <w:r>
                          <w:rPr>
                            <w:rFonts w:ascii="宋体" w:hAnsi="宋体" w:cs="宋体" w:eastAsia="宋体" w:hint="default"/>
                            <w:spacing w:val="18"/>
                            <w:sz w:val="18"/>
                            <w:szCs w:val="18"/>
                          </w:rPr>
                          <w:t>《关于于深圳设立全资子公司的公告》（公告编号：</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2015-035</w:t>
                        </w:r>
                        <w:r>
                          <w:rPr>
                            <w:rFonts w:ascii="宋体" w:hAnsi="宋体" w:cs="宋体" w:eastAsia="宋体" w:hint="default"/>
                            <w:sz w:val="18"/>
                            <w:szCs w:val="18"/>
                          </w:rPr>
                          <w:t>）</w:t>
                        </w:r>
                      </w:p>
                    </w:tc>
                  </w:tr>
                  <w:tr>
                    <w:trPr>
                      <w:trHeight w:val="65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19"/>
                          <w:jc w:val="left"/>
                          <w:rPr>
                            <w:rFonts w:ascii="宋体" w:hAnsi="宋体" w:cs="宋体" w:eastAsia="宋体" w:hint="default"/>
                            <w:sz w:val="18"/>
                            <w:szCs w:val="18"/>
                          </w:rPr>
                        </w:pPr>
                        <w:r>
                          <w:rPr>
                            <w:rFonts w:ascii="宋体" w:hAnsi="宋体" w:cs="宋体" w:eastAsia="宋体" w:hint="default"/>
                            <w:spacing w:val="18"/>
                            <w:sz w:val="18"/>
                            <w:szCs w:val="18"/>
                          </w:rPr>
                          <w:t>《关于于东莞设立全资子公司的公告》（公告编号：</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2015-036</w:t>
                        </w:r>
                        <w:r>
                          <w:rPr>
                            <w:rFonts w:ascii="宋体" w:hAnsi="宋体" w:cs="宋体" w:eastAsia="宋体" w:hint="default"/>
                            <w:sz w:val="18"/>
                            <w:szCs w:val="18"/>
                          </w:rPr>
                          <w:t>）</w:t>
                        </w:r>
                      </w:p>
                    </w:tc>
                  </w:tr>
                  <w:tr>
                    <w:trPr>
                      <w:trHeight w:val="660"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股东持股变动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2"/>
                            <w:sz w:val="18"/>
                            <w:szCs w:val="18"/>
                          </w:rPr>
                          <w:t>《关于控股股东及其一致行动人完成增持公司股份计划的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公告》（公告编号：</w:t>
                        </w:r>
                        <w:r>
                          <w:rPr>
                            <w:rFonts w:ascii="Times New Roman" w:hAnsi="Times New Roman" w:cs="Times New Roman" w:eastAsia="Times New Roman" w:hint="default"/>
                            <w:sz w:val="18"/>
                            <w:szCs w:val="18"/>
                          </w:rPr>
                          <w:t>2015-058</w:t>
                        </w:r>
                        <w:r>
                          <w:rPr>
                            <w:rFonts w:ascii="宋体" w:hAnsi="宋体" w:cs="宋体" w:eastAsia="宋体" w:hint="default"/>
                            <w:sz w:val="18"/>
                            <w:szCs w:val="18"/>
                          </w:rPr>
                          <w:t>）</w:t>
                        </w:r>
                      </w:p>
                    </w:tc>
                  </w:tr>
                  <w:tr>
                    <w:trPr>
                      <w:trHeight w:val="65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《关于全资子公司拟投资设立合资公司的公告》（公告编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2015-066</w:t>
                        </w:r>
                        <w:r>
                          <w:rPr>
                            <w:rFonts w:ascii="宋体" w:hAnsi="宋体" w:cs="宋体" w:eastAsia="宋体" w:hint="default"/>
                            <w:sz w:val="18"/>
                            <w:szCs w:val="18"/>
                          </w:rPr>
                          <w:t>）</w:t>
                        </w:r>
                      </w:p>
                    </w:tc>
                  </w:tr>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高管变动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《关于董事、高管辞职的公告》（公告编号：</w:t>
                        </w:r>
                        <w:r>
                          <w:rPr>
                            <w:rFonts w:ascii="Times New Roman" w:hAnsi="Times New Roman" w:cs="Times New Roman" w:eastAsia="Times New Roman" w:hint="default"/>
                            <w:sz w:val="18"/>
                            <w:szCs w:val="18"/>
                          </w:rPr>
                          <w:t>2015-071</w:t>
                        </w:r>
                        <w:r>
                          <w:rPr>
                            <w:rFonts w:ascii="宋体" w:hAnsi="宋体" w:cs="宋体" w:eastAsia="宋体" w:hint="default"/>
                            <w:sz w:val="18"/>
                            <w:szCs w:val="18"/>
                          </w:rPr>
                          <w:t>）</w:t>
                        </w:r>
                      </w:p>
                    </w:tc>
                  </w:tr>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高管变动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《关于董事、高管辞职的公告》（公告编号：</w:t>
                        </w:r>
                        <w:r>
                          <w:rPr>
                            <w:rFonts w:ascii="Times New Roman" w:hAnsi="Times New Roman" w:cs="Times New Roman" w:eastAsia="Times New Roman" w:hint="default"/>
                            <w:sz w:val="18"/>
                            <w:szCs w:val="18"/>
                          </w:rPr>
                          <w:t>2015-077</w:t>
                        </w:r>
                        <w:r>
                          <w:rPr>
                            <w:rFonts w:ascii="宋体" w:hAnsi="宋体" w:cs="宋体" w:eastAsia="宋体" w:hint="default"/>
                            <w:sz w:val="18"/>
                            <w:szCs w:val="18"/>
                          </w:rPr>
                          <w:t>）</w:t>
                        </w:r>
                      </w:p>
                    </w:tc>
                  </w:tr>
                  <w:tr>
                    <w:trPr>
                      <w:trHeight w:val="65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行政处罚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2"/>
                            <w:sz w:val="18"/>
                            <w:szCs w:val="18"/>
                          </w:rPr>
                          <w:t>《关于股东收到中国证券监督管理委员会行政处罚决定书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的相关公告》（公告编号：</w:t>
                        </w:r>
                        <w:r>
                          <w:rPr>
                            <w:rFonts w:ascii="Times New Roman" w:hAnsi="Times New Roman" w:cs="Times New Roman" w:eastAsia="Times New Roman" w:hint="default"/>
                            <w:sz w:val="18"/>
                            <w:szCs w:val="18"/>
                          </w:rPr>
                          <w:t>2015-086</w:t>
                        </w:r>
                        <w:r>
                          <w:rPr>
                            <w:rFonts w:ascii="宋体" w:hAnsi="宋体" w:cs="宋体" w:eastAsia="宋体" w:hint="default"/>
                            <w:sz w:val="18"/>
                            <w:szCs w:val="18"/>
                          </w:rPr>
                          <w:t>）</w:t>
                        </w:r>
                      </w:p>
                    </w:tc>
                  </w:tr>
                  <w:tr>
                    <w:trPr>
                      <w:trHeight w:val="348"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《关于会计政策变更的公告》（公告编号：</w:t>
                        </w:r>
                        <w:r>
                          <w:rPr>
                            <w:rFonts w:ascii="Times New Roman" w:hAnsi="Times New Roman" w:cs="Times New Roman" w:eastAsia="Times New Roman" w:hint="default"/>
                            <w:sz w:val="18"/>
                            <w:szCs w:val="18"/>
                          </w:rPr>
                          <w:t>2015-104</w:t>
                        </w:r>
                        <w:r>
                          <w:rPr>
                            <w:rFonts w:ascii="宋体" w:hAnsi="宋体" w:cs="宋体" w:eastAsia="宋体" w:hint="default"/>
                            <w:sz w:val="18"/>
                            <w:szCs w:val="18"/>
                          </w:rPr>
                          <w:t>）</w:t>
                        </w:r>
                      </w:p>
                    </w:tc>
                  </w:tr>
                </w:tbl>
                <w:p>
                  <w:pPr/>
                </w:p>
              </w:txbxContent>
            </v:textbox>
            <w10:wrap type="none"/>
          </v:shape>
        </w:pict>
      </w:r>
      <w:r>
        <w:rPr>
          <w:w w:val="99"/>
        </w:rPr>
        <w:t>）</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before="44"/>
        <w:ind w:left="0" w:right="119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详见上述</w:t>
      </w:r>
      <w:r>
        <w:rPr>
          <w:rFonts w:ascii="Times New Roman" w:hAnsi="Times New Roman" w:cs="Times New Roman" w:eastAsia="Times New Roman" w:hint="default"/>
          <w:spacing w:val="-2"/>
        </w:rPr>
        <w:t>“</w:t>
      </w:r>
      <w:r>
        <w:rPr>
          <w:spacing w:val="-2"/>
        </w:rPr>
        <w:t>十八、其他重大事项的说明</w:t>
      </w:r>
      <w:r>
        <w:rPr>
          <w:rFonts w:ascii="Times New Roman" w:hAnsi="Times New Roman" w:cs="Times New Roman" w:eastAsia="Times New Roman" w:hint="default"/>
          <w:spacing w:val="-2"/>
        </w:rPr>
        <w:t>”</w:t>
      </w:r>
      <w:r>
        <w:rPr>
          <w:spacing w:val="-2"/>
        </w:rPr>
        <w:t>中的《关于同意控股子公司汇天云网集团有限公司投资设立公司的公告》、《关于全</w:t>
      </w:r>
      <w:r>
        <w:rPr>
          <w:spacing w:val="-43"/>
        </w:rPr>
        <w:t> </w:t>
      </w:r>
      <w:r>
        <w:rPr>
          <w:spacing w:val="-43"/>
        </w:rPr>
      </w:r>
      <w:r>
        <w:rPr/>
        <w:t>资子公司拟投资设立合资公司的公告》所述事项。</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11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3" w:right="104"/>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4"/>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4"/>
        <w:jc w:val="left"/>
        <w:rPr>
          <w:b w:val="0"/>
          <w:bCs w:val="0"/>
        </w:rPr>
      </w:pPr>
      <w:bookmarkStart w:name="一、股份变动情况" w:id="102"/>
      <w:bookmarkEnd w:id="102"/>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5"/>
        <w:gridCol w:w="823"/>
        <w:gridCol w:w="823"/>
        <w:gridCol w:w="823"/>
        <w:gridCol w:w="821"/>
        <w:gridCol w:w="823"/>
        <w:gridCol w:w="821"/>
        <w:gridCol w:w="823"/>
        <w:gridCol w:w="794"/>
        <w:gridCol w:w="792"/>
      </w:tblGrid>
      <w:tr>
        <w:trPr>
          <w:trHeight w:val="403"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15" w:type="dxa"/>
            <w:vMerge/>
            <w:tcBorders>
              <w:left w:val="single" w:sz="4" w:space="0" w:color="000000"/>
              <w:bottom w:val="nil" w:sz="6" w:space="0" w:color="auto"/>
              <w:right w:val="single" w:sz="4" w:space="0" w:color="000000"/>
            </w:tcBorders>
            <w:shd w:val="clear" w:color="auto" w:fill="D4D4D4"/>
          </w:tcPr>
          <w:p>
            <w:pP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5" w:type="dxa"/>
            <w:vMerge w:val="restart"/>
            <w:tcBorders>
              <w:top w:val="nil" w:sz="6" w:space="0" w:color="auto"/>
              <w:left w:val="single" w:sz="4" w:space="0" w:color="000000"/>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15" w:type="dxa"/>
            <w:vMerge/>
            <w:tcBorders>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355,066,6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49.64%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106,519,9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108,685,9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818,819,2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57.24%</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355,066,6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49.64%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106,519,9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108,685,9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818,819,2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57.24%</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355,066,6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49.64%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106,519,9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108,685,9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818,819,2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57.24%</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360,133,3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50.35%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980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611,580,7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42.75%</w:t>
            </w:r>
          </w:p>
        </w:tc>
      </w:tr>
      <w:tr>
        <w:trPr>
          <w:trHeight w:val="391"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360,133,3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50.35%</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252,093,3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-108,685,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980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611,580,7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42.75%</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9" w:space="0" w:color="D4D4D4"/>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715,200,0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214,560,0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1,430,400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04"/>
        <w:jc w:val="left"/>
      </w:pPr>
      <w:r>
        <w:rPr/>
        <w:t>股份变动的原因</w:t>
      </w:r>
    </w:p>
    <w:p>
      <w:pPr>
        <w:pStyle w:val="BodyText"/>
        <w:spacing w:line="319" w:lineRule="auto" w:before="115"/>
        <w:ind w:right="10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w:t>
      </w:r>
      <w:r>
        <w:rPr/>
        <w:t>根据公司</w:t>
      </w:r>
      <w:r>
        <w:rPr>
          <w:rFonts w:ascii="Times New Roman" w:hAnsi="Times New Roman" w:cs="Times New Roman" w:eastAsia="Times New Roman" w:hint="default"/>
        </w:rPr>
        <w:t>2014</w:t>
      </w:r>
      <w:r>
        <w:rPr/>
        <w:t>年度利润分配和公积金转增股本方案，以总股本</w:t>
      </w:r>
      <w:r>
        <w:rPr>
          <w:rFonts w:ascii="Times New Roman" w:hAnsi="Times New Roman" w:cs="Times New Roman" w:eastAsia="Times New Roman" w:hint="default"/>
        </w:rPr>
        <w:t>715,200,000</w:t>
      </w:r>
      <w:r>
        <w:rPr/>
        <w:t>股为基数，以未分配利润向全体股 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3</w:t>
      </w:r>
      <w:r>
        <w:rPr/>
        <w:t>股，共计派发股票股利</w:t>
      </w:r>
      <w:r>
        <w:rPr>
          <w:rFonts w:ascii="Times New Roman" w:hAnsi="Times New Roman" w:cs="Times New Roman" w:eastAsia="Times New Roman" w:hint="default"/>
        </w:rPr>
        <w:t>214,560,000</w:t>
      </w:r>
      <w:r>
        <w:rPr/>
        <w:t>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股，共计转增股本</w:t>
      </w:r>
    </w:p>
    <w:p>
      <w:pPr>
        <w:pStyle w:val="BodyText"/>
        <w:spacing w:line="300" w:lineRule="auto"/>
        <w:ind w:left="153" w:right="93" w:hanging="1"/>
        <w:jc w:val="left"/>
      </w:pPr>
      <w:r>
        <w:rPr>
          <w:rFonts w:ascii="Times New Roman" w:hAnsi="Times New Roman" w:cs="Times New Roman" w:eastAsia="Times New Roman" w:hint="default"/>
          <w:spacing w:val="-2"/>
        </w:rPr>
        <w:t>500,640,000</w:t>
      </w:r>
      <w:r>
        <w:rPr>
          <w:spacing w:val="-2"/>
        </w:rPr>
        <w:t>股，方案实施完毕后公司总股本增加至</w:t>
      </w:r>
      <w:r>
        <w:rPr>
          <w:rFonts w:ascii="Times New Roman" w:hAnsi="Times New Roman" w:cs="Times New Roman" w:eastAsia="Times New Roman" w:hint="default"/>
          <w:spacing w:val="-2"/>
        </w:rPr>
        <w:t>143,040,000</w:t>
      </w:r>
      <w:r>
        <w:rPr>
          <w:spacing w:val="-2"/>
        </w:rPr>
        <w:t>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日公司股东王治军、王海鹏分别辞</w:t>
      </w:r>
      <w:r>
        <w:rPr>
          <w:spacing w:val="-44"/>
        </w:rPr>
        <w:t> </w:t>
      </w:r>
      <w:r>
        <w:rPr>
          <w:spacing w:val="-44"/>
        </w:rPr>
      </w:r>
      <w:r>
        <w:rPr/>
        <w:t>任董事、高管职务，按照《公司法》及证监会、交易所的相关规定，上述股东离职半年内不得转让其所持有的本公司股份，</w:t>
      </w:r>
    </w:p>
    <w:p>
      <w:pPr>
        <w:spacing w:after="0" w:line="30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因此公司有限售条件股份增加</w:t>
      </w:r>
      <w:r>
        <w:rPr>
          <w:rFonts w:ascii="Times New Roman" w:hAnsi="Times New Roman" w:cs="Times New Roman" w:eastAsia="Times New Roman" w:hint="default"/>
        </w:rPr>
        <w:t>108,685,980</w:t>
      </w:r>
      <w:r>
        <w:rPr/>
        <w:t>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股份变动的批准情况</w:t>
      </w:r>
    </w:p>
    <w:p>
      <w:pPr>
        <w:pStyle w:val="BodyText"/>
        <w:spacing w:line="319" w:lineRule="auto" w:before="115"/>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年度利润分配和公积金转增股本预案》：以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w:t>
      </w:r>
      <w:r>
        <w:rPr>
          <w:spacing w:val="-3"/>
        </w:rPr>
        <w:t> </w:t>
      </w:r>
      <w:r>
        <w:rPr>
          <w:spacing w:val="-1"/>
        </w:rPr>
        <w:t>司总股本</w:t>
      </w:r>
      <w:r>
        <w:rPr>
          <w:rFonts w:ascii="Times New Roman" w:hAnsi="Times New Roman" w:cs="Times New Roman" w:eastAsia="Times New Roman" w:hint="default"/>
          <w:spacing w:val="-1"/>
        </w:rPr>
        <w:t>715,200,000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0.75</w:t>
      </w:r>
      <w:r>
        <w:rPr>
          <w:spacing w:val="-1"/>
        </w:rPr>
        <w:t>元（含税），本次利润分配</w:t>
      </w:r>
      <w:r>
        <w:rPr>
          <w:rFonts w:ascii="Times New Roman" w:hAnsi="Times New Roman" w:cs="Times New Roman" w:eastAsia="Times New Roman" w:hint="default"/>
          <w:spacing w:val="-1"/>
        </w:rPr>
        <w:t>5364</w:t>
      </w:r>
      <w:r>
        <w:rPr>
          <w:spacing w:val="-1"/>
        </w:rPr>
        <w:t>万元（含税），以未分配利</w:t>
      </w:r>
    </w:p>
    <w:p>
      <w:pPr>
        <w:pStyle w:val="BodyText"/>
        <w:spacing w:line="300" w:lineRule="auto"/>
        <w:ind w:right="150"/>
        <w:jc w:val="both"/>
      </w:pPr>
      <w:r>
        <w:rPr>
          <w:spacing w:val="-2"/>
        </w:rPr>
        <w:t>润向全体股东每</w:t>
      </w:r>
      <w:r>
        <w:rPr>
          <w:rFonts w:ascii="Times New Roman" w:hAnsi="Times New Roman" w:cs="Times New Roman" w:eastAsia="Times New Roman" w:hint="default"/>
          <w:spacing w:val="-2"/>
        </w:rPr>
        <w:t>10</w:t>
      </w:r>
      <w:r>
        <w:rPr>
          <w:spacing w:val="-2"/>
        </w:rPr>
        <w:t>股派送红股</w:t>
      </w:r>
      <w:r>
        <w:rPr>
          <w:rFonts w:ascii="Times New Roman" w:hAnsi="Times New Roman" w:cs="Times New Roman" w:eastAsia="Times New Roman" w:hint="default"/>
          <w:spacing w:val="-2"/>
        </w:rPr>
        <w:t>3</w:t>
      </w:r>
      <w:r>
        <w:rPr>
          <w:spacing w:val="-2"/>
        </w:rPr>
        <w:t>股，共计派发股票股利</w:t>
      </w:r>
      <w:r>
        <w:rPr>
          <w:rFonts w:ascii="Times New Roman" w:hAnsi="Times New Roman" w:cs="Times New Roman" w:eastAsia="Times New Roman" w:hint="default"/>
          <w:spacing w:val="-2"/>
        </w:rPr>
        <w:t>214,560,000</w:t>
      </w:r>
      <w:r>
        <w:rPr>
          <w:spacing w:val="-2"/>
        </w:rPr>
        <w:t>股；同时，以资本公积金向全体股东每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股，共计</w:t>
      </w:r>
      <w:r>
        <w:rPr>
          <w:spacing w:val="-51"/>
        </w:rPr>
        <w:t> </w:t>
      </w:r>
      <w:r>
        <w:rPr>
          <w:spacing w:val="-51"/>
        </w:rPr>
      </w:r>
      <w:r>
        <w:rPr/>
        <w:t>转增股本</w:t>
      </w:r>
      <w:r>
        <w:rPr>
          <w:rFonts w:ascii="Times New Roman" w:hAnsi="Times New Roman" w:cs="Times New Roman" w:eastAsia="Times New Roman" w:hint="default"/>
        </w:rPr>
        <w:t>500,640,000</w:t>
      </w:r>
      <w:r>
        <w:rPr/>
        <w:t>股。该权益分配方案已于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日实施完毕。详见公司于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日在《证券时报》和巨潮资 讯网（</w:t>
      </w:r>
      <w:hyperlink r:id="rId11">
        <w:r>
          <w:rPr>
            <w:rFonts w:ascii="Times New Roman" w:hAnsi="Times New Roman" w:cs="Times New Roman" w:eastAsia="Times New Roman" w:hint="default"/>
          </w:rPr>
          <w:t>www.cninfo.com.cn/</w:t>
        </w:r>
      </w:hyperlink>
      <w:r>
        <w:rPr/>
        <w:t>）披露的《</w:t>
      </w:r>
      <w:r>
        <w:rPr>
          <w:rFonts w:ascii="Times New Roman" w:hAnsi="Times New Roman" w:cs="Times New Roman" w:eastAsia="Times New Roman" w:hint="default"/>
        </w:rPr>
        <w:t>2014</w:t>
      </w:r>
      <w:r>
        <w:rPr/>
        <w:t>年年度权益分派实施公告》，公告编号为：</w:t>
      </w:r>
      <w:r>
        <w:rPr>
          <w:rFonts w:ascii="Times New Roman" w:hAnsi="Times New Roman" w:cs="Times New Roman" w:eastAsia="Times New Roman" w:hint="default"/>
        </w:rPr>
        <w:t>2015-042</w:t>
      </w:r>
      <w:r>
        <w:rPr/>
        <w:t>。</w:t>
      </w:r>
    </w:p>
    <w:p>
      <w:pPr>
        <w:pStyle w:val="BodyText"/>
        <w:spacing w:line="240" w:lineRule="auto" w:before="53"/>
        <w:ind w:right="0"/>
        <w:jc w:val="left"/>
      </w:pPr>
      <w:r>
        <w:rPr/>
        <w:t>股份变动的过户情况</w:t>
      </w:r>
    </w:p>
    <w:p>
      <w:pPr>
        <w:pStyle w:val="BodyText"/>
        <w:spacing w:line="340" w:lineRule="auto" w:before="115"/>
        <w:ind w:right="23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本报告期内，由送红股及资本公积金转增股本所引起的股本变动已于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日完成过户。</w:t>
      </w:r>
    </w:p>
    <w:p>
      <w:pPr>
        <w:pStyle w:val="BodyText"/>
        <w:spacing w:line="240" w:lineRule="auto" w:before="20"/>
        <w:ind w:left="153" w:right="0"/>
        <w:jc w:val="left"/>
      </w:pPr>
      <w:r>
        <w:rPr/>
        <w:t>股份变动对最近一年和最近一期基本每股收益和稀释每股收益、归属于公司普通股股东的每股净资产等财务指标的影响</w:t>
      </w:r>
    </w:p>
    <w:p>
      <w:pPr>
        <w:pStyle w:val="BodyText"/>
        <w:spacing w:line="319" w:lineRule="auto" w:before="115"/>
        <w:ind w:left="153" w:right="14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因股本变动，</w:t>
      </w:r>
      <w:r>
        <w:rPr>
          <w:rFonts w:ascii="Times New Roman" w:hAnsi="Times New Roman" w:cs="Times New Roman" w:eastAsia="Times New Roman" w:hint="default"/>
        </w:rPr>
        <w:t>2015</w:t>
      </w:r>
      <w:r>
        <w:rPr/>
        <w:t>年半年度基本每股收益和稀释每股收益由</w:t>
      </w:r>
      <w:r>
        <w:rPr>
          <w:rFonts w:ascii="Times New Roman" w:hAnsi="Times New Roman" w:cs="Times New Roman" w:eastAsia="Times New Roman" w:hint="default"/>
        </w:rPr>
        <w:t>0.2026</w:t>
      </w:r>
      <w:r>
        <w:rPr/>
        <w:t>元调整为</w:t>
      </w:r>
      <w:r>
        <w:rPr>
          <w:rFonts w:ascii="Times New Roman" w:hAnsi="Times New Roman" w:cs="Times New Roman" w:eastAsia="Times New Roman" w:hint="default"/>
        </w:rPr>
        <w:t>0.1013</w:t>
      </w:r>
      <w:r>
        <w:rPr/>
        <w:t>元，归属于公司普通股东的每股净资产由 </w:t>
      </w:r>
      <w:r>
        <w:rPr>
          <w:rFonts w:ascii="Times New Roman" w:hAnsi="Times New Roman" w:cs="Times New Roman" w:eastAsia="Times New Roman" w:hint="default"/>
          <w:spacing w:val="-2"/>
        </w:rPr>
        <w:t>3.2736</w:t>
      </w:r>
      <w:r>
        <w:rPr>
          <w:spacing w:val="-2"/>
        </w:rPr>
        <w:t>元调整为</w:t>
      </w:r>
      <w:r>
        <w:rPr>
          <w:rFonts w:ascii="Times New Roman" w:hAnsi="Times New Roman" w:cs="Times New Roman" w:eastAsia="Times New Roman" w:hint="default"/>
          <w:spacing w:val="-2"/>
        </w:rPr>
        <w:t>1.6368</w:t>
      </w:r>
      <w:r>
        <w:rPr>
          <w:spacing w:val="-2"/>
        </w:rPr>
        <w:t>元。公司</w:t>
      </w:r>
      <w:r>
        <w:rPr>
          <w:rFonts w:ascii="Times New Roman" w:hAnsi="Times New Roman" w:cs="Times New Roman" w:eastAsia="Times New Roman" w:hint="default"/>
          <w:spacing w:val="-2"/>
        </w:rPr>
        <w:t>2014</w:t>
      </w:r>
      <w:r>
        <w:rPr>
          <w:spacing w:val="-2"/>
        </w:rPr>
        <w:t>年度基本每股收益和稀释每股收益由</w:t>
      </w:r>
      <w:r>
        <w:rPr>
          <w:rFonts w:ascii="Times New Roman" w:hAnsi="Times New Roman" w:cs="Times New Roman" w:eastAsia="Times New Roman" w:hint="default"/>
          <w:spacing w:val="-2"/>
        </w:rPr>
        <w:t>0.3657</w:t>
      </w:r>
      <w:r>
        <w:rPr>
          <w:spacing w:val="-2"/>
        </w:rPr>
        <w:t>元调整为</w:t>
      </w:r>
      <w:r>
        <w:rPr>
          <w:rFonts w:ascii="Times New Roman" w:hAnsi="Times New Roman" w:cs="Times New Roman" w:eastAsia="Times New Roman" w:hint="default"/>
          <w:spacing w:val="-2"/>
        </w:rPr>
        <w:t>0.1828</w:t>
      </w:r>
      <w:r>
        <w:rPr>
          <w:spacing w:val="-2"/>
        </w:rPr>
        <w:t>元，归属于公司普通股东的每</w:t>
      </w:r>
    </w:p>
    <w:p>
      <w:pPr>
        <w:pStyle w:val="BodyText"/>
        <w:spacing w:line="340" w:lineRule="auto"/>
        <w:ind w:left="153" w:right="5813"/>
        <w:jc w:val="left"/>
      </w:pPr>
      <w:r>
        <w:rPr/>
        <w:t>股净资产由</w:t>
      </w:r>
      <w:r>
        <w:rPr>
          <w:rFonts w:ascii="Times New Roman" w:hAnsi="Times New Roman" w:cs="Times New Roman" w:eastAsia="Times New Roman" w:hint="default"/>
        </w:rPr>
        <w:t>3.0715</w:t>
      </w:r>
      <w:r>
        <w:rPr/>
        <w:t>元调整为</w:t>
      </w:r>
      <w:r>
        <w:rPr>
          <w:rFonts w:ascii="Times New Roman" w:hAnsi="Times New Roman" w:cs="Times New Roman" w:eastAsia="Times New Roman" w:hint="default"/>
        </w:rPr>
        <w:t>1.5357</w:t>
      </w:r>
      <w:r>
        <w:rPr/>
        <w:t>元。 公司认为必要或证券监管机构要求披露的其他内容</w:t>
      </w:r>
    </w:p>
    <w:p>
      <w:pPr>
        <w:pStyle w:val="BodyText"/>
        <w:spacing w:line="240" w:lineRule="auto" w:before="39"/>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263,623,200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390,876,900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654,500,100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董事、高管离职 后半年内不得转 让所其持有股 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300" w:lineRule="auto" w:before="63"/>
              <w:ind w:left="23"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股份解除 限售，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0" w:lineRule="auto" w:before="1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日全部股份 解除限售。</w:t>
            </w:r>
          </w:p>
        </w:tc>
      </w:tr>
      <w:tr>
        <w:trPr>
          <w:trHeight w:val="16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73,945,920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90,343,200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164,289,120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董事、高管离职 后半年内不得转 让所其持有股 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300" w:lineRule="auto" w:before="63"/>
              <w:ind w:left="23"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股份解除 限售，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0" w:lineRule="auto" w:before="1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日全部股份 解除限售。</w:t>
            </w:r>
          </w:p>
        </w:tc>
      </w:tr>
      <w:tr>
        <w:trPr>
          <w:trHeight w:val="16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高管持股锁定</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高管离任申报半 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解除限 售；离任申报六 个月后的十二个 月后全部解除限</w:t>
            </w:r>
          </w:p>
        </w:tc>
      </w:tr>
    </w:tbl>
    <w:p>
      <w:pPr>
        <w:spacing w:after="0" w:line="312"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337,584,120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481,235,100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818,819,220</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年度利润分配和公积金转增股本预案》：以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w:t>
      </w:r>
      <w:r>
        <w:rPr>
          <w:spacing w:val="-3"/>
        </w:rPr>
        <w:t> </w:t>
      </w:r>
      <w:r>
        <w:rPr>
          <w:spacing w:val="-1"/>
        </w:rPr>
        <w:t>司总股本</w:t>
      </w:r>
      <w:r>
        <w:rPr>
          <w:rFonts w:ascii="Times New Roman" w:hAnsi="Times New Roman" w:cs="Times New Roman" w:eastAsia="Times New Roman" w:hint="default"/>
          <w:spacing w:val="-1"/>
        </w:rPr>
        <w:t>715,200,000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0.75</w:t>
      </w:r>
      <w:r>
        <w:rPr>
          <w:spacing w:val="-1"/>
        </w:rPr>
        <w:t>元（含税），本次利润分配</w:t>
      </w:r>
      <w:r>
        <w:rPr>
          <w:rFonts w:ascii="Times New Roman" w:hAnsi="Times New Roman" w:cs="Times New Roman" w:eastAsia="Times New Roman" w:hint="default"/>
          <w:spacing w:val="-1"/>
        </w:rPr>
        <w:t>5364</w:t>
      </w:r>
      <w:r>
        <w:rPr>
          <w:spacing w:val="-1"/>
        </w:rPr>
        <w:t>万元（含税），以未分配利</w:t>
      </w:r>
    </w:p>
    <w:p>
      <w:pPr>
        <w:pStyle w:val="BodyText"/>
        <w:spacing w:line="300" w:lineRule="auto"/>
        <w:ind w:right="0"/>
        <w:jc w:val="left"/>
      </w:pPr>
      <w:r>
        <w:rPr>
          <w:spacing w:val="-2"/>
        </w:rPr>
        <w:t>润向全体股东每</w:t>
      </w:r>
      <w:r>
        <w:rPr>
          <w:rFonts w:ascii="Times New Roman" w:hAnsi="Times New Roman" w:cs="Times New Roman" w:eastAsia="Times New Roman" w:hint="default"/>
          <w:spacing w:val="-2"/>
        </w:rPr>
        <w:t>10</w:t>
      </w:r>
      <w:r>
        <w:rPr>
          <w:spacing w:val="-2"/>
        </w:rPr>
        <w:t>股派送红股</w:t>
      </w:r>
      <w:r>
        <w:rPr>
          <w:rFonts w:ascii="Times New Roman" w:hAnsi="Times New Roman" w:cs="Times New Roman" w:eastAsia="Times New Roman" w:hint="default"/>
          <w:spacing w:val="-2"/>
        </w:rPr>
        <w:t>3</w:t>
      </w:r>
      <w:r>
        <w:rPr>
          <w:spacing w:val="-2"/>
        </w:rPr>
        <w:t>股，共计派发股票股利</w:t>
      </w:r>
      <w:r>
        <w:rPr>
          <w:rFonts w:ascii="Times New Roman" w:hAnsi="Times New Roman" w:cs="Times New Roman" w:eastAsia="Times New Roman" w:hint="default"/>
          <w:spacing w:val="-2"/>
        </w:rPr>
        <w:t>214,560,000</w:t>
      </w:r>
      <w:r>
        <w:rPr>
          <w:spacing w:val="-2"/>
        </w:rPr>
        <w:t>股；同时，以资本公积金向全体股东每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股，共计</w:t>
      </w:r>
      <w:r>
        <w:rPr>
          <w:spacing w:val="-51"/>
        </w:rPr>
        <w:t> </w:t>
      </w:r>
      <w:r>
        <w:rPr>
          <w:spacing w:val="-51"/>
        </w:rPr>
      </w:r>
      <w:r>
        <w:rPr/>
        <w:t>转增股本</w:t>
      </w:r>
      <w:r>
        <w:rPr>
          <w:rFonts w:ascii="Times New Roman" w:hAnsi="Times New Roman" w:cs="Times New Roman" w:eastAsia="Times New Roman" w:hint="default"/>
        </w:rPr>
        <w:t>500,640,000</w:t>
      </w:r>
      <w:r>
        <w:rPr/>
        <w:t>股。该权益分配方案已于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日实施完毕。</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274"/>
        <w:gridCol w:w="934"/>
        <w:gridCol w:w="478"/>
        <w:gridCol w:w="697"/>
        <w:gridCol w:w="92"/>
        <w:gridCol w:w="785"/>
        <w:gridCol w:w="341"/>
        <w:gridCol w:w="449"/>
        <w:gridCol w:w="755"/>
        <w:gridCol w:w="872"/>
        <w:gridCol w:w="317"/>
        <w:gridCol w:w="1032"/>
        <w:gridCol w:w="140"/>
        <w:gridCol w:w="1208"/>
      </w:tblGrid>
      <w:tr>
        <w:trPr>
          <w:trHeight w:val="161" w:hRule="exact"/>
        </w:trPr>
        <w:tc>
          <w:tcPr>
            <w:tcW w:w="1195" w:type="dxa"/>
            <w:vMerge w:val="restart"/>
            <w:tcBorders>
              <w:top w:val="single" w:sz="4" w:space="0" w:color="000000"/>
              <w:left w:val="single" w:sz="4" w:space="0" w:color="000000"/>
              <w:right w:val="single" w:sz="4" w:space="0" w:color="000000"/>
            </w:tcBorders>
            <w:shd w:val="clear" w:color="auto" w:fill="D4D4D4"/>
          </w:tcPr>
          <w:p>
            <w:pPr/>
          </w:p>
        </w:tc>
        <w:tc>
          <w:tcPr>
            <w:tcW w:w="1207" w:type="dxa"/>
            <w:gridSpan w:val="2"/>
            <w:vMerge w:val="restart"/>
            <w:tcBorders>
              <w:top w:val="single" w:sz="4" w:space="0" w:color="000000"/>
              <w:left w:val="single" w:sz="9" w:space="0" w:color="D4D4D4"/>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95,761</w:t>
            </w:r>
          </w:p>
        </w:tc>
        <w:tc>
          <w:tcPr>
            <w:tcW w:w="1175" w:type="dxa"/>
            <w:gridSpan w:val="2"/>
            <w:vMerge w:val="restart"/>
            <w:tcBorders>
              <w:top w:val="single" w:sz="4" w:space="0" w:color="000000"/>
              <w:left w:val="single" w:sz="4" w:space="0" w:color="000000"/>
              <w:right w:val="single" w:sz="4" w:space="0" w:color="000000"/>
            </w:tcBorders>
            <w:shd w:val="clear" w:color="auto" w:fill="D4D4D4"/>
          </w:tcPr>
          <w:p>
            <w:pPr/>
          </w:p>
        </w:tc>
        <w:tc>
          <w:tcPr>
            <w:tcW w:w="1218" w:type="dxa"/>
            <w:gridSpan w:val="3"/>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71,958</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89"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5" w:type="dxa"/>
            <w:vMerge/>
            <w:tcBorders>
              <w:left w:val="single" w:sz="4" w:space="0" w:color="000000"/>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tcBorders>
              <w:left w:val="single" w:sz="4" w:space="0" w:color="000000"/>
              <w:bottom w:val="nil" w:sz="6" w:space="0" w:color="auto"/>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0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2"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312" w:hRule="exact"/>
        </w:trPr>
        <w:tc>
          <w:tcPr>
            <w:tcW w:w="1195" w:type="dxa"/>
            <w:vMerge/>
            <w:tcBorders>
              <w:left w:val="single" w:sz="4" w:space="0" w:color="000000"/>
              <w:bottom w:val="nil" w:sz="6" w:space="0" w:color="auto"/>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4D4D4"/>
              <w:right w:val="single" w:sz="10" w:space="0" w:color="D4D4D4"/>
            </w:tcBorders>
          </w:tcPr>
          <w:p>
            <w:pPr/>
          </w:p>
        </w:tc>
        <w:tc>
          <w:tcPr>
            <w:tcW w:w="1204" w:type="dxa"/>
            <w:gridSpan w:val="2"/>
            <w:vMerge/>
            <w:tcBorders>
              <w:left w:val="single" w:sz="4" w:space="0" w:color="000000"/>
              <w:right w:val="single" w:sz="4" w:space="0" w:color="000000"/>
            </w:tcBorders>
            <w:shd w:val="clear" w:color="auto" w:fill="D4D4D4"/>
          </w:tcPr>
          <w:p>
            <w:pPr/>
          </w:p>
        </w:tc>
        <w:tc>
          <w:tcPr>
            <w:tcW w:w="1189"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706" w:hRule="exact"/>
        </w:trPr>
        <w:tc>
          <w:tcPr>
            <w:tcW w:w="11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4D4D4"/>
              <w:right w:val="single" w:sz="9" w:space="0" w:color="D4D4D4"/>
            </w:tcBorders>
          </w:tcPr>
          <w:p>
            <w:pPr/>
          </w:p>
        </w:tc>
        <w:tc>
          <w:tcPr>
            <w:tcW w:w="1175" w:type="dxa"/>
            <w:gridSpan w:val="2"/>
            <w:vMerge/>
            <w:tcBorders>
              <w:left w:val="single" w:sz="4" w:space="0" w:color="000000"/>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4" w:type="dxa"/>
            <w:gridSpan w:val="2"/>
            <w:vMerge/>
            <w:tcBorders>
              <w:left w:val="single" w:sz="4" w:space="0" w:color="000000"/>
              <w:right w:val="single" w:sz="4" w:space="0" w:color="000000"/>
            </w:tcBorders>
            <w:shd w:val="clear" w:color="auto" w:fill="D4D4D4"/>
          </w:tcPr>
          <w:p>
            <w:pPr/>
          </w:p>
        </w:tc>
        <w:tc>
          <w:tcPr>
            <w:tcW w:w="1189"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312" w:hRule="exact"/>
        </w:trPr>
        <w:tc>
          <w:tcPr>
            <w:tcW w:w="1195" w:type="dxa"/>
            <w:vMerge w:val="restart"/>
            <w:tcBorders>
              <w:top w:val="nil" w:sz="6" w:space="0" w:color="auto"/>
              <w:left w:val="single" w:sz="4" w:space="0" w:color="000000"/>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tcBorders>
              <w:left w:val="single" w:sz="4" w:space="0" w:color="000000"/>
              <w:bottom w:val="nil" w:sz="6" w:space="0" w:color="auto"/>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4" w:type="dxa"/>
            <w:gridSpan w:val="2"/>
            <w:vMerge/>
            <w:tcBorders>
              <w:left w:val="single" w:sz="4" w:space="0" w:color="000000"/>
              <w:right w:val="single" w:sz="4" w:space="0" w:color="000000"/>
            </w:tcBorders>
            <w:shd w:val="clear" w:color="auto" w:fill="D4D4D4"/>
          </w:tcPr>
          <w:p>
            <w:pPr/>
          </w:p>
        </w:tc>
        <w:tc>
          <w:tcPr>
            <w:tcW w:w="1189"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156" w:hRule="exact"/>
        </w:trPr>
        <w:tc>
          <w:tcPr>
            <w:tcW w:w="1195" w:type="dxa"/>
            <w:vMerge/>
            <w:tcBorders>
              <w:left w:val="single" w:sz="4" w:space="0" w:color="000000"/>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val="restart"/>
            <w:tcBorders>
              <w:top w:val="nil" w:sz="6" w:space="0" w:color="auto"/>
              <w:left w:val="single" w:sz="4" w:space="0" w:color="000000"/>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4" w:type="dxa"/>
            <w:gridSpan w:val="2"/>
            <w:vMerge/>
            <w:tcBorders>
              <w:left w:val="single" w:sz="4" w:space="0" w:color="000000"/>
              <w:bottom w:val="nil" w:sz="6" w:space="0" w:color="auto"/>
              <w:right w:val="single" w:sz="4" w:space="0" w:color="000000"/>
            </w:tcBorders>
            <w:shd w:val="clear" w:color="auto" w:fill="D4D4D4"/>
          </w:tcPr>
          <w:p>
            <w:pPr/>
          </w:p>
        </w:tc>
        <w:tc>
          <w:tcPr>
            <w:tcW w:w="1189"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166" w:hRule="exact"/>
        </w:trPr>
        <w:tc>
          <w:tcPr>
            <w:tcW w:w="1195" w:type="dxa"/>
            <w:vMerge/>
            <w:tcBorders>
              <w:left w:val="single" w:sz="4" w:space="0" w:color="000000"/>
              <w:bottom w:val="single" w:sz="4" w:space="0" w:color="000000"/>
              <w:right w:val="single" w:sz="4" w:space="0" w:color="000000"/>
            </w:tcBorders>
            <w:shd w:val="clear" w:color="auto" w:fill="D4D4D4"/>
          </w:tcPr>
          <w:p>
            <w:pPr/>
          </w:p>
        </w:tc>
        <w:tc>
          <w:tcPr>
            <w:tcW w:w="1207" w:type="dxa"/>
            <w:gridSpan w:val="2"/>
            <w:vMerge/>
            <w:tcBorders>
              <w:left w:val="single" w:sz="9" w:space="0" w:color="D4D4D4"/>
              <w:bottom w:val="single" w:sz="4" w:space="0" w:color="000000"/>
              <w:right w:val="single" w:sz="9" w:space="0" w:color="D4D4D4"/>
            </w:tcBorders>
          </w:tcPr>
          <w:p>
            <w:pPr/>
          </w:p>
        </w:tc>
        <w:tc>
          <w:tcPr>
            <w:tcW w:w="1175" w:type="dxa"/>
            <w:gridSpan w:val="2"/>
            <w:vMerge/>
            <w:tcBorders>
              <w:left w:val="single" w:sz="4" w:space="0" w:color="000000"/>
              <w:bottom w:val="single" w:sz="4" w:space="0" w:color="000000"/>
              <w:right w:val="single" w:sz="4" w:space="0" w:color="000000"/>
            </w:tcBorders>
            <w:shd w:val="clear" w:color="auto" w:fill="D4D4D4"/>
          </w:tcPr>
          <w:p>
            <w:pPr/>
          </w:p>
        </w:tc>
        <w:tc>
          <w:tcPr>
            <w:tcW w:w="1218" w:type="dxa"/>
            <w:gridSpan w:val="3"/>
            <w:vMerge/>
            <w:tcBorders>
              <w:left w:val="single" w:sz="9" w:space="0" w:color="D4D4D4"/>
              <w:bottom w:val="single" w:sz="4" w:space="0" w:color="000000"/>
              <w:right w:val="single" w:sz="10" w:space="0" w:color="D4D4D4"/>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89" w:type="dxa"/>
            <w:gridSpan w:val="2"/>
            <w:vMerge/>
            <w:tcBorders>
              <w:left w:val="single" w:sz="10" w:space="0" w:color="D4D4D4"/>
              <w:bottom w:val="single" w:sz="4" w:space="0" w:color="000000"/>
              <w:right w:val="single" w:sz="13" w:space="0" w:color="D4D4D4"/>
            </w:tcBorders>
          </w:tcPr>
          <w:p>
            <w:pPr/>
          </w:p>
        </w:tc>
        <w:tc>
          <w:tcPr>
            <w:tcW w:w="1172" w:type="dxa"/>
            <w:gridSpan w:val="2"/>
            <w:vMerge/>
            <w:tcBorders>
              <w:left w:val="single" w:sz="4" w:space="0" w:color="000000"/>
              <w:bottom w:val="single" w:sz="4" w:space="0" w:color="000000"/>
              <w:right w:val="single" w:sz="4" w:space="0" w:color="000000"/>
            </w:tcBorders>
            <w:shd w:val="clear" w:color="auto" w:fill="D4D4D4"/>
          </w:tcPr>
          <w:p>
            <w:pPr/>
          </w:p>
        </w:tc>
        <w:tc>
          <w:tcPr>
            <w:tcW w:w="1208" w:type="dxa"/>
            <w:vMerge/>
            <w:tcBorders>
              <w:left w:val="single" w:sz="10" w:space="0" w:color="D4D4D4"/>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
        </w:tc>
        <w:tc>
          <w:tcPr>
            <w:tcW w:w="785"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8" w:right="-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86"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bottom w:val="nil" w:sz="6" w:space="0" w:color="auto"/>
              <w:right w:val="single" w:sz="4" w:space="0" w:color="000000"/>
            </w:tcBorders>
            <w:shd w:val="clear" w:color="auto" w:fill="D4D4D4"/>
          </w:tcPr>
          <w:p>
            <w:pPr/>
          </w:p>
        </w:tc>
        <w:tc>
          <w:tcPr>
            <w:tcW w:w="78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72" w:type="dxa"/>
            <w:vMerge/>
            <w:tcBorders>
              <w:left w:val="single" w:sz="4" w:space="0" w:color="000000"/>
              <w:right w:val="single" w:sz="4" w:space="0" w:color="000000"/>
            </w:tcBorders>
            <w:shd w:val="clear" w:color="auto" w:fill="D4D4D4"/>
          </w:tcPr>
          <w:p>
            <w:pPr/>
          </w:p>
        </w:tc>
        <w:tc>
          <w:tcPr>
            <w:tcW w:w="2698" w:type="dxa"/>
            <w:gridSpan w:val="4"/>
            <w:vMerge/>
            <w:tcBorders>
              <w:left w:val="single" w:sz="4" w:space="0" w:color="000000"/>
              <w:right w:val="single" w:sz="4" w:space="0" w:color="000000"/>
            </w:tcBorders>
            <w:shd w:val="clear" w:color="auto" w:fill="D4D4D4"/>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72" w:type="dxa"/>
            <w:vMerge/>
            <w:tcBorders>
              <w:left w:val="single" w:sz="4" w:space="0" w:color="000000"/>
              <w:right w:val="single" w:sz="4" w:space="0" w:color="000000"/>
            </w:tcBorders>
            <w:shd w:val="clear" w:color="auto" w:fill="D4D4D4"/>
          </w:tcPr>
          <w:p>
            <w:pPr/>
          </w:p>
        </w:tc>
        <w:tc>
          <w:tcPr>
            <w:tcW w:w="2698" w:type="dxa"/>
            <w:gridSpan w:val="4"/>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bottom w:val="nil" w:sz="6" w:space="0" w:color="auto"/>
              <w:right w:val="single" w:sz="4" w:space="0" w:color="000000"/>
            </w:tcBorders>
            <w:shd w:val="clear" w:color="auto" w:fill="D4D4D4"/>
          </w:tcPr>
          <w:p>
            <w:pPr/>
          </w:p>
        </w:tc>
        <w:tc>
          <w:tcPr>
            <w:tcW w:w="785"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72" w:type="dxa"/>
            <w:vMerge/>
            <w:tcBorders>
              <w:left w:val="single" w:sz="4" w:space="0" w:color="000000"/>
              <w:right w:val="single" w:sz="4" w:space="0" w:color="000000"/>
            </w:tcBorders>
            <w:shd w:val="clear" w:color="auto" w:fill="D4D4D4"/>
          </w:tcPr>
          <w:p>
            <w:pP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90" w:type="dxa"/>
            <w:gridSpan w:val="2"/>
            <w:vMerge w:val="restart"/>
            <w:tcBorders>
              <w:top w:val="nil" w:sz="6" w:space="0" w:color="auto"/>
              <w:left w:val="single" w:sz="4" w:space="0" w:color="000000"/>
              <w:right w:val="single" w:sz="4" w:space="0" w:color="000000"/>
            </w:tcBorders>
            <w:shd w:val="clear" w:color="auto" w:fill="D4D4D4"/>
          </w:tcPr>
          <w:p>
            <w:pPr/>
          </w:p>
        </w:tc>
        <w:tc>
          <w:tcPr>
            <w:tcW w:w="785"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72" w:type="dxa"/>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c>
          <w:tcPr>
            <w:tcW w:w="1349" w:type="dxa"/>
            <w:gridSpan w:val="2"/>
            <w:vMerge/>
            <w:tcBorders>
              <w:left w:val="single" w:sz="4" w:space="0" w:color="000000"/>
              <w:right w:val="single" w:sz="4" w:space="0" w:color="000000"/>
            </w:tcBorders>
            <w:shd w:val="clear" w:color="auto" w:fill="D4D4D4"/>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785"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755" w:type="dxa"/>
            <w:vMerge/>
            <w:tcBorders>
              <w:left w:val="single" w:sz="4" w:space="0" w:color="000000"/>
              <w:bottom w:val="single" w:sz="4" w:space="0" w:color="000000"/>
              <w:right w:val="single" w:sz="4" w:space="0" w:color="000000"/>
            </w:tcBorders>
            <w:shd w:val="clear" w:color="auto" w:fill="D4D4D4"/>
          </w:tcPr>
          <w:p>
            <w:pPr/>
          </w:p>
        </w:tc>
        <w:tc>
          <w:tcPr>
            <w:tcW w:w="872" w:type="dxa"/>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c>
          <w:tcPr>
            <w:tcW w:w="1349" w:type="dxa"/>
            <w:gridSpan w:val="2"/>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45.76%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654,500,1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303,002,5</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654,500,1</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5" w:space="0" w:color="D4D4D4"/>
              <w:left w:val="single" w:sz="4" w:space="0" w:color="000000"/>
              <w:bottom w:val="single" w:sz="4" w:space="0" w:color="000000"/>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5" w:space="0" w:color="D4D4D4"/>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209,868,800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11.49%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65,694,56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20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1.68%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11,988,48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90"/>
        <w:gridCol w:w="785"/>
        <w:gridCol w:w="790"/>
        <w:gridCol w:w="787"/>
        <w:gridCol w:w="846"/>
        <w:gridCol w:w="1343"/>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中国国际金融股 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8,590,000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17,180,00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份有限公司－景 顺长城精选蓝筹 混合型证券投资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14,000,03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8,500,018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pacing w:val="-1"/>
                <w:sz w:val="18"/>
              </w:rPr>
              <w:t>14,000,03</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6</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交通银行股份有 限公司－工银瑞 信主题策略混合 型证券投资基金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12,181,72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12,181,72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12,181,72</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6</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中国建设银行－ 工银瑞信精选平 衡混合型证券投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0.84%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7,635,116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兴业银行股份有 限公司－工银瑞 信新材料新能源 行业股票型证券 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9,000,071</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8,782,883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7,330,262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8,782,883</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9"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6689" w:type="dxa"/>
            <w:gridSpan w:val="7"/>
            <w:vMerge w:val="restart"/>
            <w:tcBorders>
              <w:top w:val="single" w:sz="4" w:space="0" w:color="000000"/>
              <w:left w:val="single" w:sz="10" w:space="0" w:color="D4D4D4"/>
              <w:right w:val="single" w:sz="4" w:space="0" w:color="000000"/>
            </w:tcBorders>
          </w:tcPr>
          <w:p>
            <w:pPr>
              <w:pStyle w:val="TableParagraph"/>
              <w:spacing w:line="316" w:lineRule="auto" w:before="49"/>
              <w:ind w:left="19" w:right="19"/>
              <w:jc w:val="both"/>
              <w:rPr>
                <w:rFonts w:ascii="宋体" w:hAnsi="宋体" w:cs="宋体" w:eastAsia="宋体" w:hint="default"/>
                <w:sz w:val="18"/>
                <w:szCs w:val="18"/>
              </w:rPr>
            </w:pPr>
            <w:r>
              <w:rPr>
                <w:rFonts w:ascii="宋体" w:hAnsi="宋体" w:cs="宋体" w:eastAsia="宋体" w:hint="default"/>
                <w:spacing w:val="-1"/>
                <w:sz w:val="18"/>
                <w:szCs w:val="18"/>
              </w:rPr>
              <w:t>王海鹏为王治军之兄；景顺长城核心竞争力混合型证券投资基金、景顺长城精选蓝筹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混合型证券投资基金同属景顺长城基金管理有限公司旗下基金；工银瑞信主题策略混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合型证券投资基金、工银瑞信精选平衡混合型证券投资基金、工银瑞信新材料新能源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行业股票型证券投资基金同属工银瑞信基金管理有限公司旗下基金；除此之外，公司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未知其他股东之间是否存在关联关系，也未知其他股东之间是否属于《上市公司股东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持股变动信息披露管理办法》中规定的一致行动人。</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9" w:type="dxa"/>
            <w:gridSpan w:val="7"/>
            <w:vMerge/>
            <w:tcBorders>
              <w:left w:val="single" w:sz="10" w:space="0" w:color="D4D4D4"/>
              <w:right w:val="single" w:sz="4" w:space="0" w:color="000000"/>
            </w:tcBorders>
          </w:tcPr>
          <w:p>
            <w:pPr/>
          </w:p>
        </w:tc>
      </w:tr>
      <w:tr>
        <w:trPr>
          <w:trHeight w:val="630"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6689" w:type="dxa"/>
            <w:gridSpan w:val="7"/>
            <w:vMerge/>
            <w:tcBorders>
              <w:left w:val="single" w:sz="10" w:space="0" w:color="D4D4D4"/>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997"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6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7"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2"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4D4D4"/>
          </w:tcPr>
          <w:p>
            <w:pPr/>
          </w:p>
        </w:tc>
        <w:tc>
          <w:tcPr>
            <w:tcW w:w="3997" w:type="dxa"/>
            <w:gridSpan w:val="5"/>
            <w:vMerge/>
            <w:tcBorders>
              <w:left w:val="single" w:sz="4" w:space="0" w:color="000000"/>
              <w:bottom w:val="nil" w:sz="6" w:space="0" w:color="auto"/>
              <w:right w:val="single" w:sz="4" w:space="0" w:color="000000"/>
            </w:tcBorders>
            <w:shd w:val="clear" w:color="auto" w:fill="D4D4D4"/>
          </w:tcPr>
          <w:p>
            <w:pPr/>
          </w:p>
        </w:tc>
        <w:tc>
          <w:tcPr>
            <w:tcW w:w="134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997"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43"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39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23,976,960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23,976,960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0"/>
        <w:gridCol w:w="3991"/>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17,180,000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17,180,000</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中国农业银行股份有限公司－景顺 长城核心竞争力混合型证券投资基 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中国工商银行股份有限公司－景顺 长城精选蓝筹混合型证券投资基金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14,000,036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14,000,036</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交通银行股份有限公司－工银瑞信 主题策略混合型证券投资基金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12,181,726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12,181,726</w:t>
            </w:r>
          </w:p>
        </w:tc>
      </w:tr>
      <w:tr>
        <w:trPr>
          <w:trHeight w:val="71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中国建设银行－工银瑞信精选平衡 混合型证券投资基金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兴业银行股份有限公司－工银瑞信 新材料新能源行业股票型证券投资 基金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9,000,071</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8,782,883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8,782,883</w:t>
            </w:r>
          </w:p>
        </w:tc>
      </w:tr>
      <w:tr>
        <w:trPr>
          <w:trHeight w:val="102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中国工商银行股份有限公司－景顺 长城沪港深精选股票型证券投资基 金</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8,014,402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8,014,402</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3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7,490,665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7,490,665</w:t>
            </w:r>
          </w:p>
        </w:tc>
      </w:tr>
      <w:tr>
        <w:trPr>
          <w:trHeight w:val="1963"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8"/>
              <w:jc w:val="left"/>
              <w:rPr>
                <w:rFonts w:ascii="宋体" w:hAnsi="宋体" w:cs="宋体" w:eastAsia="宋体" w:hint="default"/>
                <w:sz w:val="18"/>
                <w:szCs w:val="18"/>
              </w:rPr>
            </w:pPr>
            <w:r>
              <w:rPr>
                <w:rFonts w:ascii="宋体" w:hAnsi="宋体" w:cs="宋体" w:eastAsia="宋体" w:hint="default"/>
                <w:sz w:val="18"/>
                <w:szCs w:val="18"/>
              </w:rPr>
              <w:t>景顺长城核心竞争力混合型证券投资基金、景顺长城精选蓝筹混合型证券投资基金、 景顺长城沪港深精选股票型证券投资基金同属景顺长城基金管理有限公司旗下基金； </w:t>
            </w:r>
            <w:r>
              <w:rPr>
                <w:rFonts w:ascii="宋体" w:hAnsi="宋体" w:cs="宋体" w:eastAsia="宋体" w:hint="default"/>
                <w:spacing w:val="-1"/>
                <w:sz w:val="18"/>
                <w:szCs w:val="18"/>
              </w:rPr>
              <w:t>工银瑞信主题策略混合型证券投资基金、工银瑞信精选平衡混合型证券投资基金、工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银瑞信新材料新能源行业股票型证券投资基金同属工银瑞信基金管理有限公司旗下 </w:t>
            </w:r>
            <w:r>
              <w:rPr>
                <w:rFonts w:ascii="宋体" w:hAnsi="宋体" w:cs="宋体" w:eastAsia="宋体" w:hint="default"/>
                <w:spacing w:val="-1"/>
                <w:sz w:val="18"/>
                <w:szCs w:val="18"/>
              </w:rPr>
              <w:t>基金；除此之外，公司未知其他股东之间是否存在关联关系，也未知其他股东之间是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否属于《上市公司股东持股变动信息披露管理办法》中规定的一致行动人。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6"/>
        <w:gridCol w:w="2302"/>
        <w:gridCol w:w="3850"/>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1"/>
                <w:sz w:val="18"/>
                <w:szCs w:val="18"/>
              </w:rPr>
              <w:t>王海鹏先生现任中国包装联合会副会长、东莞市环保包装行业协会会长，并兼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任东莞市美盈森环保科技有限公司董事长、美盈森（香港）国际控股有限公司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董事、中山市美盈森环保科技有限公司执行董事、苏州美盈森环保科技有限公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司执行董事、重庆市美盈森环保包装工程有限公司执行董事、武汉市美盈森环</w:t>
            </w:r>
          </w:p>
        </w:tc>
      </w:tr>
    </w:tbl>
    <w:p>
      <w:pPr>
        <w:spacing w:after="0" w:line="316" w:lineRule="auto"/>
        <w:jc w:val="both"/>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6"/>
        <w:gridCol w:w="6151"/>
      </w:tblGrid>
      <w:tr>
        <w:trPr>
          <w:trHeight w:val="1610"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both"/>
              <w:rPr>
                <w:rFonts w:ascii="宋体" w:hAnsi="宋体" w:cs="宋体" w:eastAsia="宋体" w:hint="default"/>
                <w:sz w:val="18"/>
                <w:szCs w:val="18"/>
              </w:rPr>
            </w:pPr>
            <w:r>
              <w:rPr>
                <w:rFonts w:ascii="宋体" w:hAnsi="宋体" w:cs="宋体" w:eastAsia="宋体" w:hint="default"/>
                <w:spacing w:val="-1"/>
                <w:sz w:val="18"/>
                <w:szCs w:val="18"/>
              </w:rPr>
              <w:t>保科技有限公司执行董事、成都市美盈森环保科技有限公司执行董事、广东佳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宝隆科技有限公司董事、深圳市金之彩文化创意有限公司董事、四川泸美供应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链管理有限公司执行董事、小美集科技有限公司执行董事、美莲检测有限公司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执行董事、深圳市汇天云网科技有限公司执行董事、汇天云网集团有限公司董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w:t>
            </w:r>
          </w:p>
        </w:tc>
      </w:tr>
      <w:tr>
        <w:trPr>
          <w:trHeight w:val="713"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6"/>
        <w:gridCol w:w="2302"/>
        <w:gridCol w:w="3850"/>
      </w:tblGrid>
      <w:tr>
        <w:trPr>
          <w:trHeight w:val="402"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9"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pacing w:val="-1"/>
                <w:sz w:val="18"/>
                <w:szCs w:val="18"/>
              </w:rPr>
              <w:t>王海鹏先生现任中国包装联合会副会长、东莞市环保包装行业协会会长，并兼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任东莞市美盈森环保科技有限公司董事长、美盈森（香港）国际控股有限公司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董事、中山市美盈森环保科技有限公司执行董事、苏州美盈森环保科技有限公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司执行董事、重庆市美盈森环保包装工程有限公司执行董事、武汉市美盈森环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保科技有限公司执行董事、成都市美盈森环保科技有限公司执行董事、广东佳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宝隆科技有限公司董事、深圳市金之彩文化创意有限公司董事、四川泸美供应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链管理有限公司执行董事、小美集科技有限公司执行董事、美莲检测有限公司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执行董事、深圳市汇天云网科技有限公司执行董事、汇天云网集团有限公司董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7"/>
        <w:ind w:right="0"/>
        <w:jc w:val="left"/>
      </w:pPr>
      <w:r>
        <w:rPr/>
        <w:t>实际控制人报告期内变更</w:t>
      </w:r>
    </w:p>
    <w:p>
      <w:pPr>
        <w:pStyle w:val="BodyText"/>
        <w:spacing w:line="348"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16"/>
          <w:szCs w:val="16"/>
        </w:rPr>
      </w:pPr>
    </w:p>
    <w:p>
      <w:pPr>
        <w:spacing w:line="2732" w:lineRule="exact"/>
        <w:ind w:left="1355"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4547655" cy="173507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47655" cy="1735074"/>
                    </a:xfrm>
                    <a:prstGeom prst="rect">
                      <a:avLst/>
                    </a:prstGeom>
                  </pic:spPr>
                </pic:pic>
              </a:graphicData>
            </a:graphic>
          </wp:inline>
        </w:drawing>
      </w:r>
      <w:r>
        <w:rPr>
          <w:rFonts w:ascii="宋体" w:hAnsi="宋体" w:cs="宋体" w:eastAsia="宋体" w:hint="default"/>
          <w:position w:val="-54"/>
          <w:sz w:val="20"/>
          <w:szCs w:val="20"/>
        </w:rPr>
      </w:r>
    </w:p>
    <w:p>
      <w:pPr>
        <w:spacing w:after="0" w:line="2732"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4"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张珍义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冯达昌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陈骏德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4,440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张建军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李伟东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郭万达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王海鹏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351,497,6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15,024,90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31,760,00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319,737,6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654,500,1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王治军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98,594,56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82,144,56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蔡少龄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3"/>
              <w:jc w:val="right"/>
              <w:rPr>
                <w:rFonts w:ascii="宋体" w:hAnsi="宋体" w:cs="宋体" w:eastAsia="宋体" w:hint="default"/>
                <w:sz w:val="18"/>
                <w:szCs w:val="18"/>
              </w:rPr>
            </w:pPr>
            <w:r>
              <w:rPr>
                <w:rFonts w:ascii="宋体" w:hAnsi="宋体" w:cs="宋体" w:eastAsia="宋体" w:hint="default"/>
                <w:sz w:val="18"/>
                <w:szCs w:val="18"/>
              </w:rPr>
              <w:t>陈利科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3"/>
              <w:jc w:val="right"/>
              <w:rPr>
                <w:rFonts w:ascii="宋体" w:hAnsi="宋体" w:cs="宋体" w:eastAsia="宋体" w:hint="default"/>
                <w:sz w:val="18"/>
                <w:szCs w:val="18"/>
              </w:rPr>
            </w:pPr>
            <w:r>
              <w:rPr>
                <w:rFonts w:ascii="宋体" w:hAnsi="宋体" w:cs="宋体" w:eastAsia="宋体" w:hint="default"/>
                <w:sz w:val="18"/>
                <w:szCs w:val="18"/>
              </w:rPr>
              <w:t>王红婵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450,114,3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48,210,00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401,904,3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818,833,6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1"/>
        <w:rPr>
          <w:rFonts w:ascii="宋体" w:hAnsi="宋体" w:cs="宋体" w:eastAsia="宋体" w:hint="default"/>
          <w:b/>
          <w:bCs/>
          <w:sz w:val="18"/>
          <w:szCs w:val="18"/>
        </w:rPr>
      </w:pPr>
    </w:p>
    <w:p>
      <w:pPr>
        <w:pStyle w:val="Heading2"/>
        <w:spacing w:line="240" w:lineRule="auto" w:before="26"/>
        <w:ind w:right="104"/>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日，郭万达先生因个人原因申请辞去公</w:t>
            </w:r>
            <w:r>
              <w:rPr>
                <w:rFonts w:ascii="宋体" w:hAnsi="宋体" w:cs="宋体" w:eastAsia="宋体" w:hint="default"/>
                <w:sz w:val="18"/>
                <w:szCs w:val="18"/>
              </w:rPr>
              <w:t> 司独立董事职务并正式生效。</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日，王海鹏先生因个人原因申请辞去董</w:t>
            </w:r>
            <w:r>
              <w:rPr>
                <w:rFonts w:ascii="宋体" w:hAnsi="宋体" w:cs="宋体" w:eastAsia="宋体" w:hint="default"/>
                <w:sz w:val="18"/>
                <w:szCs w:val="18"/>
              </w:rPr>
              <w:t> 事会董事、董事长、董事会相关专门委员会委员及公 司总经理职务并正式生效。</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日，王治军先生因个人原因申请辞去董</w:t>
            </w:r>
            <w:r>
              <w:rPr>
                <w:rFonts w:ascii="宋体" w:hAnsi="宋体" w:cs="宋体" w:eastAsia="宋体" w:hint="default"/>
                <w:sz w:val="18"/>
                <w:szCs w:val="18"/>
              </w:rPr>
              <w:t> 事会董事、董事会相关专门委员会委员及公司副总经 理职务并正式生效。</w:t>
            </w:r>
          </w:p>
        </w:tc>
      </w:tr>
    </w:tbl>
    <w:p>
      <w:pPr>
        <w:spacing w:line="240" w:lineRule="auto" w:before="1"/>
        <w:rPr>
          <w:rFonts w:ascii="宋体" w:hAnsi="宋体" w:cs="宋体" w:eastAsia="宋体" w:hint="default"/>
          <w:b/>
          <w:bCs/>
          <w:sz w:val="18"/>
          <w:szCs w:val="18"/>
        </w:rPr>
      </w:pPr>
    </w:p>
    <w:p>
      <w:pPr>
        <w:pStyle w:val="Heading2"/>
        <w:spacing w:line="240" w:lineRule="auto" w:before="26"/>
        <w:ind w:right="104"/>
        <w:jc w:val="left"/>
        <w:rPr>
          <w:b w:val="0"/>
          <w:bCs w:val="0"/>
        </w:rPr>
      </w:pPr>
      <w:bookmarkStart w:name="三、任职情况" w:id="121"/>
      <w:bookmarkEnd w:id="121"/>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4"/>
        <w:jc w:val="left"/>
      </w:pPr>
      <w:r>
        <w:rPr/>
        <w:t>公司现任董事、监事、高级管理人员专业背景、主要工作经历以及目前在公司的主要职责</w:t>
      </w:r>
    </w:p>
    <w:p>
      <w:pPr>
        <w:pStyle w:val="BodyText"/>
        <w:spacing w:line="309" w:lineRule="auto" w:before="115"/>
        <w:ind w:right="81"/>
        <w:jc w:val="left"/>
      </w:pPr>
      <w:r>
        <w:rPr>
          <w:rFonts w:ascii="Times New Roman" w:hAnsi="Times New Roman" w:cs="Times New Roman" w:eastAsia="Times New Roman" w:hint="default"/>
        </w:rPr>
        <w:t>1</w:t>
      </w:r>
      <w:r>
        <w:rPr/>
        <w:t>、董事会成员 </w:t>
      </w:r>
      <w:r>
        <w:rPr>
          <w:spacing w:val="-2"/>
        </w:rPr>
        <w:t>张珍义先生，</w:t>
      </w:r>
      <w:r>
        <w:rPr>
          <w:rFonts w:ascii="Times New Roman" w:hAnsi="Times New Roman" w:cs="Times New Roman" w:eastAsia="Times New Roman" w:hint="default"/>
          <w:spacing w:val="-2"/>
        </w:rPr>
        <w:t>1958</w:t>
      </w:r>
      <w:r>
        <w:rPr>
          <w:spacing w:val="-2"/>
        </w:rPr>
        <w:t>年生，中国国籍，汉族，中专学历。自</w:t>
      </w:r>
      <w:r>
        <w:rPr>
          <w:rFonts w:ascii="Times New Roman" w:hAnsi="Times New Roman" w:cs="Times New Roman" w:eastAsia="Times New Roman" w:hint="default"/>
          <w:spacing w:val="-2"/>
        </w:rPr>
        <w:t>2000</w:t>
      </w:r>
      <w:r>
        <w:rPr>
          <w:spacing w:val="-2"/>
        </w:rPr>
        <w:t>年加入公司，在公司工作十余年，积累了丰富的工作经验，任</w:t>
      </w:r>
      <w:r>
        <w:rPr>
          <w:spacing w:val="-61"/>
        </w:rPr>
        <w:t> </w:t>
      </w:r>
      <w:r>
        <w:rPr>
          <w:spacing w:val="-61"/>
        </w:rPr>
      </w:r>
      <w:r>
        <w:rPr/>
        <w:t>职公司销售业务总监和关务负责人，同时兼任苏州美盈森环保科技有限公司监事、</w:t>
      </w:r>
      <w:r>
        <w:rPr>
          <w:spacing w:val="-77"/>
        </w:rPr>
        <w:t> </w:t>
      </w:r>
      <w:r>
        <w:rPr/>
        <w:t>武汉市美盈森环保科技有限公司总经理、</w:t>
      </w:r>
      <w:r>
        <w:rPr/>
        <w:t> 成都市美盈森环保科技有限公司监事。 </w:t>
      </w:r>
      <w:r>
        <w:rPr>
          <w:spacing w:val="-2"/>
        </w:rPr>
        <w:t>冯达昌先生，</w:t>
      </w:r>
      <w:r>
        <w:rPr>
          <w:rFonts w:ascii="Times New Roman" w:hAnsi="Times New Roman" w:cs="Times New Roman" w:eastAsia="Times New Roman" w:hint="default"/>
          <w:spacing w:val="-2"/>
        </w:rPr>
        <w:t>1962</w:t>
      </w:r>
      <w:r>
        <w:rPr>
          <w:spacing w:val="-2"/>
        </w:rPr>
        <w:t>年生，中国香港籍，工商管理硕士。曾任美福瓦通纸品（深圳）有限公司营销总监。现任公司董事、副总</w:t>
      </w:r>
      <w:r>
        <w:rPr>
          <w:spacing w:val="-63"/>
        </w:rPr>
        <w:t> </w:t>
      </w:r>
      <w:r>
        <w:rPr>
          <w:spacing w:val="-63"/>
        </w:rPr>
      </w:r>
      <w:r>
        <w:rPr/>
        <w:t>经理，并兼任东莞市美盈森环保科技有限公司董事、美盈森（香港）国际控股有限公司董事、常富润企业（香港）董事长、 常富润科技（深圳）有限公司执行董事和总经理。 陈骏德先生，</w:t>
      </w:r>
      <w:r>
        <w:rPr>
          <w:rFonts w:ascii="Times New Roman" w:hAnsi="Times New Roman" w:cs="Times New Roman" w:eastAsia="Times New Roman" w:hint="default"/>
        </w:rPr>
        <w:t>1970</w:t>
      </w:r>
      <w:r>
        <w:rPr/>
        <w:t>年出生，中国国籍，硕士学历，无永久境外居留权。</w:t>
      </w:r>
      <w:r>
        <w:rPr>
          <w:rFonts w:ascii="Times New Roman" w:hAnsi="Times New Roman" w:cs="Times New Roman" w:eastAsia="Times New Roman" w:hint="default"/>
        </w:rPr>
        <w:t>2007</w:t>
      </w:r>
      <w:r>
        <w:rPr/>
        <w:t>年至今任深圳中金投资管理有限公司执行董事， </w:t>
      </w:r>
      <w:r>
        <w:rPr>
          <w:rFonts w:ascii="Times New Roman" w:hAnsi="Times New Roman" w:cs="Times New Roman" w:eastAsia="Times New Roman" w:hint="default"/>
          <w:spacing w:val="-2"/>
        </w:rPr>
        <w:t>2012</w:t>
      </w:r>
      <w:r>
        <w:rPr>
          <w:spacing w:val="-2"/>
        </w:rPr>
        <w:t>年至今任陕西省航空高技术创业投资基金（有限合伙）执行事务合伙人，任西安瑞鹏创业投资管理有限合伙企业执行事</w:t>
      </w:r>
      <w:r>
        <w:rPr>
          <w:spacing w:val="-63"/>
        </w:rPr>
        <w:t> </w:t>
      </w:r>
      <w:r>
        <w:rPr>
          <w:spacing w:val="-63"/>
        </w:rPr>
      </w:r>
      <w:r>
        <w:rPr/>
        <w:t>务合伙人。现任公司独立董事。 </w:t>
      </w:r>
      <w:r>
        <w:rPr>
          <w:spacing w:val="-2"/>
        </w:rPr>
        <w:t>张建军先生，</w:t>
      </w:r>
      <w:r>
        <w:rPr>
          <w:rFonts w:ascii="Times New Roman" w:hAnsi="Times New Roman" w:cs="Times New Roman" w:eastAsia="Times New Roman" w:hint="default"/>
          <w:spacing w:val="-2"/>
        </w:rPr>
        <w:t>1964</w:t>
      </w:r>
      <w:r>
        <w:rPr>
          <w:spacing w:val="-2"/>
        </w:rPr>
        <w:t>年出生，会计学教授，博士研究生。曾任江西财经大学会计学院副院长、深圳鹏元资信评估有限公司副总</w:t>
      </w:r>
      <w:r>
        <w:rPr>
          <w:spacing w:val="-65"/>
        </w:rPr>
        <w:t> </w:t>
      </w:r>
      <w:r>
        <w:rPr>
          <w:spacing w:val="-65"/>
        </w:rPr>
      </w:r>
      <w:r>
        <w:rPr>
          <w:spacing w:val="-4"/>
        </w:rPr>
        <w:t>裁、深圳大学经济学院院长、教授，现任深圳大学会计与财务研究所所长、教授，兼任中国南玻集团股份有限公司独立董事、</w:t>
      </w:r>
      <w:r>
        <w:rPr>
          <w:spacing w:val="-46"/>
        </w:rPr>
        <w:t> </w:t>
      </w:r>
      <w:r>
        <w:rPr>
          <w:spacing w:val="-46"/>
        </w:rPr>
      </w:r>
      <w:r>
        <w:rPr/>
        <w:t>深圳市天威视讯股份有限公司独立董事、深圳市机场股份有限公司独立董事、深圳市捷顺科技实业股份有限公司独立董事。 </w:t>
      </w:r>
      <w:r>
        <w:rPr>
          <w:spacing w:val="-2"/>
        </w:rPr>
        <w:t>李伟东先生，</w:t>
      </w:r>
      <w:r>
        <w:rPr>
          <w:rFonts w:ascii="Times New Roman" w:hAnsi="Times New Roman" w:cs="Times New Roman" w:eastAsia="Times New Roman" w:hint="default"/>
          <w:spacing w:val="-2"/>
        </w:rPr>
        <w:t>1968</w:t>
      </w:r>
      <w:r>
        <w:rPr>
          <w:spacing w:val="-2"/>
        </w:rPr>
        <w:t>年出生，法学博士、律师。自</w:t>
      </w:r>
      <w:r>
        <w:rPr>
          <w:rFonts w:ascii="Times New Roman" w:hAnsi="Times New Roman" w:cs="Times New Roman" w:eastAsia="Times New Roman" w:hint="default"/>
          <w:spacing w:val="-2"/>
        </w:rPr>
        <w:t>2003</w:t>
      </w:r>
      <w:r>
        <w:rPr>
          <w:spacing w:val="-2"/>
        </w:rPr>
        <w:t>年至今担任广东海派律师事务所执行合伙人，兼任华泰长城期货有限公</w:t>
      </w:r>
      <w:r>
        <w:rPr>
          <w:spacing w:val="-63"/>
        </w:rPr>
        <w:t> </w:t>
      </w:r>
      <w:r>
        <w:rPr>
          <w:spacing w:val="-63"/>
        </w:rPr>
      </w:r>
      <w:r>
        <w:rPr/>
        <w:t>司独立董事、深圳市朗科科技股份有限公司独立董事。</w:t>
      </w:r>
    </w:p>
    <w:p>
      <w:pPr>
        <w:pStyle w:val="BodyText"/>
        <w:spacing w:line="240" w:lineRule="auto" w:before="24"/>
        <w:ind w:right="104"/>
        <w:jc w:val="left"/>
      </w:pPr>
      <w:r>
        <w:rPr>
          <w:rFonts w:ascii="Times New Roman" w:hAnsi="Times New Roman" w:cs="Times New Roman" w:eastAsia="Times New Roman" w:hint="default"/>
        </w:rPr>
        <w:t>2</w:t>
      </w:r>
      <w:r>
        <w:rPr/>
        <w:t>、监事会成员</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94"/>
        <w:jc w:val="left"/>
      </w:pPr>
      <w:r>
        <w:rPr>
          <w:spacing w:val="-2"/>
        </w:rPr>
        <w:t>蔡少龄先生，</w:t>
      </w:r>
      <w:r>
        <w:rPr>
          <w:rFonts w:ascii="Times New Roman" w:hAnsi="Times New Roman" w:cs="Times New Roman" w:eastAsia="Times New Roman" w:hint="default"/>
          <w:spacing w:val="-2"/>
        </w:rPr>
        <w:t>1942</w:t>
      </w:r>
      <w:r>
        <w:rPr>
          <w:spacing w:val="-2"/>
        </w:rPr>
        <w:t>年生，中国国籍，无永久境外居留权，本科学历，高级工程师，参与制定多项行业国家标准，出版了《运</w:t>
      </w:r>
      <w:r>
        <w:rPr>
          <w:spacing w:val="-63"/>
        </w:rPr>
        <w:t> </w:t>
      </w:r>
      <w:r>
        <w:rPr>
          <w:spacing w:val="-63"/>
        </w:rPr>
      </w:r>
      <w:r>
        <w:rPr>
          <w:spacing w:val="-2"/>
        </w:rPr>
        <w:t>输包装设计手册》、《包装技术手册》、《化工百科全书》之包装器材卷等专著。</w:t>
      </w:r>
      <w:r>
        <w:rPr>
          <w:rFonts w:ascii="Times New Roman" w:hAnsi="Times New Roman" w:cs="Times New Roman" w:eastAsia="Times New Roman" w:hint="default"/>
          <w:spacing w:val="-2"/>
        </w:rPr>
        <w:t>1978</w:t>
      </w:r>
      <w:r>
        <w:rPr>
          <w:spacing w:val="-2"/>
        </w:rPr>
        <w:t>至</w:t>
      </w:r>
      <w:r>
        <w:rPr>
          <w:rFonts w:ascii="Times New Roman" w:hAnsi="Times New Roman" w:cs="Times New Roman" w:eastAsia="Times New Roman" w:hint="default"/>
          <w:spacing w:val="-2"/>
        </w:rPr>
        <w:t>1987</w:t>
      </w:r>
      <w:r>
        <w:rPr>
          <w:spacing w:val="-2"/>
        </w:rPr>
        <w:t>年任中国出口商品包装研究所</w:t>
      </w:r>
      <w:r>
        <w:rPr>
          <w:spacing w:val="-63"/>
        </w:rPr>
        <w:t> </w:t>
      </w:r>
      <w:r>
        <w:rPr>
          <w:spacing w:val="-63"/>
        </w:rPr>
      </w:r>
      <w:r>
        <w:rPr>
          <w:spacing w:val="-2"/>
        </w:rPr>
        <w:t>工程师，</w:t>
      </w:r>
      <w:r>
        <w:rPr>
          <w:rFonts w:ascii="Times New Roman" w:hAnsi="Times New Roman" w:cs="Times New Roman" w:eastAsia="Times New Roman" w:hint="default"/>
          <w:spacing w:val="-2"/>
        </w:rPr>
        <w:t>1987</w:t>
      </w:r>
      <w:r>
        <w:rPr>
          <w:spacing w:val="-2"/>
        </w:rPr>
        <w:t>至</w:t>
      </w:r>
      <w:r>
        <w:rPr>
          <w:rFonts w:ascii="Times New Roman" w:hAnsi="Times New Roman" w:cs="Times New Roman" w:eastAsia="Times New Roman" w:hint="default"/>
          <w:spacing w:val="-2"/>
        </w:rPr>
        <w:t>1991</w:t>
      </w:r>
      <w:r>
        <w:rPr>
          <w:spacing w:val="-2"/>
        </w:rPr>
        <w:t>年担任中国包装科研测试中心、国家运输包装质量监督检测中心技术负责人，</w:t>
      </w:r>
      <w:r>
        <w:rPr>
          <w:rFonts w:ascii="Times New Roman" w:hAnsi="Times New Roman" w:cs="Times New Roman" w:eastAsia="Times New Roman" w:hint="default"/>
          <w:spacing w:val="-2"/>
        </w:rPr>
        <w:t>1991</w:t>
      </w:r>
      <w:r>
        <w:rPr>
          <w:spacing w:val="-2"/>
        </w:rPr>
        <w:t>至</w:t>
      </w:r>
      <w:r>
        <w:rPr>
          <w:rFonts w:ascii="Times New Roman" w:hAnsi="Times New Roman" w:cs="Times New Roman" w:eastAsia="Times New Roman" w:hint="default"/>
          <w:spacing w:val="-2"/>
        </w:rPr>
        <w:t>2001</w:t>
      </w:r>
      <w:r>
        <w:rPr>
          <w:spacing w:val="-2"/>
        </w:rPr>
        <w:t>年任美福瓦通</w:t>
      </w:r>
      <w:r>
        <w:rPr>
          <w:spacing w:val="-55"/>
        </w:rPr>
        <w:t> </w:t>
      </w:r>
      <w:r>
        <w:rPr>
          <w:spacing w:val="-55"/>
        </w:rPr>
      </w:r>
      <w:r>
        <w:rPr>
          <w:spacing w:val="-2"/>
        </w:rPr>
        <w:t>纸品（深圳）有限公司质管部经理，</w:t>
      </w:r>
      <w:r>
        <w:rPr>
          <w:rFonts w:ascii="Times New Roman" w:hAnsi="Times New Roman" w:cs="Times New Roman" w:eastAsia="Times New Roman" w:hint="default"/>
          <w:spacing w:val="-2"/>
        </w:rPr>
        <w:t>2001</w:t>
      </w:r>
      <w:r>
        <w:rPr>
          <w:spacing w:val="-2"/>
        </w:rPr>
        <w:t>至</w:t>
      </w:r>
      <w:r>
        <w:rPr>
          <w:rFonts w:ascii="Times New Roman" w:hAnsi="Times New Roman" w:cs="Times New Roman" w:eastAsia="Times New Roman" w:hint="default"/>
          <w:spacing w:val="-2"/>
        </w:rPr>
        <w:t>2002</w:t>
      </w:r>
      <w:r>
        <w:rPr>
          <w:spacing w:val="-2"/>
        </w:rPr>
        <w:t>年任深圳市诺恒管理策划有限公司顾问师，</w:t>
      </w:r>
      <w:r>
        <w:rPr>
          <w:rFonts w:ascii="Times New Roman" w:hAnsi="Times New Roman" w:cs="Times New Roman" w:eastAsia="Times New Roman" w:hint="default"/>
          <w:spacing w:val="-2"/>
        </w:rPr>
        <w:t>2002</w:t>
      </w:r>
      <w:r>
        <w:rPr>
          <w:spacing w:val="-2"/>
        </w:rPr>
        <w:t>至</w:t>
      </w:r>
      <w:r>
        <w:rPr>
          <w:rFonts w:ascii="Times New Roman" w:hAnsi="Times New Roman" w:cs="Times New Roman" w:eastAsia="Times New Roman" w:hint="default"/>
          <w:spacing w:val="-2"/>
        </w:rPr>
        <w:t>2004</w:t>
      </w:r>
      <w:r>
        <w:rPr>
          <w:spacing w:val="-2"/>
        </w:rPr>
        <w:t>年任深圳职业技术学</w:t>
      </w:r>
      <w:r>
        <w:rPr>
          <w:spacing w:val="-55"/>
        </w:rPr>
        <w:t> </w:t>
      </w:r>
      <w:r>
        <w:rPr>
          <w:spacing w:val="-2"/>
        </w:rPr>
        <w:t>院印刷传播系教师，</w:t>
      </w:r>
      <w:r>
        <w:rPr>
          <w:rFonts w:ascii="Times New Roman" w:hAnsi="Times New Roman" w:cs="Times New Roman" w:eastAsia="Times New Roman" w:hint="default"/>
          <w:spacing w:val="-2"/>
        </w:rPr>
        <w:t>2004</w:t>
      </w:r>
      <w:r>
        <w:rPr>
          <w:spacing w:val="-2"/>
        </w:rPr>
        <w:t>年加入公司，现任公司监事会主席、技术部顾问，并兼任东莞市美盈森环保科技有限公司监事会主</w:t>
      </w:r>
      <w:r>
        <w:rPr>
          <w:spacing w:val="-61"/>
        </w:rPr>
        <w:t> </w:t>
      </w:r>
      <w:r>
        <w:rPr>
          <w:spacing w:val="-61"/>
        </w:rPr>
      </w:r>
      <w:r>
        <w:rPr/>
        <w:t>席。 陈利科先生，</w:t>
      </w:r>
      <w:r>
        <w:rPr>
          <w:rFonts w:ascii="Times New Roman" w:hAnsi="Times New Roman" w:cs="Times New Roman" w:eastAsia="Times New Roman" w:hint="default"/>
        </w:rPr>
        <w:t>1976</w:t>
      </w:r>
      <w:r>
        <w:rPr/>
        <w:t>年生，中国国籍，无永久境外居留权，本科学历。</w:t>
      </w:r>
      <w:r>
        <w:rPr>
          <w:rFonts w:ascii="Times New Roman" w:hAnsi="Times New Roman" w:cs="Times New Roman" w:eastAsia="Times New Roman" w:hint="default"/>
        </w:rPr>
        <w:t>2003</w:t>
      </w:r>
      <w:r>
        <w:rPr/>
        <w:t>年加入公司。现任公司监事、技术部包装工程师、 技术部副总监，并兼任东莞市美盈森环保科技有限公司监事。 </w:t>
      </w:r>
      <w:r>
        <w:rPr>
          <w:spacing w:val="-2"/>
        </w:rPr>
        <w:t>王红婵女士，</w:t>
      </w:r>
      <w:r>
        <w:rPr>
          <w:rFonts w:ascii="Times New Roman" w:hAnsi="Times New Roman" w:cs="Times New Roman" w:eastAsia="Times New Roman" w:hint="default"/>
          <w:spacing w:val="-2"/>
        </w:rPr>
        <w:t>1980</w:t>
      </w:r>
      <w:r>
        <w:rPr>
          <w:spacing w:val="-2"/>
        </w:rPr>
        <w:t>年生，中国国籍，无永久境外居留权，本科学历。</w:t>
      </w:r>
      <w:r>
        <w:rPr>
          <w:rFonts w:ascii="Times New Roman" w:hAnsi="Times New Roman" w:cs="Times New Roman" w:eastAsia="Times New Roman" w:hint="default"/>
          <w:spacing w:val="-2"/>
        </w:rPr>
        <w:t>2005</w:t>
      </w:r>
      <w:r>
        <w:rPr>
          <w:spacing w:val="-2"/>
        </w:rPr>
        <w:t>年加入公司，现任公司副总经理助理及公司职工代</w:t>
      </w:r>
      <w:r>
        <w:rPr>
          <w:spacing w:val="-60"/>
        </w:rPr>
        <w:t> </w:t>
      </w:r>
      <w:r>
        <w:rPr>
          <w:spacing w:val="-60"/>
        </w:rPr>
      </w:r>
      <w:r>
        <w:rPr/>
        <w:t>表监事。</w:t>
      </w:r>
    </w:p>
    <w:p>
      <w:pPr>
        <w:pStyle w:val="BodyText"/>
        <w:spacing w:line="309" w:lineRule="auto" w:before="27"/>
        <w:ind w:right="4954"/>
        <w:jc w:val="left"/>
      </w:pPr>
      <w:r>
        <w:rPr>
          <w:rFonts w:ascii="Times New Roman" w:hAnsi="Times New Roman" w:cs="Times New Roman" w:eastAsia="Times New Roman" w:hint="default"/>
          <w:b/>
          <w:bCs/>
        </w:rPr>
        <w:t>3</w:t>
      </w:r>
      <w:r>
        <w:rPr/>
        <w:t>、其他高级管理人员 张珍义先生，任本公司总经理，详见前述董事会成员简历。 冯达昌先生，任本公司副总经理，详见前述董事会成员简历。</w:t>
      </w:r>
    </w:p>
    <w:p>
      <w:pPr>
        <w:pStyle w:val="BodyText"/>
        <w:spacing w:line="309" w:lineRule="auto" w:before="24"/>
        <w:ind w:right="104"/>
        <w:jc w:val="left"/>
      </w:pPr>
      <w:r>
        <w:rPr>
          <w:spacing w:val="-2"/>
        </w:rPr>
        <w:t>黄琳女士，</w:t>
      </w:r>
      <w:r>
        <w:rPr>
          <w:rFonts w:ascii="Times New Roman" w:hAnsi="Times New Roman" w:cs="Times New Roman" w:eastAsia="Times New Roman" w:hint="default"/>
          <w:spacing w:val="-2"/>
        </w:rPr>
        <w:t>1969</w:t>
      </w:r>
      <w:r>
        <w:rPr>
          <w:spacing w:val="-2"/>
        </w:rPr>
        <w:t>年生，中国国籍，无永久境外居留权，大学本科学历，曾任职于深圳怡宝食品公司，</w:t>
      </w:r>
      <w:r>
        <w:rPr>
          <w:rFonts w:ascii="Times New Roman" w:hAnsi="Times New Roman" w:cs="Times New Roman" w:eastAsia="Times New Roman" w:hint="default"/>
          <w:spacing w:val="-2"/>
        </w:rPr>
        <w:t>2001</w:t>
      </w:r>
      <w:r>
        <w:rPr>
          <w:spacing w:val="-2"/>
        </w:rPr>
        <w:t>年加入公司，现任</w:t>
      </w:r>
      <w:r>
        <w:rPr>
          <w:spacing w:val="-64"/>
        </w:rPr>
        <w:t> </w:t>
      </w:r>
      <w:r>
        <w:rPr>
          <w:spacing w:val="-64"/>
        </w:rPr>
      </w:r>
      <w:r>
        <w:rPr>
          <w:spacing w:val="-2"/>
        </w:rPr>
        <w:t>公司副总经理兼董事会秘书，并兼任东莞市美盈森环保科技有限公司董事、重庆市美盈森环保包装工程有限公司监事、深圳</w:t>
      </w:r>
      <w:r>
        <w:rPr>
          <w:spacing w:val="-63"/>
        </w:rPr>
        <w:t> </w:t>
      </w:r>
      <w:r>
        <w:rPr>
          <w:spacing w:val="-63"/>
        </w:rPr>
      </w:r>
      <w:r>
        <w:rPr/>
        <w:t>市金之彩文化创意有限公司董事、广州信联智通实业股份有限公司董事。 </w:t>
      </w:r>
      <w:r>
        <w:rPr>
          <w:spacing w:val="-2"/>
        </w:rPr>
        <w:t>袁宏贵先生，</w:t>
      </w:r>
      <w:r>
        <w:rPr>
          <w:rFonts w:ascii="Times New Roman" w:hAnsi="Times New Roman" w:cs="Times New Roman" w:eastAsia="Times New Roman" w:hint="default"/>
          <w:spacing w:val="-2"/>
        </w:rPr>
        <w:t>1979</w:t>
      </w:r>
      <w:r>
        <w:rPr>
          <w:spacing w:val="-2"/>
        </w:rPr>
        <w:t>年出生，中国国籍，无永久境外居留权，大学专科学历，中国注册会计师协会非执业会员，曾任职深圳市</w:t>
      </w:r>
      <w:r>
        <w:rPr>
          <w:spacing w:val="-64"/>
        </w:rPr>
        <w:t> </w:t>
      </w:r>
      <w:r>
        <w:rPr>
          <w:spacing w:val="-64"/>
        </w:rPr>
      </w:r>
      <w:r>
        <w:rPr/>
        <w:t>鼎益投资有限公司、同方股份有限公司。</w:t>
      </w:r>
      <w:r>
        <w:rPr>
          <w:rFonts w:ascii="Times New Roman" w:hAnsi="Times New Roman" w:cs="Times New Roman" w:eastAsia="Times New Roman" w:hint="default"/>
        </w:rPr>
        <w:t>2010</w:t>
      </w:r>
      <w:r>
        <w:rPr/>
        <w:t>年加入公司，曾任审计部经理。</w:t>
      </w:r>
    </w:p>
    <w:p>
      <w:pPr>
        <w:pStyle w:val="BodyText"/>
        <w:spacing w:line="240" w:lineRule="auto" w:before="46"/>
        <w:ind w:right="104"/>
        <w:jc w:val="left"/>
      </w:pPr>
      <w:r>
        <w:rPr/>
        <w:t>在股东单位任职情况</w:t>
      </w:r>
    </w:p>
    <w:p>
      <w:pPr>
        <w:pStyle w:val="BodyText"/>
        <w:spacing w:line="240" w:lineRule="auto" w:before="115"/>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200"/>
        <w:jc w:val="right"/>
      </w:pPr>
      <w:r>
        <w:rPr/>
        <w:pict>
          <v:shape style="position:absolute;margin-left:56.400002pt;margin-top:-72.128296pt;width:479.2pt;height:107.6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、公司控股股东王海鹏、第二大股东王治军分别持有广州信联智通实业股份有限公司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、上述任期终止日期是指本届任期。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104"/>
        <w:jc w:val="left"/>
      </w:pPr>
      <w:r>
        <w:rPr/>
        <w:t>在其他单位任职情况</w:t>
      </w:r>
    </w:p>
    <w:p>
      <w:pPr>
        <w:pStyle w:val="BodyText"/>
        <w:spacing w:line="240" w:lineRule="auto" w:before="115"/>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常富润企业（香港）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深圳中金投资管理有限公司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西安瑞鹏创业投资管理有限合伙企业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陕西省航空高技术创业投资基金（有限合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深圳市天威视讯股份有限公司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深圳市捷顺科技实业股份有限公司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华泰长城期货有限公司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上述任期终止日期是指本届任期。</w:t>
            </w:r>
          </w:p>
        </w:tc>
      </w:tr>
    </w:tbl>
    <w:p>
      <w:pPr>
        <w:pStyle w:val="BodyText"/>
        <w:spacing w:line="240" w:lineRule="auto" w:before="49"/>
        <w:ind w:right="104"/>
        <w:jc w:val="left"/>
      </w:pPr>
      <w:r>
        <w:rPr/>
        <w:t>公司现任及报告期内离任董事、监事和高级管理人员近三年证券监管机构处罚的情况</w:t>
      </w:r>
    </w:p>
    <w:p>
      <w:pPr>
        <w:pStyle w:val="BodyText"/>
        <w:spacing w:line="319" w:lineRule="auto" w:before="117"/>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报告期内，公司离任董事、高管王海鹏先生、王治军先生因超比例减持未披露及限制转让期内的减持行为于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 收到中国证券监督管理委员会的《行政处罚决定书》，详见公司于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日刊载于证券时报及及巨潮资讯网</w:t>
      </w:r>
    </w:p>
    <w:p>
      <w:pPr>
        <w:pStyle w:val="BodyText"/>
        <w:spacing w:line="246" w:lineRule="exact"/>
        <w:ind w:right="104"/>
        <w:jc w:val="left"/>
      </w:pPr>
      <w:r>
        <w:rPr/>
        <w:t>（</w:t>
      </w:r>
      <w:hyperlink r:id="rId11">
        <w:r>
          <w:rPr>
            <w:rFonts w:ascii="Times New Roman" w:hAnsi="Times New Roman" w:cs="Times New Roman" w:eastAsia="Times New Roman" w:hint="default"/>
          </w:rPr>
          <w:t>www.cninfo.com.cn</w:t>
        </w:r>
      </w:hyperlink>
      <w:r>
        <w:rPr/>
        <w:t>）上的《关于股东收到中国证券监督管理委员会行政处罚决定书的相关公告》。</w:t>
      </w:r>
    </w:p>
    <w:p>
      <w:pPr>
        <w:spacing w:line="240" w:lineRule="auto" w:before="3"/>
        <w:rPr>
          <w:rFonts w:ascii="宋体" w:hAnsi="宋体" w:cs="宋体" w:eastAsia="宋体" w:hint="default"/>
          <w:sz w:val="24"/>
          <w:szCs w:val="24"/>
        </w:rPr>
      </w:pPr>
    </w:p>
    <w:p>
      <w:pPr>
        <w:pStyle w:val="Heading2"/>
        <w:spacing w:line="240" w:lineRule="auto"/>
        <w:ind w:right="104"/>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4"/>
        <w:jc w:val="left"/>
      </w:pPr>
      <w:r>
        <w:rPr/>
        <w:t>董事、监事、高级管理人员报酬的决策程序、确定依据、实际支付情况</w:t>
      </w:r>
    </w:p>
    <w:p>
      <w:pPr>
        <w:pStyle w:val="BodyText"/>
        <w:spacing w:line="240" w:lineRule="auto" w:before="117"/>
        <w:ind w:right="104"/>
        <w:jc w:val="left"/>
      </w:pPr>
      <w:r>
        <w:rPr>
          <w:rFonts w:ascii="Times New Roman" w:hAnsi="Times New Roman" w:cs="Times New Roman" w:eastAsia="Times New Roman" w:hint="default"/>
        </w:rPr>
        <w:t>1</w:t>
      </w:r>
      <w:r>
        <w:rPr/>
        <w:t>、根据《公司章程》的有关规定，公司董事、监事的津贴由股东大会审议决定；公司高管的报酬由董事会审议决定。</w:t>
      </w:r>
    </w:p>
    <w:p>
      <w:pPr>
        <w:pStyle w:val="BodyText"/>
        <w:spacing w:line="240" w:lineRule="auto" w:before="62"/>
        <w:ind w:right="104"/>
        <w:jc w:val="left"/>
      </w:pPr>
      <w:r>
        <w:rPr>
          <w:rFonts w:ascii="Times New Roman" w:hAnsi="Times New Roman" w:cs="Times New Roman" w:eastAsia="Times New Roman" w:hint="default"/>
        </w:rPr>
        <w:t>2</w:t>
      </w:r>
      <w:r>
        <w:rPr/>
        <w:t>、公司董事、监事、高管人员的报酬综合考虑公司经营情况、同行上市公司及地区薪酬标准确定。具体决策情况如下：</w:t>
      </w:r>
    </w:p>
    <w:p>
      <w:pPr>
        <w:pStyle w:val="BodyText"/>
        <w:spacing w:line="300" w:lineRule="auto" w:before="62"/>
        <w:ind w:right="94"/>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年第一次临时股东大会审议通过了《关于第三届董事会董事津贴的议案》、《关于第三届监事会监事津贴的 </w:t>
      </w:r>
      <w:r>
        <w:rPr>
          <w:spacing w:val="-5"/>
        </w:rPr>
        <w:t>议案》，同意支付给第三届董事会董事的津贴为每年</w:t>
      </w:r>
      <w:r>
        <w:rPr>
          <w:rFonts w:ascii="Times New Roman" w:hAnsi="Times New Roman" w:cs="Times New Roman" w:eastAsia="Times New Roman" w:hint="default"/>
          <w:spacing w:val="-5"/>
        </w:rPr>
        <w:t>12</w:t>
      </w:r>
      <w:r>
        <w:rPr>
          <w:spacing w:val="-5"/>
        </w:rPr>
        <w:t>万元（含税），支付给第三届监事会监事的津贴为每年</w:t>
      </w:r>
      <w:r>
        <w:rPr>
          <w:rFonts w:ascii="Times New Roman" w:hAnsi="Times New Roman" w:cs="Times New Roman" w:eastAsia="Times New Roman" w:hint="default"/>
          <w:spacing w:val="-5"/>
        </w:rPr>
        <w:t>1</w:t>
      </w:r>
      <w:r>
        <w:rPr>
          <w:spacing w:val="-5"/>
        </w:rPr>
        <w:t>万元（含税）；</w:t>
      </w:r>
      <w:r>
        <w:rPr>
          <w:spacing w:val="-74"/>
        </w:rPr>
        <w:t> </w:t>
      </w:r>
      <w:r>
        <w:rPr>
          <w:spacing w:val="-74"/>
        </w:rPr>
      </w:r>
      <w:r>
        <w:rPr/>
        <w:t>公司第三届董事会第一次会议审议通过公司高级管理人员基本年薪为：总经理王海鹏：</w:t>
      </w:r>
      <w:r>
        <w:rPr>
          <w:rFonts w:ascii="Times New Roman" w:hAnsi="Times New Roman" w:cs="Times New Roman" w:eastAsia="Times New Roman" w:hint="default"/>
        </w:rPr>
        <w:t>60</w:t>
      </w:r>
      <w:r>
        <w:rPr/>
        <w:t>万元，副总经理王治军：</w:t>
      </w:r>
      <w:r>
        <w:rPr>
          <w:rFonts w:ascii="Times New Roman" w:hAnsi="Times New Roman" w:cs="Times New Roman" w:eastAsia="Times New Roman" w:hint="default"/>
        </w:rPr>
        <w:t>38</w:t>
      </w:r>
      <w:r>
        <w:rPr/>
        <w:t>万元， </w:t>
      </w:r>
      <w:r>
        <w:rPr>
          <w:spacing w:val="-2"/>
        </w:rPr>
        <w:t>副总经理冯达昌：</w:t>
      </w:r>
      <w:r>
        <w:rPr>
          <w:rFonts w:ascii="Times New Roman" w:hAnsi="Times New Roman" w:cs="Times New Roman" w:eastAsia="Times New Roman" w:hint="default"/>
          <w:spacing w:val="-2"/>
        </w:rPr>
        <w:t>38</w:t>
      </w:r>
      <w:r>
        <w:rPr>
          <w:spacing w:val="-2"/>
        </w:rPr>
        <w:t>万元，副总经理兼董事会秘书黄琳：</w:t>
      </w:r>
      <w:r>
        <w:rPr>
          <w:rFonts w:ascii="Times New Roman" w:hAnsi="Times New Roman" w:cs="Times New Roman" w:eastAsia="Times New Roman" w:hint="default"/>
          <w:spacing w:val="-2"/>
        </w:rPr>
        <w:t>38</w:t>
      </w:r>
      <w:r>
        <w:rPr>
          <w:spacing w:val="-2"/>
        </w:rPr>
        <w:t>万元，财务总监袁宏贵：</w:t>
      </w:r>
      <w:r>
        <w:rPr>
          <w:rFonts w:ascii="Times New Roman" w:hAnsi="Times New Roman" w:cs="Times New Roman" w:eastAsia="Times New Roman" w:hint="default"/>
          <w:spacing w:val="-2"/>
        </w:rPr>
        <w:t>30</w:t>
      </w:r>
      <w:r>
        <w:rPr>
          <w:spacing w:val="-2"/>
        </w:rPr>
        <w:t>万元。（前述兼任董事的高管人员年</w:t>
      </w:r>
      <w:r>
        <w:rPr>
          <w:spacing w:val="-65"/>
        </w:rPr>
        <w:t> </w:t>
      </w:r>
      <w:r>
        <w:rPr>
          <w:spacing w:val="-65"/>
        </w:rPr>
      </w:r>
      <w:r>
        <w:rPr/>
        <w:t>薪含董事津贴）</w:t>
      </w:r>
    </w:p>
    <w:p>
      <w:pPr>
        <w:pStyle w:val="BodyText"/>
        <w:spacing w:line="300" w:lineRule="auto" w:before="31"/>
        <w:ind w:right="184"/>
        <w:jc w:val="left"/>
      </w:pPr>
      <w:r>
        <w:rPr/>
        <w:t>（</w:t>
      </w:r>
      <w:r>
        <w:rPr>
          <w:rFonts w:ascii="Times New Roman" w:hAnsi="Times New Roman" w:cs="Times New Roman" w:eastAsia="Times New Roman" w:hint="default"/>
        </w:rPr>
        <w:t>2</w:t>
      </w:r>
      <w:r>
        <w:rPr/>
        <w:t>）公司第三届董事会第十八次（临时）会议审议通过了《关于聘任公司总经理并确定其薪酬的议案》，同意公司总经理 张珍义基本年薪为</w:t>
      </w:r>
      <w:r>
        <w:rPr>
          <w:rFonts w:ascii="Times New Roman" w:hAnsi="Times New Roman" w:cs="Times New Roman" w:eastAsia="Times New Roman" w:hint="default"/>
        </w:rPr>
        <w:t>39</w:t>
      </w:r>
      <w:r>
        <w:rPr/>
        <w:t>万元（含董事津贴）。</w:t>
      </w:r>
    </w:p>
    <w:p>
      <w:pPr>
        <w:pStyle w:val="BodyText"/>
        <w:spacing w:line="360" w:lineRule="auto" w:before="13"/>
        <w:ind w:right="4774"/>
        <w:jc w:val="left"/>
      </w:pPr>
      <w:r>
        <w:rPr/>
        <w:t>上述报酬实行按月发放，绩效奖金将于年底评定后一次性发放。 公司报告期内董事、监事和高级管理人员报酬情况</w:t>
      </w:r>
    </w:p>
    <w:p>
      <w:pPr>
        <w:pStyle w:val="BodyText"/>
        <w:spacing w:line="240" w:lineRule="auto" w:before="25"/>
        <w:ind w:left="0" w:right="193"/>
        <w:jc w:val="right"/>
      </w:pPr>
      <w:r>
        <w:rPr/>
        <w:t>单位：万元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王红婵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郭万达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4"/>
        <w:gridCol w:w="4793"/>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2,969</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3,670</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3,670</w:t>
            </w:r>
          </w:p>
        </w:tc>
      </w:tr>
      <w:tr>
        <w:trPr>
          <w:trHeight w:val="39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2,780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3474"/>
        <w:jc w:val="left"/>
      </w:pPr>
      <w:r>
        <w:rPr/>
        <w:t>薪资福利： 公司提供有市场竞争力的薪酬待遇，并依绩效考核结果每年提供一次加薪机会。 福利及保险： 公司为员工提供医疗保险、养老保险、失业保险、住房公积金及其他相关福利。</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t>教育培训： </w:t>
      </w:r>
      <w:r>
        <w:rPr>
          <w:spacing w:val="-2"/>
        </w:rPr>
        <w:t>公司高度重视员工的培训工作，在加强对全体员工高素质培训的同时，有重点有选择地对优秀员工进行培养，并大力支持对</w:t>
      </w:r>
      <w:r>
        <w:rPr>
          <w:spacing w:val="-63"/>
        </w:rPr>
        <w:t> </w:t>
      </w:r>
      <w:r>
        <w:rPr>
          <w:spacing w:val="-63"/>
        </w:rPr>
      </w:r>
      <w:r>
        <w:rPr/>
        <w:t>管理和技术人员的各类高级培训。 对于新加入的大学生，公司为其提供全方位培训计划，包括集中培训学习、不同岗位实习、岗位实践等。</w:t>
      </w:r>
    </w:p>
    <w:p>
      <w:pPr>
        <w:pStyle w:val="BodyText"/>
        <w:spacing w:line="316" w:lineRule="auto" w:before="18"/>
        <w:ind w:right="3114"/>
        <w:jc w:val="left"/>
      </w:pPr>
      <w:r>
        <w:rPr/>
        <w:t>职业发展： 公司重视员工职业发展，不断完善员工的职业发展体系，建立有效的绩效评估管理。</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522"/>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5" w:firstLine="300"/>
        <w:jc w:val="both"/>
      </w:pPr>
      <w:r>
        <w:rPr>
          <w:spacing w:val="-1"/>
        </w:rPr>
        <w:t>公司上市以来，严格按照《公司法》、《证券法》、《上市公司治理准则》和深圳证券交易所《股票上市规则》及《中</w:t>
      </w:r>
      <w:r>
        <w:rPr/>
        <w:t> </w:t>
      </w:r>
      <w:r>
        <w:rPr>
          <w:spacing w:val="-2"/>
        </w:rPr>
        <w:t>小企业板上市公司规范运作指引》等相关法律、法规的规定，认真学习和落实中国证监会、深圳证监局、深圳证券交易所等</w:t>
      </w:r>
      <w:r>
        <w:rPr>
          <w:spacing w:val="-67"/>
        </w:rPr>
        <w:t> </w:t>
      </w:r>
      <w:r>
        <w:rPr>
          <w:spacing w:val="-67"/>
        </w:rPr>
      </w:r>
      <w:r>
        <w:rPr/>
        <w:t>监管机构的相关要求，不断完善公司法人治理结构，建立现代企业制度，持续深入规范公司运作。</w:t>
      </w:r>
    </w:p>
    <w:p>
      <w:pPr>
        <w:pStyle w:val="BodyText"/>
        <w:spacing w:line="240" w:lineRule="auto" w:before="139"/>
        <w:ind w:left="452"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日，公司已建立的各项制度及公开信息披露情况如下：</w:t>
      </w:r>
    </w:p>
    <w:p>
      <w:pPr>
        <w:spacing w:line="240" w:lineRule="auto" w:before="5"/>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749"/>
        <w:gridCol w:w="2599"/>
        <w:gridCol w:w="5040"/>
        <w:gridCol w:w="1270"/>
      </w:tblGrid>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公开信息披露情况</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生效时间</w:t>
            </w:r>
            <w:r>
              <w:rPr>
                <w:rFonts w:ascii="宋体" w:hAnsi="宋体" w:cs="宋体" w:eastAsia="宋体" w:hint="default"/>
                <w:sz w:val="18"/>
                <w:szCs w:val="18"/>
              </w:rPr>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经第一届董事会第二次会议制定</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2007.10.15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资金管理制度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经第一届董事会第八次会议制定</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2009.1.18</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2009.11.15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2009.11.15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2009.12.24</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2009.12.24</w:t>
            </w:r>
          </w:p>
        </w:tc>
      </w:tr>
      <w:tr>
        <w:trPr>
          <w:trHeight w:val="660"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董事、监事、高管人员所持本公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司股份及其变动管理制度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2010.1.10</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印章使用管理办法</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经第二届董事会第二次会议制定并公告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2010.10.26</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2010.2.9</w:t>
            </w:r>
          </w:p>
        </w:tc>
      </w:tr>
      <w:tr>
        <w:trPr>
          <w:trHeight w:val="660"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年报信息披露重大差错责任追究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2010.3.23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2010.3.23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12</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远期结售汇交易内部控制制度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经第一届董事会第十五次会议制定并公告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2010.4.14</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2010.9.21</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16</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2010.9.21</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2010.9.21</w:t>
            </w:r>
          </w:p>
        </w:tc>
      </w:tr>
      <w:tr>
        <w:trPr>
          <w:trHeight w:val="660"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19</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可能接触内幕信息的关键岗位人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员买卖公司股票相关规定</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经第二届董事会第四次（临时）会议制定并公告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2011.1.26</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防范控股股东及关联方资金占用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经第二届董事会第六次会议制定并公告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2011.4.25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21</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2011.9.17</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22</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内幕信息知情人报备及登记管理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经第二届董事会第十三次（临时）会议修订并公告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2012.1.15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23</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财务会计相关负责人管理制度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2012.4.23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24</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2012.4.23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49"/>
        <w:gridCol w:w="2599"/>
        <w:gridCol w:w="5040"/>
        <w:gridCol w:w="1270"/>
      </w:tblGrid>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25</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2012.4.23</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26</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3"/>
                <w:sz w:val="18"/>
                <w:szCs w:val="18"/>
              </w:rPr>
              <w:t>董事会薪酬与考核委员会议事规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2012.4.23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27</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2012.4.23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28</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2012.4.23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29</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募集资金管理制度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2012.8.23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30</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2012.8.3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31</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2012.8.3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32</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2012.8.3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33</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投资理财管理制度</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经第三届董事会第四次会议制定并公告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2014.3.27</w:t>
            </w:r>
          </w:p>
        </w:tc>
      </w:tr>
      <w:tr>
        <w:trPr>
          <w:trHeight w:val="660"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34</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未来三年股东回报规划</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r>
              <w:rPr>
                <w:rFonts w:ascii="宋体" w:hAnsi="宋体" w:cs="宋体" w:eastAsia="宋体" w:hint="default"/>
                <w:sz w:val="18"/>
                <w:szCs w:val="18"/>
              </w:rPr>
              <w:t>）</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2015.5.20</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35</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2015.5.20</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36</w:t>
            </w:r>
          </w:p>
        </w:tc>
        <w:tc>
          <w:tcPr>
            <w:tcW w:w="2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2015.12.28</w:t>
            </w:r>
          </w:p>
        </w:tc>
      </w:tr>
    </w:tbl>
    <w:p>
      <w:pPr>
        <w:pStyle w:val="BodyText"/>
        <w:spacing w:line="316" w:lineRule="auto" w:before="8"/>
        <w:ind w:right="104" w:firstLine="288"/>
        <w:jc w:val="left"/>
      </w:pPr>
      <w:r>
        <w:rPr>
          <w:spacing w:val="-1"/>
        </w:rPr>
        <w:t>截至报告期末，公司认为，公司治理的实际情况基本符合规范性文件的要求，已经形成了决策机构、监督机构与管理层</w:t>
      </w:r>
      <w:r>
        <w:rPr/>
        <w:t> 之间权责分明、各司其职、相互制衡、科学决策、协调运作的法人治理结构。</w:t>
      </w:r>
    </w:p>
    <w:p>
      <w:pPr>
        <w:pStyle w:val="BodyText"/>
        <w:spacing w:line="432" w:lineRule="exact" w:before="3"/>
        <w:ind w:left="452" w:right="104" w:hanging="300"/>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1"/>
        </w:rPr>
        <w:t>报告期内，公司严格按照《公司法》、《上市公司股东大会规则》、《公司章程》、《股东大会议事规则》等法律法规</w:t>
      </w:r>
    </w:p>
    <w:p>
      <w:pPr>
        <w:pStyle w:val="BodyText"/>
        <w:spacing w:line="316" w:lineRule="auto" w:before="15"/>
        <w:ind w:right="195"/>
        <w:jc w:val="both"/>
      </w:pPr>
      <w:r>
        <w:rPr>
          <w:spacing w:val="-2"/>
        </w:rPr>
        <w:t>的要求，规范股东大会的召集、召开及表决程序，确保所有股东享有平等地位，充分行使自己权利，并通过聘请律师见证保</w:t>
      </w:r>
      <w:r>
        <w:rPr>
          <w:spacing w:val="-67"/>
        </w:rPr>
        <w:t> </w:t>
      </w:r>
      <w:r>
        <w:rPr>
          <w:spacing w:val="-67"/>
        </w:rPr>
      </w:r>
      <w:r>
        <w:rPr/>
        <w:t>证会议召集、召开和表决程序的合法性，维护了公司和股东的合法权益。</w:t>
      </w:r>
    </w:p>
    <w:p>
      <w:pPr>
        <w:spacing w:line="432" w:lineRule="exact" w:before="3"/>
        <w:ind w:left="452" w:right="244" w:hanging="30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、关于控股股东与公司关系</w:t>
      </w:r>
      <w:r>
        <w:rPr>
          <w:rFonts w:ascii="宋体" w:hAnsi="宋体" w:cs="宋体" w:eastAsia="宋体" w:hint="default"/>
          <w:b/>
          <w:bCs/>
          <w:w w:val="99"/>
          <w:sz w:val="18"/>
          <w:szCs w:val="18"/>
        </w:rPr>
        <w:t> </w:t>
      </w:r>
      <w:r>
        <w:rPr>
          <w:rFonts w:ascii="宋体" w:hAnsi="宋体" w:cs="宋体" w:eastAsia="宋体" w:hint="default"/>
          <w:sz w:val="18"/>
          <w:szCs w:val="18"/>
        </w:rPr>
        <w:t>公司控股股东为自然人王海鹏先生，</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日前王海鹏先生在公司担任董事长兼总经理职务。作为控股股东，王</w:t>
      </w:r>
    </w:p>
    <w:p>
      <w:pPr>
        <w:pStyle w:val="BodyText"/>
        <w:spacing w:line="316" w:lineRule="auto" w:before="15"/>
        <w:ind w:right="190"/>
        <w:jc w:val="both"/>
      </w:pPr>
      <w:r>
        <w:rPr>
          <w:spacing w:val="-2"/>
        </w:rPr>
        <w:t>海鹏先生对公司依法通过股东大会行使出资人的权利；在担任董事长兼总经理期间，王海鹏先生严格履行《公司法》和《公</w:t>
      </w:r>
      <w:r>
        <w:rPr>
          <w:spacing w:val="-67"/>
        </w:rPr>
        <w:t> </w:t>
      </w:r>
      <w:r>
        <w:rPr>
          <w:spacing w:val="-67"/>
        </w:rPr>
      </w:r>
      <w:r>
        <w:rPr>
          <w:spacing w:val="-2"/>
        </w:rPr>
        <w:t>司章程》所赋予的权利和义务，公司重大事项的决策及生产经营均按照公司内部控制制度由公司经营层、董事会、股东大会</w:t>
      </w:r>
      <w:r>
        <w:rPr>
          <w:spacing w:val="-64"/>
        </w:rPr>
        <w:t> </w:t>
      </w:r>
      <w:r>
        <w:rPr>
          <w:spacing w:val="-64"/>
        </w:rPr>
      </w:r>
      <w:r>
        <w:rPr/>
        <w:t>讨论决定，不存在控股股东及实际控制人控制公司的情况。</w:t>
      </w:r>
    </w:p>
    <w:p>
      <w:pPr>
        <w:pStyle w:val="BodyText"/>
        <w:spacing w:line="432" w:lineRule="exact" w:before="3"/>
        <w:ind w:left="452" w:right="154" w:hanging="300"/>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99"/>
        </w:rPr>
        <w:t> </w:t>
      </w:r>
      <w:r>
        <w:rPr/>
        <w:t>报告期内，公司董事会成员</w:t>
      </w:r>
      <w:r>
        <w:rPr>
          <w:rFonts w:ascii="Times New Roman" w:hAnsi="Times New Roman" w:cs="Times New Roman" w:eastAsia="Times New Roman" w:hint="default"/>
        </w:rPr>
        <w:t>5</w:t>
      </w:r>
      <w:r>
        <w:rPr/>
        <w:t>人，其中独立董事</w:t>
      </w:r>
      <w:r>
        <w:rPr>
          <w:rFonts w:ascii="Times New Roman" w:hAnsi="Times New Roman" w:cs="Times New Roman" w:eastAsia="Times New Roman" w:hint="default"/>
        </w:rPr>
        <w:t>3</w:t>
      </w:r>
      <w:r>
        <w:rPr/>
        <w:t>人，董事会的人数及人员构成符合法律、法规和《公司章程》的要求。</w:t>
      </w:r>
    </w:p>
    <w:p>
      <w:pPr>
        <w:pStyle w:val="BodyText"/>
        <w:spacing w:line="316" w:lineRule="auto" w:before="15"/>
        <w:ind w:right="111"/>
        <w:jc w:val="both"/>
      </w:pPr>
      <w:r>
        <w:rPr/>
        <w:t>公司全体董事能够依据《董事会议事规则》、深圳证券交易所《中小企业板上市公司规范运作指引》等法律法规开展工作， 认真出席董事会和股东大会，积极参加培训，学习有关法律法规。独立董事能够不受影响地独立履行职责。</w:t>
      </w:r>
    </w:p>
    <w:p>
      <w:pPr>
        <w:pStyle w:val="BodyText"/>
        <w:spacing w:line="316" w:lineRule="auto" w:before="139"/>
        <w:ind w:right="104" w:firstLine="300"/>
        <w:jc w:val="left"/>
      </w:pPr>
      <w:r>
        <w:rPr>
          <w:spacing w:val="-1"/>
        </w:rPr>
        <w:t>截至报告期末，公司董事会下设四个专门委员会，即审计委员会、提名委员会、薪酬与考核委员会、战略委员会，并制</w:t>
      </w:r>
      <w:r>
        <w:rPr/>
        <w:t> 定各委员会议事规则，指导各委员会有效运行。</w:t>
      </w:r>
    </w:p>
    <w:p>
      <w:pPr>
        <w:pStyle w:val="BodyText"/>
        <w:spacing w:line="432" w:lineRule="exact" w:before="3"/>
        <w:ind w:left="452" w:right="104" w:hanging="300"/>
        <w:jc w:val="left"/>
      </w:pPr>
      <w:r>
        <w:rPr>
          <w:rFonts w:ascii="Times New Roman" w:hAnsi="Times New Roman" w:cs="Times New Roman" w:eastAsia="Times New Roman" w:hint="default"/>
          <w:b/>
          <w:bCs/>
        </w:rPr>
        <w:t>4</w:t>
      </w:r>
      <w:r>
        <w:rPr>
          <w:rFonts w:ascii="宋体" w:hAnsi="宋体" w:cs="宋体" w:eastAsia="宋体" w:hint="default"/>
          <w:b/>
          <w:bCs/>
        </w:rPr>
        <w:t>、关于监事与监事会</w:t>
      </w:r>
      <w:r>
        <w:rPr>
          <w:rFonts w:ascii="宋体" w:hAnsi="宋体" w:cs="宋体" w:eastAsia="宋体" w:hint="default"/>
          <w:b/>
          <w:bCs/>
          <w:w w:val="99"/>
        </w:rPr>
        <w:t> </w:t>
      </w:r>
      <w:r>
        <w:rPr>
          <w:spacing w:val="-4"/>
        </w:rPr>
        <w:t>报告期内，公司监事会成员</w:t>
      </w:r>
      <w:r>
        <w:rPr>
          <w:rFonts w:ascii="Times New Roman" w:hAnsi="Times New Roman" w:cs="Times New Roman" w:eastAsia="Times New Roman" w:hint="default"/>
          <w:spacing w:val="-4"/>
        </w:rPr>
        <w:t>3</w:t>
      </w:r>
      <w:r>
        <w:rPr>
          <w:spacing w:val="-4"/>
        </w:rPr>
        <w:t>人，其中</w:t>
      </w:r>
      <w:r>
        <w:rPr>
          <w:rFonts w:ascii="Times New Roman" w:hAnsi="Times New Roman" w:cs="Times New Roman" w:eastAsia="Times New Roman" w:hint="default"/>
          <w:spacing w:val="-4"/>
        </w:rPr>
        <w:t>1</w:t>
      </w:r>
      <w:r>
        <w:rPr>
          <w:spacing w:val="-4"/>
        </w:rPr>
        <w:t>人为职工代表，监事会的人数及构成符合法律、法规的要求。公司监事会依据《公</w:t>
      </w:r>
    </w:p>
    <w:p>
      <w:pPr>
        <w:pStyle w:val="BodyText"/>
        <w:spacing w:line="316" w:lineRule="auto" w:before="15"/>
        <w:ind w:right="102"/>
        <w:jc w:val="both"/>
      </w:pPr>
      <w:r>
        <w:rPr>
          <w:spacing w:val="-4"/>
        </w:rPr>
        <w:t>司章程》、《监事会议事规则》等法律法规认真履行自己的职责，按规定的程序召开了监事会，对公司重大事项、财务状况、</w:t>
      </w:r>
      <w:r>
        <w:rPr>
          <w:spacing w:val="-41"/>
        </w:rPr>
        <w:t> </w:t>
      </w:r>
      <w:r>
        <w:rPr>
          <w:spacing w:val="-41"/>
        </w:rPr>
      </w:r>
      <w:r>
        <w:rPr/>
        <w:t>董事和高级管理人员履行职责的合法合规性进行监督，维护公司及股东的合法权益。</w:t>
      </w:r>
    </w:p>
    <w:p>
      <w:pPr>
        <w:spacing w:line="432" w:lineRule="exact" w:before="3"/>
        <w:ind w:left="452" w:right="104" w:hanging="30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1"/>
          <w:sz w:val="18"/>
          <w:szCs w:val="18"/>
        </w:rPr>
        <w:t>公司董事、监事和高级管理人员的聘任公开、透明，符合相关法律法规的规定，并已初步建立董事、监事和高级管理人</w:t>
      </w:r>
    </w:p>
    <w:p>
      <w:pPr>
        <w:pStyle w:val="BodyText"/>
        <w:spacing w:line="240" w:lineRule="auto" w:before="15"/>
        <w:ind w:right="104"/>
        <w:jc w:val="left"/>
      </w:pPr>
      <w:r>
        <w:rPr/>
        <w:t>员的绩效评价标准和激励约束机制。</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Heading4"/>
        <w:spacing w:line="240" w:lineRule="auto" w:before="44"/>
        <w:ind w:right="104"/>
        <w:jc w:val="left"/>
        <w:rPr>
          <w:b w:val="0"/>
          <w:bCs w:val="0"/>
        </w:rPr>
      </w:pPr>
      <w:r>
        <w:rPr>
          <w:rFonts w:ascii="Times New Roman" w:hAnsi="Times New Roman" w:cs="Times New Roman" w:eastAsia="Times New Roman" w:hint="default"/>
        </w:rPr>
        <w:t>6</w:t>
      </w:r>
      <w:r>
        <w:rPr/>
        <w:t>、关于相关利益者</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04" w:firstLine="480"/>
        <w:jc w:val="left"/>
      </w:pPr>
      <w:r>
        <w:rPr/>
        <w:t>公司充分尊重和维护相关利益者的合法权益，加强与各方的沟通与交流，实现社会、股东、公司、员工等各方面利益 </w:t>
      </w:r>
      <w:r>
        <w:rPr>
          <w:spacing w:val="-4"/>
        </w:rPr>
        <w:t>的协调平衡，诚信对待客户和供应商，认真培养每一位员工，坚持与相关利益者互利共赢的原则，共同推动公司持续、健康、</w:t>
      </w:r>
      <w:r>
        <w:rPr>
          <w:spacing w:val="-45"/>
        </w:rPr>
        <w:t> </w:t>
      </w:r>
      <w:r>
        <w:rPr>
          <w:spacing w:val="-45"/>
        </w:rPr>
      </w:r>
      <w:r>
        <w:rPr/>
        <w:t>快速发展。</w:t>
      </w:r>
    </w:p>
    <w:p>
      <w:pPr>
        <w:pStyle w:val="BodyText"/>
        <w:spacing w:line="432" w:lineRule="exact" w:before="3"/>
        <w:ind w:left="452" w:right="104" w:hanging="301"/>
        <w:jc w:val="left"/>
      </w:pPr>
      <w:r>
        <w:rPr>
          <w:rFonts w:ascii="Times New Roman" w:hAnsi="Times New Roman" w:cs="Times New Roman" w:eastAsia="Times New Roman" w:hint="default"/>
          <w:b/>
          <w:bCs/>
        </w:rPr>
        <w:t>7</w:t>
      </w:r>
      <w:r>
        <w:rPr>
          <w:rFonts w:ascii="宋体" w:hAnsi="宋体" w:cs="宋体" w:eastAsia="宋体" w:hint="default"/>
          <w:b/>
          <w:bCs/>
        </w:rPr>
        <w:t>、关于信息披露与透明度</w:t>
      </w:r>
      <w:r>
        <w:rPr>
          <w:rFonts w:ascii="宋体" w:hAnsi="宋体" w:cs="宋体" w:eastAsia="宋体" w:hint="default"/>
          <w:b/>
          <w:bCs/>
          <w:w w:val="99"/>
        </w:rPr>
        <w:t> </w:t>
      </w:r>
      <w:r>
        <w:rPr>
          <w:spacing w:val="-1"/>
        </w:rPr>
        <w:t>公司严格按照有关法律法规及公司《信息披露管理办法》、《投资者关系管理制度》、《内幕信息知情人报备和登记管</w:t>
      </w:r>
    </w:p>
    <w:p>
      <w:pPr>
        <w:pStyle w:val="BodyText"/>
        <w:spacing w:line="240" w:lineRule="auto" w:before="15"/>
        <w:ind w:right="104"/>
        <w:jc w:val="left"/>
      </w:pPr>
      <w:r>
        <w:rPr/>
        <w:t>理制度》等系列制度的要求，真实、准确、完整、及时、公平地披露信息，确保所有股东有平等的机会获得信息。</w:t>
      </w:r>
    </w:p>
    <w:p>
      <w:pPr>
        <w:spacing w:line="240" w:lineRule="auto" w:before="0"/>
        <w:rPr>
          <w:rFonts w:ascii="宋体" w:hAnsi="宋体" w:cs="宋体" w:eastAsia="宋体" w:hint="default"/>
          <w:sz w:val="15"/>
          <w:szCs w:val="15"/>
        </w:rPr>
      </w:pPr>
    </w:p>
    <w:p>
      <w:pPr>
        <w:pStyle w:val="BodyText"/>
        <w:spacing w:line="316" w:lineRule="auto"/>
        <w:ind w:right="104" w:firstLine="300"/>
        <w:jc w:val="left"/>
      </w:pPr>
      <w:r>
        <w:rPr/>
        <w:t>公司指定董事会秘书负责公司的信息披露事务与投资者关系的管理，证券部为信息披露事务和投资者关系管理执行部 </w:t>
      </w:r>
      <w:r>
        <w:rPr>
          <w:spacing w:val="-2"/>
        </w:rPr>
        <w:t>门。公司注重与投资者沟通交流，通过电话、电子邮件、投资者关系互动平台等各种方式，加强与投资者的沟通。公司指定</w:t>
      </w:r>
    </w:p>
    <w:p>
      <w:pPr>
        <w:pStyle w:val="BodyText"/>
        <w:spacing w:line="316" w:lineRule="auto" w:before="18"/>
        <w:ind w:right="104"/>
        <w:jc w:val="left"/>
      </w:pPr>
      <w:r>
        <w:rPr>
          <w:spacing w:val="-2"/>
        </w:rPr>
        <w:t>《证券时报》和巨潮资讯网为公司信息披露媒体，接受各方监督，不断加强信息披露管理，确保信息披露的透明度、完整性</w:t>
      </w:r>
      <w:r>
        <w:rPr>
          <w:spacing w:val="-67"/>
        </w:rPr>
        <w:t> </w:t>
      </w:r>
      <w:r>
        <w:rPr>
          <w:spacing w:val="-67"/>
        </w:rPr>
      </w:r>
      <w:r>
        <w:rPr/>
        <w:t>和公平性。</w:t>
      </w:r>
    </w:p>
    <w:p>
      <w:pPr>
        <w:pStyle w:val="BodyText"/>
        <w:spacing w:line="240" w:lineRule="auto" w:before="139"/>
        <w:ind w:right="104"/>
        <w:jc w:val="left"/>
      </w:pPr>
      <w:r>
        <w:rPr/>
        <w:t>公司治理的实际状况与中国证监会发布的有关上市公司治理的规范性文件是否存在重大差异</w:t>
      </w:r>
    </w:p>
    <w:p>
      <w:pPr>
        <w:pStyle w:val="BodyText"/>
        <w:spacing w:line="338" w:lineRule="auto" w:before="117"/>
        <w:ind w:right="261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04"/>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4"/>
        <w:jc w:val="left"/>
      </w:pPr>
      <w:r>
        <w:rPr/>
        <w:t>公司与控股股东在业务、人员、资产、机构、财务等方面完全分开，具有完整的业务及自主经营能力。相关情况说明如下： </w:t>
      </w:r>
      <w:r>
        <w:rPr>
          <w:rFonts w:ascii="Times New Roman" w:hAnsi="Times New Roman" w:cs="Times New Roman" w:eastAsia="Times New Roman" w:hint="default"/>
        </w:rPr>
        <w:t>1</w:t>
      </w:r>
      <w:r>
        <w:rPr/>
        <w:t>、资产独立 </w:t>
      </w:r>
      <w:r>
        <w:rPr>
          <w:spacing w:val="-2"/>
        </w:rPr>
        <w:t>本公司资产独立，不存在资产、资金被控股股东占用的情形，不存在以资产、权益为控股股东担保的情形，本公司现有的资</w:t>
      </w:r>
      <w:r>
        <w:rPr>
          <w:spacing w:val="-67"/>
        </w:rPr>
        <w:t> </w:t>
      </w:r>
      <w:r>
        <w:rPr>
          <w:spacing w:val="-67"/>
        </w:rPr>
      </w:r>
      <w:r>
        <w:rPr/>
        <w:t>产独立、完整，没有以其资产为股东或个人债务以及其他法人或自然人提供任何形式的担保。</w:t>
      </w:r>
    </w:p>
    <w:p>
      <w:pPr>
        <w:pStyle w:val="BodyText"/>
        <w:spacing w:line="312" w:lineRule="auto" w:before="22"/>
        <w:ind w:right="104"/>
        <w:jc w:val="left"/>
      </w:pPr>
      <w:r>
        <w:rPr>
          <w:rFonts w:ascii="Times New Roman" w:hAnsi="Times New Roman" w:cs="Times New Roman" w:eastAsia="Times New Roman" w:hint="default"/>
        </w:rPr>
        <w:t>2</w:t>
      </w:r>
      <w:r>
        <w:rPr/>
        <w:t>、人员独立 </w:t>
      </w:r>
      <w:r>
        <w:rPr>
          <w:spacing w:val="-2"/>
        </w:rPr>
        <w:t>本公司总经理、副总经理、财务总监、董事会秘书等高级管理人员专职在公司工作、领取薪酬，不存在在控股股东及其控制</w:t>
      </w:r>
      <w:r>
        <w:rPr>
          <w:spacing w:val="-67"/>
        </w:rPr>
        <w:t> </w:t>
      </w:r>
      <w:r>
        <w:rPr>
          <w:spacing w:val="-67"/>
        </w:rPr>
      </w:r>
      <w:r>
        <w:rPr>
          <w:spacing w:val="-2"/>
        </w:rPr>
        <w:t>的其他企业中兼任除董事、监事之外职务及领取薪酬的情形。本公司财务人员不存在在控股股东及其控制的其他企业中兼职</w:t>
      </w:r>
      <w:r>
        <w:rPr>
          <w:spacing w:val="-64"/>
        </w:rPr>
        <w:t> </w:t>
      </w:r>
      <w:r>
        <w:rPr>
          <w:spacing w:val="-64"/>
        </w:rPr>
      </w:r>
      <w:r>
        <w:rPr/>
        <w:t>的情形。</w:t>
      </w:r>
    </w:p>
    <w:p>
      <w:pPr>
        <w:pStyle w:val="BodyText"/>
        <w:spacing w:line="309" w:lineRule="auto" w:before="22"/>
        <w:ind w:right="104"/>
        <w:jc w:val="left"/>
      </w:pPr>
      <w:r>
        <w:rPr>
          <w:rFonts w:ascii="Times New Roman" w:hAnsi="Times New Roman" w:cs="Times New Roman" w:eastAsia="Times New Roman" w:hint="default"/>
        </w:rPr>
        <w:t>3</w:t>
      </w:r>
      <w:r>
        <w:rPr/>
        <w:t>、财务独立 </w:t>
      </w:r>
      <w:r>
        <w:rPr>
          <w:spacing w:val="-2"/>
        </w:rPr>
        <w:t>本公司设有独立的财务会计部门，配备了专门的财务人员，建立了独立的会计核算体系和财务管理制度。本公司独立在银行</w:t>
      </w:r>
      <w:r>
        <w:rPr>
          <w:spacing w:val="-65"/>
        </w:rPr>
        <w:t> </w:t>
      </w:r>
      <w:r>
        <w:rPr>
          <w:spacing w:val="-65"/>
        </w:rPr>
      </w:r>
      <w:r>
        <w:rPr/>
        <w:t>开户，依法独立纳税，独立做出财务决策，不存在资金被控股股东及其控制的其他企业占用的情形。</w:t>
      </w:r>
    </w:p>
    <w:p>
      <w:pPr>
        <w:pStyle w:val="BodyText"/>
        <w:spacing w:line="309" w:lineRule="auto" w:before="24"/>
        <w:ind w:right="104"/>
        <w:jc w:val="left"/>
      </w:pPr>
      <w:r>
        <w:rPr>
          <w:rFonts w:ascii="Times New Roman" w:hAnsi="Times New Roman" w:cs="Times New Roman" w:eastAsia="Times New Roman" w:hint="default"/>
        </w:rPr>
        <w:t>4</w:t>
      </w:r>
      <w:r>
        <w:rPr/>
        <w:t>、机构独立 </w:t>
      </w:r>
      <w:r>
        <w:rPr>
          <w:spacing w:val="-4"/>
        </w:rPr>
        <w:t>本公司依法设立股东大会、董事会、监事会等机构，各项规章制度完善，法人治理结构规范有效。本公司建立了独立于股东、</w:t>
      </w:r>
      <w:r>
        <w:rPr>
          <w:spacing w:val="-43"/>
        </w:rPr>
        <w:t> </w:t>
      </w:r>
      <w:r>
        <w:rPr>
          <w:spacing w:val="-43"/>
        </w:rPr>
      </w:r>
      <w:r>
        <w:rPr/>
        <w:t>适应自身发展需要的组织机构，各部门职能明确，形成了独立且完善的管理机构。</w:t>
      </w:r>
    </w:p>
    <w:p>
      <w:pPr>
        <w:pStyle w:val="BodyText"/>
        <w:spacing w:line="309" w:lineRule="auto" w:before="24"/>
        <w:ind w:right="104"/>
        <w:jc w:val="left"/>
      </w:pPr>
      <w:r>
        <w:rPr>
          <w:rFonts w:ascii="Times New Roman" w:hAnsi="Times New Roman" w:cs="Times New Roman" w:eastAsia="Times New Roman" w:hint="default"/>
        </w:rPr>
        <w:t>5</w:t>
      </w:r>
      <w:r>
        <w:rPr/>
        <w:t>、业务独立 </w:t>
      </w:r>
      <w:r>
        <w:rPr>
          <w:spacing w:val="-2"/>
        </w:rPr>
        <w:t>本公司具有独立完整的业务体系和直接面向市场经营的能力，拥有独立的生产经营场所，独立对外签订合同，开展业务，不</w:t>
      </w:r>
      <w:r>
        <w:rPr>
          <w:spacing w:val="-66"/>
        </w:rPr>
        <w:t> </w:t>
      </w:r>
      <w:r>
        <w:rPr>
          <w:spacing w:val="-66"/>
        </w:rPr>
      </w:r>
      <w:r>
        <w:rPr/>
        <w:t>存在对公司控股股东及其控制的其他企业或者第三方重大依赖的情形，与控股股东及其控制的其他企业不存在同业竞争。</w:t>
      </w:r>
    </w:p>
    <w:p>
      <w:pPr>
        <w:spacing w:line="240" w:lineRule="auto" w:before="4"/>
        <w:rPr>
          <w:rFonts w:ascii="宋体" w:hAnsi="宋体" w:cs="宋体" w:eastAsia="宋体" w:hint="default"/>
          <w:sz w:val="21"/>
          <w:szCs w:val="21"/>
        </w:rPr>
      </w:pPr>
    </w:p>
    <w:p>
      <w:pPr>
        <w:pStyle w:val="Heading2"/>
        <w:spacing w:line="240" w:lineRule="auto"/>
        <w:ind w:right="104"/>
        <w:jc w:val="left"/>
        <w:rPr>
          <w:b w:val="0"/>
          <w:bCs w:val="0"/>
        </w:rPr>
      </w:pPr>
      <w:bookmarkStart w:name="三、同业竞争情况" w:id="132"/>
      <w:bookmarkEnd w:id="132"/>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w:t>
            </w:r>
            <w:r>
              <w:rPr>
                <w:rFonts w:ascii="宋体" w:hAnsi="宋体" w:cs="宋体" w:eastAsia="宋体" w:hint="default"/>
                <w:spacing w:val="-10"/>
                <w:sz w:val="18"/>
                <w:szCs w:val="18"/>
              </w:rPr>
              <w:t>东大会决议公告》于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日刊 载于证券时报及巨 潮资讯网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r>
              <w:rPr>
                <w:rFonts w:ascii="宋体" w:hAnsi="宋体" w:cs="宋体" w:eastAsia="宋体" w:hint="default"/>
                <w:spacing w:val="-41"/>
                <w:sz w:val="18"/>
                <w:szCs w:val="18"/>
              </w:rPr>
              <w:t> </w:t>
            </w:r>
            <w:r>
              <w:rPr>
                <w:rFonts w:ascii="Times New Roman" w:hAnsi="Times New Roman" w:cs="Times New Roman" w:eastAsia="Times New Roman" w:hint="default"/>
                <w:spacing w:val="-19"/>
                <w:sz w:val="18"/>
                <w:szCs w:val="18"/>
              </w:rPr>
              <w:t>2015-033</w:t>
            </w:r>
            <w:r>
              <w:rPr>
                <w:rFonts w:ascii="宋体" w:hAnsi="宋体" w:cs="宋体" w:eastAsia="宋体" w:hint="default"/>
                <w:spacing w:val="-19"/>
                <w:sz w:val="18"/>
                <w:szCs w:val="18"/>
              </w:rPr>
              <w:t>）。</w:t>
            </w:r>
            <w:r>
              <w:rPr>
                <w:rFonts w:ascii="宋体" w:hAnsi="宋体" w:cs="宋体" w:eastAsia="宋体" w:hint="default"/>
                <w:sz w:val="18"/>
                <w:szCs w:val="18"/>
              </w:rPr>
            </w:r>
          </w:p>
        </w:tc>
      </w:tr>
      <w:tr>
        <w:trPr>
          <w:trHeight w:val="28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61.86%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一次临时股东大会 决议公告》于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309" w:lineRule="auto" w:before="5"/>
              <w:ind w:left="23" w:right="2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 证券时报及巨潮资 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r>
              <w:rPr>
                <w:rFonts w:ascii="宋体" w:hAnsi="宋体" w:cs="宋体" w:eastAsia="宋体" w:hint="default"/>
                <w:spacing w:val="-41"/>
                <w:sz w:val="18"/>
                <w:szCs w:val="18"/>
              </w:rPr>
              <w:t> </w:t>
            </w:r>
            <w:r>
              <w:rPr>
                <w:rFonts w:ascii="Times New Roman" w:hAnsi="Times New Roman" w:cs="Times New Roman" w:eastAsia="Times New Roman" w:hint="default"/>
                <w:spacing w:val="-19"/>
                <w:sz w:val="18"/>
                <w:szCs w:val="18"/>
              </w:rPr>
              <w:t>2015-054</w:t>
            </w:r>
            <w:r>
              <w:rPr>
                <w:rFonts w:ascii="宋体" w:hAnsi="宋体" w:cs="宋体" w:eastAsia="宋体" w:hint="default"/>
                <w:spacing w:val="-19"/>
                <w:sz w:val="18"/>
                <w:szCs w:val="18"/>
              </w:rPr>
              <w:t>）。</w:t>
            </w:r>
            <w:r>
              <w:rPr>
                <w:rFonts w:ascii="宋体" w:hAnsi="宋体" w:cs="宋体" w:eastAsia="宋体" w:hint="default"/>
                <w:sz w:val="18"/>
                <w:szCs w:val="18"/>
              </w:rPr>
            </w:r>
          </w:p>
        </w:tc>
      </w:tr>
      <w:tr>
        <w:trPr>
          <w:trHeight w:val="28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58.00%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二次临时股东大会 决议公告》于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309" w:lineRule="auto" w:before="7"/>
              <w:ind w:left="23" w:right="2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日刊载于 证券时报及巨潮资 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r>
              <w:rPr>
                <w:rFonts w:ascii="宋体" w:hAnsi="宋体" w:cs="宋体" w:eastAsia="宋体" w:hint="default"/>
                <w:spacing w:val="-41"/>
                <w:sz w:val="18"/>
                <w:szCs w:val="18"/>
              </w:rPr>
              <w:t> </w:t>
            </w:r>
            <w:r>
              <w:rPr>
                <w:rFonts w:ascii="Times New Roman" w:hAnsi="Times New Roman" w:cs="Times New Roman" w:eastAsia="Times New Roman" w:hint="default"/>
                <w:spacing w:val="-19"/>
                <w:sz w:val="18"/>
                <w:szCs w:val="18"/>
              </w:rPr>
              <w:t>2015-075</w:t>
            </w:r>
            <w:r>
              <w:rPr>
                <w:rFonts w:ascii="宋体" w:hAnsi="宋体" w:cs="宋体" w:eastAsia="宋体" w:hint="default"/>
                <w:spacing w:val="-19"/>
                <w:sz w:val="18"/>
                <w:szCs w:val="18"/>
              </w:rPr>
              <w:t>）。</w:t>
            </w:r>
            <w:r>
              <w:rPr>
                <w:rFonts w:ascii="宋体" w:hAnsi="宋体" w:cs="宋体" w:eastAsia="宋体" w:hint="default"/>
                <w:sz w:val="18"/>
                <w:szCs w:val="18"/>
              </w:rPr>
            </w:r>
          </w:p>
        </w:tc>
      </w:tr>
      <w:tr>
        <w:trPr>
          <w:trHeight w:val="28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61.93%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 三次临时股东大会 决议公告》于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309" w:lineRule="auto" w:before="5"/>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日刊载于 证券时报及巨潮资 讯网</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r>
              <w:rPr>
                <w:rFonts w:ascii="宋体" w:hAnsi="宋体" w:cs="宋体" w:eastAsia="宋体" w:hint="default"/>
                <w:spacing w:val="-41"/>
                <w:sz w:val="18"/>
                <w:szCs w:val="18"/>
              </w:rPr>
              <w:t> </w:t>
            </w:r>
            <w:r>
              <w:rPr>
                <w:rFonts w:ascii="Times New Roman" w:hAnsi="Times New Roman" w:cs="Times New Roman" w:eastAsia="Times New Roman" w:hint="default"/>
                <w:spacing w:val="-19"/>
                <w:sz w:val="18"/>
                <w:szCs w:val="18"/>
              </w:rPr>
              <w:t>2015-100</w:t>
            </w:r>
            <w:r>
              <w:rPr>
                <w:rFonts w:ascii="宋体" w:hAnsi="宋体" w:cs="宋体" w:eastAsia="宋体" w:hint="default"/>
                <w:spacing w:val="-19"/>
                <w:sz w:val="18"/>
                <w:szCs w:val="18"/>
              </w:rPr>
              <w:t>）。</w:t>
            </w:r>
            <w:r>
              <w:rPr>
                <w:rFonts w:ascii="宋体" w:hAnsi="宋体" w:cs="宋体" w:eastAsia="宋体" w:hint="default"/>
                <w:sz w:val="18"/>
                <w:szCs w:val="18"/>
              </w:rPr>
            </w:r>
          </w:p>
        </w:tc>
      </w:tr>
    </w:tbl>
    <w:p>
      <w:pPr>
        <w:spacing w:after="0" w:line="30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104"/>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bookmarkStart w:name="2、表决权恢复的优先股股东请求召开临时股东大会" w:id="135"/>
      <w:bookmarkEnd w:id="135"/>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4"/>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4"/>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06"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04"/>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04"/>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04"/>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独立董事对公司有关建议是否被采纳</w:t>
      </w:r>
    </w:p>
    <w:p>
      <w:pPr>
        <w:pStyle w:val="BodyText"/>
        <w:spacing w:line="348" w:lineRule="auto" w:before="117"/>
        <w:ind w:right="58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 独立董事对公司有关建议被采纳或未被采纳的说明</w:t>
      </w:r>
    </w:p>
    <w:p>
      <w:pPr>
        <w:pStyle w:val="BodyText"/>
        <w:spacing w:line="307" w:lineRule="auto" w:before="36"/>
        <w:ind w:right="104"/>
        <w:jc w:val="left"/>
      </w:pPr>
      <w:r>
        <w:rPr/>
        <w:t>报告期内，公司</w:t>
      </w:r>
      <w:r>
        <w:rPr>
          <w:rFonts w:ascii="Times New Roman" w:hAnsi="Times New Roman" w:cs="Times New Roman" w:eastAsia="Times New Roman" w:hint="default"/>
        </w:rPr>
        <w:t>3</w:t>
      </w:r>
      <w:r>
        <w:rPr/>
        <w:t>名独立董事忠实勤勉、依法严格履行了职责，亲自出席或委托其他独立董事代为出席了公司召开的历次董 </w:t>
      </w:r>
      <w:r>
        <w:rPr>
          <w:spacing w:val="-2"/>
        </w:rPr>
        <w:t>事会会议并独立、客观的发表独立董事意见；定期了解公司经营情况，关注外部环境变化对公司造成的影响，对公司的发展</w:t>
      </w:r>
      <w:r>
        <w:rPr>
          <w:spacing w:val="-65"/>
        </w:rPr>
        <w:t> </w:t>
      </w:r>
      <w:r>
        <w:rPr>
          <w:spacing w:val="-65"/>
        </w:rPr>
      </w:r>
      <w:r>
        <w:rPr/>
        <w:t>战略、内部控制、重大经营决策等提供了专业性意见，提高了决策的科学性。 报告期内，独立董事对公司续聘会计师事务所、</w:t>
      </w:r>
      <w:r>
        <w:rPr>
          <w:rFonts w:ascii="Times New Roman" w:hAnsi="Times New Roman" w:cs="Times New Roman" w:eastAsia="Times New Roman" w:hint="default"/>
        </w:rPr>
        <w:t>2014</w:t>
      </w:r>
      <w:r>
        <w:rPr/>
        <w:t>年度内部控制自我评价报告、</w:t>
      </w:r>
      <w:r>
        <w:rPr>
          <w:rFonts w:ascii="Times New Roman" w:hAnsi="Times New Roman" w:cs="Times New Roman" w:eastAsia="Times New Roman" w:hint="default"/>
        </w:rPr>
        <w:t>2014</w:t>
      </w:r>
      <w:r>
        <w:rPr/>
        <w:t>年度募集资金存放与使用情况的专 </w:t>
      </w:r>
      <w:r>
        <w:rPr>
          <w:spacing w:val="-2"/>
        </w:rPr>
        <w:t>项报告、</w:t>
      </w:r>
      <w:r>
        <w:rPr>
          <w:rFonts w:ascii="Times New Roman" w:hAnsi="Times New Roman" w:cs="Times New Roman" w:eastAsia="Times New Roman" w:hint="default"/>
          <w:spacing w:val="-2"/>
        </w:rPr>
        <w:t>2014</w:t>
      </w:r>
      <w:r>
        <w:rPr>
          <w:spacing w:val="-2"/>
        </w:rPr>
        <w:t>年度利润分配和资本公积转增股本预案、制定股东回报规划相关事项、</w:t>
      </w:r>
      <w:r>
        <w:rPr>
          <w:rFonts w:ascii="Times New Roman" w:hAnsi="Times New Roman" w:cs="Times New Roman" w:eastAsia="Times New Roman" w:hint="default"/>
          <w:spacing w:val="-2"/>
        </w:rPr>
        <w:t>2015</w:t>
      </w:r>
      <w:r>
        <w:rPr>
          <w:spacing w:val="-2"/>
        </w:rPr>
        <w:t>年度非公开发行股票事项、董事长</w:t>
      </w:r>
      <w:r>
        <w:rPr>
          <w:spacing w:val="-59"/>
        </w:rPr>
        <w:t> </w:t>
      </w:r>
      <w:r>
        <w:rPr>
          <w:spacing w:val="-59"/>
        </w:rPr>
      </w:r>
      <w:r>
        <w:rPr>
          <w:spacing w:val="-4"/>
        </w:rPr>
        <w:t>兼总经理辞职、补选第三届董事会董事、聘任公司总经理及确定其薪酬、</w:t>
      </w:r>
      <w:r>
        <w:rPr>
          <w:rFonts w:ascii="Times New Roman" w:hAnsi="Times New Roman" w:cs="Times New Roman" w:eastAsia="Times New Roman" w:hint="default"/>
          <w:spacing w:val="-4"/>
        </w:rPr>
        <w:t>2015</w:t>
      </w:r>
      <w:r>
        <w:rPr>
          <w:spacing w:val="-4"/>
        </w:rPr>
        <w:t>年半年度募集资金存放与使用情况的专项报告、</w:t>
      </w:r>
      <w:r>
        <w:rPr>
          <w:spacing w:val="-38"/>
        </w:rPr>
        <w:t> </w:t>
      </w:r>
      <w:r>
        <w:rPr>
          <w:spacing w:val="-38"/>
        </w:rPr>
      </w:r>
      <w:r>
        <w:rPr/>
        <w:t>使用剩余超募资金永久补充流动资金、会计政策变更等事项发表独立意见。</w:t>
      </w:r>
    </w:p>
    <w:p>
      <w:pPr>
        <w:spacing w:line="240" w:lineRule="auto" w:before="5"/>
        <w:rPr>
          <w:rFonts w:ascii="宋体" w:hAnsi="宋体" w:cs="宋体" w:eastAsia="宋体" w:hint="default"/>
          <w:sz w:val="21"/>
          <w:szCs w:val="21"/>
        </w:rPr>
      </w:pPr>
    </w:p>
    <w:p>
      <w:pPr>
        <w:pStyle w:val="Heading2"/>
        <w:spacing w:line="240" w:lineRule="auto"/>
        <w:ind w:right="104"/>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104"/>
        <w:jc w:val="left"/>
        <w:rPr>
          <w:b w:val="0"/>
          <w:bCs w:val="0"/>
        </w:rPr>
      </w:pPr>
      <w:r>
        <w:rPr>
          <w:rFonts w:ascii="Times New Roman" w:hAnsi="Times New Roman" w:cs="Times New Roman" w:eastAsia="Times New Roman" w:hint="default"/>
        </w:rPr>
        <w:t>1</w:t>
      </w:r>
      <w:r>
        <w:rPr/>
        <w:t>、审计委员会的履职情况</w:t>
      </w:r>
      <w:r>
        <w:rPr>
          <w:b w:val="0"/>
          <w:bCs w:val="0"/>
        </w:rPr>
      </w:r>
    </w:p>
    <w:p>
      <w:pPr>
        <w:pStyle w:val="BodyText"/>
        <w:spacing w:line="240" w:lineRule="auto" w:before="62"/>
        <w:ind w:right="104"/>
        <w:jc w:val="left"/>
      </w:pPr>
      <w:r>
        <w:rPr/>
        <w:t>（</w:t>
      </w:r>
      <w:r>
        <w:rPr>
          <w:rFonts w:ascii="Times New Roman" w:hAnsi="Times New Roman" w:cs="Times New Roman" w:eastAsia="Times New Roman" w:hint="default"/>
        </w:rPr>
        <w:t>1</w:t>
      </w:r>
      <w:r>
        <w:rPr/>
        <w:t>）报告期召开会议的情况</w:t>
      </w:r>
    </w:p>
    <w:p>
      <w:pPr>
        <w:pStyle w:val="BodyText"/>
        <w:spacing w:line="240" w:lineRule="auto" w:before="62"/>
        <w:ind w:right="104"/>
        <w:jc w:val="left"/>
      </w:pPr>
      <w:r>
        <w:rPr>
          <w:rFonts w:ascii="Times New Roman" w:hAnsi="Times New Roman" w:cs="Times New Roman" w:eastAsia="Times New Roman" w:hint="default"/>
        </w:rPr>
        <w:t>2015</w:t>
      </w:r>
      <w:r>
        <w:rPr/>
        <w:t>年，董事会审计委员会共召开</w:t>
      </w:r>
      <w:r>
        <w:rPr>
          <w:rFonts w:ascii="Times New Roman" w:hAnsi="Times New Roman" w:cs="Times New Roman" w:eastAsia="Times New Roman" w:hint="default"/>
        </w:rPr>
        <w:t>7</w:t>
      </w:r>
      <w:r>
        <w:rPr/>
        <w:t>次会议，分别如下：</w:t>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09</w:t>
      </w:r>
      <w:r>
        <w:rPr/>
        <w:t>日召开第三届董事会审计委员会第十次会议，审议通过审计部《</w:t>
      </w:r>
      <w:r>
        <w:rPr>
          <w:rFonts w:ascii="Times New Roman" w:hAnsi="Times New Roman" w:cs="Times New Roman" w:eastAsia="Times New Roman" w:hint="default"/>
        </w:rPr>
        <w:t>2014</w:t>
      </w:r>
      <w:r>
        <w:rPr/>
        <w:t>年度工作总结和</w:t>
      </w:r>
      <w:r>
        <w:rPr>
          <w:rFonts w:ascii="Times New Roman" w:hAnsi="Times New Roman" w:cs="Times New Roman" w:eastAsia="Times New Roman" w:hint="default"/>
        </w:rPr>
        <w:t>2015</w:t>
      </w:r>
      <w:r>
        <w:rPr/>
        <w:t>年度工作计划》的议 案</w:t>
      </w:r>
    </w:p>
    <w:p>
      <w:pPr>
        <w:pStyle w:val="BodyText"/>
        <w:spacing w:line="300" w:lineRule="auto" w:before="31"/>
        <w:ind w:right="342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日召开第三届董事会审计委员会第十一次会议，审议通过以下议案：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2014</w:t>
      </w:r>
      <w:r>
        <w:rPr/>
        <w:t>年年度财务报告》</w:t>
      </w:r>
    </w:p>
    <w:p>
      <w:pPr>
        <w:pStyle w:val="BodyText"/>
        <w:spacing w:line="300" w:lineRule="auto" w:before="13"/>
        <w:ind w:right="342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2014</w:t>
      </w:r>
      <w:r>
        <w:rPr/>
        <w:t>年第四季度有关事项的检查报告》 </w:t>
      </w:r>
      <w:r>
        <w:rPr>
          <w:rFonts w:ascii="Times New Roman" w:hAnsi="Times New Roman" w:cs="Times New Roman" w:eastAsia="Times New Roman" w:hint="default"/>
        </w:rPr>
        <w:t>C</w:t>
      </w:r>
      <w:r>
        <w:rPr/>
        <w:t>、《关于大信会计师事务所（特殊普通合伙）</w:t>
      </w:r>
      <w:r>
        <w:rPr>
          <w:rFonts w:ascii="Times New Roman" w:hAnsi="Times New Roman" w:cs="Times New Roman" w:eastAsia="Times New Roman" w:hint="default"/>
        </w:rPr>
        <w:t>2014</w:t>
      </w:r>
      <w:r>
        <w:rPr/>
        <w:t>年度审计工作总结》 </w:t>
      </w:r>
      <w:r>
        <w:rPr>
          <w:rFonts w:ascii="Times New Roman" w:hAnsi="Times New Roman" w:cs="Times New Roman" w:eastAsia="Times New Roman" w:hint="default"/>
        </w:rPr>
        <w:t>D</w:t>
      </w:r>
      <w:r>
        <w:rPr/>
        <w:t>、《</w:t>
      </w:r>
      <w:r>
        <w:rPr>
          <w:rFonts w:ascii="Times New Roman" w:hAnsi="Times New Roman" w:cs="Times New Roman" w:eastAsia="Times New Roman" w:hint="default"/>
        </w:rPr>
        <w:t>2014</w:t>
      </w:r>
      <w:r>
        <w:rPr/>
        <w:t>年度内部控制自我评价报告》 </w:t>
      </w:r>
      <w:r>
        <w:rPr>
          <w:rFonts w:ascii="Times New Roman" w:hAnsi="Times New Roman" w:cs="Times New Roman" w:eastAsia="Times New Roman" w:hint="default"/>
        </w:rPr>
        <w:t>E</w:t>
      </w:r>
      <w:r>
        <w:rPr/>
        <w:t>、《审计部</w:t>
      </w:r>
      <w:r>
        <w:rPr>
          <w:rFonts w:ascii="Times New Roman" w:hAnsi="Times New Roman" w:cs="Times New Roman" w:eastAsia="Times New Roman" w:hint="default"/>
        </w:rPr>
        <w:t>2015</w:t>
      </w:r>
      <w:r>
        <w:rPr/>
        <w:t>年第一季度工作总结及第二季度工作计划》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日召开第三届董事会审计委员会第十二次会议，审议通过以下议案：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2015</w:t>
      </w:r>
      <w:r>
        <w:rPr/>
        <w:t>年第一季度财务报告》</w:t>
      </w:r>
    </w:p>
    <w:p>
      <w:pPr>
        <w:pStyle w:val="BodyText"/>
        <w:spacing w:line="300" w:lineRule="auto" w:before="13"/>
        <w:ind w:right="18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年第一季度有关事项的检查报告》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日召开第三届董事会审计委员会第十三次会议，审议通过《审计部</w:t>
      </w:r>
      <w:r>
        <w:rPr>
          <w:rFonts w:ascii="Times New Roman" w:hAnsi="Times New Roman" w:cs="Times New Roman" w:eastAsia="Times New Roman" w:hint="default"/>
        </w:rPr>
        <w:t>2015</w:t>
      </w:r>
      <w:r>
        <w:rPr/>
        <w:t>年第二季度工作总结和第三季度工作计 划》的议案</w:t>
      </w:r>
    </w:p>
    <w:p>
      <w:pPr>
        <w:pStyle w:val="BodyText"/>
        <w:spacing w:line="300" w:lineRule="auto" w:before="31"/>
        <w:ind w:right="342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日召开第三届董事会审计委员会第十四次会议，审议通过以下议案：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2015</w:t>
      </w:r>
      <w:r>
        <w:rPr/>
        <w:t>年半年度财务报告》</w:t>
      </w:r>
    </w:p>
    <w:p>
      <w:pPr>
        <w:pStyle w:val="BodyText"/>
        <w:spacing w:line="300" w:lineRule="auto" w:before="13"/>
        <w:ind w:right="10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年第二季度有关事项的检查报告》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日召开第三届董事会审计委员会第十五次会议，审议通过《审计部</w:t>
      </w:r>
      <w:r>
        <w:rPr>
          <w:rFonts w:ascii="Times New Roman" w:hAnsi="Times New Roman" w:cs="Times New Roman" w:eastAsia="Times New Roman" w:hint="default"/>
          <w:spacing w:val="-2"/>
        </w:rPr>
        <w:t>2015</w:t>
      </w:r>
      <w:r>
        <w:rPr>
          <w:spacing w:val="-2"/>
        </w:rPr>
        <w:t>年第三季度工作总结和第四季度工作计</w:t>
      </w:r>
      <w:r>
        <w:rPr>
          <w:spacing w:val="-58"/>
        </w:rPr>
        <w:t> </w:t>
      </w:r>
      <w:r>
        <w:rPr>
          <w:spacing w:val="-58"/>
        </w:rPr>
      </w:r>
      <w:r>
        <w:rPr/>
        <w:t>划》的议案</w:t>
      </w:r>
    </w:p>
    <w:p>
      <w:pPr>
        <w:pStyle w:val="BodyText"/>
        <w:spacing w:line="300" w:lineRule="auto" w:before="31"/>
        <w:ind w:right="333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日召开第三届董事会审计委员会第十六次会议，审议通过以下议案：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2015</w:t>
      </w:r>
      <w:r>
        <w:rPr/>
        <w:t>年第三季度财务报告》</w:t>
      </w:r>
    </w:p>
    <w:p>
      <w:pPr>
        <w:pStyle w:val="BodyText"/>
        <w:spacing w:line="240" w:lineRule="auto" w:before="13"/>
        <w:ind w:right="10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年第三季度有关事项的检查报告》</w:t>
      </w:r>
    </w:p>
    <w:p>
      <w:pPr>
        <w:pStyle w:val="BodyText"/>
        <w:spacing w:line="307" w:lineRule="auto" w:before="62"/>
        <w:ind w:right="104"/>
        <w:jc w:val="left"/>
      </w:pPr>
      <w:r>
        <w:rPr/>
        <w:t>（</w:t>
      </w:r>
      <w:r>
        <w:rPr>
          <w:rFonts w:ascii="Times New Roman" w:hAnsi="Times New Roman" w:cs="Times New Roman" w:eastAsia="Times New Roman" w:hint="default"/>
        </w:rPr>
        <w:t>2</w:t>
      </w:r>
      <w:r>
        <w:rPr/>
        <w:t>）开展年报工作的情况 </w:t>
      </w:r>
      <w:r>
        <w:rPr>
          <w:spacing w:val="-4"/>
        </w:rPr>
        <w:t>公司</w:t>
      </w:r>
      <w:r>
        <w:rPr>
          <w:rFonts w:ascii="Times New Roman" w:hAnsi="Times New Roman" w:cs="Times New Roman" w:eastAsia="Times New Roman" w:hint="default"/>
          <w:spacing w:val="-4"/>
        </w:rPr>
        <w:t>2015</w:t>
      </w:r>
      <w:r>
        <w:rPr>
          <w:spacing w:val="-4"/>
        </w:rPr>
        <w:t>年度报告审计工作期间，公司审计委员会与年报审计会计师事务所、公司高管、财务人员就年报审计事项保持沟通，</w:t>
      </w:r>
      <w:r>
        <w:rPr>
          <w:spacing w:val="-38"/>
        </w:rPr>
        <w:t> </w:t>
      </w:r>
      <w:r>
        <w:rPr>
          <w:spacing w:val="-38"/>
        </w:rPr>
      </w:r>
      <w:r>
        <w:rPr>
          <w:spacing w:val="-2"/>
        </w:rPr>
        <w:t>并就相关问题深入交换意见。审计委员会分别在年审注册会计师进场前、年审注册会计师出具初步意见后、年审注册会计师</w:t>
      </w:r>
      <w:r>
        <w:rPr>
          <w:spacing w:val="-63"/>
        </w:rPr>
        <w:t> </w:t>
      </w:r>
      <w:r>
        <w:rPr>
          <w:spacing w:val="-63"/>
        </w:rPr>
      </w:r>
      <w:r>
        <w:rPr/>
        <w:t>出具审计报告后召开会议，对报表发表书面意见。</w:t>
      </w:r>
    </w:p>
    <w:p>
      <w:pPr>
        <w:pStyle w:val="BodyText"/>
        <w:spacing w:line="312" w:lineRule="auto" w:before="26"/>
        <w:ind w:right="94"/>
        <w:jc w:val="left"/>
      </w:pPr>
      <w:r>
        <w:rPr/>
        <w:t>（</w:t>
      </w:r>
      <w:r>
        <w:rPr>
          <w:rFonts w:ascii="Times New Roman" w:hAnsi="Times New Roman" w:cs="Times New Roman" w:eastAsia="Times New Roman" w:hint="default"/>
        </w:rPr>
        <w:t>3</w:t>
      </w:r>
      <w:r>
        <w:rPr/>
        <w:t>）关于会计师事务所从事上年度公司审计工作的总结和续聘建议 大信会计师事务所（特殊普通合伙）在为公司提供审计服务的过程中，审计人员能够严格遵守《中国注册会计师审计准则》 </w:t>
      </w:r>
      <w:r>
        <w:rPr>
          <w:spacing w:val="-2"/>
        </w:rPr>
        <w:t>相关要求，保持独立性和严谨性，在审计过程中，注册会计师积极保持与审计委员会委员、独立董事、公司高管等人员的沟</w:t>
      </w:r>
      <w:r>
        <w:rPr>
          <w:spacing w:val="-67"/>
        </w:rPr>
        <w:t> </w:t>
      </w:r>
      <w:r>
        <w:rPr>
          <w:spacing w:val="-67"/>
        </w:rPr>
      </w:r>
      <w:r>
        <w:rPr>
          <w:spacing w:val="-2"/>
        </w:rPr>
        <w:t>通，坚持以公允、客观的态度进行审计，完成了所有必要的审计程序，表现了良好的职业操守和专业素质。为保持审计工作</w:t>
      </w:r>
      <w:r>
        <w:rPr>
          <w:spacing w:val="-67"/>
        </w:rPr>
        <w:t> </w:t>
      </w:r>
      <w:r>
        <w:rPr>
          <w:spacing w:val="-67"/>
        </w:rPr>
      </w:r>
      <w:r>
        <w:rPr/>
        <w:t>开展的连续性，董事会审计委员会建议续聘大信会计师事务所（特殊普通合伙）为公司</w:t>
      </w:r>
      <w:r>
        <w:rPr>
          <w:rFonts w:ascii="Times New Roman" w:hAnsi="Times New Roman" w:cs="Times New Roman" w:eastAsia="Times New Roman" w:hint="default"/>
        </w:rPr>
        <w:t>2016</w:t>
      </w:r>
      <w:r>
        <w:rPr/>
        <w:t>年度财务审计机构。 </w:t>
      </w:r>
      <w:r>
        <w:rPr>
          <w:rFonts w:ascii="Times New Roman" w:hAnsi="Times New Roman" w:cs="Times New Roman" w:eastAsia="Times New Roman" w:hint="default"/>
          <w:b/>
          <w:bCs/>
        </w:rPr>
        <w:t>2</w:t>
      </w:r>
      <w:r>
        <w:rPr/>
        <w:t>、薪酬与考核委员会的履职情况</w:t>
      </w:r>
    </w:p>
    <w:p>
      <w:pPr>
        <w:pStyle w:val="BodyText"/>
        <w:spacing w:line="240" w:lineRule="auto" w:before="3"/>
        <w:ind w:right="10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日召开的薪酬与考核委员会</w:t>
      </w:r>
      <w:r>
        <w:rPr>
          <w:rFonts w:ascii="Times New Roman" w:hAnsi="Times New Roman" w:cs="Times New Roman" w:eastAsia="Times New Roman" w:hint="default"/>
        </w:rPr>
        <w:t>2015</w:t>
      </w:r>
      <w:r>
        <w:rPr/>
        <w:t>年第一次会议，审议通过以下议案：</w:t>
      </w:r>
    </w:p>
    <w:p>
      <w:pPr>
        <w:pStyle w:val="BodyText"/>
        <w:spacing w:line="312" w:lineRule="auto" w:before="62"/>
        <w:ind w:right="5494"/>
        <w:jc w:val="left"/>
      </w:pPr>
      <w:r>
        <w:rPr/>
        <w:t>《关于确定公司拟任总经理张珍义先生薪酬的议案》。 </w:t>
      </w:r>
      <w:r>
        <w:rPr>
          <w:rFonts w:ascii="Times New Roman" w:hAnsi="Times New Roman" w:cs="Times New Roman" w:eastAsia="Times New Roman" w:hint="default"/>
          <w:b/>
          <w:bCs/>
        </w:rPr>
        <w:t>3</w:t>
      </w:r>
      <w:r>
        <w:rPr/>
        <w:t>、战略委员会的履职情况 报告期内公司战略委员会未召开会议。 </w:t>
      </w:r>
      <w:r>
        <w:rPr>
          <w:rFonts w:ascii="Times New Roman" w:hAnsi="Times New Roman" w:cs="Times New Roman" w:eastAsia="Times New Roman" w:hint="default"/>
          <w:b/>
          <w:bCs/>
        </w:rPr>
        <w:t>4</w:t>
      </w:r>
      <w:r>
        <w:rPr/>
        <w:t>、提名委员会的履职情况</w:t>
      </w:r>
    </w:p>
    <w:p>
      <w:pPr>
        <w:pStyle w:val="BodyText"/>
        <w:spacing w:line="240" w:lineRule="auto" w:before="3"/>
        <w:ind w:right="10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日召开的提名委员会</w:t>
      </w:r>
      <w:r>
        <w:rPr>
          <w:rFonts w:ascii="Times New Roman" w:hAnsi="Times New Roman" w:cs="Times New Roman" w:eastAsia="Times New Roman" w:hint="default"/>
        </w:rPr>
        <w:t>2015</w:t>
      </w:r>
      <w:r>
        <w:rPr/>
        <w:t>年第一次会议，审议通过以下议案：</w:t>
      </w:r>
    </w:p>
    <w:p>
      <w:pPr>
        <w:pStyle w:val="BodyText"/>
        <w:spacing w:line="240" w:lineRule="auto" w:before="62"/>
        <w:ind w:right="104"/>
        <w:jc w:val="left"/>
      </w:pPr>
      <w:r>
        <w:rPr/>
        <w:t>《关于同意提名张珍义先生为公司第三届董事会非独立董事候选人的议案》。</w:t>
      </w:r>
    </w:p>
    <w:p>
      <w:pPr>
        <w:spacing w:line="240" w:lineRule="auto" w:before="5"/>
        <w:rPr>
          <w:rFonts w:ascii="宋体" w:hAnsi="宋体" w:cs="宋体" w:eastAsia="宋体" w:hint="default"/>
          <w:sz w:val="25"/>
          <w:szCs w:val="25"/>
        </w:rPr>
      </w:pPr>
    </w:p>
    <w:p>
      <w:pPr>
        <w:pStyle w:val="Heading2"/>
        <w:spacing w:line="240" w:lineRule="auto"/>
        <w:ind w:right="104"/>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监事会在报告期内的监督活动中发现公司是否存在风险</w:t>
      </w:r>
    </w:p>
    <w:p>
      <w:pPr>
        <w:pStyle w:val="BodyText"/>
        <w:spacing w:line="340" w:lineRule="auto" w:before="117"/>
        <w:ind w:right="67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after="0" w:line="340" w:lineRule="auto"/>
        <w:jc w:val="lef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公司建立了高级管理人员的选择、考评、激励与约束机制，公司高管人员全部由董事会聘任，对董事会负责，承担董事会下</w:t>
      </w:r>
      <w:r>
        <w:rPr>
          <w:spacing w:val="-65"/>
        </w:rPr>
        <w:t> </w:t>
      </w:r>
      <w:r>
        <w:rPr>
          <w:spacing w:val="-65"/>
        </w:rPr>
      </w:r>
      <w:r>
        <w:rPr/>
        <w:t>达的经营指标，董事会负责对高级管理人员进行考评、确定薪酬。</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BodyText"/>
        <w:spacing w:line="240" w:lineRule="auto" w:before="44"/>
        <w:ind w:left="0" w:right="160"/>
        <w:jc w:val="right"/>
      </w:pPr>
      <w:r>
        <w:rPr/>
        <w:pict>
          <v:shape style="position:absolute;margin-left:56.400002pt;margin-top:-20.889277pt;width:479.2pt;height:482.3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40"/>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161"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6374" w:type="dxa"/>
                        <w:gridSpan w:val="2"/>
                        <w:vMerge w:val="restart"/>
                        <w:tcBorders>
                          <w:top w:val="single" w:sz="4" w:space="0" w:color="000000"/>
                          <w:left w:val="single" w:sz="9" w:space="0" w:color="D4D4D4"/>
                          <w:right w:val="single" w:sz="4" w:space="0" w:color="000000"/>
                        </w:tcBorders>
                      </w:tcPr>
                      <w:p>
                        <w:pPr>
                          <w:pStyle w:val="TableParagraph"/>
                          <w:spacing w:line="297" w:lineRule="auto" w:before="49"/>
                          <w:ind w:left="17" w:right="111"/>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刊载于证券时报及巨潮资讯</w:t>
                        </w:r>
                        <w:r>
                          <w:rPr>
                            <w:rFonts w:ascii="宋体" w:hAnsi="宋体" w:cs="宋体" w:eastAsia="宋体" w:hint="default"/>
                            <w:spacing w:val="-84"/>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spacing w:val="-1"/>
                              <w:w w:val="99"/>
                              <w:sz w:val="18"/>
                              <w:szCs w:val="18"/>
                            </w:rPr>
                            <w:t>ww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的《内部控制评价报告</w:t>
                        </w:r>
                        <w:r>
                          <w:rPr>
                            <w:rFonts w:ascii="宋体" w:hAnsi="宋体" w:cs="宋体" w:eastAsia="宋体" w:hint="default"/>
                            <w:spacing w:val="-92"/>
                            <w:sz w:val="18"/>
                            <w:szCs w:val="18"/>
                          </w:rPr>
                          <w:t>》</w:t>
                        </w:r>
                        <w:r>
                          <w:rPr>
                            <w:rFonts w:ascii="宋体" w:hAnsi="宋体" w:cs="宋体" w:eastAsia="宋体" w:hint="default"/>
                            <w:sz w:val="18"/>
                            <w:szCs w:val="18"/>
                          </w:rPr>
                          <w:t>（公</w:t>
                        </w:r>
                        <w:r>
                          <w:rPr>
                            <w:rFonts w:ascii="宋体" w:hAnsi="宋体" w:cs="宋体" w:eastAsia="宋体" w:hint="default"/>
                            <w:spacing w:val="2"/>
                            <w:sz w:val="18"/>
                            <w:szCs w:val="18"/>
                          </w:rPr>
                          <w:t>告</w:t>
                        </w:r>
                        <w:r>
                          <w:rPr>
                            <w:rFonts w:ascii="宋体" w:hAnsi="宋体" w:cs="宋体" w:eastAsia="宋体" w:hint="default"/>
                            <w:sz w:val="18"/>
                            <w:szCs w:val="18"/>
                          </w:rPr>
                          <w:t>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27</w:t>
                        </w:r>
                        <w:r>
                          <w:rPr>
                            <w:rFonts w:ascii="宋体" w:hAnsi="宋体" w:cs="宋体" w:eastAsia="宋体" w:hint="default"/>
                            <w:sz w:val="18"/>
                            <w:szCs w:val="18"/>
                          </w:rPr>
                          <w:t>）</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4D4D4"/>
                          <w:right w:val="single" w:sz="4" w:space="0" w:color="000000"/>
                        </w:tcBorders>
                      </w:tcPr>
                      <w:p>
                        <w:pPr/>
                      </w:p>
                    </w:tc>
                  </w:tr>
                  <w:tr>
                    <w:trPr>
                      <w:trHeight w:val="161"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6374" w:type="dxa"/>
                        <w:gridSpan w:val="2"/>
                        <w:vMerge/>
                        <w:tcBorders>
                          <w:left w:val="single" w:sz="9" w:space="0" w:color="D4D4D4"/>
                          <w:bottom w:val="single" w:sz="4" w:space="0" w:color="000000"/>
                          <w:right w:val="single" w:sz="4" w:space="0" w:color="000000"/>
                        </w:tcBorders>
                      </w:tcPr>
                      <w:p>
                        <w:pP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85.73%</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68.62%</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3335" w:type="dxa"/>
                        <w:vMerge w:val="restart"/>
                        <w:tcBorders>
                          <w:top w:val="single" w:sz="4" w:space="0" w:color="000000"/>
                          <w:left w:val="single" w:sz="9" w:space="0" w:color="D4D4D4"/>
                          <w:right w:val="single" w:sz="1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2" w:lineRule="auto"/>
                          <w:ind w:left="17" w:right="19"/>
                          <w:jc w:val="left"/>
                          <w:rPr>
                            <w:rFonts w:ascii="宋体" w:hAnsi="宋体" w:cs="宋体" w:eastAsia="宋体" w:hint="default"/>
                            <w:sz w:val="18"/>
                            <w:szCs w:val="18"/>
                          </w:rPr>
                        </w:pPr>
                        <w:r>
                          <w:rPr>
                            <w:rFonts w:ascii="宋体" w:hAnsi="宋体" w:cs="宋体" w:eastAsia="宋体" w:hint="default"/>
                            <w:spacing w:val="-3"/>
                            <w:sz w:val="18"/>
                            <w:szCs w:val="18"/>
                          </w:rPr>
                          <w:t>公司若发生以下情况，则表明可能存在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重</w:t>
                        </w:r>
                        <w:r>
                          <w:rPr>
                            <w:rFonts w:ascii="宋体" w:hAnsi="宋体" w:cs="宋体" w:eastAsia="宋体" w:hint="default"/>
                            <w:spacing w:val="-87"/>
                            <w:sz w:val="18"/>
                            <w:szCs w:val="18"/>
                          </w:rPr>
                          <w:t> </w:t>
                        </w:r>
                        <w:r>
                          <w:rPr>
                            <w:rFonts w:ascii="宋体" w:hAnsi="宋体" w:cs="宋体" w:eastAsia="宋体" w:hint="default"/>
                            <w:sz w:val="18"/>
                            <w:szCs w:val="18"/>
                          </w:rPr>
                          <w:t>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迹象：</w:t>
                        </w:r>
                        <w:r>
                          <w:rPr>
                            <w:rFonts w:ascii="Times New Roman" w:hAnsi="Times New Roman" w:cs="Times New Roman" w:eastAsia="Times New Roman" w:hint="default"/>
                            <w:sz w:val="18"/>
                            <w:szCs w:val="18"/>
                          </w:rPr>
                          <w:t>A</w:t>
                        </w:r>
                        <w:r>
                          <w:rPr>
                            <w:rFonts w:ascii="宋体" w:hAnsi="宋体" w:cs="宋体" w:eastAsia="宋体" w:hint="default"/>
                            <w:sz w:val="18"/>
                            <w:szCs w:val="18"/>
                          </w:rPr>
                          <w:t>、由于财务工作出现重大 失误，导致对已公布的财务报告进行重大 更正；</w:t>
                        </w:r>
                        <w:r>
                          <w:rPr>
                            <w:rFonts w:ascii="Times New Roman" w:hAnsi="Times New Roman" w:cs="Times New Roman" w:eastAsia="Times New Roman" w:hint="default"/>
                            <w:sz w:val="18"/>
                            <w:szCs w:val="18"/>
                          </w:rPr>
                          <w:t>B</w:t>
                        </w:r>
                        <w:r>
                          <w:rPr>
                            <w:rFonts w:ascii="宋体" w:hAnsi="宋体" w:cs="宋体" w:eastAsia="宋体" w:hint="default"/>
                            <w:sz w:val="18"/>
                            <w:szCs w:val="18"/>
                          </w:rPr>
                          <w:t>、董事、监事和高级管理层的舞 弊行为，给公司造成重大影响；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、审计 委员会对财务报告内部控制监督无效；</w:t>
                        </w:r>
                        <w:r>
                          <w:rPr>
                            <w:rFonts w:ascii="Times New Roman" w:hAnsi="Times New Roman" w:cs="Times New Roman" w:eastAsia="Times New Roman" w:hint="default"/>
                            <w:sz w:val="18"/>
                            <w:szCs w:val="18"/>
                          </w:rPr>
                          <w:t>D</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内部审计职能无效；</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、重大缺陷没有得到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整改。</w:t>
                        </w:r>
                      </w:p>
                    </w:tc>
                    <w:tc>
                      <w:tcPr>
                        <w:tcW w:w="3040" w:type="dxa"/>
                        <w:vMerge w:val="restart"/>
                        <w:tcBorders>
                          <w:top w:val="single" w:sz="4" w:space="0" w:color="000000"/>
                          <w:left w:val="single" w:sz="14" w:space="0" w:color="FFFFFF"/>
                          <w:right w:val="single" w:sz="4" w:space="0" w:color="000000"/>
                        </w:tcBorders>
                      </w:tcPr>
                      <w:p>
                        <w:pPr>
                          <w:pStyle w:val="TableParagraph"/>
                          <w:spacing w:line="312" w:lineRule="exact" w:before="9"/>
                          <w:ind w:right="19"/>
                          <w:jc w:val="both"/>
                          <w:rPr>
                            <w:rFonts w:ascii="宋体" w:hAnsi="宋体" w:cs="宋体" w:eastAsia="宋体" w:hint="default"/>
                            <w:sz w:val="18"/>
                            <w:szCs w:val="18"/>
                          </w:rPr>
                        </w:pPr>
                        <w:r>
                          <w:rPr>
                            <w:rFonts w:ascii="宋体" w:hAnsi="宋体" w:cs="宋体" w:eastAsia="宋体" w:hint="default"/>
                            <w:spacing w:val="-4"/>
                            <w:sz w:val="18"/>
                            <w:szCs w:val="18"/>
                          </w:rPr>
                          <w:t>公司若存在以下迹象，则表明非财务报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告内部控制可能存在</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r>
                          <w:rPr>
                            <w:rFonts w:ascii="宋体" w:hAnsi="宋体" w:cs="宋体" w:eastAsia="宋体" w:hint="default"/>
                            <w:spacing w:val="-4"/>
                            <w:sz w:val="18"/>
                            <w:szCs w:val="18"/>
                          </w:rPr>
                          <w:t>违反国家法律、法规或规范性文件，造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成恶劣后果；</w:t>
                        </w:r>
                        <w:r>
                          <w:rPr>
                            <w:rFonts w:ascii="Times New Roman" w:hAnsi="Times New Roman" w:cs="Times New Roman" w:eastAsia="Times New Roman" w:hint="default"/>
                            <w:sz w:val="18"/>
                            <w:szCs w:val="18"/>
                          </w:rPr>
                          <w:t>B</w:t>
                        </w:r>
                        <w:r>
                          <w:rPr>
                            <w:rFonts w:ascii="宋体" w:hAnsi="宋体" w:cs="宋体" w:eastAsia="宋体" w:hint="default"/>
                            <w:sz w:val="18"/>
                            <w:szCs w:val="18"/>
                          </w:rPr>
                          <w:t>、重要业务模块缺乏制 </w:t>
                        </w:r>
                        <w:r>
                          <w:rPr>
                            <w:rFonts w:ascii="宋体" w:hAnsi="宋体" w:cs="宋体" w:eastAsia="宋体" w:hint="default"/>
                            <w:spacing w:val="-4"/>
                            <w:sz w:val="18"/>
                            <w:szCs w:val="18"/>
                          </w:rPr>
                          <w:t>度管控或制度系统性失效，导致经营管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理过程中出现重大漏洞，对公司持续经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营能力造成恶劣影响；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、决策程序不</w:t>
                        </w:r>
                      </w:p>
                      <w:p>
                        <w:pPr>
                          <w:pStyle w:val="TableParagraph"/>
                          <w:spacing w:line="79"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right="-44"/>
                          <w:jc w:val="left"/>
                          <w:rPr>
                            <w:rFonts w:ascii="宋体" w:hAnsi="宋体" w:cs="宋体" w:eastAsia="宋体" w:hint="default"/>
                            <w:sz w:val="18"/>
                            <w:szCs w:val="18"/>
                          </w:rPr>
                        </w:pPr>
                        <w:r>
                          <w:rPr>
                            <w:rFonts w:ascii="宋体" w:hAnsi="宋体" w:cs="宋体" w:eastAsia="宋体" w:hint="default"/>
                            <w:sz w:val="18"/>
                            <w:szCs w:val="18"/>
                          </w:rPr>
                          <w:t>科学导致的重大决策失误；</w:t>
                        </w:r>
                        <w:r>
                          <w:rPr>
                            <w:rFonts w:ascii="Times New Roman" w:hAnsi="Times New Roman" w:cs="Times New Roman" w:eastAsia="Times New Roman" w:hint="default"/>
                            <w:sz w:val="18"/>
                            <w:szCs w:val="18"/>
                          </w:rPr>
                          <w:t>D</w:t>
                        </w:r>
                        <w:r>
                          <w:rPr>
                            <w:rFonts w:ascii="宋体" w:hAnsi="宋体" w:cs="宋体" w:eastAsia="宋体" w:hint="default"/>
                            <w:sz w:val="18"/>
                            <w:szCs w:val="18"/>
                          </w:rPr>
                          <w:t>、高级管</w:t>
                        </w:r>
                      </w:p>
                      <w:p>
                        <w:pPr>
                          <w:pStyle w:val="TableParagraph"/>
                          <w:spacing w:line="309" w:lineRule="auto" w:before="63"/>
                          <w:ind w:right="-44"/>
                          <w:jc w:val="left"/>
                          <w:rPr>
                            <w:rFonts w:ascii="宋体" w:hAnsi="宋体" w:cs="宋体" w:eastAsia="宋体" w:hint="default"/>
                            <w:sz w:val="18"/>
                            <w:szCs w:val="18"/>
                          </w:rPr>
                        </w:pPr>
                        <w:r>
                          <w:rPr>
                            <w:rFonts w:ascii="宋体" w:hAnsi="宋体" w:cs="宋体" w:eastAsia="宋体" w:hint="default"/>
                            <w:sz w:val="18"/>
                            <w:szCs w:val="18"/>
                          </w:rPr>
                          <w:t>理人员及核心技术人员流失异常严重； </w:t>
                        </w:r>
                        <w:r>
                          <w:rPr>
                            <w:rFonts w:ascii="Times New Roman" w:hAnsi="Times New Roman" w:cs="Times New Roman" w:eastAsia="Times New Roman" w:hint="default"/>
                            <w:sz w:val="18"/>
                            <w:szCs w:val="18"/>
                          </w:rPr>
                          <w:t>E</w:t>
                        </w:r>
                        <w:r>
                          <w:rPr>
                            <w:rFonts w:ascii="宋体" w:hAnsi="宋体" w:cs="宋体" w:eastAsia="宋体" w:hint="default"/>
                            <w:sz w:val="18"/>
                            <w:szCs w:val="18"/>
                          </w:rPr>
                          <w:t>、内部审计评价结果为</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的 事项没有得到整改。</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4D4D4"/>
                          <w:right w:val="single" w:sz="14" w:space="0" w:color="FFFFFF"/>
                        </w:tcBorders>
                      </w:tcPr>
                      <w:p>
                        <w:pPr/>
                      </w:p>
                    </w:tc>
                    <w:tc>
                      <w:tcPr>
                        <w:tcW w:w="3040" w:type="dxa"/>
                        <w:vMerge/>
                        <w:tcBorders>
                          <w:left w:val="single" w:sz="14" w:space="0" w:color="FFFFFF"/>
                          <w:right w:val="single" w:sz="4" w:space="0" w:color="000000"/>
                        </w:tcBorders>
                      </w:tcPr>
                      <w:p>
                        <w:pPr/>
                      </w:p>
                    </w:tc>
                  </w:tr>
                  <w:tr>
                    <w:trPr>
                      <w:trHeight w:val="1565"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3335" w:type="dxa"/>
                        <w:vMerge/>
                        <w:tcBorders>
                          <w:left w:val="single" w:sz="9" w:space="0" w:color="D4D4D4"/>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r>
                    <w:trPr>
                      <w:trHeight w:val="785" w:hRule="exact"/>
                    </w:trPr>
                    <w:tc>
                      <w:tcPr>
                        <w:tcW w:w="3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3335" w:type="dxa"/>
                        <w:vMerge w:val="restart"/>
                        <w:tcBorders>
                          <w:top w:val="single" w:sz="4" w:space="0" w:color="000000"/>
                          <w:left w:val="single" w:sz="9" w:space="0" w:color="D4D4D4"/>
                          <w:right w:val="single" w:sz="10" w:space="0" w:color="FFFFFF"/>
                        </w:tcBorders>
                      </w:tcPr>
                      <w:p>
                        <w:pPr>
                          <w:pStyle w:val="TableParagraph"/>
                          <w:spacing w:line="302" w:lineRule="auto" w:before="49"/>
                          <w:ind w:left="17" w:right="-19"/>
                          <w:jc w:val="left"/>
                          <w:rPr>
                            <w:rFonts w:ascii="宋体" w:hAnsi="宋体" w:cs="宋体" w:eastAsia="宋体" w:hint="default"/>
                            <w:sz w:val="18"/>
                            <w:szCs w:val="18"/>
                          </w:rPr>
                        </w:pP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 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 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。备注：定量标准中所指的财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务指标值均为公司最近一期经审计的合并 报表数据。</w:t>
                        </w:r>
                      </w:p>
                    </w:tc>
                    <w:tc>
                      <w:tcPr>
                        <w:tcW w:w="3040" w:type="dxa"/>
                        <w:vMerge w:val="restart"/>
                        <w:tcBorders>
                          <w:top w:val="single" w:sz="4" w:space="0" w:color="000000"/>
                          <w:left w:val="single" w:sz="10" w:space="0" w:color="FFFFFF"/>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both"/>
                          <w:rPr>
                            <w:rFonts w:ascii="宋体" w:hAnsi="宋体" w:cs="宋体" w:eastAsia="宋体" w:hint="default"/>
                            <w:sz w:val="18"/>
                            <w:szCs w:val="18"/>
                          </w:rPr>
                        </w:pPr>
                        <w:r>
                          <w:rPr>
                            <w:rFonts w:ascii="宋体" w:hAnsi="宋体" w:cs="宋体" w:eastAsia="宋体" w:hint="default"/>
                            <w:sz w:val="18"/>
                            <w:szCs w:val="18"/>
                          </w:rPr>
                          <w:t>一般缺陷：损失金额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auto" w:before="60"/>
                          <w:ind w:left="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；重要缺陷：营业收入总额的</w:t>
                        </w:r>
                      </w:p>
                      <w:p>
                        <w:pPr>
                          <w:pStyle w:val="TableParagraph"/>
                          <w:spacing w:line="300" w:lineRule="auto" w:before="63"/>
                          <w:ind w:left="5"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4D4D4"/>
                          <w:right w:val="single" w:sz="10" w:space="0" w:color="FFFFFF"/>
                        </w:tcBorders>
                      </w:tcPr>
                      <w:p>
                        <w:pPr/>
                      </w:p>
                    </w:tc>
                    <w:tc>
                      <w:tcPr>
                        <w:tcW w:w="3040" w:type="dxa"/>
                        <w:vMerge/>
                        <w:tcBorders>
                          <w:left w:val="single" w:sz="10" w:space="0" w:color="FFFFFF"/>
                          <w:right w:val="single" w:sz="4" w:space="0" w:color="000000"/>
                        </w:tcBorders>
                      </w:tcPr>
                      <w:p>
                        <w:pPr/>
                      </w:p>
                    </w:tc>
                  </w:tr>
                  <w:tr>
                    <w:trPr>
                      <w:trHeight w:val="785" w:hRule="exact"/>
                    </w:trPr>
                    <w:tc>
                      <w:tcPr>
                        <w:tcW w:w="3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3335" w:type="dxa"/>
                        <w:vMerge/>
                        <w:tcBorders>
                          <w:left w:val="single" w:sz="9" w:space="0" w:color="D4D4D4"/>
                          <w:bottom w:val="single" w:sz="4" w:space="0" w:color="000000"/>
                          <w:right w:val="single" w:sz="10" w:space="0" w:color="FFFFFF"/>
                        </w:tcBorders>
                      </w:tcPr>
                      <w:p>
                        <w:pPr/>
                      </w:p>
                    </w:tc>
                    <w:tc>
                      <w:tcPr>
                        <w:tcW w:w="3040" w:type="dxa"/>
                        <w:vMerge/>
                        <w:tcBorders>
                          <w:left w:val="single" w:sz="10" w:space="0" w:color="FFFFFF"/>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624" w:lineRule="exact"/>
        <w:ind w:left="670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65pt;height:31.2pt;mso-position-horizontal-relative:char;mso-position-vertical-relative:line" coordorigin="0,0" coordsize="2993,624">
            <v:group style="position:absolute;left:0;top:0;width:2993;height:312" coordorigin="0,0" coordsize="2993,312">
              <v:shape style="position:absolute;left:0;top:0;width:2993;height:312" coordorigin="0,0" coordsize="2993,312" path="m0,312l2993,312,2993,0,0,0,0,312xe" filled="true" fillcolor="#ffffff" stroked="false">
                <v:path arrowok="t"/>
                <v:fill type="solid"/>
              </v:shape>
            </v:group>
            <v:group style="position:absolute;left:0;top:312;width:2993;height:312" coordorigin="0,312" coordsize="2993,312">
              <v:shape style="position:absolute;left:0;top:312;width:2993;height:312" coordorigin="0,312" coordsize="2993,312" path="m0,624l2993,624,2993,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6374"/>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3"/>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日在所有重大方面保持了有效的财务报 告内部控制。</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日刊载于巨潮资讯网（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）的《内部控制鉴 </w:t>
            </w:r>
            <w:r>
              <w:rPr>
                <w:rFonts w:ascii="宋体" w:hAnsi="宋体" w:cs="宋体" w:eastAsia="宋体" w:hint="default"/>
                <w:spacing w:val="-19"/>
                <w:sz w:val="18"/>
                <w:szCs w:val="18"/>
              </w:rPr>
              <w:t>证报告》。</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8" w:right="3468"/>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04"/>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陈菁佩、张斌</w:t>
            </w:r>
          </w:p>
        </w:tc>
      </w:tr>
    </w:tbl>
    <w:p>
      <w:pPr>
        <w:pStyle w:val="BodyText"/>
        <w:spacing w:line="240" w:lineRule="auto" w:before="49"/>
        <w:ind w:left="3428" w:right="3468"/>
        <w:jc w:val="center"/>
      </w:pPr>
      <w:r>
        <w:rPr/>
        <w:t>审计报告正文</w:t>
      </w:r>
    </w:p>
    <w:p>
      <w:pPr>
        <w:pStyle w:val="Heading4"/>
        <w:spacing w:line="240" w:lineRule="auto" w:before="115"/>
        <w:ind w:right="104"/>
        <w:jc w:val="left"/>
        <w:rPr>
          <w:b w:val="0"/>
          <w:bCs w:val="0"/>
        </w:rPr>
      </w:pPr>
      <w:r>
        <w:rPr/>
        <w:t>美盈森集团股份有限公司全体股东：</w:t>
      </w:r>
      <w:r>
        <w:rPr>
          <w:b w:val="0"/>
          <w:bCs w:val="0"/>
        </w:rPr>
      </w:r>
    </w:p>
    <w:p>
      <w:pPr>
        <w:pStyle w:val="BodyText"/>
        <w:spacing w:line="300" w:lineRule="auto" w:before="76"/>
        <w:ind w:right="94" w:firstLine="307"/>
        <w:jc w:val="left"/>
      </w:pPr>
      <w:r>
        <w:rPr/>
        <w:t>我们审计了后附的美盈森集团股份有限公司（以下简称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 负债表，</w:t>
      </w:r>
      <w:r>
        <w:rPr>
          <w:rFonts w:ascii="Times New Roman" w:hAnsi="Times New Roman" w:cs="Times New Roman" w:eastAsia="Times New Roman" w:hint="default"/>
        </w:rPr>
        <w:t>2015</w:t>
      </w:r>
      <w:r>
        <w:rPr/>
        <w:t>年度的合并及母公司利润表、合并及母公司现金流量表、合并及母公司股东权益变动表，以及财务报表附注。</w:t>
      </w:r>
    </w:p>
    <w:p>
      <w:pPr>
        <w:spacing w:line="240" w:lineRule="auto" w:before="11"/>
        <w:rPr>
          <w:rFonts w:ascii="宋体" w:hAnsi="宋体" w:cs="宋体" w:eastAsia="宋体" w:hint="default"/>
          <w:sz w:val="24"/>
          <w:szCs w:val="24"/>
        </w:rPr>
      </w:pPr>
    </w:p>
    <w:p>
      <w:pPr>
        <w:pStyle w:val="BodyText"/>
        <w:spacing w:line="316" w:lineRule="auto"/>
        <w:ind w:left="512" w:right="184"/>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w:t>
      </w:r>
    </w:p>
    <w:p>
      <w:pPr>
        <w:pStyle w:val="BodyText"/>
        <w:spacing w:line="248" w:lineRule="exact"/>
        <w:ind w:right="104"/>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2" w:right="104"/>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18"/>
        <w:ind w:right="104"/>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8"/>
        <w:ind w:right="9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240" w:lineRule="auto" w:before="18"/>
        <w:ind w:left="512" w:right="104"/>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2"/>
        <w:ind w:left="452" w:right="104" w:firstLine="59"/>
        <w:jc w:val="left"/>
      </w:pPr>
      <w:r>
        <w:rPr/>
        <w:t>三、审计意见 </w:t>
      </w:r>
      <w:r>
        <w:rPr>
          <w:spacing w:val="-1"/>
        </w:rPr>
        <w:t>我们认为，贵公司财务报表在所有重大方面按照企业会计准则的规定编制，公允反映了贵公司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w:t>
      </w:r>
    </w:p>
    <w:p>
      <w:pPr>
        <w:pStyle w:val="BodyText"/>
        <w:spacing w:line="248" w:lineRule="exact"/>
        <w:ind w:right="104"/>
        <w:jc w:val="left"/>
      </w:pPr>
      <w:r>
        <w:rPr/>
        <w:t>况以及</w:t>
      </w:r>
      <w:r>
        <w:rPr>
          <w:rFonts w:ascii="Times New Roman" w:hAnsi="Times New Roman" w:cs="Times New Roman" w:eastAsia="Times New Roman" w:hint="default"/>
        </w:rPr>
        <w:t>2015</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BodyText"/>
        <w:spacing w:line="240" w:lineRule="auto"/>
        <w:ind w:left="517" w:right="104"/>
        <w:jc w:val="left"/>
      </w:pPr>
      <w:r>
        <w:rPr/>
        <w:t>大信会计师事务所（特殊普通合伙）中国注册会计师：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1232" w:right="104"/>
        <w:jc w:val="left"/>
      </w:pPr>
      <w:r>
        <w:rPr/>
        <w:t>中国</w:t>
      </w:r>
      <w:r>
        <w:rPr>
          <w:rFonts w:ascii="Times New Roman" w:hAnsi="Times New Roman" w:cs="Times New Roman" w:eastAsia="Times New Roman" w:hint="default"/>
        </w:rPr>
        <w:t>·</w:t>
      </w:r>
      <w:r>
        <w:rPr/>
        <w:t>北京中国注册会计师：</w:t>
      </w:r>
    </w:p>
    <w:p>
      <w:pPr>
        <w:spacing w:line="240" w:lineRule="auto" w:before="0"/>
        <w:rPr>
          <w:rFonts w:ascii="宋体" w:hAnsi="宋体" w:cs="宋体" w:eastAsia="宋体" w:hint="default"/>
          <w:sz w:val="18"/>
          <w:szCs w:val="18"/>
        </w:rPr>
      </w:pPr>
    </w:p>
    <w:p>
      <w:pPr>
        <w:pStyle w:val="BodyText"/>
        <w:spacing w:line="240" w:lineRule="auto" w:before="139"/>
        <w:ind w:left="0" w:right="193"/>
        <w:jc w:val="right"/>
      </w:pPr>
      <w:r>
        <w:rPr>
          <w:spacing w:val="-1"/>
        </w:rPr>
        <w:t>二</w:t>
      </w:r>
      <w:r>
        <w:rPr>
          <w:rFonts w:ascii="Times New Roman" w:hAnsi="Times New Roman" w:cs="Times New Roman" w:eastAsia="Times New Roman" w:hint="default"/>
          <w:spacing w:val="-1"/>
        </w:rPr>
        <w:t>○</w:t>
      </w:r>
      <w:r>
        <w:rPr>
          <w:spacing w:val="-1"/>
        </w:rPr>
        <w:t>一六年四月二十一日</w:t>
      </w:r>
    </w:p>
    <w:p>
      <w:pPr>
        <w:spacing w:after="0" w:line="240" w:lineRule="auto"/>
        <w:jc w:val="right"/>
        <w:sectPr>
          <w:pgSz w:w="11910" w:h="16840"/>
          <w:pgMar w:header="745"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二、财务报表" w:id="150"/>
      <w:bookmarkEnd w:id="150"/>
      <w:r>
        <w:rPr/>
      </w: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240" w:lineRule="auto" w:before="44"/>
        <w:ind w:right="-20"/>
        <w:jc w:val="left"/>
      </w:pPr>
      <w:r>
        <w:rPr/>
        <w:t>编制单位：美盈森集团股份有限公司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033" w:space="104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823,790,669.41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26,197,180.79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43,470,917.05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487,415,607.18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401,780,455.05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9,494,219.87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6,181,223.58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10,141,547.17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35,740,772.05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22,081,165.54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365,185,680.13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296,551,102.41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3,714,569.53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431,298.62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1,761,680,246.13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1,724,199,049.97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7,820,300.81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6,315,997.02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248,999,117.69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19,715,424.00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783,841,847.47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741,172,530.91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59,311,618.90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29,759,342.14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206,063,740.27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207,222,311.45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119,882,641.44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174,891,428.47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13,999,582.77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11,730,187.43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8,930,609.52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4,209,404.86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15,071,662.01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14,942,819.34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1,464,821,120.88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1,209,959,445.62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3,226,501,367.01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2,934,158,495.59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216,660,186.98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217,935,866.81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403,046,887.37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277,788,465.05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7,831,163.50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8,190,077.19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18,858,934.05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7,673,383.31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24,395,762.60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21,403,869.63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54,386,074.45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127,859,145.81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8,001,419.58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733,180,428.53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660,850,807.80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6,886,086.20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429,579.24</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12,559,570.79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7,412,852.57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10,007,220.82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1,280,512.91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29,882,457.05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8,693,365.48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763,062,885.58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669,544,173.28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1,430,400,000.00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16,157,900.40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516,797,900.40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3,743,463.46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-1,988,290.69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101,405,384.10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81,793,721.42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824,830,227.10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892,159,063.81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2,376,536,975.06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2,203,962,394.94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86,901,506.37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60,651,927.37</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2,463,438,481.43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2,264,614,322.31</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3,226,501,367.01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2,934,158,495.59</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2"/>
        <w:jc w:val="right"/>
      </w:pPr>
      <w:r>
        <w:rPr/>
        <w:t>法定代表人：张珍义</w:t>
        <w:tab/>
      </w:r>
      <w:r>
        <w:rPr>
          <w:spacing w:val="-1"/>
        </w:rPr>
        <w:t>主管会计工作负责人：袁宏贵</w:t>
        <w:tab/>
      </w:r>
      <w:r>
        <w:rPr/>
        <w:t>会计机构负责人：袁宏贵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4"/>
        <w:gridCol w:w="3302"/>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468,402,982.83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557,561,297.17</w:t>
            </w:r>
            <w:r>
              <w:rPr>
                <w:rFonts w:ascii="Times New Roman"/>
                <w:sz w:val="18"/>
              </w:rPr>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9,896,032.67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14,920,608.53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159,184,339.48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157,052,773.58</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1,983,484.81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3,146,758.95</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10,141,547.17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88,257,087.46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85,123,986.50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65,869,531.78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63,506,214.92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803,735,006.20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881,311,639.65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1,448,876,970.00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1,387,442,970.00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223,624,480.00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94,820,966.64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49,095,380.33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9,740,636.71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4,008,231.94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11,785,077.74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12,510,442.35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2,724,554.99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2,090,858.14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1,363,361.51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1,166,873.97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3,388,079.57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5,531,250.00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1,796,324,127.16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1,461,846,006.73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2,600,059,133.36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2,343,157,646.38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56,536,550.12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44,320,591.29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176,265,550.69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132,982,458.65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546,534.94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521,244.86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5,911,151.51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4,217,305.28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6,488,728.56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10,023,017.49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245,656,189.82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197,165,283.78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491,404,705.64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389,229,901.35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8,164,955.84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4,120,630.40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8,205,730.55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16,370,686.39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4,120,630.40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507,775,392.03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393,350,531.75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1,430,400,000.00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16,157,900.40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516,797,900.40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101,405,384.10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81,793,721.42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544,320,456.83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636,015,492.81</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2,092,283,741.33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1,949,807,114.63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2,600,059,133.36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2,343,157,646.38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2,016,422,890.84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1,563,222,281.96</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2,016,422,890.84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1,563,222,281.96</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1,916,887,662.46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1,267,741,210.78</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1,480,959,732.89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1,017,545,615.45</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00.139984pt;width:158.9pt;height:20.65pt;mso-position-horizontal-relative:page;mso-position-vertical-relative:page;z-index:-944392" coordorigin="4219,8003" coordsize="3178,413">
            <v:group style="position:absolute;left:4230;top:8014;width:2;height:392" coordorigin="4230,8014" coordsize="2,392">
              <v:shape style="position:absolute;left:4230;top:8014;width:2;height:392" coordorigin="4230,8014" coordsize="0,392" path="m4230,8014l4230,8405e" filled="false" stroked="true" strokeweight="1.08pt" strokecolor="#ffffff">
                <v:path arrowok="t"/>
              </v:shape>
            </v:group>
            <v:group style="position:absolute;left:4241;top:8014;width:3156;height:392" coordorigin="4241,8014" coordsize="3156,392">
              <v:shape style="position:absolute;left:4241;top:8014;width:3156;height:392" coordorigin="4241,8014" coordsize="3156,392" path="m4241,8405l7397,8405,7397,8014,4241,8014,4241,8405xe" filled="true" fillcolor="#ffffff" stroked="false">
                <v:path arrowok="t"/>
                <v:fill type="solid"/>
              </v:shape>
            </v:group>
            <w10:wrap type="none"/>
          </v:group>
        </w:pict>
      </w:r>
      <w:r>
        <w:rPr/>
        <w:pict>
          <v:group style="position:absolute;margin-left:210.960007pt;margin-top:520.73999pt;width:158.9pt;height:20.65pt;mso-position-horizontal-relative:page;mso-position-vertical-relative:page;z-index:-944368" coordorigin="4219,10415" coordsize="3178,413">
            <v:group style="position:absolute;left:4230;top:10426;width:2;height:392" coordorigin="4230,10426" coordsize="2,392">
              <v:shape style="position:absolute;left:4230;top:10426;width:2;height:392" coordorigin="4230,10426" coordsize="0,392" path="m4230,10426l4230,10817e" filled="false" stroked="true" strokeweight="1.08pt" strokecolor="#ffffff">
                <v:path arrowok="t"/>
              </v:shape>
            </v:group>
            <v:group style="position:absolute;left:4241;top:10426;width:3156;height:392" coordorigin="4241,10426" coordsize="3156,392">
              <v:shape style="position:absolute;left:4241;top:10426;width:3156;height:392" coordorigin="4241,10426" coordsize="3156,392" path="m4241,10817l7397,10817,7397,10426,4241,10426,4241,108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072"/>
        <w:gridCol w:w="2150"/>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11,582,397.14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11,342,382.01</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137,648,236.61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98,966,522.56</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222,815,077.95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152,278,418.30</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-38,448,499.75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-13,722,875.26</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102,330,717.62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1,331,147.72</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57,147,863.03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1,201,280.96</w:t>
            </w:r>
            <w:r>
              <w:rPr>
                <w:rFonts w:ascii="Times New Roman"/>
                <w:sz w:val="18"/>
              </w:rPr>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1,504,303.79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875,381.01</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13"/>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158,187,395.20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297,557,733.15</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94,467,428.90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17,648,358.08</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289,111.49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39,696.42</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1,475,966.27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423,730.96</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534,958.50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5" w:right="0"/>
              <w:jc w:val="left"/>
              <w:rPr>
                <w:rFonts w:ascii="Times New Roman" w:hAnsi="Times New Roman" w:cs="Times New Roman" w:eastAsia="Times New Roman" w:hint="default"/>
                <w:sz w:val="18"/>
                <w:szCs w:val="18"/>
              </w:rPr>
            </w:pPr>
            <w:r>
              <w:rPr>
                <w:rFonts w:ascii="Times New Roman"/>
                <w:sz w:val="18"/>
              </w:rPr>
              <w:t>251,178,857.83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314,782,360.27</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35,098,839.81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45,904,326.34</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216,080,018.02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268,878,033.93</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220,482,825.97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262,848,840.93</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-4,402,807.95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6,029,193.00</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5,731,754.15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32,053.20</w:t>
            </w: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5,731,754.15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32,053.20</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1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674"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152"/>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5,731,754.15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32,053.20</w:t>
            </w:r>
          </w:p>
        </w:tc>
      </w:tr>
      <w:tr>
        <w:trPr>
          <w:trHeight w:val="1027"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3,956,592.40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32,053.20</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1,775,161.75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221,811,772.17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268,910,087.13</w:t>
            </w:r>
            <w:r>
              <w:rPr>
                <w:rFonts w:ascii="Times New Roman"/>
                <w:sz w:val="18"/>
              </w:rPr>
            </w: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226,214,580.12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262,880,894.13</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-4,402,807.95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6,029,193.00</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0.1541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0.1838</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0.1541</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0.1838</w:t>
            </w:r>
            <w:r>
              <w:rPr>
                <w:rFonts w:ascii="Times New Roman"/>
                <w:sz w:val="18"/>
              </w:rPr>
            </w:r>
          </w:p>
        </w:tc>
      </w:tr>
    </w:tbl>
    <w:p>
      <w:pPr>
        <w:pStyle w:val="BodyText"/>
        <w:tabs>
          <w:tab w:pos="3578" w:val="left" w:leader="none"/>
          <w:tab w:pos="7721" w:val="left" w:leader="none"/>
        </w:tabs>
        <w:spacing w:line="621" w:lineRule="auto" w:before="49"/>
        <w:ind w:right="242"/>
        <w:jc w:val="left"/>
      </w:pPr>
      <w:r>
        <w:rPr/>
        <w:t>本期发生同一控制下企业合并的，被合并方在合并前实现的净利润为：元，上期被合并方实现的净利润为：元。 法定代表人：张珍义</w:t>
        <w:tab/>
      </w:r>
      <w:r>
        <w:rPr>
          <w:spacing w:val="-1"/>
        </w:rPr>
        <w:t>主管会计工作负责人：袁宏贵</w:t>
        <w:tab/>
      </w:r>
      <w:r>
        <w:rPr/>
        <w:t>会计机构负责人：袁宏贵</w:t>
      </w:r>
    </w:p>
    <w:p>
      <w:pPr>
        <w:pStyle w:val="Heading3"/>
        <w:spacing w:line="240" w:lineRule="auto" w:before="69"/>
        <w:ind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481,019,488.09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501,087,645.13</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337,014,462.35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305,863,898.94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2,407,808.50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3,533,156.06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37,099,858.64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31,448,697.58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55,933,910.09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38,755,661.47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-25,699,133.37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-11,467,399.25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1,309,917.00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716,485.39</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54,704,870.36</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127,657,535.24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132,237,144.94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87,039,784.86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1,744,169.08</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265,000.00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76,382.83</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214,432,320.10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133,904,931.19</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18,315,693.40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18,867,602.39</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196,116,626.70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115,037,328.80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196,116,626.70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115,037,328.80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2,092,114,048.53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1,618,729,198.07</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17,334,971.60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7,110,353.82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41,643,588.32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44,642,366.38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2,151,092,608.45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1,670,481,918.27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1,454,684,384.63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940,067,646.10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265,768,957.96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202,031,660.85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142,291,384.73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169,420,705.97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79,457,511.99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66,343,453.51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1,942,202,239.31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1,377,863,466.43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208,890,369.14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292,618,451.84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299,109.98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299,109.98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281,116,543.35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29,676,292.90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25,003,935.09</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307,020,478.44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29,676,292.90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-306,721,368.46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-29,011,292.90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19,382,012.91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9,045,311.00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28,427,323.91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14,387,679.62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14,620,000.00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54,632,493.48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27,706,735.15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3,474,982.41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2,385,497.68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72,495,155.51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44,712,232.83</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-44,067,831.60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-40,212,232.83</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11,986,612.61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110,719.66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-129,912,218.31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223,505,645.77</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730,197,241.95</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823,790,669.41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2"/>
      </w:tblGrid>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475,908,576.33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500,520,620.22</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315,078.42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352,508.55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18,658,226.75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26,144,968.94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494,881,881.50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527,018,097.71</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267,722,180.29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283,189,065.25</w:t>
            </w:r>
            <w:r>
              <w:rPr>
                <w:rFonts w:ascii="Times New Roman"/>
                <w:sz w:val="18"/>
              </w:rPr>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50,931,890.03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48,249,769.85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38,154,374.02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63,960,684.23</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27,759,885.96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20,842,179.34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384,568,330.30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416,241,698.67</w:t>
            </w:r>
            <w:r>
              <w:rPr>
                <w:rFonts w:ascii="Times New Roman"/>
                <w:sz w:val="18"/>
              </w:rPr>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110,313,551.20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110,776,399.04</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157,140,000.00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226,971,700.00</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157,232,000.00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226,991,700.00</w:t>
            </w:r>
            <w:r>
              <w:rPr>
                <w:rFonts w:ascii="Times New Roman"/>
                <w:sz w:val="18"/>
              </w:rPr>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231,567,819.15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9,887,397.06</w:t>
            </w:r>
            <w:r>
              <w:rPr>
                <w:rFonts w:ascii="Times New Roman"/>
                <w:sz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61,434,000.00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10,981,721.70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17,407,799.28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303,983,540.85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34,295,196.34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-146,751,540.85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192,696,503.66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53,491,957.50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27,333,602.76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574,982.41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385,497.68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54,066,939.91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27,719,100.44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-54,066,939.91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-27,719,100.44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1,346,615.22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133,791.30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-89,158,314.34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275,887,593.56</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557,561,297.17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281,673,703.61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468,402,982.83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557,561,297.17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715,20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516,797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-1,988,2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90.69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81,793,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721.42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884,902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,823.95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60,651,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927.37</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7,256,2</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7,256,2</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39.86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715,20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516,797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-1,988,2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90.69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81,793,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721.42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892,159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,063.81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60,651,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927.37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715,20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5,731,7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54.15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19,611,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662.68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-67,328,</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836.71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26,249,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579.00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198,824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,159.12</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5,731,7</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54.15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220,482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,825.97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-4,402,8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07.95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221,811</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,772.17</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30,652,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386.95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30,652,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386.95</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30,652,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386.95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30,652,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386.95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214,56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19,611,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662.68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-287,81</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1,662.6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-53,640,</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19,611,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662.68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-19,611,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662.68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214,56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-53,640,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500,64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-500,64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500,64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-500,64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1,430,</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16,157,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3,743,4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824,830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,227.10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86,901,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506.37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0"/>
        <w:gridCol w:w="533"/>
        <w:gridCol w:w="662"/>
        <w:gridCol w:w="665"/>
        <w:gridCol w:w="667"/>
        <w:gridCol w:w="665"/>
        <w:gridCol w:w="662"/>
        <w:gridCol w:w="665"/>
        <w:gridCol w:w="679"/>
        <w:gridCol w:w="653"/>
        <w:gridCol w:w="658"/>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2"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4D4D4"/>
          </w:tcPr>
          <w:p>
            <w:pPr/>
          </w:p>
        </w:tc>
        <w:tc>
          <w:tcPr>
            <w:tcW w:w="6832"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32"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7"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874,397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43.89</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70,289,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988.54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663,474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,075.58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50,122,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734.37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2,013,8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64,355.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2" w:right="0"/>
              <w:jc w:val="center"/>
              <w:rPr>
                <w:rFonts w:ascii="Times New Roman" w:hAnsi="Times New Roman" w:cs="Times New Roman" w:eastAsia="Times New Roman" w:hint="default"/>
                <w:sz w:val="18"/>
                <w:szCs w:val="18"/>
              </w:rPr>
            </w:pPr>
            <w:r>
              <w:rPr>
                <w:rFonts w:ascii="Times New Roman"/>
                <w:sz w:val="18"/>
              </w:rPr>
              <w:t>5,947,8</w:t>
            </w:r>
          </w:p>
          <w:p>
            <w:pPr>
              <w:pStyle w:val="TableParagraph"/>
              <w:spacing w:line="240" w:lineRule="auto" w:before="102"/>
              <w:ind w:left="218" w:right="0"/>
              <w:jc w:val="center"/>
              <w:rPr>
                <w:rFonts w:ascii="Times New Roman" w:hAnsi="Times New Roman" w:cs="Times New Roman" w:eastAsia="Times New Roman" w:hint="default"/>
                <w:sz w:val="18"/>
                <w:szCs w:val="18"/>
              </w:rPr>
            </w:pPr>
            <w:r>
              <w:rPr>
                <w:rFonts w:ascii="Times New Roman"/>
                <w:sz w:val="18"/>
              </w:rPr>
              <w:t>80.18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5,947,8</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80.18</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874,397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-2,020,3</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43.89</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70,289,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988.54</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669,421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,955.76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50,122,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734.37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2,019,8</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222,737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,108.05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10,529,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244,802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,087.13</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32,053.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262,848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,840.93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93.00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268,910</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,087.13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2"/>
              <w:ind w:left="201" w:right="0"/>
              <w:jc w:val="center"/>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732.88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-40,111,</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732.88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732.88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732.88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357,60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-357,60</w:t>
            </w:r>
            <w:r>
              <w:rPr>
                <w:rFonts w:ascii="Times New Roman"/>
                <w:sz w:val="18"/>
              </w:rPr>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715,20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516,797</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,900.40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-1,988,2</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90.69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81,793,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721.42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892,159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,063.81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60,651,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927.37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2,264,6</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14,322.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bookmarkStart w:name="8、母公司所有者权益变动表" w:id="158"/>
      <w:bookmarkEnd w:id="158"/>
      <w:r>
        <w:rPr/>
      </w:r>
      <w:r>
        <w:rPr/>
        <w:t>本期金额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4D4D4"/>
          </w:tcPr>
          <w:p>
            <w:pPr/>
          </w:p>
        </w:tc>
        <w:tc>
          <w:tcPr>
            <w:tcW w:w="69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4D4D4"/>
          </w:tcPr>
          <w:p>
            <w:pPr/>
          </w:p>
        </w:tc>
        <w:tc>
          <w:tcPr>
            <w:tcW w:w="691"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4D4D4"/>
          </w:tcPr>
          <w:p>
            <w:pPr/>
          </w:p>
        </w:tc>
        <w:tc>
          <w:tcPr>
            <w:tcW w:w="691"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715,200,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516,797,9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00.40</w:t>
            </w:r>
          </w:p>
        </w:tc>
        <w:tc>
          <w:tcPr>
            <w:tcW w:w="797" w:type="dxa"/>
            <w:vMerge w:val="restart"/>
            <w:tcBorders>
              <w:top w:val="single" w:sz="17" w:space="0" w:color="D4D4D4"/>
              <w:left w:val="single" w:sz="4" w:space="0" w:color="000000"/>
              <w:right w:val="single" w:sz="4" w:space="0" w:color="000000"/>
            </w:tcBorders>
          </w:tcPr>
          <w:p>
            <w:pPr/>
          </w:p>
        </w:tc>
        <w:tc>
          <w:tcPr>
            <w:tcW w:w="797" w:type="dxa"/>
            <w:vMerge w:val="restart"/>
            <w:tcBorders>
              <w:top w:val="single" w:sz="17"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81,793,72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1.42</w:t>
            </w:r>
          </w:p>
        </w:tc>
        <w:tc>
          <w:tcPr>
            <w:tcW w:w="677" w:type="dxa"/>
            <w:vMerge w:val="restart"/>
            <w:tcBorders>
              <w:top w:val="single" w:sz="17" w:space="0" w:color="D4D4D4"/>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636,015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,492.81</w:t>
            </w:r>
          </w:p>
        </w:tc>
        <w:tc>
          <w:tcPr>
            <w:tcW w:w="780" w:type="dxa"/>
            <w:vMerge w:val="restart"/>
            <w:tcBorders>
              <w:top w:val="single" w:sz="17" w:space="0" w:color="D4D4D4"/>
              <w:left w:val="single" w:sz="4" w:space="0" w:color="000000"/>
              <w:right w:val="single" w:sz="4" w:space="0" w:color="000000"/>
            </w:tcBorders>
          </w:tcPr>
          <w:p>
            <w:pPr>
              <w:pStyle w:val="TableParagraph"/>
              <w:spacing w:line="240" w:lineRule="auto" w:before="76"/>
              <w:ind w:left="8" w:right="0"/>
              <w:jc w:val="center"/>
              <w:rPr>
                <w:rFonts w:ascii="Times New Roman" w:hAnsi="Times New Roman" w:cs="Times New Roman" w:eastAsia="Times New Roman" w:hint="default"/>
                <w:sz w:val="18"/>
                <w:szCs w:val="18"/>
              </w:rPr>
            </w:pPr>
            <w:r>
              <w:rPr>
                <w:rFonts w:ascii="Times New Roman"/>
                <w:sz w:val="18"/>
              </w:rPr>
              <w:t>1,949,807</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,114.63</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715,200,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516,797,9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00.40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81,793,72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636,015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,492.81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1,949,807</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,114.63</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715,200,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-500,640,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19,611,66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-91,695,</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035.98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142,476,6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26.70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196,116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,626.70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196,116,6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26.70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214,560,</w:t>
            </w:r>
          </w:p>
          <w:p>
            <w:pPr>
              <w:pStyle w:val="TableParagraph"/>
              <w:spacing w:line="240" w:lineRule="auto" w:before="102"/>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19,611,66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2.68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-287,81</w:t>
            </w:r>
            <w:r>
              <w:rPr>
                <w:rFonts w:ascii="Times New Roman"/>
                <w:sz w:val="18"/>
              </w:rPr>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1,662.6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-53,640,0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19,611,66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-19,611,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662.68</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91" w:type="dxa"/>
            <w:vMerge w:val="restart"/>
            <w:tcBorders>
              <w:top w:val="single" w:sz="4" w:space="0" w:color="000000"/>
              <w:left w:val="single" w:sz="10"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214,560,</w:t>
            </w:r>
          </w:p>
          <w:p>
            <w:pPr>
              <w:pStyle w:val="TableParagraph"/>
              <w:spacing w:line="240" w:lineRule="auto" w:before="105"/>
              <w:ind w:left="141"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-53,640,0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06" w:hRule="exact"/>
        </w:trPr>
        <w:tc>
          <w:tcPr>
            <w:tcW w:w="14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91"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500,640,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-500,640,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500,640,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-500,640,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1,430,40</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16,157,90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101,405,3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84.10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544,320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2,092,283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,741.33</w:t>
            </w:r>
          </w:p>
        </w:tc>
      </w:tr>
    </w:tbl>
    <w:p>
      <w:pPr>
        <w:pStyle w:val="BodyText"/>
        <w:spacing w:line="240" w:lineRule="auto" w:before="49"/>
        <w:ind w:right="0"/>
        <w:jc w:val="left"/>
      </w:pPr>
      <w:r>
        <w:rPr/>
        <w:t>上期金额</w:t>
      </w:r>
    </w:p>
    <w:p>
      <w:pPr>
        <w:pStyle w:val="BodyText"/>
        <w:spacing w:line="240" w:lineRule="auto" w:before="115"/>
        <w:ind w:left="0" w:right="153"/>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199"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874,397,9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00.40</w:t>
            </w:r>
          </w:p>
        </w:tc>
        <w:tc>
          <w:tcPr>
            <w:tcW w:w="797" w:type="dxa"/>
            <w:vMerge w:val="restart"/>
            <w:tcBorders>
              <w:top w:val="single" w:sz="18" w:space="0" w:color="D4D4D4"/>
              <w:left w:val="single" w:sz="4" w:space="0" w:color="000000"/>
              <w:right w:val="single" w:sz="4" w:space="0" w:color="000000"/>
            </w:tcBorders>
          </w:tcPr>
          <w:p>
            <w:pPr/>
          </w:p>
        </w:tc>
        <w:tc>
          <w:tcPr>
            <w:tcW w:w="797" w:type="dxa"/>
            <w:vMerge w:val="restart"/>
            <w:tcBorders>
              <w:top w:val="single" w:sz="18"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70,289,98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677" w:type="dxa"/>
            <w:vMerge w:val="restart"/>
            <w:tcBorders>
              <w:top w:val="single" w:sz="18" w:space="0" w:color="D4D4D4"/>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561,089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,896.89</w:t>
            </w:r>
          </w:p>
        </w:tc>
        <w:tc>
          <w:tcPr>
            <w:tcW w:w="780" w:type="dxa"/>
            <w:vMerge w:val="restart"/>
            <w:tcBorders>
              <w:top w:val="single" w:sz="18" w:space="0" w:color="D4D4D4"/>
              <w:left w:val="single" w:sz="4" w:space="0" w:color="000000"/>
              <w:right w:val="single" w:sz="4" w:space="0" w:color="000000"/>
            </w:tcBorders>
          </w:tcPr>
          <w:p>
            <w:pPr>
              <w:pStyle w:val="TableParagraph"/>
              <w:spacing w:line="240" w:lineRule="auto" w:before="73"/>
              <w:ind w:left="8" w:right="0"/>
              <w:jc w:val="center"/>
              <w:rPr>
                <w:rFonts w:ascii="Times New Roman" w:hAnsi="Times New Roman" w:cs="Times New Roman" w:eastAsia="Times New Roman" w:hint="default"/>
                <w:sz w:val="18"/>
                <w:szCs w:val="18"/>
              </w:rPr>
            </w:pPr>
            <w:r>
              <w:rPr>
                <w:rFonts w:ascii="Times New Roman"/>
                <w:sz w:val="18"/>
              </w:rPr>
              <w:t>1,863,377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,785.83</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874,397,9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00.40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70,289,98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561,089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,896.89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1,863,377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,785.83</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74,925,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595.92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86,429,32</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8.80</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115,037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28.80</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-40,111,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732.88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-28,608,0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11,503,73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-11,503,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732.88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-28,608,</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-28,608,0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-357,600,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715,200,</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516,797,9</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81,793,72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636,015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,492.81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1,949,807</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,114.63</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bookmarkStart w:name="三、公司基本情况" w:id="159"/>
      <w:bookmarkEnd w:id="15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1"/>
        <w:jc w:val="both"/>
      </w:pPr>
      <w:r>
        <w:rPr>
          <w:spacing w:val="-1"/>
        </w:rPr>
        <w:t>美盈森集团股份有限公司（以下简称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）是由深圳市美盈森环保包装技术有限公司整体变更设立的股份有限</w:t>
      </w:r>
      <w:r>
        <w:rPr>
          <w:spacing w:val="-78"/>
        </w:rPr>
        <w:t> </w:t>
      </w:r>
      <w:r>
        <w:rPr>
          <w:spacing w:val="-78"/>
        </w:rPr>
      </w:r>
      <w:r>
        <w:rPr/>
        <w:t>公司，公司设立时股本为</w:t>
      </w:r>
      <w:r>
        <w:rPr>
          <w:rFonts w:ascii="Times New Roman" w:hAnsi="Times New Roman" w:cs="Times New Roman" w:eastAsia="Times New Roman" w:hint="default"/>
        </w:rPr>
        <w:t>13,380.00</w:t>
      </w:r>
      <w:r>
        <w:rPr/>
        <w:t>万股</w:t>
      </w:r>
      <w:r>
        <w:rPr>
          <w:rFonts w:ascii="Times New Roman" w:hAnsi="Times New Roman" w:cs="Times New Roman" w:eastAsia="Times New Roman" w:hint="default"/>
        </w:rPr>
        <w:t>,</w:t>
      </w:r>
      <w:r>
        <w:rPr/>
        <w:t>其中</w:t>
      </w:r>
      <w:r>
        <w:rPr>
          <w:rFonts w:ascii="Times New Roman" w:hAnsi="Times New Roman" w:cs="Times New Roman" w:eastAsia="Times New Roman" w:hint="default"/>
        </w:rPr>
        <w:t>:</w:t>
      </w:r>
      <w:r>
        <w:rPr/>
        <w:t>自然人股东王海鹏持有</w:t>
      </w:r>
      <w:r>
        <w:rPr>
          <w:rFonts w:ascii="Times New Roman" w:hAnsi="Times New Roman" w:cs="Times New Roman" w:eastAsia="Times New Roman" w:hint="default"/>
        </w:rPr>
        <w:t>8,857.56</w:t>
      </w:r>
      <w:r>
        <w:rPr/>
        <w:t>万股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66.20%,</w:t>
      </w:r>
      <w:r>
        <w:rPr/>
        <w:t>为公司的实际控制人</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王治军、王丽等</w:t>
      </w:r>
      <w:r>
        <w:rPr>
          <w:rFonts w:ascii="Times New Roman" w:hAnsi="Times New Roman" w:cs="Times New Roman" w:eastAsia="Times New Roman" w:hint="default"/>
        </w:rPr>
        <w:t>23</w:t>
      </w:r>
      <w:r>
        <w:rPr/>
        <w:t>名自然人股东持有</w:t>
      </w:r>
      <w:r>
        <w:rPr>
          <w:rFonts w:ascii="Times New Roman" w:hAnsi="Times New Roman" w:cs="Times New Roman" w:eastAsia="Times New Roman" w:hint="default"/>
        </w:rPr>
        <w:t>4,522.44</w:t>
      </w:r>
      <w:r>
        <w:rPr/>
        <w:t>万股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33.80%</w:t>
      </w:r>
      <w:r>
        <w:rPr/>
        <w:t>。于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日取得深圳市工商行政管理局颁发的</w:t>
      </w:r>
      <w:r>
        <w:rPr>
          <w:spacing w:val="-67"/>
        </w:rPr>
        <w:t> </w:t>
      </w:r>
      <w:r>
        <w:rPr>
          <w:spacing w:val="-67"/>
        </w:rPr>
      </w:r>
      <w:r>
        <w:rPr/>
        <w:t>企业法人营业执照。</w:t>
      </w:r>
    </w:p>
    <w:p>
      <w:pPr>
        <w:pStyle w:val="BodyText"/>
        <w:spacing w:line="240" w:lineRule="auto" w:before="151"/>
        <w:ind w:left="512" w:right="0"/>
        <w:jc w:val="left"/>
      </w:pPr>
      <w:r>
        <w:rPr>
          <w:spacing w:val="5"/>
        </w:rPr>
        <w:t>经中国证券监督管理委员会证监许可</w:t>
      </w:r>
      <w:r>
        <w:rPr>
          <w:rFonts w:ascii="Times New Roman" w:hAnsi="Times New Roman" w:cs="Times New Roman" w:eastAsia="Times New Roman" w:hint="default"/>
          <w:spacing w:val="5"/>
        </w:rPr>
        <w:t>[2009]1013</w:t>
      </w:r>
      <w:r>
        <w:rPr>
          <w:spacing w:val="5"/>
        </w:rPr>
        <w:t>号文核准，</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20</w:t>
      </w:r>
      <w:r>
        <w:rPr>
          <w:spacing w:val="5"/>
        </w:rPr>
        <w:t>日公司向社会公众公开发行人民币普通股</w:t>
      </w:r>
      <w:r>
        <w:rPr/>
      </w:r>
    </w:p>
    <w:p>
      <w:pPr>
        <w:pStyle w:val="BodyText"/>
        <w:spacing w:line="240" w:lineRule="auto" w:before="62"/>
        <w:ind w:right="0"/>
        <w:jc w:val="both"/>
      </w:pPr>
      <w:r>
        <w:rPr>
          <w:rFonts w:ascii="Times New Roman" w:hAnsi="Times New Roman" w:cs="Times New Roman" w:eastAsia="Times New Roman" w:hint="default"/>
        </w:rPr>
        <w:t>4,500.00</w:t>
      </w:r>
      <w:r>
        <w:rPr/>
        <w:t>万股，每股发行价格为</w:t>
      </w:r>
      <w:r>
        <w:rPr>
          <w:rFonts w:ascii="Times New Roman" w:hAnsi="Times New Roman" w:cs="Times New Roman" w:eastAsia="Times New Roman" w:hint="default"/>
        </w:rPr>
        <w:t>25.36</w:t>
      </w:r>
      <w:r>
        <w:rPr/>
        <w:t>元</w:t>
      </w:r>
      <w:r>
        <w:rPr>
          <w:rFonts w:ascii="Times New Roman" w:hAnsi="Times New Roman" w:cs="Times New Roman" w:eastAsia="Times New Roman" w:hint="default"/>
        </w:rPr>
        <w:t>,</w:t>
      </w:r>
      <w:r>
        <w:rPr/>
        <w:t>每股面值为</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发行后公司股本变更为</w:t>
      </w:r>
      <w:r>
        <w:rPr>
          <w:rFonts w:ascii="Times New Roman" w:hAnsi="Times New Roman" w:cs="Times New Roman" w:eastAsia="Times New Roman" w:hint="default"/>
        </w:rPr>
        <w:t>17,880.00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日公司股票在深</w:t>
      </w:r>
    </w:p>
    <w:p>
      <w:pPr>
        <w:spacing w:after="0" w:line="240" w:lineRule="auto"/>
        <w:jc w:val="both"/>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88"/>
        <w:jc w:val="both"/>
      </w:pPr>
      <w:r>
        <w:rPr/>
        <w:t>圳证劵交易所挂牌交易。股票简称</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“002303”</w:t>
      </w:r>
      <w:r>
        <w:rPr/>
        <w:t>。股票发行后，自然人股东王海鹏持有公司股票</w:t>
      </w:r>
      <w:r>
        <w:rPr>
          <w:rFonts w:ascii="Times New Roman" w:hAnsi="Times New Roman" w:cs="Times New Roman" w:eastAsia="Times New Roman" w:hint="default"/>
        </w:rPr>
        <w:t>8,857.56</w:t>
      </w:r>
      <w:r>
        <w:rPr/>
        <w:t>万</w:t>
      </w:r>
      <w:r>
        <w:rPr>
          <w:spacing w:val="-52"/>
        </w:rPr>
        <w:t> </w:t>
      </w:r>
      <w:r>
        <w:rPr/>
        <w:t>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49.54%,</w:t>
      </w:r>
      <w:r>
        <w:rPr/>
        <w:t>为公司的实际控制人。</w:t>
      </w:r>
    </w:p>
    <w:p>
      <w:pPr>
        <w:pStyle w:val="BodyText"/>
        <w:spacing w:line="300" w:lineRule="auto" w:before="133"/>
        <w:ind w:right="104" w:firstLine="288"/>
        <w:jc w:val="left"/>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26</w:t>
      </w:r>
      <w:r>
        <w:rPr/>
        <w:t>日第二届董事会第二十二次会议决议并经股东大会审议批准，同意公司以截止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 司的总股本</w:t>
      </w:r>
      <w:r>
        <w:rPr>
          <w:rFonts w:ascii="Times New Roman" w:hAnsi="Times New Roman" w:cs="Times New Roman" w:eastAsia="Times New Roman" w:hint="default"/>
        </w:rPr>
        <w:t>178,800,000</w:t>
      </w:r>
      <w:r>
        <w:rPr/>
        <w:t>股为基数，进行资本公积转增资本，向全体股东每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股，并对公司经营范围进行变更。</w:t>
      </w:r>
    </w:p>
    <w:p>
      <w:pPr>
        <w:pStyle w:val="BodyText"/>
        <w:spacing w:line="300" w:lineRule="auto" w:before="133"/>
        <w:ind w:right="190" w:firstLine="293"/>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日第三届董事会第四次会议决议并经股东大会审议批准，同意公司以截止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w:t>
      </w:r>
      <w:r>
        <w:rPr>
          <w:spacing w:val="2"/>
        </w:rPr>
        <w:t> </w:t>
      </w:r>
      <w:r>
        <w:rPr>
          <w:spacing w:val="-2"/>
        </w:rPr>
        <w:t>总股本为基数，进行资本公积金转增股本，向全体股东每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股，共计转增股本</w:t>
      </w:r>
      <w:r>
        <w:rPr>
          <w:rFonts w:ascii="Times New Roman" w:hAnsi="Times New Roman" w:cs="Times New Roman" w:eastAsia="Times New Roman" w:hint="default"/>
          <w:spacing w:val="-2"/>
        </w:rPr>
        <w:t>357,600,000</w:t>
      </w:r>
      <w:r>
        <w:rPr>
          <w:spacing w:val="-2"/>
        </w:rPr>
        <w:t>股，转增后公司总股本增</w:t>
      </w:r>
      <w:r>
        <w:rPr>
          <w:spacing w:val="-53"/>
        </w:rPr>
        <w:t> </w:t>
      </w:r>
      <w:r>
        <w:rPr>
          <w:spacing w:val="-53"/>
        </w:rPr>
      </w:r>
      <w:r>
        <w:rPr/>
        <w:t>加至</w:t>
      </w:r>
      <w:r>
        <w:rPr>
          <w:rFonts w:ascii="Times New Roman" w:hAnsi="Times New Roman" w:cs="Times New Roman" w:eastAsia="Times New Roman" w:hint="default"/>
        </w:rPr>
        <w:t>715,200,000</w:t>
      </w:r>
      <w:r>
        <w:rPr/>
        <w:t>股。本次变更已向深圳市市场监督管理局备案。</w:t>
      </w:r>
    </w:p>
    <w:p>
      <w:pPr>
        <w:pStyle w:val="BodyText"/>
        <w:spacing w:line="300" w:lineRule="auto" w:before="133"/>
        <w:ind w:right="191" w:firstLine="293"/>
        <w:jc w:val="both"/>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日第三届董事会第十二次会议决议并经股东大会审议批准，同意公司以截止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 司总股本为基数，以未分配利润向全体股东每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3</w:t>
      </w:r>
      <w:r>
        <w:rPr/>
        <w:t>股，共计派发股票股利</w:t>
      </w:r>
      <w:r>
        <w:rPr>
          <w:rFonts w:ascii="Times New Roman" w:hAnsi="Times New Roman" w:cs="Times New Roman" w:eastAsia="Times New Roman" w:hint="default"/>
        </w:rPr>
        <w:t>214,560,000</w:t>
      </w:r>
      <w:r>
        <w:rPr/>
        <w:t>股；同时，以资本公积金向</w:t>
      </w:r>
      <w:r>
        <w:rPr>
          <w:spacing w:val="-84"/>
        </w:rPr>
        <w:t> </w:t>
      </w:r>
      <w:r>
        <w:rPr>
          <w:spacing w:val="8"/>
        </w:rPr>
        <w:t>全体股东每股转增</w:t>
      </w:r>
      <w:r>
        <w:rPr>
          <w:rFonts w:ascii="Times New Roman" w:hAnsi="Times New Roman" w:cs="Times New Roman" w:eastAsia="Times New Roman" w:hint="default"/>
          <w:spacing w:val="8"/>
        </w:rPr>
        <w:t>7</w:t>
      </w:r>
      <w:r>
        <w:rPr>
          <w:spacing w:val="8"/>
        </w:rPr>
        <w:t>股</w:t>
      </w:r>
      <w:r>
        <w:rPr>
          <w:rFonts w:ascii="Times New Roman" w:hAnsi="Times New Roman" w:cs="Times New Roman" w:eastAsia="Times New Roman" w:hint="default"/>
          <w:spacing w:val="8"/>
        </w:rPr>
        <w:t>,</w:t>
      </w:r>
      <w:r>
        <w:rPr>
          <w:spacing w:val="8"/>
        </w:rPr>
        <w:t>共计转增股本</w:t>
      </w:r>
      <w:r>
        <w:rPr>
          <w:rFonts w:ascii="Times New Roman" w:hAnsi="Times New Roman" w:cs="Times New Roman" w:eastAsia="Times New Roman" w:hint="default"/>
          <w:spacing w:val="8"/>
        </w:rPr>
        <w:t>500,640,000</w:t>
      </w:r>
      <w:r>
        <w:rPr>
          <w:spacing w:val="8"/>
        </w:rPr>
        <w:t>股。本次利润分配及资本公积金转增方案实施后公司总股本将增加至</w:t>
      </w:r>
      <w:r>
        <w:rPr>
          <w:spacing w:val="-69"/>
        </w:rPr>
        <w:t> </w:t>
      </w:r>
      <w:r>
        <w:rPr>
          <w:spacing w:val="-69"/>
        </w:rPr>
      </w:r>
      <w:r>
        <w:rPr>
          <w:rFonts w:ascii="Times New Roman" w:hAnsi="Times New Roman" w:cs="Times New Roman" w:eastAsia="Times New Roman" w:hint="default"/>
        </w:rPr>
        <w:t>1,430,400,000</w:t>
      </w:r>
      <w:r>
        <w:rPr/>
        <w:t>股。本次变更已向深圳市市场监督管理局备案。目前的公司工商登记情况如下：</w:t>
      </w:r>
    </w:p>
    <w:p>
      <w:pPr>
        <w:pStyle w:val="BodyText"/>
        <w:spacing w:line="424" w:lineRule="auto" w:before="133"/>
        <w:ind w:left="440" w:right="4806"/>
        <w:jc w:val="left"/>
      </w:pPr>
      <w:r>
        <w:rPr/>
        <w:t>企业法人营业执照统一社会信用代码：</w:t>
      </w:r>
      <w:r>
        <w:rPr>
          <w:rFonts w:ascii="Times New Roman" w:hAnsi="Times New Roman" w:cs="Times New Roman" w:eastAsia="Times New Roman" w:hint="default"/>
        </w:rPr>
        <w:t>91440300723000100A</w:t>
      </w:r>
      <w:r>
        <w:rPr>
          <w:rFonts w:ascii="Times New Roman" w:hAnsi="Times New Roman" w:cs="Times New Roman" w:eastAsia="Times New Roman" w:hint="default"/>
          <w:w w:val="99"/>
        </w:rPr>
        <w:t> </w:t>
      </w:r>
      <w:r>
        <w:rPr/>
        <w:t>住所：深圳市光明新区新陂头村美盈森厂区</w:t>
      </w:r>
      <w:r>
        <w:rPr>
          <w:rFonts w:ascii="Times New Roman" w:hAnsi="Times New Roman" w:cs="Times New Roman" w:eastAsia="Times New Roman" w:hint="default"/>
        </w:rPr>
        <w:t>A</w:t>
      </w:r>
      <w:r>
        <w:rPr/>
        <w:t>栋 法定代表人：张珍义 注册资本：人民币壹拾肆亿叁仟零肆拾万圆整</w:t>
      </w:r>
    </w:p>
    <w:p>
      <w:pPr>
        <w:pStyle w:val="BodyText"/>
        <w:spacing w:line="316" w:lineRule="auto" w:before="58"/>
        <w:ind w:right="104" w:firstLine="288"/>
        <w:jc w:val="left"/>
      </w:pPr>
      <w:r>
        <w:rPr/>
        <w:t>经营范围：一般经营项目：轻型环保包装制品、重型环保包装制品、包装材料、包装机械的技术开发及销售；一体化包 </w:t>
      </w:r>
      <w:r>
        <w:rPr>
          <w:spacing w:val="-2"/>
        </w:rPr>
        <w:t>装方案的技术开发；隐藏信息防伪技术的开发，特种标签材质的精密模切，智能卡终端读写设备的开发与销售；货物及技术</w:t>
      </w:r>
      <w:r>
        <w:rPr>
          <w:spacing w:val="-65"/>
        </w:rPr>
        <w:t> </w:t>
      </w:r>
      <w:r>
        <w:rPr>
          <w:spacing w:val="-65"/>
        </w:rPr>
      </w:r>
      <w:r>
        <w:rPr>
          <w:spacing w:val="-2"/>
        </w:rPr>
        <w:t>进出口；（以上均不含法律、行政法规、国务院决定禁止及规定需前置审批项目），纸制品休闲家居、办公用品、玩具用品</w:t>
      </w:r>
      <w:r>
        <w:rPr>
          <w:spacing w:val="-64"/>
        </w:rPr>
        <w:t> </w:t>
      </w:r>
      <w:r>
        <w:rPr>
          <w:spacing w:val="-64"/>
        </w:rPr>
      </w:r>
      <w:r>
        <w:rPr>
          <w:spacing w:val="-4"/>
        </w:rPr>
        <w:t>的研发、生产和销售。许可经营项目：纸箱、木箱的生产及销售；无线射频标签，高新材料的研发与生产；包装装潢印刷品、</w:t>
      </w:r>
      <w:r>
        <w:rPr>
          <w:spacing w:val="-41"/>
        </w:rPr>
        <w:t> </w:t>
      </w:r>
      <w:r>
        <w:rPr>
          <w:spacing w:val="-41"/>
        </w:rPr>
      </w:r>
      <w:r>
        <w:rPr/>
        <w:t>其他印刷品印刷；从事普通货运。</w:t>
      </w:r>
    </w:p>
    <w:p>
      <w:pPr>
        <w:spacing w:line="240" w:lineRule="auto" w:before="0"/>
        <w:rPr>
          <w:rFonts w:ascii="宋体" w:hAnsi="宋体" w:cs="宋体" w:eastAsia="宋体" w:hint="default"/>
          <w:sz w:val="18"/>
          <w:szCs w:val="18"/>
        </w:rPr>
      </w:pPr>
    </w:p>
    <w:p>
      <w:pPr>
        <w:pStyle w:val="BodyText"/>
        <w:spacing w:line="302" w:lineRule="auto" w:before="136"/>
        <w:ind w:right="184" w:firstLine="288"/>
        <w:jc w:val="left"/>
      </w:pPr>
      <w:r>
        <w:rPr>
          <w:spacing w:val="-1"/>
        </w:rPr>
        <w:t>在上年度财务报告编制的基础上，公司本期将汇天云网、美莲检测有限公司、小美集科技有限公司、东莞市美之兰环保</w:t>
      </w:r>
      <w:r>
        <w:rPr/>
        <w:t> 科技有限公司新纳入合并报表范围。（</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日召开第三届董事会第九次临时会议，公司决定由全资子公司 美盈森（香港）国际控股有限公司以人民币</w:t>
      </w:r>
      <w:r>
        <w:rPr>
          <w:rFonts w:ascii="Times New Roman" w:hAnsi="Times New Roman" w:cs="Times New Roman" w:eastAsia="Times New Roman" w:hint="default"/>
        </w:rPr>
        <w:t>3,264</w:t>
      </w:r>
      <w:r>
        <w:rPr/>
        <w:t>万元对应的美元金额收购汇天云网集团有限公司</w:t>
      </w:r>
      <w:r>
        <w:rPr>
          <w:rFonts w:ascii="Times New Roman" w:hAnsi="Times New Roman" w:cs="Times New Roman" w:eastAsia="Times New Roman" w:hint="default"/>
        </w:rPr>
        <w:t>51%</w:t>
      </w:r>
      <w:r>
        <w:rPr/>
        <w:t>股权，并于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2"/>
        </w:rPr>
        <w:t>月</w:t>
      </w:r>
      <w:r>
        <w:rPr>
          <w:rFonts w:ascii="Times New Roman" w:hAnsi="Times New Roman" w:cs="Times New Roman" w:eastAsia="Times New Roman" w:hint="default"/>
          <w:spacing w:val="-2"/>
        </w:rPr>
        <w:t>15</w:t>
      </w:r>
      <w:r>
        <w:rPr>
          <w:spacing w:val="-2"/>
        </w:rPr>
        <w:t>日与郑荣华、郑重科及标的公司签订了《股权收购协议》。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日，公司完成收购的工商登记变更；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01</w:t>
      </w:r>
      <w:r>
        <w:rPr>
          <w:rFonts w:ascii="Times New Roman" w:hAnsi="Times New Roman" w:cs="Times New Roman" w:eastAsia="Times New Roman" w:hint="default"/>
          <w:spacing w:val="-13"/>
        </w:rPr>
        <w:t> </w:t>
      </w:r>
      <w:r>
        <w:rPr/>
        <w:t>月</w:t>
      </w:r>
      <w:r>
        <w:rPr>
          <w:rFonts w:ascii="Times New Roman" w:hAnsi="Times New Roman" w:cs="Times New Roman" w:eastAsia="Times New Roman" w:hint="default"/>
        </w:rPr>
        <w:t>07</w:t>
      </w:r>
      <w:r>
        <w:rPr/>
        <w:t>日，公司支付股权转让款</w:t>
      </w:r>
      <w:r>
        <w:rPr>
          <w:rFonts w:ascii="Times New Roman" w:hAnsi="Times New Roman" w:cs="Times New Roman" w:eastAsia="Times New Roman" w:hint="default"/>
        </w:rPr>
        <w:t>5,328,457.00</w:t>
      </w:r>
      <w:r>
        <w:rPr/>
        <w:t>美元，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月纳入合并范围。（</w:t>
      </w:r>
      <w:r>
        <w:rPr>
          <w:rFonts w:ascii="Times New Roman" w:hAnsi="Times New Roman" w:cs="Times New Roman" w:eastAsia="Times New Roman" w:hint="default"/>
        </w:rPr>
        <w:t>2</w:t>
      </w:r>
      <w:r>
        <w:rPr/>
        <w:t>）公司分别于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日设立 美莲检测有限公司与小美集科技有限公司。（</w:t>
      </w:r>
      <w:r>
        <w:rPr>
          <w:rFonts w:ascii="Times New Roman" w:hAnsi="Times New Roman" w:cs="Times New Roman" w:eastAsia="Times New Roman" w:hint="default"/>
        </w:rPr>
        <w:t>3</w:t>
      </w:r>
      <w:r>
        <w:rPr/>
        <w:t>）公司由全资子公司东莞美盈森于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日合资设立东莞市美之兰环保 </w:t>
      </w:r>
      <w:r>
        <w:rPr>
          <w:spacing w:val="-1"/>
        </w:rPr>
        <w:t>科技有限公司，东莞美盈森持股</w:t>
      </w:r>
      <w:r>
        <w:rPr>
          <w:rFonts w:ascii="Times New Roman" w:hAnsi="Times New Roman" w:cs="Times New Roman" w:eastAsia="Times New Roman" w:hint="default"/>
          <w:spacing w:val="-1"/>
        </w:rPr>
        <w:t>59.5%</w:t>
      </w:r>
      <w:r>
        <w:rPr>
          <w:spacing w:val="-1"/>
        </w:rPr>
        <w:t>。按照相应的会计编制规则，公司本期将汇天云网、美莲检测有限公司、小美集科技</w:t>
      </w:r>
      <w:r>
        <w:rPr>
          <w:spacing w:val="-47"/>
        </w:rPr>
        <w:t> </w:t>
      </w:r>
      <w:r>
        <w:rPr>
          <w:spacing w:val="-47"/>
        </w:rPr>
      </w:r>
      <w:r>
        <w:rPr/>
        <w:t>有限公司、东莞市美之兰环保科技有限公司纳入合并报表范围。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both"/>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90"/>
        <w:jc w:val="both"/>
      </w:pPr>
      <w:r>
        <w:rPr/>
        <w:t>本公司财务报表以持续经营假设为基础，根据实际发生的交易和事项，按照财政部颁布的《企业会计准则</w:t>
      </w:r>
      <w:r>
        <w:rPr>
          <w:rFonts w:ascii="Times New Roman" w:hAnsi="Times New Roman" w:cs="Times New Roman" w:eastAsia="Times New Roman" w:hint="default"/>
        </w:rPr>
        <w:t>-</w:t>
      </w:r>
      <w:r>
        <w:rPr/>
        <w:t>基本准则》和具 </w:t>
      </w:r>
      <w:r>
        <w:rPr>
          <w:spacing w:val="-2"/>
        </w:rPr>
        <w:t>体会计准则，以及企业会计准则应用指南、企业会计准则解释及其他规定，并基于以下所述重要会计政策、会计估计进行编</w:t>
      </w:r>
      <w:r>
        <w:rPr>
          <w:spacing w:val="-65"/>
        </w:rPr>
        <w:t> </w:t>
      </w:r>
      <w:r>
        <w:rPr>
          <w:spacing w:val="-65"/>
        </w:rPr>
      </w:r>
      <w:r>
        <w:rPr/>
        <w:t>制。</w:t>
      </w:r>
    </w:p>
    <w:p>
      <w:pPr>
        <w:spacing w:after="0" w:line="309" w:lineRule="auto"/>
        <w:jc w:val="both"/>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229"/>
        <w:jc w:val="left"/>
      </w:pPr>
      <w:bookmarkStart w:name="2、持续经营" w:id="162"/>
      <w:bookmarkEnd w:id="162"/>
      <w:r>
        <w:rPr/>
      </w:r>
      <w:r>
        <w:rPr/>
        <w:t>本公司无影响持续经营能力的事项，预计未来</w:t>
      </w:r>
      <w:r>
        <w:rPr>
          <w:rFonts w:ascii="Times New Roman" w:hAnsi="Times New Roman" w:cs="Times New Roman" w:eastAsia="Times New Roman" w:hint="default"/>
        </w:rPr>
        <w:t>12</w:t>
      </w:r>
      <w:r>
        <w:rPr/>
        <w:t>个月内具备持续经营的能力</w:t>
      </w:r>
      <w:r>
        <w:rPr>
          <w:rFonts w:ascii="Times New Roman" w:hAnsi="Times New Roman" w:cs="Times New Roman" w:eastAsia="Times New Roman" w:hint="default"/>
        </w:rPr>
        <w:t>,</w:t>
      </w:r>
      <w:r>
        <w:rPr/>
        <w:t>本公司的财务报表系在持续经营为假设的基础 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104"/>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294"/>
        <w:jc w:val="left"/>
      </w:pPr>
      <w:r>
        <w:rPr/>
        <w:t>具体会计政策和会计估计提示： 具体会计政策和会计估计提示：</w:t>
      </w:r>
    </w:p>
    <w:p>
      <w:pPr>
        <w:pStyle w:val="BodyText"/>
        <w:spacing w:line="300" w:lineRule="auto" w:before="25"/>
        <w:ind w:right="192" w:firstLine="144"/>
        <w:jc w:val="both"/>
      </w:pP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基本准则》和各项具体会计准则、企业会计准则</w:t>
      </w:r>
      <w:r>
        <w:rPr/>
        <w:t> </w:t>
      </w:r>
      <w:r>
        <w:rPr>
          <w:spacing w:val="-5"/>
        </w:rPr>
        <w:t>应用指南、企业会计准则解释及其他相关规定（以下合称</w:t>
      </w:r>
      <w:r>
        <w:rPr>
          <w:rFonts w:ascii="Times New Roman" w:hAnsi="Times New Roman" w:cs="Times New Roman" w:eastAsia="Times New Roman" w:hint="default"/>
          <w:spacing w:val="-5"/>
        </w:rPr>
        <w:t>“</w:t>
      </w:r>
      <w:r>
        <w:rPr>
          <w:spacing w:val="-5"/>
        </w:rPr>
        <w:t>企业会计准则</w:t>
      </w:r>
      <w:r>
        <w:rPr>
          <w:rFonts w:ascii="Times New Roman" w:hAnsi="Times New Roman" w:cs="Times New Roman" w:eastAsia="Times New Roman" w:hint="default"/>
          <w:spacing w:val="-5"/>
        </w:rPr>
        <w:t>”</w:t>
      </w:r>
      <w:r>
        <w:rPr>
          <w:spacing w:val="-5"/>
        </w:rPr>
        <w:t>），以及中国证券监督管理委员会</w:t>
      </w:r>
      <w:r>
        <w:rPr>
          <w:rFonts w:ascii="Times New Roman" w:hAnsi="Times New Roman" w:cs="Times New Roman" w:eastAsia="Times New Roman" w:hint="default"/>
          <w:spacing w:val="-5"/>
        </w:rPr>
        <w:t>2014</w:t>
      </w:r>
      <w:r>
        <w:rPr>
          <w:spacing w:val="-5"/>
        </w:rPr>
        <w:t>年修订的《公</w:t>
      </w:r>
      <w:r>
        <w:rPr>
          <w:spacing w:val="-44"/>
        </w:rPr>
        <w:t> </w:t>
      </w:r>
      <w:r>
        <w:rPr>
          <w:spacing w:val="-44"/>
        </w:rPr>
      </w: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财务报告的一般规定》的披露要求编制财务报表。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04"/>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3" w:firstLine="76"/>
        <w:jc w:val="both"/>
      </w:pPr>
      <w:r>
        <w:rPr/>
        <w:t>本公司编制的财务报表符合企业会计准则的要求，真实、完整地反映了本公司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2015</w:t>
      </w:r>
      <w:r>
        <w:rPr/>
        <w:t>年度的经 </w:t>
      </w:r>
      <w:r>
        <w:rPr>
          <w:spacing w:val="-2"/>
        </w:rPr>
        <w:t>营成果和现金流量等有关信息。此外，本公司的财务报表所有重大方面符合中国证券监督管理委员会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4"/>
        </w:rPr>
        <w:t> </w:t>
      </w:r>
      <w:r>
        <w:rPr>
          <w:spacing w:val="-64"/>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44" w:lineRule="auto" w:before="133"/>
        <w:ind w:left="152" w:right="4954" w:firstLine="0"/>
        <w:jc w:val="left"/>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本公司会计年度为公历年度，即每年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w:t>
      </w:r>
      <w:r>
        <w:rPr>
          <w:rFonts w:ascii="宋体" w:hAnsi="宋体" w:cs="宋体" w:eastAsia="宋体" w:hint="default"/>
          <w:spacing w:val="-3"/>
          <w:sz w:val="18"/>
          <w:szCs w:val="18"/>
        </w:rPr>
        <w:t> </w:t>
      </w:r>
      <w:bookmarkStart w:name="3、营业周期" w:id="166"/>
      <w:bookmarkEnd w:id="166"/>
      <w:r>
        <w:rPr>
          <w:rFonts w:ascii="宋体" w:hAnsi="宋体" w:cs="宋体" w:eastAsia="宋体" w:hint="default"/>
          <w:spacing w:val="-3"/>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104"/>
        <w:jc w:val="left"/>
      </w:pPr>
      <w:r>
        <w:rPr/>
        <w:t>本公司以一年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04"/>
        <w:jc w:val="left"/>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本公司以人民币为记账本位币。</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00" w:lineRule="auto" w:before="18"/>
        <w:ind w:left="440" w:right="104"/>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参与合并的企业在合并前后均受同一方或相同的多方最终控制，且该控制并非暂时性的，为同一控制下的企业合并。同</w:t>
      </w:r>
    </w:p>
    <w:p>
      <w:pPr>
        <w:pStyle w:val="BodyText"/>
        <w:spacing w:line="316" w:lineRule="auto" w:before="31"/>
        <w:ind w:right="104"/>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8"/>
        <w:ind w:right="94" w:firstLine="288"/>
        <w:jc w:val="left"/>
      </w:pPr>
      <w:r>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440" w:right="104"/>
        <w:jc w:val="left"/>
      </w:pPr>
      <w:r>
        <w:rPr/>
        <w:t>合并方为进行企业合并发生的各项直接费用，于发生时计入当期损益。</w:t>
      </w:r>
    </w:p>
    <w:p>
      <w:pPr>
        <w:pStyle w:val="BodyText"/>
        <w:spacing w:line="300" w:lineRule="auto" w:before="76"/>
        <w:ind w:left="440" w:right="104"/>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参与合并的企业在合并前后不受同一方或相同的多方最终控制的，为非同一控制下的企业合并。非同一控制下的企业合</w:t>
      </w:r>
    </w:p>
    <w:p>
      <w:pPr>
        <w:pStyle w:val="BodyText"/>
        <w:spacing w:line="316" w:lineRule="auto" w:before="31"/>
        <w:ind w:right="190"/>
        <w:jc w:val="both"/>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8"/>
        <w:ind w:right="193" w:firstLine="288"/>
        <w:jc w:val="both"/>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3"/>
        </w:rPr>
        <w:t> </w:t>
      </w:r>
      <w:r>
        <w:rPr>
          <w:spacing w:val="-63"/>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8"/>
        <w:ind w:right="193" w:firstLine="288"/>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4"/>
        </w:rPr>
        <w:t> </w:t>
      </w:r>
      <w:r>
        <w:rPr>
          <w:spacing w:val="-64"/>
        </w:rPr>
      </w:r>
      <w:r>
        <w:rPr>
          <w:spacing w:val="-2"/>
        </w:rPr>
        <w:t>益能够实现的，则确认相关的递延所得税资产，同时减少商誉，商誉不足冲减的，差额部分确认为当期损益；除上述情况以</w:t>
      </w:r>
      <w:r>
        <w:rPr>
          <w:spacing w:val="-67"/>
        </w:rPr>
        <w:t> </w:t>
      </w:r>
      <w:r>
        <w:rPr>
          <w:spacing w:val="-67"/>
        </w:rPr>
      </w:r>
      <w:r>
        <w:rPr/>
        <w:t>外，确认与企业合并相关的递延所得税资产的，计入当期损益。</w:t>
      </w:r>
    </w:p>
    <w:p>
      <w:pPr>
        <w:pStyle w:val="BodyText"/>
        <w:spacing w:line="300" w:lineRule="auto" w:before="22"/>
        <w:ind w:right="94" w:firstLine="288"/>
        <w:jc w:val="left"/>
      </w:pPr>
      <w:r>
        <w:rPr>
          <w:spacing w:val="-4"/>
        </w:rPr>
        <w:t>通过多次交易分步实现的非同一控制下企业合并，根据《财政部关于印发企业会计准则解释第</w:t>
      </w:r>
      <w:r>
        <w:rPr>
          <w:rFonts w:ascii="Times New Roman" w:hAnsi="Times New Roman" w:cs="Times New Roman" w:eastAsia="Times New Roman" w:hint="default"/>
          <w:spacing w:val="-4"/>
        </w:rPr>
        <w:t>5</w:t>
      </w:r>
      <w:r>
        <w:rPr>
          <w:spacing w:val="-4"/>
        </w:rPr>
        <w:t>号的通知》（财会〔</w:t>
      </w:r>
      <w:r>
        <w:rPr>
          <w:rFonts w:ascii="Times New Roman" w:hAnsi="Times New Roman" w:cs="Times New Roman" w:eastAsia="Times New Roman" w:hint="default"/>
          <w:spacing w:val="-4"/>
        </w:rPr>
        <w:t>2012</w:t>
      </w:r>
      <w:r>
        <w:rPr>
          <w:spacing w:val="-4"/>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58"/>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91" w:firstLine="288"/>
        <w:jc w:val="both"/>
      </w:pPr>
      <w:r>
        <w:rPr>
          <w:spacing w:val="-1"/>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59"/>
        <w:ind w:right="191"/>
        <w:jc w:val="both"/>
      </w:pPr>
      <w:r>
        <w:rPr>
          <w:spacing w:val="-2"/>
        </w:rPr>
        <w:t>在合并财务报表中，对于购买日之前持有的被购买方的股权，按照该股权在购买日的公允价值进行重新计量，公允价值与其</w:t>
      </w:r>
      <w:r>
        <w:rPr>
          <w:spacing w:val="-63"/>
        </w:rPr>
        <w:t> </w:t>
      </w:r>
      <w:r>
        <w:rPr>
          <w:spacing w:val="-63"/>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5" w:firstLine="419"/>
        <w:jc w:val="both"/>
      </w:pPr>
      <w:r>
        <w:rPr/>
        <w:t>本公司将全部子公司（包括本公司所控制的单独主体）纳入合并财务报表范围，包括被本公司控制的企业、被投资单 位中可分割的部分以及结构化主体。</w:t>
      </w:r>
    </w:p>
    <w:p>
      <w:pPr>
        <w:pStyle w:val="BodyText"/>
        <w:spacing w:line="300" w:lineRule="auto" w:before="18"/>
        <w:ind w:right="111" w:firstLine="419"/>
        <w:jc w:val="both"/>
      </w:pPr>
      <w:r>
        <w:rPr/>
        <w:t>本公司合并财务报表按照《企业会计准则第</w:t>
      </w:r>
      <w:r>
        <w:rPr>
          <w:rFonts w:ascii="Times New Roman" w:hAnsi="Times New Roman" w:cs="Times New Roman" w:eastAsia="Times New Roman" w:hint="default"/>
        </w:rPr>
        <w:t>33</w:t>
      </w:r>
      <w:r>
        <w:rPr/>
        <w:t>号－合并财务报表》及相关规定的要求编制，合并时抵销合并范围内的 所有重大内部交易和往来。子公司的股东权益中不属于母公司所拥有的部分作为少数股东权益在合并财务报表中单独列示。</w:t>
      </w:r>
    </w:p>
    <w:p>
      <w:pPr>
        <w:pStyle w:val="BodyText"/>
        <w:spacing w:line="316" w:lineRule="auto" w:before="31"/>
        <w:ind w:left="153" w:right="195" w:firstLine="419"/>
        <w:jc w:val="both"/>
      </w:pPr>
      <w:r>
        <w:rPr/>
        <w:t>子公司与本公司采用的会计政策或会计期间不一致的，在编制合并财务报表时，按照本公司的会计政策或会计期间对 子公司财务报表进行必要的调整。</w:t>
      </w:r>
    </w:p>
    <w:p>
      <w:pPr>
        <w:pStyle w:val="BodyText"/>
        <w:spacing w:line="312" w:lineRule="auto" w:before="18"/>
        <w:ind w:left="153" w:right="190" w:firstLine="419"/>
        <w:jc w:val="both"/>
      </w:pPr>
      <w:r>
        <w:rPr/>
        <w:t>合并财务报表以母公司和子公司的资产负债表为基础，已抵销了母公司与子公司、子公司相互之间发生的内部交易。 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spacing w:val="-2"/>
        </w:rPr>
        <w:t>项目列示。子公司持有母公司的长期股权投资，视为企业集团的库存股，作为所有者权益的减项，在合并资产负债表中所有</w:t>
      </w:r>
      <w:r>
        <w:rPr>
          <w:spacing w:val="-65"/>
        </w:rPr>
        <w:t> </w:t>
      </w:r>
      <w:r>
        <w:rPr>
          <w:spacing w:val="-65"/>
        </w:rPr>
      </w:r>
      <w:r>
        <w:rPr/>
        <w:t>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spacing w:after="0" w:line="312" w:lineRule="auto"/>
        <w:jc w:val="both"/>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firstLine="420"/>
        <w:jc w:val="both"/>
      </w:pPr>
      <w:r>
        <w:rPr/>
        <w:t>对于同一控制下企业合并取得的子公司，视同该企业合并于自最终控制方开始实时控制时已经发生，从合并当期的期 </w:t>
      </w:r>
      <w:r>
        <w:rPr>
          <w:spacing w:val="-2"/>
        </w:rPr>
        <w:t>初起将其资产、负债、经营成果和现金流量纳入合并财务报表；对于非同一控制下企业合并取得的子公司，在编制合并财务</w:t>
      </w:r>
      <w:r>
        <w:rPr>
          <w:spacing w:val="-64"/>
        </w:rPr>
        <w:t> </w:t>
      </w:r>
      <w:r>
        <w:rPr>
          <w:spacing w:val="-64"/>
        </w:rPr>
      </w:r>
      <w:r>
        <w:rPr/>
        <w:t>报表时，以购买日可辨认净资产公允价值为基础对其个别财务报表进行调整。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440" w:right="104" w:hanging="216"/>
        <w:jc w:val="left"/>
      </w:pPr>
      <w:r>
        <w:rPr>
          <w:rFonts w:ascii="Times New Roman" w:hAnsi="Times New Roman" w:cs="Times New Roman" w:eastAsia="Times New Roman" w:hint="default"/>
        </w:rPr>
        <w:t>1</w:t>
      </w:r>
      <w:r>
        <w:rPr/>
        <w:t>、合营安排的分类 </w:t>
      </w:r>
      <w:r>
        <w:rPr>
          <w:spacing w:val="-1"/>
        </w:rPr>
        <w:t>合营安排分为共同经营和合营企业。未通过单独主体达成的合营安排，划分为共同经营。单独主体，是指具有单独可辨</w:t>
      </w:r>
    </w:p>
    <w:p>
      <w:pPr>
        <w:pStyle w:val="BodyText"/>
        <w:spacing w:line="316" w:lineRule="auto" w:before="2"/>
        <w:ind w:right="190"/>
        <w:jc w:val="both"/>
      </w:pPr>
      <w:r>
        <w:rPr>
          <w:spacing w:val="-2"/>
        </w:rPr>
        <w:t>认的财务架构的主体，包括单独的法人主体和不具备法人主体资格但法律认可的主体。通过单独主体达成的合营安排，通常</w:t>
      </w:r>
      <w:r>
        <w:rPr>
          <w:spacing w:val="-63"/>
        </w:rPr>
        <w:t> </w:t>
      </w:r>
      <w:r>
        <w:rPr>
          <w:spacing w:val="-63"/>
        </w:rPr>
      </w:r>
      <w:r>
        <w:rPr>
          <w:spacing w:val="-2"/>
        </w:rPr>
        <w:t>划分为合营企业。相关事实和情况变化导致合营方在合营安排中享有的权利和承担的义务发生变化的，合营方对合营安排的</w:t>
      </w:r>
      <w:r>
        <w:rPr>
          <w:spacing w:val="-64"/>
        </w:rPr>
        <w:t> </w:t>
      </w:r>
      <w:r>
        <w:rPr>
          <w:spacing w:val="-64"/>
        </w:rPr>
      </w:r>
      <w:r>
        <w:rPr/>
        <w:t>分类进行重新评估。</w:t>
      </w:r>
    </w:p>
    <w:p>
      <w:pPr>
        <w:pStyle w:val="BodyText"/>
        <w:spacing w:line="340" w:lineRule="auto" w:before="59"/>
        <w:ind w:left="440" w:right="104"/>
        <w:jc w:val="left"/>
      </w:pPr>
      <w:r>
        <w:rPr>
          <w:rFonts w:ascii="Times New Roman" w:hAnsi="Times New Roman" w:cs="Times New Roman" w:eastAsia="Times New Roman" w:hint="default"/>
        </w:rPr>
        <w:t>2</w:t>
      </w:r>
      <w:r>
        <w:rPr/>
        <w:t>、共同经营的会计处理 </w:t>
      </w:r>
      <w:r>
        <w:rPr>
          <w:spacing w:val="-1"/>
        </w:rPr>
        <w:t>共同经营参与方应当确认其与共同经营中利益份额相关的下列项目，并按照相关企业会计准则的规定进行会计处理：确</w:t>
      </w:r>
    </w:p>
    <w:p>
      <w:pPr>
        <w:pStyle w:val="BodyText"/>
        <w:spacing w:line="316" w:lineRule="auto"/>
        <w:ind w:right="104"/>
        <w:jc w:val="left"/>
      </w:pPr>
      <w:r>
        <w:rPr>
          <w:spacing w:val="-4"/>
        </w:rPr>
        <w:t>认单独所持有的资产或负债，以及按其份额确认共同持有的资产或负债；确认出售其享有的共同经营产出份额所产生的收入；</w:t>
      </w:r>
      <w:r>
        <w:rPr>
          <w:spacing w:val="-44"/>
        </w:rPr>
        <w:t> </w:t>
      </w:r>
      <w:r>
        <w:rPr>
          <w:spacing w:val="-44"/>
        </w:rPr>
      </w:r>
      <w:r>
        <w:rPr/>
        <w:t>按其份额确认共同经营因出售产出所产生的收入；确认单独所发生的费用，以及按其份额确认共同经营发生的费用。</w:t>
      </w:r>
    </w:p>
    <w:p>
      <w:pPr>
        <w:pStyle w:val="BodyText"/>
        <w:spacing w:line="316" w:lineRule="auto" w:before="57"/>
        <w:ind w:right="104"/>
        <w:jc w:val="left"/>
      </w:pPr>
      <w:r>
        <w:rPr>
          <w:spacing w:val="-2"/>
        </w:rPr>
        <w:t>对共同经营不享有共同控制的参与方，如果享有该共同经营相关资产且承担该共同经营相关负债的，参照共同经营参与方的</w:t>
      </w:r>
      <w:r>
        <w:rPr>
          <w:spacing w:val="-64"/>
        </w:rPr>
        <w:t> </w:t>
      </w:r>
      <w:r>
        <w:rPr>
          <w:spacing w:val="-64"/>
        </w:rPr>
      </w:r>
      <w:r>
        <w:rPr/>
        <w:t>规定进行会计处理；否则，应当按照相关企业会计准则的规定进行会计处理。</w:t>
      </w:r>
    </w:p>
    <w:p>
      <w:pPr>
        <w:pStyle w:val="BodyText"/>
        <w:spacing w:line="340" w:lineRule="auto" w:before="59"/>
        <w:ind w:left="512" w:right="184"/>
        <w:jc w:val="left"/>
      </w:pPr>
      <w:r>
        <w:rPr>
          <w:rFonts w:ascii="Times New Roman" w:hAnsi="Times New Roman" w:cs="Times New Roman" w:eastAsia="Times New Roman" w:hint="default"/>
        </w:rPr>
        <w:t>3</w:t>
      </w:r>
      <w:r>
        <w:rPr/>
        <w:t>、合营企业的会计处理 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长期股权投资》的规定对合营企业的投资进行会计处理，不享有共同</w:t>
      </w:r>
    </w:p>
    <w:p>
      <w:pPr>
        <w:pStyle w:val="BodyText"/>
        <w:spacing w:line="215" w:lineRule="exact"/>
        <w:ind w:right="104"/>
        <w:jc w:val="left"/>
      </w:pPr>
      <w:r>
        <w:rPr/>
        <w:t>控制的参与方应当根据其对该合营企业的影响程度进行会计处理。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104"/>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04" w:firstLine="72"/>
        <w:jc w:val="left"/>
      </w:pPr>
      <w:r>
        <w:rPr/>
        <w:t>本公司在编制现金流量表时所确定的现金，是指本公司库存现金以及可以随时用于支付的存款。 本公司在编制现金流量表时所确定的现金等价物，是指本公司持有的期限短、流动性强、易于转换为已知金额现金、价值</w:t>
      </w:r>
      <w:r>
        <w:rPr>
          <w:spacing w:val="-67"/>
        </w:rPr>
        <w:t> </w:t>
      </w:r>
      <w:r>
        <w:rPr>
          <w:spacing w:val="-67"/>
        </w:rPr>
      </w:r>
      <w:r>
        <w:rPr/>
        <w:t>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104"/>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430" w:lineRule="atLeast" w:before="147"/>
        <w:ind w:left="572" w:right="104"/>
        <w:jc w:val="left"/>
      </w:pPr>
      <w:r>
        <w:rPr/>
        <w:t>本公司对发生的外币交易，采用与交易发生日即期汇率折合本位币入账。 资产负债表日，外币货币性项目按资产负债表日即期汇率折算，因该日的即期汇率与初始确认时或者前一资产负债表</w:t>
      </w:r>
    </w:p>
    <w:p>
      <w:pPr>
        <w:pStyle w:val="BodyText"/>
        <w:spacing w:line="316" w:lineRule="auto" w:before="76"/>
        <w:ind w:right="104"/>
        <w:jc w:val="left"/>
      </w:pPr>
      <w:r>
        <w:rPr>
          <w:spacing w:val="-2"/>
        </w:rPr>
        <w:t>日即期汇率不同而产生的汇兑差额，除符合资本化条件的外币专门借款的汇兑差额在资本化期间予以资本化计入相关资产的</w:t>
      </w:r>
      <w:r>
        <w:rPr>
          <w:spacing w:val="-64"/>
        </w:rPr>
        <w:t> </w:t>
      </w:r>
      <w:r>
        <w:rPr>
          <w:spacing w:val="-64"/>
        </w:rPr>
      </w:r>
      <w:r>
        <w:rPr/>
        <w:t>成本外，均计入当期损益。</w:t>
      </w:r>
    </w:p>
    <w:p>
      <w:pPr>
        <w:pStyle w:val="BodyText"/>
        <w:spacing w:line="316" w:lineRule="auto" w:before="139"/>
        <w:ind w:right="190" w:firstLine="360"/>
        <w:jc w:val="both"/>
      </w:pPr>
      <w:r>
        <w:rPr>
          <w:spacing w:val="-2"/>
        </w:rPr>
        <w:t>以历史成本计量的外币非货币性项目，仍采用交易发生日的即期汇率折算，不改变其记账本位币金额。以公允价值计量</w:t>
      </w:r>
      <w:r>
        <w:rPr/>
        <w:t> </w:t>
      </w:r>
      <w:r>
        <w:rPr>
          <w:spacing w:val="-2"/>
        </w:rPr>
        <w:t>的外币非货币性项目，采用公允价值确定日的即期汇率折算，折算后的记账本位币金额与原记账本位币金额的差额，作为公</w:t>
      </w:r>
      <w:r>
        <w:rPr>
          <w:spacing w:val="-63"/>
        </w:rPr>
        <w:t> </w:t>
      </w:r>
      <w:r>
        <w:rPr>
          <w:spacing w:val="-63"/>
        </w:rPr>
      </w:r>
      <w:r>
        <w:rPr/>
        <w:t>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处理，计入当期损益或确认为其他综合收益并计入资本公积。</w:t>
      </w:r>
    </w:p>
    <w:p>
      <w:pPr>
        <w:spacing w:after="0" w:line="316" w:lineRule="auto"/>
        <w:jc w:val="both"/>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5" w:firstLine="419"/>
        <w:jc w:val="both"/>
      </w:pPr>
      <w:r>
        <w:rPr/>
        <w:t>本公司的控股子公司、合营企业、联营企业等，若采用与本公司不同的记账本位币，需对其外币财务报表折算后，再 进行会计核算及合并财务报表的编报。</w:t>
      </w:r>
    </w:p>
    <w:p>
      <w:pPr>
        <w:pStyle w:val="BodyText"/>
        <w:spacing w:line="309" w:lineRule="auto" w:before="139"/>
        <w:ind w:right="150"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项目采用发生时的即期汇率折算。利润表中的收入和费用项目，采用交易发生日的近似汇率折算。折算产生的外币财务报表</w:t>
      </w:r>
      <w:r>
        <w:rPr>
          <w:spacing w:val="-63"/>
        </w:rPr>
        <w:t> </w:t>
      </w:r>
      <w:r>
        <w:rPr>
          <w:spacing w:val="-63"/>
        </w:rPr>
      </w:r>
      <w:r>
        <w:rPr/>
        <w:t>折算差额，在资产负债表中所有者权益项目下单独列示。</w:t>
      </w:r>
    </w:p>
    <w:p>
      <w:pPr>
        <w:pStyle w:val="BodyText"/>
        <w:spacing w:line="316" w:lineRule="auto" w:before="144"/>
        <w:ind w:right="155" w:firstLine="419"/>
        <w:jc w:val="both"/>
      </w:pPr>
      <w:r>
        <w:rPr/>
        <w:t>外币现金流量按照系统合理方法确定的，采用交易发生日的即期汇率的近似汇率折算。汇率变动对现金的影响额，在 现金流量表中单独列示。</w:t>
      </w:r>
    </w:p>
    <w:p>
      <w:pPr>
        <w:pStyle w:val="BodyText"/>
        <w:spacing w:line="240" w:lineRule="auto" w:before="139"/>
        <w:ind w:right="0"/>
        <w:jc w:val="both"/>
      </w:pPr>
      <w:r>
        <w:rPr/>
        <w:t>处置境外经营时，与该境外经营有关的外币报表折算差额，全部或按处置该境外经营的比例转入处置当期损益。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）金融工具的分类及确认</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424" w:right="142"/>
        <w:jc w:val="left"/>
      </w:pPr>
      <w:r>
        <w:rPr/>
        <w:t>金融工具划分为金融资产或金融负债。本公司成为金融工具合同的一方时，确认为一项金融资产或金融负债。 金融资产于初始确认时分类为：以公允价值计量且其变动计入当期损益的金融资产、持有至到期投资、应收款项、可供</w:t>
      </w:r>
    </w:p>
    <w:p>
      <w:pPr>
        <w:pStyle w:val="BodyText"/>
        <w:spacing w:line="222" w:lineRule="exact"/>
        <w:ind w:right="0"/>
        <w:jc w:val="both"/>
      </w:pPr>
      <w:r>
        <w:rPr/>
        <w:t>出售金融资产。除应收款项以外的金融资产的分类取决于本公司及其子公司对金融资产的持有意图和持有能力等。金融负债</w:t>
      </w:r>
    </w:p>
    <w:p>
      <w:pPr>
        <w:pStyle w:val="BodyText"/>
        <w:spacing w:line="360" w:lineRule="auto" w:before="76"/>
        <w:ind w:left="424" w:right="142" w:hanging="272"/>
        <w:jc w:val="left"/>
      </w:pPr>
      <w:r>
        <w:rPr/>
        <w:t>于初始确认时分类为：以公允价值计量且其变动计入当期损益的金融负债以及其他金融负债。 以公允价值计量且其变动计入当期损益的金融资产包括持有目的为短期内出售的金融资产；应收款项是指在活跃市场中</w:t>
      </w:r>
    </w:p>
    <w:p>
      <w:pPr>
        <w:pStyle w:val="BodyText"/>
        <w:spacing w:line="222" w:lineRule="exact"/>
        <w:ind w:right="0"/>
        <w:jc w:val="both"/>
      </w:pPr>
      <w:r>
        <w:rPr/>
        <w:t>没有报价、回收金额固定或可确定的非衍生金融资产；可供出售金融资产包括初始确认时即被指定为可供出售的非衍生金融</w:t>
      </w:r>
    </w:p>
    <w:p>
      <w:pPr>
        <w:pStyle w:val="BodyText"/>
        <w:spacing w:line="316" w:lineRule="auto" w:before="76"/>
        <w:ind w:right="0"/>
        <w:jc w:val="left"/>
      </w:pPr>
      <w:r>
        <w:rPr>
          <w:spacing w:val="-2"/>
        </w:rPr>
        <w:t>资产及未被划分为其他类的金融资产；持有至到期投资是指到期日固定、回收金额固定或可确定，且管理层有明确意图和能</w:t>
      </w:r>
      <w:r>
        <w:rPr>
          <w:spacing w:val="-63"/>
        </w:rPr>
        <w:t> </w:t>
      </w:r>
      <w:r>
        <w:rPr>
          <w:spacing w:val="-63"/>
        </w:rPr>
      </w:r>
      <w:r>
        <w:rPr/>
        <w:t>力持有至到期的非衍生金融资产。</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）金融工具的计量方法</w:t>
      </w:r>
      <w:r>
        <w:rPr>
          <w:b w:val="0"/>
          <w:bCs w:val="0"/>
        </w:rPr>
      </w:r>
    </w:p>
    <w:p>
      <w:pPr>
        <w:pStyle w:val="BodyText"/>
        <w:spacing w:line="430" w:lineRule="atLeast" w:before="147"/>
        <w:ind w:left="512" w:right="0" w:firstLine="59"/>
        <w:jc w:val="left"/>
      </w:pPr>
      <w:r>
        <w:rPr/>
        <w:t>本公司成为金融工具合同的一方时，确认为一项金融资产或金融负债。 </w:t>
      </w:r>
      <w:r>
        <w:rPr>
          <w:spacing w:val="-2"/>
        </w:rPr>
        <w:t>本公司金融资产或金融负债初始确认按公允价值计量。后续计量分类为：以公允价值计量且其变动计入当期损益的金融</w:t>
      </w:r>
    </w:p>
    <w:p>
      <w:pPr>
        <w:pStyle w:val="BodyText"/>
        <w:spacing w:line="316" w:lineRule="auto" w:before="76"/>
        <w:ind w:right="153"/>
        <w:jc w:val="both"/>
      </w:pPr>
      <w:r>
        <w:rPr>
          <w:spacing w:val="-2"/>
        </w:rPr>
        <w:t>资产、可供出售金融资产及以公允价值计量且其变动计入当期损益的金融负债按公允价值计量；持有到期投资、贷款和应收</w:t>
      </w:r>
      <w:r>
        <w:rPr>
          <w:spacing w:val="-66"/>
        </w:rPr>
        <w:t> </w:t>
      </w:r>
      <w:r>
        <w:rPr>
          <w:spacing w:val="-66"/>
        </w:rPr>
      </w:r>
      <w:r>
        <w:rPr>
          <w:spacing w:val="-2"/>
        </w:rPr>
        <w:t>款项以及其他金融负债按摊余成本计量；在活跃市场中没有报价且其公允价值不能可靠计量的权益工具投资，以及与该权益</w:t>
      </w:r>
      <w:r>
        <w:rPr>
          <w:spacing w:val="-64"/>
        </w:rPr>
        <w:t> </w:t>
      </w:r>
      <w:r>
        <w:rPr>
          <w:spacing w:val="-64"/>
        </w:rPr>
      </w:r>
      <w:r>
        <w:rPr>
          <w:spacing w:val="-2"/>
        </w:rPr>
        <w:t>工具挂钩并须通过交付该权益工具结算的衍生金融资产或者衍生金融负债，按照成本计量。本公司金融资产或金融负债后续</w:t>
      </w:r>
      <w:r>
        <w:rPr>
          <w:spacing w:val="-64"/>
        </w:rPr>
        <w:t> </w:t>
      </w:r>
      <w:r>
        <w:rPr>
          <w:spacing w:val="-64"/>
        </w:rPr>
      </w:r>
      <w:r>
        <w:rPr>
          <w:spacing w:val="-2"/>
        </w:rPr>
        <w:t>计量中公允价值变动形成的利得或损失，除与套期保值有关外，按照如下方法处理：①以公允价值计量且其变动计入当期损</w:t>
      </w:r>
      <w:r>
        <w:rPr>
          <w:spacing w:val="-66"/>
        </w:rPr>
        <w:t> </w:t>
      </w:r>
      <w:r>
        <w:rPr>
          <w:spacing w:val="-66"/>
        </w:rPr>
      </w:r>
      <w:r>
        <w:rPr>
          <w:spacing w:val="-2"/>
        </w:rPr>
        <w:t>益的金融资产或金融负债公允价值变动形成的利得或损失，计入公允价值变动损益。②可供出售金融资产的公允价值变动计</w:t>
      </w:r>
      <w:r>
        <w:rPr>
          <w:spacing w:val="-64"/>
        </w:rPr>
        <w:t> </w:t>
      </w:r>
      <w:r>
        <w:rPr>
          <w:spacing w:val="-64"/>
        </w:rPr>
      </w:r>
      <w:r>
        <w:rPr/>
        <w:t>入其他综合收益。</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）本公司对金融资产和金融负债的公允价值的确认方法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如存在活跃市场的金融工具，以活跃市场中的报价确定其公允价值；如不存在活跃市场的金融工具，采用估值技术确定</w:t>
      </w:r>
      <w:r>
        <w:rPr/>
        <w:t> 其公允价值。估值技术主要包括市场法、收益法和成本法。</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）金融资产转移的确认依据和计量方法</w:t>
      </w:r>
      <w:r>
        <w:rPr>
          <w:b w:val="0"/>
          <w:bCs w:val="0"/>
        </w:rPr>
      </w:r>
    </w:p>
    <w:p>
      <w:pPr>
        <w:spacing w:after="0" w:line="240" w:lineRule="auto"/>
        <w:jc w:val="both"/>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pStyle w:val="BodyText"/>
        <w:spacing w:line="316" w:lineRule="auto" w:before="44"/>
        <w:ind w:right="94" w:firstLine="360"/>
        <w:jc w:val="left"/>
      </w:pPr>
      <w:r>
        <w:rPr/>
        <w:t>金融资产所有权上几乎所有的风险和报酬转移时，或既没有转移也没有保留金融资产所有权上几乎所有的风险和报酬， </w:t>
      </w:r>
      <w:r>
        <w:rPr>
          <w:spacing w:val="-2"/>
        </w:rPr>
        <w:t>但放弃了对该金融资产控制的，应当终止确认该项金融资产。金融资产满足终止确认条件的，将所转移金融资产的账面价值</w:t>
      </w:r>
      <w:r>
        <w:rPr>
          <w:spacing w:val="-63"/>
        </w:rPr>
        <w:t> </w:t>
      </w:r>
      <w:r>
        <w:rPr>
          <w:spacing w:val="-63"/>
        </w:rPr>
      </w:r>
      <w:r>
        <w:rPr>
          <w:spacing w:val="-2"/>
        </w:rPr>
        <w:t>与因转移而收到的对价和原直接计入其他综合收益的公允价值变动累计额之和的差额部分，计入当期损益。部分转移满足终</w:t>
      </w:r>
      <w:r>
        <w:rPr>
          <w:spacing w:val="-64"/>
        </w:rPr>
        <w:t> </w:t>
      </w:r>
      <w:r>
        <w:rPr>
          <w:spacing w:val="-64"/>
        </w:rPr>
      </w:r>
      <w:r>
        <w:rPr>
          <w:spacing w:val="-2"/>
        </w:rPr>
        <w:t>止确认条件的，将所转移金融资产整体的账面价值，在终止确认部分和未终止确认部分之间，按照各自的相对公允价值进行</w:t>
      </w:r>
      <w:r>
        <w:rPr>
          <w:spacing w:val="-63"/>
        </w:rPr>
        <w:t> </w:t>
      </w:r>
      <w:r>
        <w:rPr>
          <w:spacing w:val="-63"/>
        </w:rPr>
      </w:r>
      <w:r>
        <w:rPr/>
        <w:t>分摊。</w:t>
      </w:r>
    </w:p>
    <w:p>
      <w:pPr>
        <w:pStyle w:val="BodyText"/>
        <w:spacing w:line="240" w:lineRule="auto" w:before="59"/>
        <w:ind w:left="512" w:right="104"/>
        <w:jc w:val="left"/>
      </w:pPr>
      <w:r>
        <w:rPr/>
        <w:t>金融负债的现时义务全部或部分已经解除的，则应终止确认该金融负债或其一部分。</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r>
        <w:rPr/>
        <w:t>（</w:t>
      </w:r>
      <w:r>
        <w:rPr>
          <w:rFonts w:ascii="Times New Roman" w:hAnsi="Times New Roman" w:cs="Times New Roman" w:eastAsia="Times New Roman" w:hint="default"/>
        </w:rPr>
        <w:t>5</w:t>
      </w:r>
      <w:r>
        <w:rPr/>
        <w:t>）金融资产（不含应收款项）减值测试方法、减值准备计提方法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90"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4"/>
        </w:rPr>
        <w:t> </w:t>
      </w:r>
      <w:r>
        <w:rPr>
          <w:spacing w:val="-64"/>
        </w:rPr>
      </w:r>
      <w:r>
        <w:rPr/>
        <w:t>损失予以转回，计入当期损益。</w:t>
      </w:r>
    </w:p>
    <w:p>
      <w:pPr>
        <w:spacing w:line="240" w:lineRule="auto" w:before="10"/>
        <w:rPr>
          <w:rFonts w:ascii="宋体" w:hAnsi="宋体" w:cs="宋体" w:eastAsia="宋体" w:hint="default"/>
          <w:sz w:val="24"/>
          <w:szCs w:val="24"/>
        </w:rPr>
      </w:pPr>
    </w:p>
    <w:p>
      <w:pPr>
        <w:pStyle w:val="BodyText"/>
        <w:spacing w:line="316" w:lineRule="auto"/>
        <w:ind w:right="111" w:firstLine="360"/>
        <w:jc w:val="both"/>
      </w:pPr>
      <w:r>
        <w:rPr/>
        <w:t>以成本计量的金融资产发生减值时，按预计未来现金流量现值低于账面价值的差额，计提减值准备。发生的减值损失， 一经确认，不再转回。</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当有客观证据表明可供出售金融资产发生减值时，原直接计入股东权益的因公允价值下降形成的累计损失予以转出并计</w:t>
      </w:r>
      <w:r>
        <w:rPr/>
        <w:t> </w:t>
      </w:r>
      <w:r>
        <w:rPr>
          <w:spacing w:val="-2"/>
        </w:rPr>
        <w:t>入减值损失。对已确认减值损失的可供出售债务工具投资，在期后公允价值上升且客观上与确认原减值损失后发生的事项有</w:t>
      </w:r>
      <w:r>
        <w:rPr>
          <w:spacing w:val="-64"/>
        </w:rPr>
        <w:t> </w:t>
      </w:r>
      <w:r>
        <w:rPr>
          <w:spacing w:val="-64"/>
        </w:rPr>
      </w:r>
      <w:r>
        <w:rPr>
          <w:spacing w:val="-2"/>
        </w:rPr>
        <w:t>关的，原确认的减值损失予以转回并计入当期损益。对已确认减值损失的可供出售权益工具投资，期后公允价值上升直接计</w:t>
      </w:r>
      <w:r>
        <w:rPr>
          <w:spacing w:val="-63"/>
        </w:rPr>
        <w:t> </w:t>
      </w:r>
      <w:r>
        <w:rPr>
          <w:spacing w:val="-63"/>
        </w:rPr>
      </w:r>
      <w:r>
        <w:rPr/>
        <w:t>入股东权益。</w:t>
      </w:r>
    </w:p>
    <w:p>
      <w:pPr>
        <w:spacing w:line="240" w:lineRule="auto" w:before="5"/>
        <w:rPr>
          <w:rFonts w:ascii="宋体" w:hAnsi="宋体" w:cs="宋体" w:eastAsia="宋体" w:hint="default"/>
          <w:sz w:val="24"/>
          <w:szCs w:val="24"/>
        </w:rPr>
      </w:pPr>
    </w:p>
    <w:p>
      <w:pPr>
        <w:pStyle w:val="BodyText"/>
        <w:spacing w:line="300" w:lineRule="auto"/>
        <w:ind w:right="193" w:firstLine="360"/>
        <w:jc w:val="both"/>
      </w:pPr>
      <w:r>
        <w:rPr>
          <w:spacing w:val="-1"/>
        </w:rPr>
        <w:t>对于权益工具投资，本公司判断其公允价值发生</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下跌的具体量化标准、成本的计算方法、期末公允</w:t>
      </w:r>
      <w:r>
        <w:rPr/>
        <w:t> 价值的确定方法，以及持续下跌期间的确定依据为：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93"/>
        <w:jc w:val="right"/>
      </w:pPr>
      <w:r>
        <w:rPr/>
        <w:pict>
          <v:shape style="position:absolute;margin-left:56.279999pt;margin-top:-49.808266pt;width:478.95pt;height:134.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69"/>
                    <w:gridCol w:w="5088"/>
                  </w:tblGrid>
                  <w:tr>
                    <w:trPr>
                      <w:trHeight w:val="348"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46"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660"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取得时按支付对价（扣除已宣告但尚未发放的现金股利或已到付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息期但尚未领取的债券利息）和相关交易费用之和作为投资成本</w:t>
                        </w:r>
                      </w:p>
                    </w:tc>
                  </w:tr>
                  <w:tr>
                    <w:trPr>
                      <w:trHeight w:val="660"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6"/>
                          <w:jc w:val="left"/>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存在活跃市场的金融工具，以活跃市场中的报价确定其公允价值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如不存在活跃市场的金融工具，采用估值技术确定其公允价值。</w:t>
                        </w:r>
                      </w:p>
                    </w:tc>
                  </w:tr>
                  <w:tr>
                    <w:trPr>
                      <w:trHeight w:val="658" w:hRule="exact"/>
                    </w:trPr>
                    <w:tc>
                      <w:tcPr>
                        <w:tcW w:w="4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08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w:t>
                        </w:r>
                        <w:r>
                          <w:rPr>
                            <w:rFonts w:ascii="宋体" w:hAnsi="宋体" w:cs="宋体" w:eastAsia="宋体" w:hint="default"/>
                            <w:spacing w:val="-40"/>
                            <w:sz w:val="18"/>
                            <w:szCs w:val="18"/>
                          </w:rPr>
                          <w:t> </w:t>
                        </w:r>
                        <w:r>
                          <w:rPr>
                            <w:rFonts w:ascii="宋体" w:hAnsi="宋体" w:cs="宋体" w:eastAsia="宋体" w:hint="default"/>
                            <w:sz w:val="18"/>
                            <w:szCs w:val="18"/>
                          </w:rPr>
                          <w:t>续时间未超过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p>
              </w:txbxContent>
            </v:textbox>
            <w10:wrap type="none"/>
          </v:shape>
        </w:pict>
      </w:r>
      <w:r>
        <w:rPr/>
        <w:t>。</w:t>
      </w:r>
    </w:p>
    <w:p>
      <w:pPr>
        <w:pStyle w:val="BodyText"/>
        <w:spacing w:line="240" w:lineRule="auto" w:before="110"/>
        <w:ind w:left="0" w:right="19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3"/>
        <w:spacing w:line="240" w:lineRule="auto" w:before="36"/>
        <w:ind w:right="104"/>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应收账款余额超过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万元、其他应收款余额超过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 上的款项</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bookmarkStart w:name="（2）按信用风险特征组合计提坏账准备的应收款项" w:id="176"/>
            <w:bookmarkEnd w:id="176"/>
            <w:r>
              <w:rPr/>
            </w: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按应收款项个别认定法计提</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19"/>
        <w:jc w:val="left"/>
      </w:pPr>
      <w:r>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计价方法：加权平均法</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2" w:right="0"/>
        <w:jc w:val="left"/>
      </w:pPr>
      <w:r>
        <w:rPr/>
        <w:t>资产负债表日，存货按照成本与可变现净值孰低计量，并按单个存货项目计提存货跌价准备，但对于数量繁多、单价</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较低的存货，按照存货类别计提存货跌价准备。</w:t>
      </w:r>
    </w:p>
    <w:p>
      <w:pPr>
        <w:spacing w:line="240" w:lineRule="auto" w:before="0"/>
        <w:rPr>
          <w:rFonts w:ascii="宋体" w:hAnsi="宋体" w:cs="宋体" w:eastAsia="宋体" w:hint="default"/>
          <w:sz w:val="15"/>
          <w:szCs w:val="15"/>
        </w:rPr>
      </w:pPr>
    </w:p>
    <w:p>
      <w:pPr>
        <w:pStyle w:val="BodyText"/>
        <w:spacing w:line="316" w:lineRule="auto"/>
        <w:ind w:right="150" w:firstLine="360"/>
        <w:jc w:val="both"/>
      </w:pPr>
      <w:r>
        <w:rPr>
          <w:spacing w:val="-2"/>
        </w:rPr>
        <w:t>存货可变现净值的确定依据：①产成品可变现净值为估计售价减去估计的销售费用和相关税费后金额；②为生产而持有</w:t>
      </w:r>
      <w:r>
        <w:rPr/>
        <w:t> </w:t>
      </w:r>
      <w:r>
        <w:rPr>
          <w:spacing w:val="-2"/>
        </w:rPr>
        <w:t>的材料等，当用其生产的产成品的可变现净值高于成本时按照成本计量；当材料价格下降表明产成品的可变现净值低于成本</w:t>
      </w:r>
      <w:r>
        <w:rPr>
          <w:spacing w:val="-64"/>
        </w:rPr>
        <w:t> </w:t>
      </w:r>
      <w:r>
        <w:rPr>
          <w:spacing w:val="-64"/>
        </w:rPr>
      </w:r>
      <w:r>
        <w:rPr>
          <w:spacing w:val="-2"/>
        </w:rPr>
        <w:t>时，可变现净值为估计售价减去至完工时估计将要发生的成本、估计的销售费用以及相关税费后的金额确定。③持有待售的</w:t>
      </w:r>
      <w:r>
        <w:rPr>
          <w:spacing w:val="-63"/>
        </w:rPr>
        <w:t> </w:t>
      </w:r>
      <w:r>
        <w:rPr>
          <w:spacing w:val="-63"/>
        </w:rPr>
      </w:r>
      <w:r>
        <w:rPr/>
        <w:t>材料等，可变现净值为市场售价。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7974"/>
        <w:jc w:val="left"/>
      </w:pPr>
      <w:r>
        <w:rPr/>
        <w:t>低值易耗品 摊销方法：一次摊销法 包装物</w:t>
      </w:r>
    </w:p>
    <w:p>
      <w:pPr>
        <w:pStyle w:val="BodyText"/>
        <w:spacing w:line="357" w:lineRule="auto" w:before="29"/>
        <w:ind w:right="7434"/>
        <w:jc w:val="left"/>
      </w:pPr>
      <w:r>
        <w:rPr/>
        <w:t>摊销方法：其他 包装物采用一次转销法摊销。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本公司将同时满足下列条件的非流动资产应当划分为持有待售：一是企业已经就处置该非流动资产作出决议；二是企业已经</w:t>
      </w:r>
      <w:r>
        <w:rPr>
          <w:spacing w:val="-64"/>
        </w:rPr>
        <w:t> </w:t>
      </w:r>
      <w:r>
        <w:rPr>
          <w:spacing w:val="-64"/>
        </w:rPr>
      </w:r>
      <w:r>
        <w:rPr/>
        <w:t>与受让方签订了不可撤销的转让协议；三是该项转让将在一年内完成。</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50" w:firstLine="451"/>
        <w:jc w:val="both"/>
      </w:pPr>
      <w:r>
        <w:rPr/>
        <w:t>①对于企业合并取得的长期股权投资，如为同一控制下的企业合并，应当按照取得被合并方所有者权益账面价值的份 </w:t>
      </w:r>
      <w:r>
        <w:rPr>
          <w:spacing w:val="-2"/>
        </w:rPr>
        <w:t>额确认为初始成本；非同一控制下的企业合并，应当按购买日确定的合并成本确认为初始成本；②以支付现金取得的长期股</w:t>
      </w:r>
      <w:r>
        <w:rPr>
          <w:spacing w:val="-63"/>
        </w:rPr>
        <w:t> </w:t>
      </w:r>
      <w:r>
        <w:rPr>
          <w:spacing w:val="-63"/>
        </w:rPr>
      </w:r>
      <w:r>
        <w:rPr>
          <w:spacing w:val="-2"/>
        </w:rPr>
        <w:t>权投资，初始投资成本为实际支付的购买价款；③以发行权益性证券取得的长期股权投资，初始投资成本为发行权益性证券</w:t>
      </w:r>
      <w:r>
        <w:rPr>
          <w:spacing w:val="-63"/>
        </w:rPr>
        <w:t> </w:t>
      </w:r>
      <w:r>
        <w:rPr>
          <w:spacing w:val="-63"/>
        </w:rPr>
      </w:r>
      <w:r>
        <w:rPr>
          <w:spacing w:val="-2"/>
        </w:rPr>
        <w:t>的公允价值；④通过债务重组取得的长期股权投资，其初始投资成本应当按照《企业会计准则第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w:t>
      </w:r>
      <w:r>
        <w:rPr>
          <w:spacing w:val="-63"/>
        </w:rPr>
        <w:t> </w:t>
      </w:r>
      <w:r>
        <w:rPr>
          <w:spacing w:val="-63"/>
        </w:rPr>
      </w:r>
      <w:r>
        <w:rPr/>
        <w:t>定确定；⑤非货币性资产交换取得的长期股权投资，初始投资成本根据准则相关规定确定。</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2"/>
        <w:rPr>
          <w:rFonts w:ascii="宋体" w:hAnsi="宋体" w:cs="宋体" w:eastAsia="宋体" w:hint="default"/>
          <w:b/>
          <w:bCs/>
          <w:sz w:val="25"/>
          <w:szCs w:val="25"/>
        </w:rPr>
      </w:pPr>
    </w:p>
    <w:p>
      <w:pPr>
        <w:pStyle w:val="BodyText"/>
        <w:spacing w:line="314" w:lineRule="auto"/>
        <w:ind w:right="150" w:firstLine="540"/>
        <w:jc w:val="both"/>
      </w:pPr>
      <w:r>
        <w:rPr>
          <w:spacing w:val="-2"/>
        </w:rPr>
        <w:t>投资方能够对被投资单位实施控制的长期股权投资应当采用成本法核算，对联营企业和合营企业的长期股权投资采用</w:t>
      </w:r>
      <w:r>
        <w:rPr/>
        <w:t> </w:t>
      </w:r>
      <w:r>
        <w:rPr>
          <w:spacing w:val="-2"/>
        </w:rPr>
        <w:t>权益法核算。投资方对联营企业的权益性投资，其中一部分通过风险投资机构、共同基金、信托公司或包括投连险基金在内</w:t>
      </w:r>
      <w:r>
        <w:rPr>
          <w:spacing w:val="-65"/>
        </w:rPr>
        <w:t> </w:t>
      </w:r>
      <w:r>
        <w:rPr>
          <w:spacing w:val="-65"/>
        </w:rPr>
      </w:r>
      <w:r>
        <w:rPr>
          <w:spacing w:val="-2"/>
        </w:rPr>
        <w:t>的类似主体间接持有的，无论以上主体是否对这部分投资具有重大影响，投资方都应当按照《企业会计准则第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w:t>
      </w:r>
      <w:r>
        <w:rPr>
          <w:spacing w:val="-62"/>
        </w:rPr>
        <w:t> </w:t>
      </w:r>
      <w:r>
        <w:rPr>
          <w:spacing w:val="-2"/>
        </w:rPr>
        <w:t>工具确认和计量》的有关规定，对间接持有的该部分投资选择以公允价值计量且其变动计入损益，并对其余部分采用权益法</w:t>
      </w:r>
      <w:r>
        <w:rPr>
          <w:spacing w:val="-63"/>
        </w:rPr>
        <w:t> </w:t>
      </w:r>
      <w:r>
        <w:rPr>
          <w:spacing w:val="-63"/>
        </w:rPr>
      </w:r>
      <w:r>
        <w:rPr/>
        <w:t>核算。</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b/>
          <w:bCs/>
          <w:sz w:val="25"/>
          <w:szCs w:val="25"/>
        </w:rPr>
      </w:pPr>
    </w:p>
    <w:p>
      <w:pPr>
        <w:pStyle w:val="BodyText"/>
        <w:spacing w:line="314" w:lineRule="auto" w:before="44"/>
        <w:ind w:right="190" w:firstLine="360"/>
        <w:jc w:val="both"/>
      </w:pPr>
      <w:r>
        <w:rPr>
          <w:spacing w:val="-2"/>
        </w:rPr>
        <w:t>对被投资单位具有共同控制，是指对某项安排的回报产生重大影响的活动必须经过分享控制权的参与方一致同意后才能</w:t>
      </w:r>
      <w:r>
        <w:rPr/>
        <w:t> </w:t>
      </w:r>
      <w:r>
        <w:rPr>
          <w:spacing w:val="-2"/>
        </w:rPr>
        <w:t>决策，包括商品或劳务的销售和购买、金融资产的管理、资产的购买和处置、研究与开发活动以及融资活动等；对被投资单</w:t>
      </w:r>
      <w:r>
        <w:rPr>
          <w:spacing w:val="-67"/>
        </w:rPr>
        <w:t> </w:t>
      </w:r>
      <w:r>
        <w:rPr>
          <w:spacing w:val="-67"/>
        </w:rPr>
      </w:r>
      <w:r>
        <w:rPr/>
        <w:t>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的表决权资本时，具有重大影响。或虽不足</w:t>
      </w:r>
      <w:r>
        <w:rPr>
          <w:rFonts w:ascii="Times New Roman" w:hAnsi="Times New Roman" w:cs="Times New Roman" w:eastAsia="Times New Roman" w:hint="default"/>
        </w:rPr>
        <w:t>20%</w:t>
      </w:r>
      <w:r>
        <w:rPr/>
        <w:t>，但符合下列条件 </w:t>
      </w:r>
      <w:r>
        <w:rPr>
          <w:spacing w:val="-2"/>
        </w:rPr>
        <w:t>之一时，具有重大影响：在被投资单位的董事会或类似的权力机构中派有代表；参与被投资单位的政策制定过程；向被投资</w:t>
      </w:r>
      <w:r>
        <w:rPr>
          <w:spacing w:val="-64"/>
        </w:rPr>
        <w:t> </w:t>
      </w:r>
      <w:r>
        <w:rPr>
          <w:spacing w:val="-64"/>
        </w:rPr>
      </w:r>
      <w:r>
        <w:rPr/>
        <w:t>单位派出管理人员；被投资单位依赖投资公司的技术或技术资料；与被投资单位之间发生重要交易。</w:t>
      </w:r>
    </w:p>
    <w:p>
      <w:pPr>
        <w:spacing w:line="240" w:lineRule="auto" w:before="2"/>
        <w:rPr>
          <w:rFonts w:ascii="宋体" w:hAnsi="宋体" w:cs="宋体" w:eastAsia="宋体" w:hint="default"/>
          <w:sz w:val="23"/>
          <w:szCs w:val="23"/>
        </w:rPr>
      </w:pPr>
    </w:p>
    <w:p>
      <w:pPr>
        <w:pStyle w:val="Heading3"/>
        <w:spacing w:line="240" w:lineRule="auto"/>
        <w:ind w:right="10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90" w:firstLine="288"/>
        <w:jc w:val="both"/>
      </w:pPr>
      <w:r>
        <w:rPr>
          <w:spacing w:val="-1"/>
        </w:rPr>
        <w:t>资产负债表日，本公司对长期股权投资检查是否存在可能发生减值的迹象，当存在减值迹象时应进行减值测试确认其可</w:t>
      </w:r>
      <w:r>
        <w:rPr/>
        <w:t> </w:t>
      </w:r>
      <w:r>
        <w:rPr>
          <w:spacing w:val="-2"/>
        </w:rPr>
        <w:t>收回金额，按账面价值与可收回金额孰低计提减值准备，减值损失一经计提，在以后会计期间不再转回。可收回金额按照长</w:t>
      </w:r>
      <w:r>
        <w:rPr>
          <w:spacing w:val="-65"/>
        </w:rPr>
        <w:t> </w:t>
      </w:r>
      <w:r>
        <w:rPr>
          <w:spacing w:val="-65"/>
        </w:rPr>
      </w:r>
      <w:r>
        <w:rPr>
          <w:spacing w:val="-2"/>
        </w:rPr>
        <w:t>期股权投资出售的公允价值净额与预计未来现金流量的现值之间孰高确定。长期股权投资出售的公允价值净额，如存在公平</w:t>
      </w:r>
      <w:r>
        <w:rPr>
          <w:spacing w:val="-64"/>
        </w:rPr>
        <w:t> </w:t>
      </w:r>
      <w:r>
        <w:rPr>
          <w:spacing w:val="-64"/>
        </w:rPr>
      </w:r>
      <w:r>
        <w:rPr>
          <w:spacing w:val="-2"/>
        </w:rPr>
        <w:t>交易的协议价格，则按照协议价格减去相关税费；若不存在公平交易销售协议但存在资产活跃市场或同行业类似资产交易价</w:t>
      </w:r>
      <w:r>
        <w:rPr>
          <w:spacing w:val="-64"/>
        </w:rPr>
        <w:t> </w:t>
      </w:r>
      <w:r>
        <w:rPr>
          <w:spacing w:val="-64"/>
        </w:rPr>
      </w:r>
      <w:r>
        <w:rPr/>
        <w:t>格，按照市场价格减去相关税费。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04"/>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834"/>
        <w:jc w:val="left"/>
      </w:pPr>
      <w:r>
        <w:rPr/>
        <w:t>投资性房地产计量模式 公允价值计量 选择公允价值计量的依据</w:t>
      </w:r>
    </w:p>
    <w:p>
      <w:pPr>
        <w:pStyle w:val="BodyText"/>
        <w:spacing w:line="240" w:lineRule="auto" w:before="25"/>
        <w:ind w:left="440" w:right="104"/>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pStyle w:val="BodyText"/>
        <w:spacing w:line="300" w:lineRule="auto" w:before="62"/>
        <w:ind w:left="512" w:right="3496" w:hanging="72"/>
        <w:jc w:val="left"/>
      </w:pPr>
      <w:r>
        <w:rPr>
          <w:rFonts w:ascii="Times New Roman" w:hAnsi="Times New Roman" w:cs="Times New Roman" w:eastAsia="Times New Roman" w:hint="default"/>
        </w:rPr>
        <w:t>2</w:t>
      </w:r>
      <w:r>
        <w:rPr/>
        <w:t>、投资性房地产按照成本进行初始计量，采用公允价值模式进行后续计量。 采用公允价值模式进行后续计量的投资性房地产，会计政策选择的依据为：</w:t>
      </w:r>
    </w:p>
    <w:p>
      <w:pPr>
        <w:pStyle w:val="BodyText"/>
        <w:spacing w:line="240" w:lineRule="auto" w:before="31"/>
        <w:ind w:left="512" w:right="104"/>
        <w:jc w:val="left"/>
      </w:pPr>
      <w:r>
        <w:rPr/>
        <w:t>（</w:t>
      </w:r>
      <w:r>
        <w:rPr>
          <w:rFonts w:ascii="Times New Roman" w:hAnsi="Times New Roman" w:cs="Times New Roman" w:eastAsia="Times New Roman" w:hint="default"/>
        </w:rPr>
        <w:t>1</w:t>
      </w:r>
      <w:r>
        <w:rPr/>
        <w:t>）投资性房地产所在地有活跃的房地产交易市场。</w:t>
      </w:r>
    </w:p>
    <w:p>
      <w:pPr>
        <w:pStyle w:val="BodyText"/>
        <w:spacing w:line="300" w:lineRule="auto" w:before="62"/>
        <w:ind w:right="200" w:firstLine="360"/>
        <w:jc w:val="both"/>
      </w:pPr>
      <w:r>
        <w:rPr/>
        <w:t>（</w:t>
      </w:r>
      <w:r>
        <w:rPr>
          <w:rFonts w:ascii="Times New Roman" w:hAnsi="Times New Roman" w:cs="Times New Roman" w:eastAsia="Times New Roman" w:hint="default"/>
        </w:rPr>
        <w:t>2</w:t>
      </w:r>
      <w:r>
        <w:rPr/>
        <w:t>）公司能够从房地产交易市场上取得同类或类似房地产的市场价格及其他相关信息，从而对投资性房地产的公允价 值作出合理的估计。</w:t>
      </w:r>
    </w:p>
    <w:p>
      <w:pPr>
        <w:pStyle w:val="BodyText"/>
        <w:spacing w:line="316" w:lineRule="auto" w:before="31"/>
        <w:ind w:right="193" w:firstLine="360"/>
        <w:jc w:val="both"/>
      </w:pPr>
      <w:r>
        <w:rPr>
          <w:spacing w:val="-2"/>
        </w:rPr>
        <w:t>本公司对投资性房地产不计提折旧或进行摊销，在资产负债表日以投资性房地产的公允价值为基础调整其账面价值，公</w:t>
      </w:r>
      <w:r>
        <w:rPr/>
        <w:t> 允价值与原账面价值之间的差额计入当期损益。</w:t>
      </w:r>
    </w:p>
    <w:p>
      <w:pPr>
        <w:pStyle w:val="BodyText"/>
        <w:spacing w:line="316" w:lineRule="auto" w:before="18"/>
        <w:ind w:right="104" w:firstLine="360"/>
        <w:jc w:val="left"/>
      </w:pPr>
      <w:r>
        <w:rPr>
          <w:spacing w:val="-2"/>
        </w:rPr>
        <w:t>公司有确凿证据表明房地产用途发生改变，将投资性房地产转换为自用房地产时，以其转换当日的公允价值作为自用房</w:t>
      </w:r>
      <w:r>
        <w:rPr/>
        <w:t> </w:t>
      </w:r>
      <w:r>
        <w:rPr>
          <w:spacing w:val="-2"/>
        </w:rPr>
        <w:t>地产的账面价值，公允价值与原账面价值的差额计入当期损益。公司将自用房地产或存货转换为采用公允价值模式计量的投</w:t>
      </w:r>
      <w:r>
        <w:rPr>
          <w:spacing w:val="-64"/>
        </w:rPr>
        <w:t> </w:t>
      </w:r>
      <w:r>
        <w:rPr>
          <w:spacing w:val="-64"/>
        </w:rPr>
      </w:r>
      <w:r>
        <w:rPr>
          <w:spacing w:val="-4"/>
        </w:rPr>
        <w:t>资性房地产时，投资性房地产按照转换当日的公允价值计价，转换当日的公允价值小于原账面价值的，其差额计入当期损益；</w:t>
      </w:r>
      <w:r>
        <w:rPr>
          <w:spacing w:val="-44"/>
        </w:rPr>
        <w:t> </w:t>
      </w:r>
      <w:r>
        <w:rPr>
          <w:spacing w:val="-44"/>
        </w:rPr>
      </w:r>
      <w:r>
        <w:rPr/>
        <w:t>转换当日的公允价值大于原账面价值的，其差额计入其他综合收益。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jc w:val="left"/>
      </w:pPr>
      <w:r>
        <w:rPr>
          <w:spacing w:val="-2"/>
        </w:rPr>
        <w:t>固定资产指为生产商品、提供劳务、出租或经营管理而持有的，使用寿命超过一个会计年度的有形资产。同时满足以下条件</w:t>
      </w:r>
      <w:r>
        <w:rPr>
          <w:spacing w:val="-65"/>
        </w:rPr>
        <w:t> </w:t>
      </w:r>
      <w:r>
        <w:rPr>
          <w:spacing w:val="-65"/>
        </w:rPr>
      </w:r>
      <w:r>
        <w:rPr/>
        <w:t>时予以确认：①与该固定资产有关的经济利益很可能流入企业；②该固定资产的成本能够可靠地计量。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104"/>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4.75%/3.17%</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9.50%/6.33%</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542"/>
        <w:jc w:val="both"/>
      </w:pPr>
      <w:r>
        <w:rPr>
          <w:spacing w:val="-2"/>
        </w:rPr>
        <w:t>融资租入固定资产的认定依据：实质上转移了与资产所有权有关的全部风险和报酬的租赁。具体认定依据为符合下列</w:t>
      </w:r>
      <w:r>
        <w:rPr/>
        <w:t> </w:t>
      </w:r>
      <w:r>
        <w:rPr>
          <w:spacing w:val="-2"/>
        </w:rPr>
        <w:t>一项或数项条件的：①在租赁期届满时，租赁资产的所有权转移给承租人；②承租人有购买租赁资产的选择权，所订立的购</w:t>
      </w:r>
      <w:r>
        <w:rPr>
          <w:spacing w:val="-65"/>
        </w:rPr>
        <w:t> </w:t>
      </w:r>
      <w:r>
        <w:rPr>
          <w:spacing w:val="-65"/>
        </w:rPr>
      </w:r>
      <w:r>
        <w:rPr>
          <w:spacing w:val="-2"/>
        </w:rPr>
        <w:t>买价款预计将远低于行使选择权时租赁资产的公允价值，因而在租赁开始日就可以合理确定承租人会行使这种选择权；③即</w:t>
      </w:r>
      <w:r>
        <w:rPr>
          <w:spacing w:val="-64"/>
        </w:rPr>
        <w:t> </w:t>
      </w:r>
      <w:r>
        <w:rPr>
          <w:spacing w:val="-64"/>
        </w:rPr>
      </w:r>
      <w:r>
        <w:rPr>
          <w:spacing w:val="-2"/>
        </w:rPr>
        <w:t>使资产的所有权不转移，但租赁期占租赁资产使用寿命的大部分；④承租人在租赁开始日的最低租赁付款额现值，几乎相当</w:t>
      </w:r>
      <w:r>
        <w:rPr>
          <w:spacing w:val="-63"/>
        </w:rPr>
        <w:t> </w:t>
      </w:r>
      <w:r>
        <w:rPr>
          <w:spacing w:val="-63"/>
        </w:rPr>
      </w:r>
      <w:r>
        <w:rPr>
          <w:spacing w:val="-2"/>
        </w:rPr>
        <w:t>于租赁开始日租赁资产公允价值；⑤租赁资产性质特殊，如不作较大改造只有承租人才能使用。融资租入固定资产的计价方</w:t>
      </w:r>
      <w:r>
        <w:rPr>
          <w:spacing w:val="-66"/>
        </w:rPr>
        <w:t> </w:t>
      </w:r>
      <w:r>
        <w:rPr>
          <w:spacing w:val="-66"/>
        </w:rPr>
      </w:r>
      <w:r>
        <w:rPr>
          <w:spacing w:val="-2"/>
        </w:rPr>
        <w:t>法：融资租入固定资产初始计价为租赁期开始日租赁资产公允价值与最低租赁付款额现值较低者作为入账价值；融资租入固</w:t>
      </w:r>
      <w:r>
        <w:rPr>
          <w:spacing w:val="-64"/>
        </w:rPr>
        <w:t> </w:t>
      </w:r>
      <w:r>
        <w:rPr>
          <w:spacing w:val="-64"/>
        </w:rPr>
      </w:r>
      <w:r>
        <w:rPr/>
        <w:t>定资产后续计价采用与自有固定资产相一致的折旧政策计提折旧及减值准备。</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24" w:right="0"/>
        <w:jc w:val="both"/>
      </w:pPr>
      <w:r>
        <w:rPr/>
        <w:t>本公司在建工程分为自营方式建造和出包方式建造两种。</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24" w:right="0"/>
        <w:jc w:val="both"/>
      </w:pPr>
      <w:r>
        <w:rPr/>
        <w:t>本公司在建工程在工程完工达到预定可使用状态时，结转固定资产。预定可使用状态的判断标准，应符合下列情况之一：</w:t>
      </w:r>
    </w:p>
    <w:p>
      <w:pPr>
        <w:pStyle w:val="BodyText"/>
        <w:spacing w:line="300" w:lineRule="auto" w:before="76"/>
        <w:ind w:right="153"/>
        <w:jc w:val="both"/>
      </w:pPr>
      <w:r>
        <w:rPr/>
        <w:t>①</w:t>
      </w:r>
      <w:r>
        <w:rPr>
          <w:rFonts w:ascii="Times New Roman" w:hAnsi="Times New Roman" w:cs="Times New Roman" w:eastAsia="Times New Roman" w:hint="default"/>
        </w:rPr>
        <w:t>. </w:t>
      </w:r>
      <w:r>
        <w:rPr/>
        <w:t>固定资产的实体建造（包括安装）工作已经全部完成或实质上已经全部完成；②</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已经试生产或试运行，并且其结果表 明资产能够正常运行或能够稳定地生产出合格产品，或者试运行结果表明其能够正常运转或营业；③</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该项建造的固定资产 上的支出金额很少或者几乎不再发生；④</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所购建的固定资产已经达到设计或合同要求，或与设计或合同要求基本相符。</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19"/>
        <w:jc w:val="left"/>
      </w:pPr>
      <w:r>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right="0"/>
        <w:jc w:val="both"/>
      </w:pPr>
      <w:r>
        <w:rPr/>
        <w:t>在建工程可收回金额根据资产公允价值减去处置费用后的净额与资产预计未来现金流量的现值两者孰高确定。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0"/>
        <w:jc w:val="both"/>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288"/>
        <w:jc w:val="both"/>
      </w:pPr>
      <w:r>
        <w:rPr>
          <w:spacing w:val="-1"/>
        </w:rPr>
        <w:t>本公司发生的借款费用，可直接归属于符合资本化条件的资产的购建或者生产的，予以资本化，计入相关资产成本；其</w:t>
      </w:r>
      <w:r>
        <w:rPr/>
        <w:t> </w:t>
      </w:r>
      <w:r>
        <w:rPr>
          <w:spacing w:val="-2"/>
        </w:rPr>
        <w:t>他借款费用，在发生时根据其发生额确认为费用，计入当期损益。符合资本化条件的资产，是指需要经过相当长时间的购建</w:t>
      </w:r>
      <w:r>
        <w:rPr>
          <w:spacing w:val="-65"/>
        </w:rPr>
        <w:t> </w:t>
      </w:r>
      <w:r>
        <w:rPr>
          <w:spacing w:val="-65"/>
        </w:rPr>
      </w:r>
      <w:r>
        <w:rPr/>
        <w:t>或者生产活动才能达到预定可使用或者可销售状态的固定资产、投资性房地产和存货等资产。</w:t>
      </w:r>
    </w:p>
    <w:p>
      <w:pPr>
        <w:spacing w:after="0" w:line="316" w:lineRule="auto"/>
        <w:jc w:val="both"/>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52" w:right="104"/>
        <w:jc w:val="left"/>
      </w:pPr>
      <w:r>
        <w:rPr/>
        <w:t>资本化期间：指从借款费用开始资本化时点到停止资本化时点的期间。借款费用暂停资本化的期间不包括在内。</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4" w:firstLine="300"/>
        <w:jc w:val="left"/>
      </w:pPr>
      <w:r>
        <w:rPr/>
        <w:t>暂停资本化期间：在购建或生产过程中发生非正常中断、且中断时间连续超过</w:t>
      </w:r>
      <w:r>
        <w:rPr>
          <w:rFonts w:ascii="Times New Roman" w:hAnsi="Times New Roman" w:cs="Times New Roman" w:eastAsia="Times New Roman" w:hint="default"/>
        </w:rPr>
        <w:t>3</w:t>
      </w:r>
      <w:r>
        <w:rPr/>
        <w:t>个月的，应当暂停借款费用的资本化期</w:t>
      </w:r>
      <w:r>
        <w:rPr>
          <w:spacing w:val="2"/>
        </w:rPr>
        <w:t> </w:t>
      </w:r>
      <w:r>
        <w:rPr/>
        <w:t>间。</w:t>
      </w:r>
    </w:p>
    <w:p>
      <w:pPr>
        <w:spacing w:line="240" w:lineRule="auto" w:before="10"/>
        <w:rPr>
          <w:rFonts w:ascii="宋体" w:hAnsi="宋体" w:cs="宋体" w:eastAsia="宋体" w:hint="default"/>
          <w:sz w:val="23"/>
          <w:szCs w:val="23"/>
        </w:rPr>
      </w:pPr>
    </w:p>
    <w:p>
      <w:pPr>
        <w:pStyle w:val="Heading3"/>
        <w:spacing w:line="240" w:lineRule="auto"/>
        <w:ind w:right="10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00"/>
        <w:jc w:val="left"/>
      </w:pPr>
      <w:r>
        <w:rPr/>
        <w:t>资本化金额计算：①借入专门借款，按照专门借款当期实际发生的利息费用，减去将尚未动用的借款资金存入银行取得 </w:t>
      </w:r>
      <w:r>
        <w:rPr>
          <w:spacing w:val="-2"/>
        </w:rPr>
        <w:t>的利息收入或进行暂时性投资取得的投资收益后的金额确定；②占用一般借款按照累计资产支出超过专门借款部分的资产支</w:t>
      </w:r>
      <w:r>
        <w:rPr>
          <w:spacing w:val="-64"/>
        </w:rPr>
        <w:t> </w:t>
      </w:r>
      <w:r>
        <w:rPr>
          <w:spacing w:val="-64"/>
        </w:rPr>
      </w:r>
      <w:r>
        <w:rPr/>
        <w:t>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BodyText"/>
        <w:spacing w:line="316" w:lineRule="auto" w:before="139"/>
        <w:ind w:right="104" w:firstLine="288"/>
        <w:jc w:val="left"/>
      </w:pPr>
      <w:r>
        <w:rPr>
          <w:spacing w:val="-1"/>
        </w:rPr>
        <w:t>实际利率法是根据借款实际利率计算其摊余折价或溢价或利息费用的方法。其中实际利率是借款在预期存续期间的未来</w:t>
      </w:r>
      <w:r>
        <w:rPr/>
        <w:t> 现金流量，折现为该借款当前账面价值所使用的利率。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04"/>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4"/>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580" w:lineRule="atLeast" w:before="28"/>
        <w:ind w:left="572" w:right="104"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z w:val="21"/>
          <w:szCs w:val="21"/>
        </w:rPr>
        <w:t>无形资产的计价方法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18"/>
          <w:szCs w:val="18"/>
        </w:rPr>
        <w:t>本公司无形资产按照成本进行初始计量。购入的无形资产，按实际支付的价款和相关支出作为实际成本。投资者投入</w:t>
      </w:r>
    </w:p>
    <w:p>
      <w:pPr>
        <w:pStyle w:val="BodyText"/>
        <w:spacing w:line="316" w:lineRule="auto" w:before="76"/>
        <w:ind w:right="104"/>
        <w:jc w:val="left"/>
      </w:pPr>
      <w:r>
        <w:rPr>
          <w:spacing w:val="-2"/>
        </w:rPr>
        <w:t>的无形资产，按投资合同或协议约定的价值确定实际成本，但合同或协议约定价值不公允的，按公允价值确定实际成本。自</w:t>
      </w:r>
      <w:r>
        <w:rPr>
          <w:spacing w:val="-64"/>
        </w:rPr>
        <w:t> </w:t>
      </w:r>
      <w:r>
        <w:rPr>
          <w:spacing w:val="-64"/>
        </w:rPr>
      </w:r>
      <w:r>
        <w:rPr/>
        <w:t>行开发的无形资产，其成本为达到预定用途前所发生的支出总额。</w:t>
      </w:r>
    </w:p>
    <w:p>
      <w:pPr>
        <w:pStyle w:val="BodyText"/>
        <w:spacing w:line="316" w:lineRule="auto" w:before="139"/>
        <w:ind w:right="104" w:firstLine="288"/>
        <w:jc w:val="left"/>
      </w:pPr>
      <w:r>
        <w:rPr/>
        <w:t>本公司无形资产后续计量，分别为：①使用寿命有限无形资产采用直线法摊销，并在年度终了，对无形资产的使用寿命 </w:t>
      </w:r>
      <w:r>
        <w:rPr>
          <w:spacing w:val="-4"/>
        </w:rPr>
        <w:t>和摊销方法进行复核，如与原先估计数存在差异的，进行相应的调整。②使用寿命不确定的无形资产不摊销，但在年度终了，</w:t>
      </w:r>
      <w:r>
        <w:rPr>
          <w:spacing w:val="-46"/>
        </w:rPr>
        <w:t> </w:t>
      </w:r>
      <w:r>
        <w:rPr>
          <w:spacing w:val="-46"/>
        </w:rPr>
      </w:r>
      <w:r>
        <w:rPr/>
        <w:t>对使用寿命进行复核，当有确凿证据表明其使用寿命是有限的，则估计其使用寿命，按直线法进行摊销。</w:t>
      </w:r>
    </w:p>
    <w:p>
      <w:pPr>
        <w:spacing w:line="240" w:lineRule="auto" w:before="11"/>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jc w:val="left"/>
      </w:pPr>
      <w:r>
        <w:rPr>
          <w:spacing w:val="-2"/>
        </w:rPr>
        <w:t>本公司对使用寿命有限的无形资产，估计其使用寿命时通常考虑以下因素：①运用该资产生产的产品通常的寿命周期、可获</w:t>
      </w:r>
      <w:r>
        <w:rPr>
          <w:spacing w:val="-63"/>
        </w:rPr>
        <w:t> </w:t>
      </w:r>
      <w:r>
        <w:rPr>
          <w:spacing w:val="-63"/>
        </w:rPr>
      </w:r>
      <w:r>
        <w:rPr>
          <w:spacing w:val="-2"/>
        </w:rPr>
        <w:t>得的类似资产使用寿命的信息；②技术、工艺等方面的现阶段情况及对未来发展趋势的估计；③以该资产生产的产品或提供</w:t>
      </w:r>
    </w:p>
    <w:p>
      <w:pPr>
        <w:spacing w:after="0" w:line="316" w:lineRule="auto"/>
        <w:jc w:val="left"/>
        <w:sectPr>
          <w:pgSz w:w="11910" w:h="16840"/>
          <w:pgMar w:header="745" w:footer="982"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r>
        <w:rPr>
          <w:spacing w:val="-2"/>
        </w:rPr>
        <w:t>劳务的市场需求情况；④现在或潜在的竞争者预期采取的行动；⑤为维持该资产带来经济利益能力的预期维护支出，以及公</w:t>
      </w:r>
      <w:r>
        <w:rPr>
          <w:spacing w:val="-63"/>
        </w:rPr>
        <w:t> </w:t>
      </w:r>
      <w:r>
        <w:rPr>
          <w:spacing w:val="-63"/>
        </w:rPr>
      </w:r>
      <w:r>
        <w:rPr>
          <w:spacing w:val="-2"/>
        </w:rPr>
        <w:t>司预计支付有关支出的能力；⑥对该资产控制期限的相关法律规定或类似限制，如特许使用期、租赁期等；⑦与公司持有其</w:t>
      </w:r>
      <w:r>
        <w:rPr>
          <w:spacing w:val="-64"/>
        </w:rPr>
        <w:t> </w:t>
      </w:r>
      <w:r>
        <w:rPr>
          <w:spacing w:val="-64"/>
        </w:rPr>
      </w:r>
      <w:r>
        <w:rPr/>
        <w:t>他资产使用寿命的关联性等。</w:t>
      </w:r>
    </w:p>
    <w:tbl>
      <w:tblPr>
        <w:tblW w:w="0" w:type="auto"/>
        <w:jc w:val="left"/>
        <w:tblInd w:w="145" w:type="dxa"/>
        <w:tblLayout w:type="fixed"/>
        <w:tblCellMar>
          <w:top w:w="0" w:type="dxa"/>
          <w:left w:w="0" w:type="dxa"/>
          <w:bottom w:w="0" w:type="dxa"/>
          <w:right w:w="0" w:type="dxa"/>
        </w:tblCellMar>
        <w:tblLook w:val="01E0"/>
      </w:tblPr>
      <w:tblGrid>
        <w:gridCol w:w="2280"/>
        <w:gridCol w:w="2215"/>
        <w:gridCol w:w="5074"/>
      </w:tblGrid>
      <w:tr>
        <w:trPr>
          <w:trHeight w:val="415" w:hRule="exact"/>
        </w:trPr>
        <w:tc>
          <w:tcPr>
            <w:tcW w:w="22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2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土地使用年限</w:t>
            </w:r>
          </w:p>
        </w:tc>
        <w:tc>
          <w:tcPr>
            <w:tcW w:w="5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土地使用权证规定的年限</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为公司带来经济利益的期限确定使用寿命</w:t>
            </w:r>
          </w:p>
        </w:tc>
      </w:tr>
    </w:tbl>
    <w:p>
      <w:pPr>
        <w:spacing w:line="240" w:lineRule="auto" w:before="12"/>
        <w:rPr>
          <w:rFonts w:ascii="宋体" w:hAnsi="宋体" w:cs="宋体" w:eastAsia="宋体" w:hint="default"/>
          <w:sz w:val="20"/>
          <w:szCs w:val="20"/>
        </w:rPr>
      </w:pPr>
    </w:p>
    <w:p>
      <w:pPr>
        <w:pStyle w:val="Heading3"/>
        <w:spacing w:line="240" w:lineRule="auto" w:before="36"/>
        <w:ind w:right="104"/>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572" w:right="104"/>
        <w:jc w:val="left"/>
      </w:pPr>
      <w:r>
        <w:rPr/>
        <w:t>本公司将无法预见该资产为公司带来经济利益的期限，或使用期限不确定等无形资产确定为使用寿命不确定的无形资</w:t>
      </w:r>
    </w:p>
    <w:p>
      <w:pPr>
        <w:pStyle w:val="BodyText"/>
        <w:spacing w:line="240" w:lineRule="auto" w:before="76"/>
        <w:ind w:right="104"/>
        <w:jc w:val="left"/>
      </w:pPr>
      <w:r>
        <w:rPr/>
        <w:t>产。</w:t>
      </w:r>
    </w:p>
    <w:p>
      <w:pPr>
        <w:spacing w:line="240" w:lineRule="auto" w:before="8"/>
        <w:rPr>
          <w:rFonts w:ascii="宋体" w:hAnsi="宋体" w:cs="宋体" w:eastAsia="宋体" w:hint="default"/>
          <w:sz w:val="11"/>
          <w:szCs w:val="11"/>
        </w:rPr>
      </w:pPr>
    </w:p>
    <w:p>
      <w:pPr>
        <w:pStyle w:val="BodyText"/>
        <w:spacing w:line="316" w:lineRule="auto" w:before="44"/>
        <w:ind w:right="104" w:firstLine="419"/>
        <w:jc w:val="left"/>
      </w:pPr>
      <w:r>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BodyText"/>
        <w:spacing w:line="316" w:lineRule="auto" w:before="139"/>
        <w:ind w:right="104" w:firstLine="288"/>
        <w:jc w:val="left"/>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13"/>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04" w:firstLine="419"/>
        <w:jc w:val="left"/>
      </w:pPr>
      <w:r>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440" w:right="104"/>
        <w:jc w:val="left"/>
      </w:pPr>
      <w:r>
        <w:rPr/>
        <w:t>无形资产可收回金额根据资产公允价值减去处置费用后的净额与资产预计未来现金流量的现值两者孰高确定。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04"/>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4"/>
        <w:jc w:val="left"/>
        <w:rPr>
          <w:b w:val="0"/>
          <w:bCs w:val="0"/>
        </w:rPr>
      </w:pPr>
      <w:r>
        <w:rPr/>
        <w:t>（</w:t>
      </w:r>
      <w:r>
        <w:rPr>
          <w:rFonts w:ascii="Times New Roman" w:hAnsi="Times New Roman" w:cs="Times New Roman" w:eastAsia="Times New Roman" w:hint="default"/>
        </w:rPr>
        <w:t>1</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288"/>
        <w:jc w:val="both"/>
      </w:pPr>
      <w:r>
        <w:rPr>
          <w:spacing w:val="-1"/>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3"/>
        </w:rPr>
        <w:t> </w:t>
      </w:r>
      <w:r>
        <w:rPr>
          <w:spacing w:val="-63"/>
        </w:rPr>
      </w:r>
      <w:r>
        <w:rPr>
          <w:spacing w:val="-2"/>
        </w:rPr>
        <w:t>计，以生产出新的或具有实质性改进的材料、装置、产品等阶段，应确定为开发阶段，该阶段具有针对性和形成成果的可能</w:t>
      </w:r>
      <w:r>
        <w:rPr>
          <w:spacing w:val="-67"/>
        </w:rPr>
        <w:t> </w:t>
      </w:r>
      <w:r>
        <w:rPr>
          <w:spacing w:val="-67"/>
        </w:rPr>
      </w:r>
      <w:r>
        <w:rPr/>
        <w:t>性较大等特点。</w:t>
      </w:r>
    </w:p>
    <w:p>
      <w:pPr>
        <w:spacing w:line="240" w:lineRule="auto" w:before="11"/>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2</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2" w:firstLine="288"/>
        <w:jc w:val="left"/>
      </w:pPr>
      <w:r>
        <w:rPr>
          <w:spacing w:val="-2"/>
        </w:rPr>
        <w:t>内部研究开发项目研究阶段的支出，于发生时计入当期损益；开发阶段的支出，同时满足下列条件的，确认为无形资产：</w:t>
      </w:r>
      <w:r>
        <w:rPr/>
        <w:t>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无形资 </w:t>
      </w:r>
      <w:r>
        <w:rPr>
          <w:spacing w:val="-2"/>
        </w:rPr>
        <w:t>产产生经济利益的方式，包括能够证明运用该无形资产生产的产品存在市场或无形资产自身存在市场，无形资产将在内部使</w:t>
      </w:r>
      <w:r>
        <w:rPr>
          <w:spacing w:val="-64"/>
        </w:rPr>
        <w:t> </w:t>
      </w:r>
      <w:r>
        <w:rPr>
          <w:spacing w:val="-64"/>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有足够的技术、财务资源和其他资源支持，以完成该无形资产的开发，并有能力使用或出售该 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归属于该无形资产开发阶段的支出能够可靠地计量。</w:t>
      </w:r>
    </w:p>
    <w:p>
      <w:pPr>
        <w:spacing w:after="0" w:line="309"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bookmarkStart w:name="22、长期资产减值" w:id="193"/>
      <w:bookmarkEnd w:id="193"/>
      <w:r>
        <w:rPr/>
      </w: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r>
        <w:rPr>
          <w:spacing w:val="-66"/>
        </w:rPr>
        <w:t> </w:t>
      </w:r>
      <w:r>
        <w:rPr>
          <w:spacing w:val="-66"/>
        </w:rPr>
      </w:r>
      <w:r>
        <w:rPr/>
        <w:t>于其账面价值的，按其差额计提减值准备并计入减值损失。</w:t>
      </w:r>
    </w:p>
    <w:p>
      <w:pPr>
        <w:pStyle w:val="BodyText"/>
        <w:spacing w:line="316" w:lineRule="auto" w:before="18"/>
        <w:ind w:right="193" w:firstLine="360"/>
        <w:jc w:val="both"/>
      </w:pPr>
      <w:r>
        <w:rPr>
          <w:spacing w:val="-2"/>
        </w:rPr>
        <w:t>可收回金额为资产的公允价值减去处置费用后的净额与资产预计未来现金流量的现值两者之间的较高者。资产减值准备</w:t>
      </w:r>
      <w:r>
        <w:rPr/>
        <w:t> </w:t>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8"/>
        <w:ind w:right="190"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4"/>
        </w:rPr>
        <w:t> </w:t>
      </w:r>
      <w:r>
        <w:rPr>
          <w:spacing w:val="-64"/>
        </w:rPr>
      </w:r>
      <w:r>
        <w:rPr>
          <w:spacing w:val="-2"/>
        </w:rPr>
        <w:t>额低于其账面价值的，确认相应的减值损失。减值损失金额先抵减分摊至该资产组或资产组组合的商誉的账面价值，再根据</w:t>
      </w:r>
      <w:r>
        <w:rPr>
          <w:spacing w:val="-63"/>
        </w:rPr>
        <w:t> </w:t>
      </w:r>
      <w:r>
        <w:rPr>
          <w:spacing w:val="-63"/>
        </w:rPr>
      </w:r>
      <w:r>
        <w:rPr/>
        <w:t>资产组或资产组组合中除商誉以外的其他各项资产的账面价值所占比重，按比例抵减其他各项资产的账面价值。</w:t>
      </w:r>
    </w:p>
    <w:p>
      <w:pPr>
        <w:pStyle w:val="BodyText"/>
        <w:spacing w:line="240" w:lineRule="auto" w:before="59"/>
        <w:ind w:right="104"/>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ind w:right="104"/>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firstLine="216"/>
        <w:jc w:val="left"/>
      </w:pPr>
      <w:r>
        <w:rPr/>
        <w:t>本公司长期待摊费用是指已经支出，但受益期限在一年以上（不含一年）的各项费用，主要包括车位使用费、房屋装修 </w:t>
      </w:r>
      <w:r>
        <w:rPr>
          <w:spacing w:val="-2"/>
        </w:rPr>
        <w:t>费等。长期待摊费用按费用项目的受益期限分期摊销。若长期待摊的费用项目不能使以后会计期间受益，则将尚未摊销的该</w:t>
      </w:r>
      <w:r>
        <w:rPr>
          <w:spacing w:val="-63"/>
        </w:rPr>
        <w:t> </w:t>
      </w:r>
      <w:r>
        <w:rPr>
          <w:spacing w:val="-63"/>
        </w:rPr>
      </w:r>
      <w:r>
        <w:rPr/>
        <w:t>项目的摊余价值全部转入当期损益。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jc w:val="left"/>
      </w:pPr>
      <w:r>
        <w:rPr>
          <w:spacing w:val="-2"/>
        </w:rPr>
        <w:t>在职工为本公司提供服务的会计期间，将实际发生的短期薪酬确认为负债，并计入当期损益，其他会计准则要求或允许计入</w:t>
      </w:r>
      <w:r>
        <w:rPr>
          <w:spacing w:val="-63"/>
        </w:rPr>
        <w:t> </w:t>
      </w:r>
      <w:r>
        <w:rPr>
          <w:spacing w:val="-63"/>
        </w:rPr>
      </w:r>
      <w:r>
        <w:rPr>
          <w:spacing w:val="-2"/>
        </w:rPr>
        <w:t>资产成本的除外。本公司发生的职工福利费，在实际发生时根据实际发生额计入当期损益或相关资产成本。职工福利费为非</w:t>
      </w:r>
      <w:r>
        <w:rPr>
          <w:spacing w:val="-63"/>
        </w:rPr>
        <w:t> </w:t>
      </w:r>
      <w:r>
        <w:rPr>
          <w:spacing w:val="-63"/>
        </w:rPr>
      </w:r>
      <w:r>
        <w:rPr/>
        <w:t>货币性福利的，按照公允价值计量。企业为职工缴纳的医疗保险费、工伤保险费、生育保险费等社会保险费和住房公积金， </w:t>
      </w:r>
      <w:r>
        <w:rPr>
          <w:spacing w:val="-2"/>
        </w:rPr>
        <w:t>以及按规定提取的工会经费和职工教育经费，在职工提供服务的会计期间，根据规定的计提基础和计提比例计算确定相应的</w:t>
      </w:r>
      <w:r>
        <w:rPr>
          <w:spacing w:val="-64"/>
        </w:rPr>
        <w:t> </w:t>
      </w:r>
      <w:r>
        <w:rPr>
          <w:spacing w:val="-64"/>
        </w:rPr>
      </w:r>
      <w:r>
        <w:rPr/>
        <w:t>职工薪酬金额，并确认相应负债，计入当期损益或相关资产成本。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本公司在职工提供服务的会计期间，根据设定提存计划计算的应缴存金额确认为负债，并计入当期损益或相关资产成本。根</w:t>
      </w:r>
      <w:r>
        <w:rPr>
          <w:spacing w:val="-63"/>
        </w:rPr>
        <w:t> </w:t>
      </w:r>
      <w:r>
        <w:rPr>
          <w:spacing w:val="-63"/>
        </w:rPr>
      </w:r>
      <w:r>
        <w:rPr>
          <w:spacing w:val="-2"/>
        </w:rPr>
        <w:t>据预期累计福利单位法确定的公式将设定受益计划产生的福利义务归属于职工提供服务的期间，并计入当期损益或相关资产</w:t>
      </w:r>
      <w:r>
        <w:rPr>
          <w:spacing w:val="-64"/>
        </w:rPr>
        <w:t> </w:t>
      </w:r>
      <w:r>
        <w:rPr>
          <w:spacing w:val="-64"/>
        </w:rPr>
      </w:r>
      <w:r>
        <w:rPr/>
        <w:t>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
        <w:jc w:val="left"/>
      </w:pPr>
      <w:r>
        <w:rPr>
          <w:spacing w:val="-2"/>
        </w:rPr>
        <w:t>企业向职工提供辞退福利时，在下列两者孰早日确认辞退福利产生的职工薪酬负债，并计入当期损益：企业不能单方面撤回</w:t>
      </w:r>
      <w:r>
        <w:rPr>
          <w:spacing w:val="-63"/>
        </w:rPr>
        <w:t> </w:t>
      </w:r>
      <w:r>
        <w:rPr>
          <w:spacing w:val="-63"/>
        </w:rPr>
      </w:r>
      <w:r>
        <w:rPr/>
        <w:t>因解除劳动关系计划或裁减建议所提供的辞退福利时；企业确认与涉及支付辞退福利的重组相关的成本或费用时。</w:t>
      </w:r>
    </w:p>
    <w:p>
      <w:pPr>
        <w:spacing w:after="0" w:line="316"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bookmarkStart w:name="（4）其他长期职工福利的会计处理方法" w:id="199"/>
      <w:bookmarkEnd w:id="199"/>
      <w:r>
        <w:rPr/>
      </w:r>
      <w:r>
        <w:rPr/>
        <w:t>本公司向职工提供的其他长期职工福利，符合设定提存计划条件的，应当按照有关设定提存计划的规定进行处理；除此外， 根据设定受益计划的有关规定，确认和计量其他长期职工福利净负债或净资产。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4"/>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5" w:firstLine="419"/>
        <w:jc w:val="both"/>
      </w:pPr>
      <w:r>
        <w:rPr/>
        <w:t>当与或有事项相关的义务是公司承担的现时义务，且履行该义务很可能导致经济利益流出，同时其金额能够可靠地计 量时确认该义务为预计负债。</w:t>
      </w:r>
    </w:p>
    <w:p>
      <w:pPr>
        <w:spacing w:line="240" w:lineRule="auto" w:before="10"/>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419"/>
        <w:jc w:val="both"/>
      </w:pPr>
      <w:r>
        <w:rPr/>
        <w:t>按照履行相关现时义务所需支出的最佳估计数进行初始计量，如所需支出存在一个连续范围，且该范围内各种结果发 </w:t>
      </w:r>
      <w:r>
        <w:rPr>
          <w:spacing w:val="-2"/>
        </w:rPr>
        <w:t>生的可能性相同，最佳估计数按照该范围内的中间值确定；如涉及多个项目，按照各种可能结果及相关概率计算确定最佳估</w:t>
      </w:r>
      <w:r>
        <w:rPr>
          <w:spacing w:val="-63"/>
        </w:rPr>
        <w:t> </w:t>
      </w:r>
      <w:r>
        <w:rPr>
          <w:spacing w:val="-63"/>
        </w:rPr>
      </w:r>
      <w:r>
        <w:rPr/>
        <w:t>计数。</w:t>
      </w:r>
    </w:p>
    <w:p>
      <w:pPr>
        <w:pStyle w:val="BodyText"/>
        <w:spacing w:line="316" w:lineRule="auto" w:before="139"/>
        <w:ind w:right="193"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04"/>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6"/>
        </w:rPr>
        <w:t> </w:t>
      </w:r>
      <w:r>
        <w:rPr>
          <w:spacing w:val="-46"/>
        </w:rPr>
      </w:r>
      <w:r>
        <w:rPr/>
        <w:t>包括参考熟悉情况并自愿交易的各方最近进行的市场交易中使用的价格、参照实质上相同的其他金融工具的当前公允价值、 现金流量折现法和期权定价模型等。</w:t>
      </w:r>
    </w:p>
    <w:p>
      <w:pPr>
        <w:pStyle w:val="BodyText"/>
        <w:spacing w:line="316" w:lineRule="auto" w:before="59"/>
        <w:ind w:right="190" w:firstLine="360"/>
        <w:jc w:val="both"/>
      </w:pPr>
      <w:r>
        <w:rPr>
          <w:spacing w:val="-2"/>
        </w:rPr>
        <w:t>在各个资产负债表日，根据最新取得的可行权人数变动、业绩指标完成情况等后续信息，修正预计可行权的股票期权数</w:t>
      </w:r>
      <w:r>
        <w:rPr/>
        <w:t> </w:t>
      </w:r>
      <w:r>
        <w:rPr>
          <w:spacing w:val="-2"/>
        </w:rPr>
        <w:t>量，并以此为依据确认各期应分摊的费用。对于跨越多个会计期间的期权费用，一般可以按照该期权在某会计期间内等待期</w:t>
      </w:r>
      <w:r>
        <w:rPr>
          <w:spacing w:val="-63"/>
        </w:rPr>
        <w:t> </w:t>
      </w:r>
      <w:r>
        <w:rPr>
          <w:spacing w:val="-63"/>
        </w:rPr>
      </w:r>
      <w:r>
        <w:rPr/>
        <w:t>长度占整个等待期长度的比例进行分摊。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104"/>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2" w:right="104" w:hanging="360"/>
        <w:jc w:val="left"/>
      </w:pPr>
      <w:r>
        <w:rPr>
          <w:rFonts w:ascii="Times New Roman" w:hAnsi="Times New Roman" w:cs="Times New Roman" w:eastAsia="Times New Roman" w:hint="default"/>
        </w:rPr>
        <w:t>1</w:t>
      </w:r>
      <w:r>
        <w:rPr/>
        <w:t>、金融负债和权益工具的划分 </w:t>
      </w:r>
      <w:r>
        <w:rPr>
          <w:spacing w:val="-2"/>
        </w:rPr>
        <w:t>本公司发行的优先股、永续债（例如长期限含权中期票据）、认股权、可转换公司债券等，按照以下原则换分为金融负</w:t>
      </w:r>
    </w:p>
    <w:p>
      <w:pPr>
        <w:pStyle w:val="BodyText"/>
        <w:spacing w:line="240" w:lineRule="auto"/>
        <w:ind w:right="104"/>
        <w:jc w:val="left"/>
      </w:pPr>
      <w:r>
        <w:rPr/>
        <w:t>债或权益工具：</w:t>
      </w:r>
    </w:p>
    <w:p>
      <w:pPr>
        <w:pStyle w:val="BodyText"/>
        <w:spacing w:line="300" w:lineRule="auto" w:before="115"/>
        <w:ind w:right="195" w:firstLine="180"/>
        <w:jc w:val="both"/>
      </w:pPr>
      <w:r>
        <w:rPr/>
        <w:t>（</w:t>
      </w:r>
      <w:r>
        <w:rPr>
          <w:rFonts w:ascii="Times New Roman" w:hAnsi="Times New Roman" w:cs="Times New Roman" w:eastAsia="Times New Roman" w:hint="default"/>
        </w:rPr>
        <w:t>1</w:t>
      </w:r>
      <w:r>
        <w:rPr/>
        <w:t>）通过交付现金、其他金融资产或交换金融资产或金融负债结算的情况。如果企业不能无条件地避免以交付现金或其 他金融资产来履行一项合同义务，则该合同义务符合金融负债的定义。</w:t>
      </w:r>
    </w:p>
    <w:p>
      <w:pPr>
        <w:pStyle w:val="BodyText"/>
        <w:spacing w:line="309" w:lineRule="auto" w:before="72"/>
        <w:ind w:right="190" w:firstLine="180"/>
        <w:jc w:val="both"/>
      </w:pPr>
      <w:r>
        <w:rPr/>
        <w:t>（</w:t>
      </w:r>
      <w:r>
        <w:rPr>
          <w:rFonts w:ascii="Times New Roman" w:hAnsi="Times New Roman" w:cs="Times New Roman" w:eastAsia="Times New Roman" w:hint="default"/>
        </w:rPr>
        <w:t>2</w:t>
      </w:r>
      <w:r>
        <w:rPr/>
        <w:t>）通过自身权益工具结算的情况。如果发行的金融工具须用或可用企业自身权益工具结算，作为现金或其他金融资产 </w:t>
      </w:r>
      <w:r>
        <w:rPr>
          <w:spacing w:val="-2"/>
        </w:rPr>
        <w:t>的替代品，该工具是发行方的金融负债；如果为了使该工具持有人享有在发行方扣除所有负债后的资产中的剩余权益，则该</w:t>
      </w:r>
      <w:r>
        <w:rPr>
          <w:spacing w:val="-63"/>
        </w:rPr>
        <w:t> </w:t>
      </w:r>
      <w:r>
        <w:rPr>
          <w:spacing w:val="-63"/>
        </w:rPr>
      </w:r>
      <w:r>
        <w:rPr/>
        <w:t>工具是发行方的权益工具。</w:t>
      </w:r>
    </w:p>
    <w:p>
      <w:pPr>
        <w:spacing w:after="0" w:line="309" w:lineRule="auto"/>
        <w:jc w:val="both"/>
        <w:sectPr>
          <w:footerReference w:type="default" r:id="rId14"/>
          <w:pgSz w:w="11910" w:h="16840"/>
          <w:pgMar w:footer="982" w:header="745" w:top="1060" w:bottom="1180" w:left="980" w:right="940"/>
        </w:sectPr>
      </w:pPr>
    </w:p>
    <w:p>
      <w:pPr>
        <w:spacing w:line="240" w:lineRule="auto" w:before="9"/>
        <w:rPr>
          <w:rFonts w:ascii="宋体" w:hAnsi="宋体" w:cs="宋体" w:eastAsia="宋体" w:hint="default"/>
          <w:sz w:val="25"/>
          <w:szCs w:val="25"/>
        </w:rPr>
      </w:pPr>
    </w:p>
    <w:p>
      <w:pPr>
        <w:pStyle w:val="BodyText"/>
        <w:spacing w:line="314" w:lineRule="auto" w:before="44"/>
        <w:ind w:right="94" w:firstLine="180"/>
        <w:jc w:val="left"/>
      </w:pPr>
      <w:r>
        <w:rPr/>
        <w:t>（</w:t>
      </w:r>
      <w:r>
        <w:rPr>
          <w:rFonts w:ascii="Times New Roman" w:hAnsi="Times New Roman" w:cs="Times New Roman" w:eastAsia="Times New Roman" w:hint="default"/>
        </w:rPr>
        <w:t>3</w:t>
      </w:r>
      <w:r>
        <w:rPr/>
        <w:t>）对于将来须用或可用企业自身权益工具结算的金融工具的分类，应当区分衍生工具还是非衍生工具。对于非衍生工 </w:t>
      </w:r>
      <w:r>
        <w:rPr>
          <w:spacing w:val="-2"/>
        </w:rPr>
        <w:t>具，如果发行方未来没有义务交付可变数量的自身权益工具进行结算，则该非衍生工具是权益工具；否则，该非衍生工具是</w:t>
      </w:r>
      <w:r>
        <w:rPr>
          <w:spacing w:val="-64"/>
        </w:rPr>
        <w:t> </w:t>
      </w:r>
      <w:r>
        <w:rPr>
          <w:spacing w:val="-64"/>
        </w:rPr>
      </w:r>
      <w:r>
        <w:rPr/>
        <w:t>金融负债。对于衍生工具，如果发行方只能通过以固定数量的自身权益工具交换固定金额的现金或其他金融资产进行结算， </w:t>
      </w:r>
      <w:r>
        <w:rPr>
          <w:spacing w:val="-2"/>
        </w:rPr>
        <w:t>则该衍生工具是权益工具；如果发行方以固定数量自身权益工具交换可变金额现金或其他金融资产，或以可变数量自身权益</w:t>
      </w:r>
      <w:r>
        <w:rPr>
          <w:spacing w:val="-64"/>
        </w:rPr>
        <w:t> </w:t>
      </w:r>
      <w:r>
        <w:rPr>
          <w:spacing w:val="-64"/>
        </w:rPr>
      </w:r>
      <w:r>
        <w:rPr>
          <w:spacing w:val="-2"/>
        </w:rPr>
        <w:t>工具交换固定金额现金或其他金融资产，或在转换价格不固定的情况下以可变数量自身权益工具交换可变金额现金或其他金</w:t>
      </w:r>
      <w:r>
        <w:rPr>
          <w:spacing w:val="-64"/>
        </w:rPr>
        <w:t> </w:t>
      </w:r>
      <w:r>
        <w:rPr>
          <w:spacing w:val="-64"/>
        </w:rPr>
      </w:r>
      <w:r>
        <w:rPr/>
        <w:t>融资产，则该衍生工具应当确认为金融负债或金融资产。</w:t>
      </w:r>
    </w:p>
    <w:p>
      <w:pPr>
        <w:pStyle w:val="BodyText"/>
        <w:spacing w:line="338" w:lineRule="auto" w:before="61"/>
        <w:ind w:left="368" w:right="104" w:hanging="216"/>
        <w:jc w:val="left"/>
      </w:pPr>
      <w:r>
        <w:rPr>
          <w:rFonts w:ascii="Times New Roman" w:hAnsi="Times New Roman" w:cs="Times New Roman" w:eastAsia="Times New Roman" w:hint="default"/>
        </w:rPr>
        <w:t>2</w:t>
      </w:r>
      <w:r>
        <w:rPr/>
        <w:t>、优先股、永续债的会计处理 发行方对于归类为金融负债的金融工具在</w:t>
      </w:r>
      <w:r>
        <w:rPr>
          <w:rFonts w:ascii="Times New Roman" w:hAnsi="Times New Roman" w:cs="Times New Roman" w:eastAsia="Times New Roman" w:hint="default"/>
        </w:rPr>
        <w:t>“</w:t>
      </w:r>
      <w:r>
        <w:rPr/>
        <w:t>应付债券</w:t>
      </w:r>
      <w:r>
        <w:rPr>
          <w:rFonts w:ascii="Times New Roman" w:hAnsi="Times New Roman" w:cs="Times New Roman" w:eastAsia="Times New Roman" w:hint="default"/>
        </w:rPr>
        <w:t>”</w:t>
      </w:r>
      <w:r>
        <w:rPr/>
        <w:t>科目核算，在该工具存续期间，计提利息并对账面的利息调整进行</w:t>
      </w:r>
    </w:p>
    <w:p>
      <w:pPr>
        <w:pStyle w:val="BodyText"/>
        <w:spacing w:line="217" w:lineRule="exact"/>
        <w:ind w:right="0"/>
        <w:jc w:val="left"/>
      </w:pPr>
      <w:r>
        <w:rPr/>
        <w:t>调整等的会计处理，按照金融工具确认和计量准则中有关金融负债按摊余成本后续计量的规定进行会计处理。发行方对于归</w:t>
      </w:r>
    </w:p>
    <w:p>
      <w:pPr>
        <w:pStyle w:val="BodyText"/>
        <w:spacing w:line="300" w:lineRule="auto" w:before="76"/>
        <w:ind w:right="104"/>
        <w:jc w:val="left"/>
      </w:pPr>
      <w:r>
        <w:rPr>
          <w:spacing w:val="-2"/>
        </w:rPr>
        <w:t>类为权益工具的在</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科目核算，在存续期间分派股利（含分类为权益工具的工具所产生的利息）的，作为利润</w:t>
      </w:r>
      <w:r>
        <w:rPr>
          <w:spacing w:val="-45"/>
        </w:rPr>
        <w:t> </w:t>
      </w:r>
      <w:r>
        <w:rPr>
          <w:spacing w:val="-45"/>
        </w:rPr>
      </w:r>
      <w:r>
        <w:rPr/>
        <w:t>分配处理。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04"/>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90" w:firstLine="360"/>
        <w:jc w:val="both"/>
      </w:pPr>
      <w:r>
        <w:rPr>
          <w:spacing w:val="-2"/>
        </w:rPr>
        <w:t>本公司销售的商品在同时满足下列条件时，按从购货方已收或应收的合同或协议价款的金额确认销售商品收入：①将商</w:t>
      </w:r>
      <w:r>
        <w:rPr/>
        <w:t> </w:t>
      </w:r>
      <w:r>
        <w:rPr>
          <w:spacing w:val="-2"/>
        </w:rPr>
        <w:t>品所有权上的主要风险和报酬转移给购货方；②既没有保留通常与所有权相联系的继续管理权，也没有对已售出的商品实施</w:t>
      </w:r>
      <w:r>
        <w:rPr>
          <w:spacing w:val="-64"/>
        </w:rPr>
        <w:t> </w:t>
      </w:r>
      <w:r>
        <w:rPr>
          <w:spacing w:val="-64"/>
        </w:rPr>
      </w:r>
      <w:r>
        <w:rPr>
          <w:spacing w:val="-2"/>
        </w:rPr>
        <w:t>有效控制；③收入的金额能够可靠地计量；④相关的经济利益很可能流入企业；⑤相关的已发生或将发生的成本能够可靠地</w:t>
      </w:r>
      <w:r>
        <w:rPr>
          <w:spacing w:val="-63"/>
        </w:rPr>
        <w:t> </w:t>
      </w:r>
      <w:r>
        <w:rPr>
          <w:spacing w:val="-63"/>
        </w:rPr>
      </w:r>
      <w:r>
        <w:rPr>
          <w:spacing w:val="-2"/>
        </w:rPr>
        <w:t>计量。合同或协议价款的收取采用递延方式，实质上具有融资性质的，按照应收的合同或协议价款的公允价值确定销售商品</w:t>
      </w:r>
      <w:r>
        <w:rPr>
          <w:spacing w:val="-63"/>
        </w:rPr>
        <w:t> </w:t>
      </w:r>
      <w:r>
        <w:rPr>
          <w:spacing w:val="-63"/>
        </w:rPr>
      </w:r>
      <w:r>
        <w:rPr>
          <w:spacing w:val="-2"/>
        </w:rPr>
        <w:t>收入金额。公司各产品的具体销售方式①、国内销售公司产品入库后，根据与客户签订的合同、订单等的要求送达到客户指</w:t>
      </w:r>
      <w:r>
        <w:rPr>
          <w:spacing w:val="-65"/>
        </w:rPr>
        <w:t> </w:t>
      </w:r>
      <w:r>
        <w:rPr>
          <w:spacing w:val="-65"/>
        </w:rPr>
      </w:r>
      <w:r>
        <w:rPr>
          <w:spacing w:val="-2"/>
        </w:rPr>
        <w:t>定的地点，由客户完成验收后在送货单上签收，签收后的送货单交财务部门，财务部门根据送货单逐单按客户归集并编制对</w:t>
      </w:r>
      <w:r>
        <w:rPr>
          <w:spacing w:val="-63"/>
        </w:rPr>
        <w:t> </w:t>
      </w:r>
      <w:r>
        <w:rPr>
          <w:spacing w:val="-63"/>
        </w:rPr>
      </w:r>
      <w:r>
        <w:rPr/>
        <w:t>账单。公司财务部门与客户就对账单确认后，根据双方确认的品名、数量、金额开具发票并确认收入。出口销售：</w:t>
      </w:r>
      <w:r>
        <w:rPr>
          <w:rFonts w:ascii="Times New Roman" w:hAnsi="Times New Roman" w:cs="Times New Roman" w:eastAsia="Times New Roman" w:hint="default"/>
        </w:rPr>
        <w:t>a</w:t>
      </w:r>
      <w:r>
        <w:rPr/>
        <w:t>、直接 </w:t>
      </w:r>
      <w:r>
        <w:rPr>
          <w:spacing w:val="-2"/>
        </w:rPr>
        <w:t>出口：公司产品入库后，根据与客户签订的合同、订单等要求备货装车后，报关部门再根据出货订单进行逐单申报，财务部</w:t>
      </w:r>
      <w:r>
        <w:rPr>
          <w:spacing w:val="-67"/>
        </w:rPr>
        <w:t> </w:t>
      </w:r>
      <w:r>
        <w:rPr>
          <w:spacing w:val="-67"/>
        </w:rPr>
      </w:r>
      <w:r>
        <w:rPr/>
        <w:t>门根据报关部门提供的报关单开具出口专用发票；财务部门根据出口专用发票入账确认收入；</w:t>
      </w:r>
      <w:r>
        <w:rPr>
          <w:rFonts w:ascii="Times New Roman" w:hAnsi="Times New Roman" w:cs="Times New Roman" w:eastAsia="Times New Roman" w:hint="default"/>
        </w:rPr>
        <w:t>b</w:t>
      </w:r>
      <w:r>
        <w:rPr/>
        <w:t>、转厂出口：公司产品入库 </w:t>
      </w:r>
      <w:r>
        <w:rPr>
          <w:spacing w:val="-2"/>
        </w:rPr>
        <w:t>后，根据与客户签订的合同、订单等的要求送达到客户指定的地点，由客户完成验收后在送货单上签收，签收后的送货单交</w:t>
      </w:r>
      <w:r>
        <w:rPr>
          <w:spacing w:val="-64"/>
        </w:rPr>
        <w:t> </w:t>
      </w:r>
      <w:r>
        <w:rPr>
          <w:spacing w:val="-64"/>
        </w:rPr>
      </w:r>
      <w:r>
        <w:rPr>
          <w:spacing w:val="-2"/>
        </w:rPr>
        <w:t>财务部门，财务部门根据送货单逐单按客户归集并编制对账单。公司业务部门与客户对账确认之后，公司负责报关的部门根</w:t>
      </w:r>
      <w:r>
        <w:rPr>
          <w:spacing w:val="-63"/>
        </w:rPr>
        <w:t> </w:t>
      </w:r>
      <w:r>
        <w:rPr>
          <w:spacing w:val="-63"/>
        </w:rPr>
      </w:r>
      <w:r>
        <w:rPr>
          <w:spacing w:val="-2"/>
        </w:rPr>
        <w:t>据双方对账确认的品名、数量、金额进行报关出口，并将报关单交与财务部门，财务部门开具出口专用发票连同报关单一起</w:t>
      </w:r>
      <w:r>
        <w:rPr>
          <w:spacing w:val="-64"/>
        </w:rPr>
        <w:t> </w:t>
      </w:r>
      <w:r>
        <w:rPr>
          <w:spacing w:val="-64"/>
        </w:rPr>
      </w:r>
      <w:r>
        <w:rPr/>
        <w:t>入账确认收入。</w:t>
      </w:r>
    </w:p>
    <w:p>
      <w:pPr>
        <w:spacing w:line="240" w:lineRule="auto" w:before="13"/>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104"/>
        <w:jc w:val="left"/>
      </w:pPr>
      <w:r>
        <w:rPr/>
        <w:t>本公司在让渡资产使用权相关的经济利益很可能流入并且收入的金额能够可靠地计量时确认让渡资产使用权收入。</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firstLine="419"/>
        <w:jc w:val="left"/>
      </w:pPr>
      <w:r>
        <w:rPr/>
        <w:t>在资产负债表日提供劳务交易的结果能够可靠估计的，采用完工百分比法确认提供劳务收入。本公司根据已完工作的 测量确定提供劳务交易的完工进度（完工百分比）。</w:t>
      </w:r>
    </w:p>
    <w:p>
      <w:pPr>
        <w:pStyle w:val="BodyText"/>
        <w:spacing w:line="316" w:lineRule="auto" w:before="139"/>
        <w:ind w:right="104" w:firstLine="360"/>
        <w:jc w:val="left"/>
      </w:pPr>
      <w:r>
        <w:rPr>
          <w:spacing w:val="-4"/>
        </w:rPr>
        <w:t>在资产负债表日提供劳务交易结果不能够可靠估计的，分别下列情况处理：①已经发生的劳务成本预计能够得到补偿的，</w:t>
      </w:r>
      <w:r>
        <w:rPr/>
        <w:t> </w:t>
      </w:r>
      <w:r>
        <w:rPr>
          <w:spacing w:val="-2"/>
        </w:rPr>
        <w:t>按照已经发生的劳务成本金额确认提供劳务收入，并按相同金额结转劳务成本；②已经发生的劳务成本预计不能够得到补偿</w:t>
      </w:r>
      <w:r>
        <w:rPr>
          <w:spacing w:val="-64"/>
        </w:rPr>
        <w:t> </w:t>
      </w:r>
      <w:r>
        <w:rPr>
          <w:spacing w:val="-64"/>
        </w:rPr>
      </w:r>
      <w:r>
        <w:rPr/>
        <w:t>的，将已经发生的劳务成本计入当期损益，不确认提供劳务收入。</w:t>
      </w:r>
    </w:p>
    <w:p>
      <w:pPr>
        <w:spacing w:line="240" w:lineRule="auto" w:before="13"/>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after="0" w:line="240" w:lineRule="auto"/>
        <w:jc w:val="left"/>
        <w:sectPr>
          <w:footerReference w:type="default" r:id="rId15"/>
          <w:pgSz w:w="11910" w:h="16840"/>
          <w:pgMar w:footer="982" w:header="745" w:top="1060" w:bottom="1180" w:left="980" w:right="940"/>
          <w:pgNumType w:start="101"/>
        </w:sectPr>
      </w:pPr>
    </w:p>
    <w:p>
      <w:pPr>
        <w:spacing w:line="240" w:lineRule="auto" w:before="9"/>
        <w:rPr>
          <w:rFonts w:ascii="宋体" w:hAnsi="宋体" w:cs="宋体" w:eastAsia="宋体" w:hint="default"/>
          <w:b/>
          <w:bCs/>
          <w:sz w:val="25"/>
          <w:szCs w:val="25"/>
        </w:rPr>
      </w:pPr>
    </w:p>
    <w:p>
      <w:pPr>
        <w:pStyle w:val="BodyText"/>
        <w:spacing w:line="316" w:lineRule="auto" w:before="44"/>
        <w:ind w:right="193" w:firstLine="419"/>
        <w:jc w:val="both"/>
      </w:pPr>
      <w:r>
        <w:rPr/>
        <w:t>①建造合同的结果在资产负债表日能够可靠估计的，根据完工百分比法确认合同收入和合同费用。建造合同的结果在 </w:t>
      </w:r>
      <w:r>
        <w:rPr>
          <w:spacing w:val="-2"/>
        </w:rPr>
        <w:t>资产负债表日不能够可靠估计的，若合同成本能够收回的，合同收入根据能够收回的实际合同成本予以确认，合同成本在其</w:t>
      </w:r>
      <w:r>
        <w:rPr>
          <w:spacing w:val="-65"/>
        </w:rPr>
        <w:t> </w:t>
      </w:r>
      <w:r>
        <w:rPr>
          <w:spacing w:val="-65"/>
        </w:rPr>
      </w:r>
      <w:r>
        <w:rPr/>
        <w:t>发生的当期确认为合同费用；若合同成本不可能收回的，在发生时立即确认为合同费用，不确认合同收入。</w:t>
      </w:r>
    </w:p>
    <w:p>
      <w:pPr>
        <w:pStyle w:val="BodyText"/>
        <w:spacing w:line="427" w:lineRule="auto" w:before="139"/>
        <w:ind w:left="572" w:right="3814"/>
        <w:jc w:val="left"/>
      </w:pPr>
      <w:r>
        <w:rPr/>
        <w:t>②建造合同在同时满足下列条件的情况下，表明其结果能够可靠估计： </w:t>
      </w:r>
      <w:r>
        <w:rPr>
          <w:rFonts w:ascii="Times New Roman" w:hAnsi="Times New Roman" w:cs="Times New Roman" w:eastAsia="Times New Roman" w:hint="default"/>
        </w:rPr>
        <w:t>a.</w:t>
      </w:r>
      <w:r>
        <w:rPr/>
        <w:t>与合同相关的经济利益很可能流入企业； </w:t>
      </w:r>
      <w:r>
        <w:rPr>
          <w:rFonts w:ascii="Times New Roman" w:hAnsi="Times New Roman" w:cs="Times New Roman" w:eastAsia="Times New Roman" w:hint="default"/>
        </w:rPr>
        <w:t>b.</w:t>
      </w:r>
      <w:r>
        <w:rPr/>
        <w:t>实际发生的合同成本能够清楚地区分和可靠地计量；</w:t>
      </w:r>
    </w:p>
    <w:p>
      <w:pPr>
        <w:pStyle w:val="BodyText"/>
        <w:spacing w:line="240" w:lineRule="auto" w:before="27"/>
        <w:ind w:left="572" w:right="104"/>
        <w:jc w:val="left"/>
      </w:pPr>
      <w:r>
        <w:rPr>
          <w:rFonts w:ascii="Times New Roman" w:hAnsi="Times New Roman" w:cs="Times New Roman" w:eastAsia="Times New Roman" w:hint="default"/>
        </w:rPr>
        <w:t>c.</w:t>
      </w:r>
      <w:r>
        <w:rPr/>
        <w:t>固定造价合同还必须同时满足合同总收入能够可靠计量及合同完工进度和为完成合同尚需发生的成本能够可靠地确</w:t>
      </w:r>
    </w:p>
    <w:p>
      <w:pPr>
        <w:pStyle w:val="BodyText"/>
        <w:spacing w:line="240" w:lineRule="auto" w:before="62"/>
        <w:ind w:right="104"/>
        <w:jc w:val="left"/>
      </w:pPr>
      <w:r>
        <w:rPr/>
        <w:t>定。</w:t>
      </w:r>
    </w:p>
    <w:p>
      <w:pPr>
        <w:spacing w:line="240" w:lineRule="auto" w:before="8"/>
        <w:rPr>
          <w:rFonts w:ascii="宋体" w:hAnsi="宋体" w:cs="宋体" w:eastAsia="宋体" w:hint="default"/>
          <w:sz w:val="11"/>
          <w:szCs w:val="11"/>
        </w:rPr>
      </w:pPr>
    </w:p>
    <w:p>
      <w:pPr>
        <w:pStyle w:val="BodyText"/>
        <w:spacing w:line="240" w:lineRule="auto" w:before="44"/>
        <w:ind w:left="572" w:right="104"/>
        <w:jc w:val="left"/>
      </w:pPr>
      <w:r>
        <w:rPr/>
        <w:t>③</w:t>
      </w:r>
      <w:r>
        <w:rPr>
          <w:spacing w:val="-18"/>
        </w:rPr>
        <w:t> </w:t>
      </w:r>
      <w:r>
        <w:rPr/>
        <w:t>本公司按累计实际发生的合同成本占合同预计总成本的比例确定合同完工进度。</w:t>
      </w:r>
    </w:p>
    <w:p>
      <w:pPr>
        <w:spacing w:line="240" w:lineRule="auto" w:before="0"/>
        <w:rPr>
          <w:rFonts w:ascii="宋体" w:hAnsi="宋体" w:cs="宋体" w:eastAsia="宋体" w:hint="default"/>
          <w:sz w:val="15"/>
          <w:szCs w:val="15"/>
        </w:rPr>
      </w:pPr>
    </w:p>
    <w:p>
      <w:pPr>
        <w:pStyle w:val="BodyText"/>
        <w:spacing w:line="240" w:lineRule="auto"/>
        <w:ind w:left="656" w:right="104"/>
        <w:jc w:val="left"/>
      </w:pPr>
      <w:r>
        <w:rPr/>
        <w:t>④</w:t>
      </w:r>
      <w:r>
        <w:rPr>
          <w:spacing w:val="-16"/>
        </w:rPr>
        <w:t> </w:t>
      </w:r>
      <w:r>
        <w:rPr/>
        <w:t>资产负债表日，合同预计总成本超过合同总收入的，将预计损失确认为当期费用。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3"/>
        <w:spacing w:line="240" w:lineRule="auto"/>
        <w:ind w:right="104"/>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4"/>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2"/>
        </w:rPr>
        <w:t>本公司取得的、用于购建或以其他方式形成长期资产的政府补助，确认为与资产相关的政府补助，与资产相关的政府补</w:t>
      </w:r>
      <w:r>
        <w:rPr/>
        <w:t> 助，确认为递延收益，自相关资产可供使用时起，按照相关资产的预计使用期限，将递延收益平均分摊转入当期损益。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104"/>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 w:firstLine="72"/>
        <w:jc w:val="left"/>
      </w:pPr>
      <w:r>
        <w:rPr/>
        <w:t>除与资产相关的政府补助之外的政府补助，确认为与收益相关的政府补助。分别下列情况处理：用于补偿企业以后期间的 </w:t>
      </w:r>
      <w:r>
        <w:rPr>
          <w:spacing w:val="-4"/>
        </w:rPr>
        <w:t>相关费用或损失的，确认为递延收益，并在确认相关费用的期间，计入当期损益；用于补偿企业已发生的相关费用或损失的，</w:t>
      </w:r>
      <w:r>
        <w:rPr>
          <w:spacing w:val="-46"/>
        </w:rPr>
        <w:t> </w:t>
      </w:r>
      <w:r>
        <w:rPr>
          <w:spacing w:val="-46"/>
        </w:rPr>
      </w:r>
      <w:r>
        <w:rPr/>
        <w:t>直接计入当期损益。</w:t>
      </w:r>
    </w:p>
    <w:p>
      <w:pPr>
        <w:pStyle w:val="BodyText"/>
        <w:spacing w:line="316" w:lineRule="auto" w:before="59"/>
        <w:ind w:left="440" w:right="104"/>
        <w:jc w:val="left"/>
      </w:pPr>
      <w:r>
        <w:rPr/>
        <w:t>区分与资产相关政府补助和与收益相关政府补助的具体标准： </w:t>
      </w:r>
      <w:r>
        <w:rPr>
          <w:spacing w:val="-1"/>
        </w:rPr>
        <w:t>若政府文件未明确规定补助对象，将该政府补助划分为与资产相关或与收益相关的判断依据：①政府文件明确了补助所</w:t>
      </w:r>
    </w:p>
    <w:p>
      <w:pPr>
        <w:pStyle w:val="BodyText"/>
        <w:spacing w:line="316" w:lineRule="auto" w:before="18"/>
        <w:ind w:right="193"/>
        <w:jc w:val="both"/>
      </w:pPr>
      <w:r>
        <w:rPr>
          <w:spacing w:val="-2"/>
        </w:rPr>
        <w:t>针对的特定项目的，根据该特定项目的预算中将形成资产的支出金额和计入费用的支出金额的相对比例进行划分，对该划分</w:t>
      </w:r>
      <w:r>
        <w:rPr>
          <w:spacing w:val="-64"/>
        </w:rPr>
        <w:t> </w:t>
      </w:r>
      <w:r>
        <w:rPr>
          <w:spacing w:val="-64"/>
        </w:rPr>
      </w:r>
      <w:r>
        <w:rPr>
          <w:spacing w:val="-2"/>
        </w:rPr>
        <w:t>比例需在每个资产负债表日进行复核，必要时进行变更；②政府文件中对用途仅作一般性表述，没有指明特定项目的，作为</w:t>
      </w:r>
      <w:r>
        <w:rPr>
          <w:spacing w:val="-66"/>
        </w:rPr>
        <w:t> </w:t>
      </w:r>
      <w:r>
        <w:rPr>
          <w:spacing w:val="-66"/>
        </w:rPr>
      </w:r>
      <w:r>
        <w:rPr/>
        <w:t>与收益相关的政府补助。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4"/>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递延所得税资产的确认以很可能取得用来抵扣可抵扣暂时性差异的应纳税所得额为限。资产负债表日，有确凿证据表明</w:t>
      </w:r>
      <w:r>
        <w:rPr/>
        <w:t> </w:t>
      </w:r>
      <w:r>
        <w:rPr>
          <w:spacing w:val="-2"/>
        </w:rPr>
        <w:t>未来期间很可能获得足够的应纳税所得额用来抵扣可抵扣暂时性差异的，确认以前会计期间未确认的递延所得税资产。如未</w:t>
      </w:r>
      <w:r>
        <w:rPr>
          <w:spacing w:val="-64"/>
        </w:rPr>
        <w:t> </w:t>
      </w:r>
      <w:r>
        <w:rPr>
          <w:spacing w:val="-64"/>
        </w:rPr>
      </w:r>
      <w:r>
        <w:rPr/>
        <w:t>来期间很可能无法获得足够的应纳税所得额用以抵扣递延所得税资产的，则减记递延所得税资产的账面价值。</w:t>
      </w:r>
    </w:p>
    <w:p>
      <w:pPr>
        <w:spacing w:line="240" w:lineRule="auto" w:before="13"/>
        <w:rPr>
          <w:rFonts w:ascii="宋体" w:hAnsi="宋体" w:cs="宋体" w:eastAsia="宋体" w:hint="default"/>
          <w:sz w:val="22"/>
          <w:szCs w:val="22"/>
        </w:rPr>
      </w:pPr>
    </w:p>
    <w:p>
      <w:pPr>
        <w:pStyle w:val="Heading3"/>
        <w:spacing w:line="240" w:lineRule="auto"/>
        <w:ind w:right="10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after="0" w:line="240" w:lineRule="auto"/>
        <w:jc w:val="left"/>
        <w:sectPr>
          <w:pgSz w:w="11910" w:h="16840"/>
          <w:pgMar w:header="745" w:footer="982" w:top="1060" w:bottom="1180" w:left="980" w:right="940"/>
        </w:sectPr>
      </w:pPr>
    </w:p>
    <w:p>
      <w:pPr>
        <w:spacing w:line="240" w:lineRule="auto" w:before="9"/>
        <w:rPr>
          <w:rFonts w:ascii="宋体" w:hAnsi="宋体" w:cs="宋体" w:eastAsia="宋体" w:hint="default"/>
          <w:b/>
          <w:bCs/>
          <w:sz w:val="25"/>
          <w:szCs w:val="25"/>
        </w:rPr>
      </w:pPr>
    </w:p>
    <w:p>
      <w:pPr>
        <w:pStyle w:val="BodyText"/>
        <w:spacing w:line="316" w:lineRule="auto" w:before="44"/>
        <w:ind w:right="333" w:firstLine="288"/>
        <w:jc w:val="both"/>
      </w:pPr>
      <w:r>
        <w:rPr>
          <w:spacing w:val="-1"/>
        </w:rPr>
        <w:t>对与子公司及联营企业投资相关的应纳税暂时性差异，确认递延所得税负债，除非本公司能够控制暂时性差异转回的时</w:t>
      </w:r>
      <w:r>
        <w:rPr/>
        <w:t> </w:t>
      </w:r>
      <w:r>
        <w:rPr>
          <w:spacing w:val="-2"/>
        </w:rPr>
        <w:t>间且该暂时性差异在可预见的未来很可能不会转回。对与子公司及联营企业投资相关的可抵扣暂时性差异，当该暂时性差异</w:t>
      </w:r>
      <w:r>
        <w:rPr>
          <w:spacing w:val="-64"/>
        </w:rPr>
        <w:t> </w:t>
      </w:r>
      <w:r>
        <w:rPr>
          <w:spacing w:val="-64"/>
        </w:rPr>
      </w:r>
      <w:r>
        <w:rPr/>
        <w:t>在可预见的未来很可能转回且未来很可能获得用来抵扣可抵扣暂时性差异的应纳税所得额时，确认递延所得税资产。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both"/>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both"/>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333"/>
        <w:jc w:val="both"/>
      </w:pPr>
      <w:r>
        <w:rPr>
          <w:spacing w:val="-2"/>
        </w:rPr>
        <w:t>以租赁资产的公允价值与最低租赁付款额的现值两者中较低者作为租入资产的入账价值，租入资产的入账价值与最低租赁付</w:t>
      </w:r>
      <w:r>
        <w:rPr>
          <w:spacing w:val="-64"/>
        </w:rPr>
        <w:t> </w:t>
      </w:r>
      <w:r>
        <w:rPr>
          <w:spacing w:val="-64"/>
        </w:rPr>
      </w:r>
      <w:r>
        <w:rPr>
          <w:spacing w:val="-2"/>
        </w:rPr>
        <w:t>款额之间的差额作为未确认融资费用，在租赁期内按实际利率法摊销。最低租赁付款额扣除未确认融资费用后的余额作为长</w:t>
      </w:r>
      <w:r>
        <w:rPr>
          <w:spacing w:val="-64"/>
        </w:rPr>
        <w:t> </w:t>
      </w:r>
      <w:r>
        <w:rPr>
          <w:spacing w:val="-64"/>
        </w:rPr>
      </w:r>
      <w:r>
        <w:rPr/>
        <w:t>期应付款列示。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pict>
          <v:shape style="position:absolute;margin-left:360.839996pt;margin-top:37.751713pt;width:174pt;height:46.8pt;mso-position-horizontal-relative:page;mso-position-vertical-relative:paragraph;z-index:-944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0" w:right="0"/>
                    <w:jc w:val="left"/>
                  </w:pPr>
                  <w:r>
                    <w:rPr/>
                    <w:t>时）</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投资性房地产的后续计量由成本计量模</w:t>
            </w:r>
          </w:p>
        </w:tc>
        <w:tc>
          <w:tcPr>
            <w:tcW w:w="3187" w:type="dxa"/>
            <w:tcBorders>
              <w:top w:val="single" w:sz="4" w:space="0" w:color="000000"/>
              <w:left w:val="single" w:sz="4" w:space="0" w:color="000000"/>
              <w:bottom w:val="nil" w:sz="6" w:space="0" w:color="auto"/>
              <w:right w:val="single" w:sz="4" w:space="0" w:color="000000"/>
            </w:tcBorders>
          </w:tcPr>
          <w:p>
            <w:pPr/>
          </w:p>
        </w:tc>
        <w:tc>
          <w:tcPr>
            <w:tcW w:w="3190" w:type="dxa"/>
            <w:vMerge w:val="restart"/>
            <w:tcBorders>
              <w:top w:val="single" w:sz="4" w:space="0" w:color="000000"/>
              <w:left w:val="single" w:sz="4" w:space="0" w:color="000000"/>
              <w:right w:val="single" w:sz="4" w:space="0" w:color="000000"/>
            </w:tcBorders>
          </w:tcPr>
          <w:p>
            <w:pPr>
              <w:pStyle w:val="TableParagraph"/>
              <w:spacing w:line="936" w:lineRule="exact"/>
              <w:ind w:left="2"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158.9pt;height:46.8pt;mso-position-horizontal-relative:char;mso-position-vertical-relative:line" coordorigin="0,0" coordsize="3178,936">
                  <v:group style="position:absolute;left:0;top:0;width:3178;height:936" coordorigin="0,0" coordsize="3178,936">
                    <v:shape style="position:absolute;left:0;top:0;width:3178;height:936" coordorigin="0,0" coordsize="3178,936" path="m0,936l3178,936,3178,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式变更为公允价值计量模式；根据《企</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投资性房地产》规</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经公司第三届董事会第二十一次（临</w:t>
            </w:r>
          </w:p>
        </w:tc>
        <w:tc>
          <w:tcPr>
            <w:tcW w:w="3190" w:type="dxa"/>
            <w:vMerge/>
            <w:tcBorders>
              <w:left w:val="single" w:sz="4" w:space="0" w:color="000000"/>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定，成本模式转为公允价值模式的，应</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会议、第三届监事会第十三次会议审议</w:t>
            </w:r>
          </w:p>
        </w:tc>
        <w:tc>
          <w:tcPr>
            <w:tcW w:w="3190" w:type="dxa"/>
            <w:vMerge/>
            <w:tcBorders>
              <w:left w:val="single" w:sz="4" w:space="0" w:color="000000"/>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当作为会计政策变更，按照《企业会计</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3190" w:type="dxa"/>
            <w:vMerge/>
            <w:tcBorders>
              <w:left w:val="single" w:sz="4" w:space="0" w:color="000000"/>
              <w:right w:val="single" w:sz="4" w:space="0" w:color="000000"/>
            </w:tcBorders>
          </w:tcPr>
          <w:p>
            <w:pPr/>
          </w:p>
        </w:tc>
      </w:tr>
      <w:tr>
        <w:trPr>
          <w:trHeight w:val="317"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28 </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会计政策、会计估计变更</w:t>
            </w:r>
          </w:p>
        </w:tc>
        <w:tc>
          <w:tcPr>
            <w:tcW w:w="3187"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55"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和差错更正》进行会计处理。</w:t>
            </w:r>
          </w:p>
        </w:tc>
        <w:tc>
          <w:tcPr>
            <w:tcW w:w="3187"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pStyle w:val="BodyText"/>
        <w:spacing w:line="314" w:lineRule="auto" w:before="49"/>
        <w:ind w:right="323" w:firstLine="271"/>
        <w:jc w:val="left"/>
      </w:pPr>
      <w:r>
        <w:rPr/>
        <w:t>公司对上述会计政策变更采用追溯调整法核算并重述了可比年度的财务报表。受到上述会计政策变更影响的报表项目名 称及</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2013</w:t>
      </w:r>
      <w:r>
        <w:rPr/>
        <w:t>年度调整影响如下：</w:t>
      </w:r>
    </w:p>
    <w:p>
      <w:pPr>
        <w:pStyle w:val="BodyText"/>
        <w:spacing w:line="240" w:lineRule="auto" w:before="42"/>
        <w:ind w:left="6570" w:right="344"/>
        <w:jc w:val="left"/>
      </w:pPr>
      <w:r>
        <w:rPr/>
        <w:t>单位：人民币元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556"/>
        <w:gridCol w:w="1922"/>
        <w:gridCol w:w="1922"/>
        <w:gridCol w:w="1728"/>
        <w:gridCol w:w="1726"/>
      </w:tblGrid>
      <w:tr>
        <w:trPr>
          <w:trHeight w:val="338" w:hRule="exact"/>
        </w:trPr>
        <w:tc>
          <w:tcPr>
            <w:tcW w:w="2556" w:type="dxa"/>
            <w:vMerge w:val="restart"/>
            <w:tcBorders>
              <w:top w:val="nil" w:sz="6" w:space="0" w:color="auto"/>
              <w:left w:val="nil" w:sz="6" w:space="0" w:color="auto"/>
              <w:right w:val="single" w:sz="6"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3845"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3454"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17"/>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336" w:hRule="exact"/>
        </w:trPr>
        <w:tc>
          <w:tcPr>
            <w:tcW w:w="2556" w:type="dxa"/>
            <w:vMerge/>
            <w:tcBorders>
              <w:left w:val="nil" w:sz="6" w:space="0" w:color="auto"/>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99"/>
              <w:jc w:val="right"/>
              <w:rPr>
                <w:rFonts w:ascii="宋体" w:hAnsi="宋体" w:cs="宋体" w:eastAsia="宋体" w:hint="default"/>
                <w:sz w:val="18"/>
                <w:szCs w:val="18"/>
              </w:rPr>
            </w:pPr>
            <w:r>
              <w:rPr>
                <w:rFonts w:ascii="宋体" w:hAnsi="宋体" w:cs="宋体" w:eastAsia="宋体" w:hint="default"/>
                <w:sz w:val="18"/>
                <w:szCs w:val="18"/>
              </w:rPr>
              <w:t>调整前金额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501"/>
              <w:jc w:val="right"/>
              <w:rPr>
                <w:rFonts w:ascii="宋体" w:hAnsi="宋体" w:cs="宋体" w:eastAsia="宋体" w:hint="default"/>
                <w:sz w:val="18"/>
                <w:szCs w:val="18"/>
              </w:rPr>
            </w:pPr>
            <w:r>
              <w:rPr>
                <w:rFonts w:ascii="宋体" w:hAnsi="宋体" w:cs="宋体" w:eastAsia="宋体" w:hint="default"/>
                <w:sz w:val="18"/>
                <w:szCs w:val="18"/>
              </w:rPr>
              <w:t>调整后金额</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07"/>
              <w:jc w:val="right"/>
              <w:rPr>
                <w:rFonts w:ascii="宋体" w:hAnsi="宋体" w:cs="宋体" w:eastAsia="宋体" w:hint="default"/>
                <w:sz w:val="18"/>
                <w:szCs w:val="18"/>
              </w:rPr>
            </w:pPr>
            <w:r>
              <w:rPr>
                <w:rFonts w:ascii="宋体" w:hAnsi="宋体" w:cs="宋体" w:eastAsia="宋体" w:hint="default"/>
                <w:sz w:val="18"/>
                <w:szCs w:val="18"/>
              </w:rPr>
              <w:t>调整前金额</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403"/>
              <w:jc w:val="right"/>
              <w:rPr>
                <w:rFonts w:ascii="宋体" w:hAnsi="宋体" w:cs="宋体" w:eastAsia="宋体" w:hint="default"/>
                <w:sz w:val="18"/>
                <w:szCs w:val="18"/>
              </w:rPr>
            </w:pPr>
            <w:r>
              <w:rPr>
                <w:rFonts w:ascii="宋体" w:hAnsi="宋体" w:cs="宋体" w:eastAsia="宋体" w:hint="default"/>
                <w:sz w:val="18"/>
                <w:szCs w:val="18"/>
              </w:rPr>
              <w:t>调整后金额</w:t>
            </w:r>
          </w:p>
        </w:tc>
      </w:tr>
      <w:tr>
        <w:trPr>
          <w:trHeight w:val="338"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22"/>
              <w:jc w:val="right"/>
              <w:rPr>
                <w:rFonts w:ascii="Times New Roman" w:hAnsi="Times New Roman" w:cs="Times New Roman" w:eastAsia="Times New Roman" w:hint="default"/>
                <w:sz w:val="18"/>
                <w:szCs w:val="18"/>
              </w:rPr>
            </w:pPr>
            <w:r>
              <w:rPr>
                <w:rFonts w:ascii="Times New Roman"/>
                <w:spacing w:val="-1"/>
                <w:sz w:val="18"/>
              </w:rPr>
              <w:t>7,481,835.66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04"/>
              <w:jc w:val="right"/>
              <w:rPr>
                <w:rFonts w:ascii="Times New Roman" w:hAnsi="Times New Roman" w:cs="Times New Roman" w:eastAsia="Times New Roman" w:hint="default"/>
                <w:sz w:val="18"/>
                <w:szCs w:val="18"/>
              </w:rPr>
            </w:pPr>
            <w:r>
              <w:rPr>
                <w:rFonts w:ascii="Times New Roman"/>
                <w:spacing w:val="-1"/>
                <w:sz w:val="18"/>
              </w:rPr>
              <w:t>19,715,424.00</w:t>
            </w:r>
            <w:r>
              <w:rPr>
                <w:rFonts w:ascii="Times New Roman"/>
                <w:sz w:val="18"/>
              </w:rPr>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74"/>
              <w:jc w:val="right"/>
              <w:rPr>
                <w:rFonts w:ascii="Times New Roman" w:hAnsi="Times New Roman" w:cs="Times New Roman" w:eastAsia="Times New Roman" w:hint="default"/>
                <w:sz w:val="18"/>
                <w:szCs w:val="18"/>
              </w:rPr>
            </w:pPr>
            <w:r>
              <w:rPr>
                <w:rFonts w:ascii="Times New Roman"/>
                <w:spacing w:val="-1"/>
                <w:sz w:val="18"/>
              </w:rPr>
              <w:t>7,428,188.45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54"/>
              <w:jc w:val="right"/>
              <w:rPr>
                <w:rFonts w:ascii="Times New Roman" w:hAnsi="Times New Roman" w:cs="Times New Roman" w:eastAsia="Times New Roman" w:hint="default"/>
                <w:sz w:val="18"/>
                <w:szCs w:val="18"/>
              </w:rPr>
            </w:pPr>
            <w:r>
              <w:rPr>
                <w:rFonts w:ascii="Times New Roman"/>
                <w:spacing w:val="-1"/>
                <w:sz w:val="18"/>
              </w:rPr>
              <w:t>18,025,538.67</w:t>
            </w:r>
          </w:p>
        </w:tc>
      </w:tr>
      <w:tr>
        <w:trPr>
          <w:trHeight w:val="338"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5"/>
              <w:jc w:val="right"/>
              <w:rPr>
                <w:rFonts w:ascii="Times New Roman" w:hAnsi="Times New Roman" w:cs="Times New Roman" w:eastAsia="Times New Roman" w:hint="default"/>
                <w:sz w:val="18"/>
                <w:szCs w:val="18"/>
              </w:rPr>
            </w:pPr>
            <w:r>
              <w:rPr>
                <w:rFonts w:ascii="Times New Roman"/>
                <w:spacing w:val="-1"/>
                <w:sz w:val="18"/>
              </w:rPr>
              <w:t>210,919,147.02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8"/>
              <w:jc w:val="right"/>
              <w:rPr>
                <w:rFonts w:ascii="Times New Roman" w:hAnsi="Times New Roman" w:cs="Times New Roman" w:eastAsia="Times New Roman" w:hint="default"/>
                <w:sz w:val="18"/>
                <w:szCs w:val="18"/>
              </w:rPr>
            </w:pPr>
            <w:r>
              <w:rPr>
                <w:rFonts w:ascii="Times New Roman"/>
                <w:spacing w:val="-1"/>
                <w:sz w:val="18"/>
              </w:rPr>
              <w:t>207,222,311.45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36"/>
              <w:jc w:val="right"/>
              <w:rPr>
                <w:rFonts w:ascii="Times New Roman" w:hAnsi="Times New Roman" w:cs="Times New Roman" w:eastAsia="Times New Roman" w:hint="default"/>
                <w:sz w:val="18"/>
                <w:szCs w:val="18"/>
              </w:rPr>
            </w:pPr>
            <w:r>
              <w:rPr>
                <w:rFonts w:ascii="Times New Roman"/>
                <w:spacing w:val="-1"/>
                <w:sz w:val="18"/>
              </w:rPr>
              <w:t>216,142,327.88</w:t>
            </w:r>
            <w:r>
              <w:rPr>
                <w:rFonts w:ascii="Times New Roman"/>
                <w:sz w:val="18"/>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34"/>
              <w:jc w:val="right"/>
              <w:rPr>
                <w:rFonts w:ascii="Times New Roman" w:hAnsi="Times New Roman" w:cs="Times New Roman" w:eastAsia="Times New Roman" w:hint="default"/>
                <w:sz w:val="18"/>
                <w:szCs w:val="18"/>
              </w:rPr>
            </w:pPr>
            <w:r>
              <w:rPr>
                <w:rFonts w:ascii="Times New Roman"/>
                <w:spacing w:val="-1"/>
                <w:sz w:val="18"/>
              </w:rPr>
              <w:t>212,542,483.76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556"/>
        <w:gridCol w:w="1922"/>
        <w:gridCol w:w="1922"/>
        <w:gridCol w:w="1728"/>
        <w:gridCol w:w="1726"/>
      </w:tblGrid>
      <w:tr>
        <w:trPr>
          <w:trHeight w:val="338" w:hRule="exact"/>
        </w:trPr>
        <w:tc>
          <w:tcPr>
            <w:tcW w:w="2556" w:type="dxa"/>
            <w:tcBorders>
              <w:top w:val="nil" w:sz="6" w:space="0" w:color="auto"/>
              <w:left w:val="nil" w:sz="6" w:space="0" w:color="auto"/>
              <w:bottom w:val="single" w:sz="6" w:space="0" w:color="000000"/>
              <w:right w:val="single" w:sz="6" w:space="0" w:color="000000"/>
            </w:tcBorders>
          </w:tcPr>
          <w:p>
            <w:pPr>
              <w:pStyle w:val="TableParagraph"/>
              <w:spacing w:line="240" w:lineRule="auto" w:before="17"/>
              <w:ind w:left="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2" w:type="dxa"/>
            <w:tcBorders>
              <w:top w:val="nil" w:sz="6" w:space="0" w:color="auto"/>
              <w:left w:val="single" w:sz="6" w:space="0" w:color="000000"/>
              <w:bottom w:val="single" w:sz="6" w:space="0" w:color="000000"/>
              <w:right w:val="single" w:sz="6" w:space="0" w:color="000000"/>
            </w:tcBorders>
          </w:tcPr>
          <w:p>
            <w:pPr/>
          </w:p>
        </w:tc>
        <w:tc>
          <w:tcPr>
            <w:tcW w:w="192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524"/>
              <w:jc w:val="right"/>
              <w:rPr>
                <w:rFonts w:ascii="Times New Roman" w:hAnsi="Times New Roman" w:cs="Times New Roman" w:eastAsia="Times New Roman" w:hint="default"/>
                <w:sz w:val="18"/>
                <w:szCs w:val="18"/>
              </w:rPr>
            </w:pPr>
            <w:r>
              <w:rPr>
                <w:rFonts w:ascii="Times New Roman"/>
                <w:spacing w:val="-1"/>
                <w:sz w:val="18"/>
              </w:rPr>
              <w:t>1,280,512.91</w:t>
            </w:r>
          </w:p>
        </w:tc>
        <w:tc>
          <w:tcPr>
            <w:tcW w:w="1728" w:type="dxa"/>
            <w:tcBorders>
              <w:top w:val="nil" w:sz="6" w:space="0" w:color="auto"/>
              <w:left w:val="single" w:sz="6" w:space="0" w:color="000000"/>
              <w:bottom w:val="single" w:sz="6" w:space="0" w:color="000000"/>
              <w:right w:val="single" w:sz="6" w:space="0" w:color="000000"/>
            </w:tcBorders>
          </w:tcPr>
          <w:p>
            <w:pPr/>
          </w:p>
        </w:tc>
        <w:tc>
          <w:tcPr>
            <w:tcW w:w="17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471"/>
              <w:jc w:val="right"/>
              <w:rPr>
                <w:rFonts w:ascii="Times New Roman" w:hAnsi="Times New Roman" w:cs="Times New Roman" w:eastAsia="Times New Roman" w:hint="default"/>
                <w:sz w:val="18"/>
                <w:szCs w:val="18"/>
              </w:rPr>
            </w:pPr>
            <w:r>
              <w:rPr>
                <w:rFonts w:ascii="Times New Roman"/>
                <w:spacing w:val="-1"/>
                <w:sz w:val="18"/>
              </w:rPr>
              <w:t>1,049,625.91</w:t>
            </w:r>
          </w:p>
        </w:tc>
      </w:tr>
      <w:tr>
        <w:trPr>
          <w:trHeight w:val="338"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85"/>
              <w:jc w:val="right"/>
              <w:rPr>
                <w:rFonts w:ascii="Times New Roman" w:hAnsi="Times New Roman" w:cs="Times New Roman" w:eastAsia="Times New Roman" w:hint="default"/>
                <w:sz w:val="18"/>
                <w:szCs w:val="18"/>
              </w:rPr>
            </w:pPr>
            <w:r>
              <w:rPr>
                <w:rFonts w:ascii="Times New Roman"/>
                <w:spacing w:val="-1"/>
                <w:sz w:val="18"/>
              </w:rPr>
              <w:t>884,902,823.95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88"/>
              <w:jc w:val="right"/>
              <w:rPr>
                <w:rFonts w:ascii="Times New Roman" w:hAnsi="Times New Roman" w:cs="Times New Roman" w:eastAsia="Times New Roman" w:hint="default"/>
                <w:sz w:val="18"/>
                <w:szCs w:val="18"/>
              </w:rPr>
            </w:pPr>
            <w:r>
              <w:rPr>
                <w:rFonts w:ascii="Times New Roman"/>
                <w:spacing w:val="-1"/>
                <w:sz w:val="18"/>
              </w:rPr>
              <w:t>892,159,063.81</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663,474,075.58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34"/>
              <w:jc w:val="right"/>
              <w:rPr>
                <w:rFonts w:ascii="Times New Roman" w:hAnsi="Times New Roman" w:cs="Times New Roman" w:eastAsia="Times New Roman" w:hint="default"/>
                <w:sz w:val="18"/>
                <w:szCs w:val="18"/>
              </w:rPr>
            </w:pPr>
            <w:r>
              <w:rPr>
                <w:rFonts w:ascii="Times New Roman"/>
                <w:spacing w:val="-1"/>
                <w:sz w:val="18"/>
              </w:rPr>
              <w:t>669,421,955.77</w:t>
            </w:r>
            <w:r>
              <w:rPr>
                <w:rFonts w:ascii="Times New Roman"/>
                <w:sz w:val="18"/>
              </w:rPr>
            </w:r>
          </w:p>
        </w:tc>
      </w:tr>
      <w:tr>
        <w:trPr>
          <w:trHeight w:val="336"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95"/>
              <w:jc w:val="right"/>
              <w:rPr>
                <w:rFonts w:ascii="Times New Roman" w:hAnsi="Times New Roman" w:cs="Times New Roman" w:eastAsia="Times New Roman" w:hint="default"/>
                <w:sz w:val="18"/>
                <w:szCs w:val="18"/>
              </w:rPr>
            </w:pPr>
            <w:r>
              <w:rPr>
                <w:rFonts w:ascii="Times New Roman"/>
                <w:spacing w:val="-1"/>
                <w:sz w:val="18"/>
              </w:rPr>
              <w:t>1,017,806,160.53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97"/>
              <w:jc w:val="right"/>
              <w:rPr>
                <w:rFonts w:ascii="Times New Roman" w:hAnsi="Times New Roman" w:cs="Times New Roman" w:eastAsia="Times New Roman" w:hint="default"/>
                <w:sz w:val="18"/>
                <w:szCs w:val="18"/>
              </w:rPr>
            </w:pPr>
            <w:r>
              <w:rPr>
                <w:rFonts w:ascii="Times New Roman"/>
                <w:spacing w:val="-1"/>
                <w:sz w:val="18"/>
              </w:rPr>
              <w:t>1,017,545,615.45</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871,569,044.17</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34"/>
              <w:jc w:val="right"/>
              <w:rPr>
                <w:rFonts w:ascii="Times New Roman" w:hAnsi="Times New Roman" w:cs="Times New Roman" w:eastAsia="Times New Roman" w:hint="default"/>
                <w:sz w:val="18"/>
                <w:szCs w:val="18"/>
              </w:rPr>
            </w:pPr>
            <w:r>
              <w:rPr>
                <w:rFonts w:ascii="Times New Roman"/>
                <w:spacing w:val="-1"/>
                <w:sz w:val="18"/>
              </w:rPr>
              <w:t>871,305,052.29</w:t>
            </w:r>
            <w:r>
              <w:rPr>
                <w:rFonts w:ascii="Times New Roman"/>
                <w:sz w:val="18"/>
              </w:rPr>
            </w:r>
          </w:p>
        </w:tc>
      </w:tr>
      <w:tr>
        <w:trPr>
          <w:trHeight w:val="338"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8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5"/>
              <w:jc w:val="right"/>
              <w:rPr>
                <w:rFonts w:ascii="Times New Roman" w:hAnsi="Times New Roman" w:cs="Times New Roman" w:eastAsia="Times New Roman" w:hint="default"/>
                <w:sz w:val="18"/>
                <w:szCs w:val="18"/>
              </w:rPr>
            </w:pPr>
            <w:r>
              <w:rPr>
                <w:rFonts w:ascii="Times New Roman"/>
                <w:spacing w:val="-1"/>
                <w:sz w:val="18"/>
              </w:rPr>
              <w:t>152,355,838.94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88"/>
              <w:jc w:val="right"/>
              <w:rPr>
                <w:rFonts w:ascii="Times New Roman" w:hAnsi="Times New Roman" w:cs="Times New Roman" w:eastAsia="Times New Roman" w:hint="default"/>
                <w:sz w:val="18"/>
                <w:szCs w:val="18"/>
              </w:rPr>
            </w:pPr>
            <w:r>
              <w:rPr>
                <w:rFonts w:ascii="Times New Roman"/>
                <w:spacing w:val="-1"/>
                <w:sz w:val="18"/>
              </w:rPr>
              <w:t>152,278,418.30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123,188,243.55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34"/>
              <w:jc w:val="right"/>
              <w:rPr>
                <w:rFonts w:ascii="Times New Roman" w:hAnsi="Times New Roman" w:cs="Times New Roman" w:eastAsia="Times New Roman" w:hint="default"/>
                <w:sz w:val="18"/>
                <w:szCs w:val="18"/>
              </w:rPr>
            </w:pPr>
            <w:r>
              <w:rPr>
                <w:rFonts w:ascii="Times New Roman"/>
                <w:spacing w:val="-1"/>
                <w:sz w:val="18"/>
              </w:rPr>
              <w:t>123,114,400.59</w:t>
            </w:r>
            <w:r>
              <w:rPr>
                <w:rFonts w:ascii="Times New Roman"/>
                <w:sz w:val="18"/>
              </w:rPr>
            </w:r>
          </w:p>
        </w:tc>
      </w:tr>
      <w:tr>
        <w:trPr>
          <w:trHeight w:val="336"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8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524"/>
              <w:jc w:val="right"/>
              <w:rPr>
                <w:rFonts w:ascii="Times New Roman" w:hAnsi="Times New Roman" w:cs="Times New Roman" w:eastAsia="Times New Roman" w:hint="default"/>
                <w:sz w:val="18"/>
                <w:szCs w:val="18"/>
              </w:rPr>
            </w:pPr>
            <w:r>
              <w:rPr>
                <w:rFonts w:ascii="Times New Roman"/>
                <w:spacing w:val="-1"/>
                <w:sz w:val="18"/>
              </w:rPr>
              <w:t>1,201,280.96</w:t>
            </w:r>
          </w:p>
        </w:tc>
        <w:tc>
          <w:tcPr>
            <w:tcW w:w="17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71"/>
              <w:jc w:val="right"/>
              <w:rPr>
                <w:rFonts w:ascii="Times New Roman" w:hAnsi="Times New Roman" w:cs="Times New Roman" w:eastAsia="Times New Roman" w:hint="default"/>
                <w:sz w:val="18"/>
                <w:szCs w:val="18"/>
              </w:rPr>
            </w:pPr>
            <w:r>
              <w:rPr>
                <w:rFonts w:ascii="Times New Roman"/>
                <w:spacing w:val="-1"/>
                <w:sz w:val="18"/>
              </w:rPr>
              <w:t>1,308,888.14</w:t>
            </w:r>
          </w:p>
        </w:tc>
      </w:tr>
      <w:tr>
        <w:trPr>
          <w:trHeight w:val="336"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8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501"/>
              <w:jc w:val="right"/>
              <w:rPr>
                <w:rFonts w:ascii="Times New Roman" w:hAnsi="Times New Roman" w:cs="Times New Roman" w:eastAsia="Times New Roman" w:hint="default"/>
                <w:sz w:val="18"/>
                <w:szCs w:val="18"/>
              </w:rPr>
            </w:pPr>
            <w:r>
              <w:rPr>
                <w:rFonts w:ascii="Times New Roman"/>
                <w:spacing w:val="-1"/>
                <w:sz w:val="18"/>
              </w:rPr>
              <w:t>45,673,439.34</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503"/>
              <w:jc w:val="right"/>
              <w:rPr>
                <w:rFonts w:ascii="Times New Roman" w:hAnsi="Times New Roman" w:cs="Times New Roman" w:eastAsia="Times New Roman" w:hint="default"/>
                <w:sz w:val="18"/>
                <w:szCs w:val="18"/>
              </w:rPr>
            </w:pPr>
            <w:r>
              <w:rPr>
                <w:rFonts w:ascii="Times New Roman"/>
                <w:spacing w:val="-1"/>
                <w:sz w:val="18"/>
              </w:rPr>
              <w:t>45,904,326.34</w:t>
            </w:r>
            <w:r>
              <w:rPr>
                <w:rFonts w:ascii="Times New Roman"/>
                <w:sz w:val="18"/>
              </w:rPr>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18" w:right="0"/>
              <w:jc w:val="left"/>
              <w:rPr>
                <w:rFonts w:ascii="Times New Roman" w:hAnsi="Times New Roman" w:cs="Times New Roman" w:eastAsia="Times New Roman" w:hint="default"/>
                <w:sz w:val="18"/>
                <w:szCs w:val="18"/>
              </w:rPr>
            </w:pPr>
            <w:r>
              <w:rPr>
                <w:rFonts w:ascii="Times New Roman"/>
                <w:sz w:val="18"/>
              </w:rPr>
              <w:t>43,479,303.23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54"/>
              <w:jc w:val="right"/>
              <w:rPr>
                <w:rFonts w:ascii="Times New Roman" w:hAnsi="Times New Roman" w:cs="Times New Roman" w:eastAsia="Times New Roman" w:hint="default"/>
                <w:sz w:val="18"/>
                <w:szCs w:val="18"/>
              </w:rPr>
            </w:pPr>
            <w:r>
              <w:rPr>
                <w:rFonts w:ascii="Times New Roman"/>
                <w:spacing w:val="-1"/>
                <w:sz w:val="18"/>
              </w:rPr>
              <w:t>43,726,311.67</w:t>
            </w:r>
          </w:p>
        </w:tc>
      </w:tr>
      <w:tr>
        <w:trPr>
          <w:trHeight w:val="338" w:hRule="exact"/>
        </w:trPr>
        <w:tc>
          <w:tcPr>
            <w:tcW w:w="2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85"/>
              <w:jc w:val="right"/>
              <w:rPr>
                <w:rFonts w:ascii="Times New Roman" w:hAnsi="Times New Roman" w:cs="Times New Roman" w:eastAsia="Times New Roman" w:hint="default"/>
                <w:sz w:val="18"/>
                <w:szCs w:val="18"/>
              </w:rPr>
            </w:pPr>
            <w:r>
              <w:rPr>
                <w:rFonts w:ascii="Times New Roman"/>
                <w:spacing w:val="-1"/>
                <w:sz w:val="18"/>
              </w:rPr>
              <w:t>261,540,481.25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88"/>
              <w:jc w:val="right"/>
              <w:rPr>
                <w:rFonts w:ascii="Times New Roman" w:hAnsi="Times New Roman" w:cs="Times New Roman" w:eastAsia="Times New Roman" w:hint="default"/>
                <w:sz w:val="18"/>
                <w:szCs w:val="18"/>
              </w:rPr>
            </w:pPr>
            <w:r>
              <w:rPr>
                <w:rFonts w:ascii="Times New Roman"/>
                <w:spacing w:val="-1"/>
                <w:sz w:val="18"/>
              </w:rPr>
              <w:t>262,848,840.93</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174,070,348.95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434"/>
              <w:jc w:val="right"/>
              <w:rPr>
                <w:rFonts w:ascii="Times New Roman" w:hAnsi="Times New Roman" w:cs="Times New Roman" w:eastAsia="Times New Roman" w:hint="default"/>
                <w:sz w:val="18"/>
                <w:szCs w:val="18"/>
              </w:rPr>
            </w:pPr>
            <w:r>
              <w:rPr>
                <w:rFonts w:ascii="Times New Roman"/>
                <w:spacing w:val="-1"/>
                <w:sz w:val="18"/>
              </w:rPr>
              <w:t>175,470,063.49</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ind w:right="344"/>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344"/>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44"/>
        <w:jc w:val="left"/>
      </w:pPr>
      <w:r>
        <w:rPr/>
        <w:t>无</w:t>
      </w:r>
    </w:p>
    <w:p>
      <w:pPr>
        <w:spacing w:line="240" w:lineRule="auto" w:before="3"/>
        <w:rPr>
          <w:rFonts w:ascii="宋体" w:hAnsi="宋体" w:cs="宋体" w:eastAsia="宋体" w:hint="default"/>
          <w:sz w:val="25"/>
          <w:szCs w:val="25"/>
        </w:rPr>
      </w:pPr>
    </w:p>
    <w:p>
      <w:pPr>
        <w:pStyle w:val="Heading2"/>
        <w:spacing w:line="240" w:lineRule="auto"/>
        <w:ind w:right="344"/>
        <w:jc w:val="left"/>
        <w:rPr>
          <w:b w:val="0"/>
          <w:bCs w:val="0"/>
        </w:rPr>
      </w:pPr>
      <w:bookmarkStart w:name="六、税项" w:id="216"/>
      <w:bookmarkEnd w:id="216"/>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344"/>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销售产品的增值额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314" w:lineRule="auto" w:before="49"/>
              <w:ind w:left="17" w:right="95"/>
              <w:jc w:val="left"/>
              <w:rPr>
                <w:rFonts w:ascii="宋体" w:hAnsi="宋体" w:cs="宋体" w:eastAsia="宋体" w:hint="default"/>
                <w:sz w:val="18"/>
                <w:szCs w:val="18"/>
              </w:rPr>
            </w:pPr>
            <w:r>
              <w:rPr>
                <w:rFonts w:ascii="宋体" w:hAnsi="宋体" w:cs="宋体" w:eastAsia="宋体" w:hint="default"/>
                <w:sz w:val="18"/>
                <w:szCs w:val="18"/>
              </w:rPr>
              <w:t>销售收入或租赁收入（台湾子公司、重 庆子公司）</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344"/>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04"/>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0" w:firstLine="420"/>
        <w:jc w:val="both"/>
      </w:pPr>
      <w:r>
        <w:rPr/>
        <w:t>根据国务院国发〔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w:t>
      </w:r>
      <w:r>
        <w:rPr/>
        <w:t>号《关于实施企业所得税过渡优惠政策的通知》的规定，以及财政部、国家税务总局有关 </w:t>
      </w:r>
      <w:r>
        <w:rPr>
          <w:spacing w:val="-1"/>
        </w:rPr>
        <w:t>政策规定，</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日起，在新税法施行后</w:t>
      </w:r>
      <w:r>
        <w:rPr>
          <w:rFonts w:ascii="Times New Roman" w:hAnsi="Times New Roman" w:cs="Times New Roman" w:eastAsia="Times New Roman" w:hint="default"/>
          <w:spacing w:val="-1"/>
        </w:rPr>
        <w:t>5</w:t>
      </w:r>
      <w:r>
        <w:rPr>
          <w:spacing w:val="-1"/>
        </w:rPr>
        <w:t>年内逐步过渡到法定税率的规定</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2008-2012</w:t>
      </w:r>
      <w:r>
        <w:rPr>
          <w:spacing w:val="-1"/>
        </w:rPr>
        <w:t>年执行的企业所得税</w:t>
      </w:r>
      <w:r>
        <w:rPr>
          <w:spacing w:val="-65"/>
        </w:rPr>
        <w:t> </w:t>
      </w:r>
      <w:r>
        <w:rPr/>
        <w:t>率分别为</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2009</w:t>
      </w:r>
      <w:r>
        <w:rPr/>
        <w:t>年，公司被认定为国家级高新技术企业，有效期三年。依据企业所得税法的</w:t>
      </w:r>
      <w:r>
        <w:rPr>
          <w:spacing w:val="-38"/>
        </w:rPr>
        <w:t> </w:t>
      </w:r>
      <w:r>
        <w:rPr>
          <w:spacing w:val="-38"/>
        </w:rPr>
      </w:r>
      <w:r>
        <w:rPr>
          <w:spacing w:val="-1"/>
        </w:rPr>
        <w:t>规定，</w:t>
      </w:r>
      <w:r>
        <w:rPr>
          <w:rFonts w:ascii="Times New Roman" w:hAnsi="Times New Roman" w:cs="Times New Roman" w:eastAsia="Times New Roman" w:hint="default"/>
          <w:spacing w:val="-1"/>
        </w:rPr>
        <w:t>2009-2011</w:t>
      </w:r>
      <w:r>
        <w:rPr>
          <w:spacing w:val="-1"/>
        </w:rPr>
        <w:t>年，本公司实际执行的企业所得税率为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年公司重新申请高新技术企业资质复审，并于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spacing w:val="-59"/>
        </w:rPr>
        <w:t> </w:t>
      </w:r>
      <w:r>
        <w:rPr>
          <w:rFonts w:ascii="Times New Roman" w:hAnsi="Times New Roman" w:cs="Times New Roman" w:eastAsia="Times New Roman" w:hint="default"/>
        </w:rPr>
        <w:t>12</w:t>
      </w:r>
      <w:r>
        <w:rPr/>
        <w:t>日取得证书，编号</w:t>
      </w:r>
      <w:r>
        <w:rPr>
          <w:rFonts w:ascii="Times New Roman" w:hAnsi="Times New Roman" w:cs="Times New Roman" w:eastAsia="Times New Roman" w:hint="default"/>
        </w:rPr>
        <w:t>GF201244200525</w:t>
      </w:r>
      <w:r>
        <w:rPr/>
        <w:t>，有效期三年，企业所得税优惠期为</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年公司重新申请高新技术</w:t>
      </w:r>
      <w:r>
        <w:rPr>
          <w:spacing w:val="-57"/>
        </w:rPr>
        <w:t> </w:t>
      </w:r>
      <w:r>
        <w:rPr>
          <w:spacing w:val="-57"/>
        </w:rPr>
      </w:r>
      <w:r>
        <w:rPr>
          <w:spacing w:val="-1"/>
        </w:rPr>
        <w:t>企业资质复审，并于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日取得证书，编号</w:t>
      </w:r>
      <w:r>
        <w:rPr>
          <w:rFonts w:ascii="Times New Roman" w:hAnsi="Times New Roman" w:cs="Times New Roman" w:eastAsia="Times New Roman" w:hint="default"/>
          <w:spacing w:val="-1"/>
        </w:rPr>
        <w:t>GR201544201258</w:t>
      </w:r>
      <w:r>
        <w:rPr>
          <w:spacing w:val="-1"/>
        </w:rPr>
        <w:t>，有效期三年，自</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年所得税按</w:t>
      </w:r>
      <w:r>
        <w:rPr>
          <w:rFonts w:ascii="Times New Roman" w:hAnsi="Times New Roman" w:cs="Times New Roman" w:eastAsia="Times New Roman" w:hint="default"/>
          <w:spacing w:val="-1"/>
        </w:rPr>
        <w:t>15%</w:t>
      </w:r>
      <w:r>
        <w:rPr>
          <w:spacing w:val="-1"/>
        </w:rPr>
        <w:t>计算缴</w:t>
      </w:r>
      <w:r>
        <w:rPr>
          <w:spacing w:val="-69"/>
        </w:rPr>
        <w:t> </w:t>
      </w:r>
      <w:r>
        <w:rPr/>
        <w:t>纳。</w:t>
      </w:r>
    </w:p>
    <w:p>
      <w:pPr>
        <w:pStyle w:val="BodyText"/>
        <w:spacing w:line="300" w:lineRule="auto" w:before="151"/>
        <w:ind w:right="104" w:firstLine="420"/>
        <w:jc w:val="left"/>
      </w:pPr>
      <w:r>
        <w:rPr>
          <w:spacing w:val="-1"/>
        </w:rPr>
        <w:t>子公司</w:t>
      </w:r>
      <w:r>
        <w:rPr>
          <w:rFonts w:ascii="Times New Roman" w:hAnsi="Times New Roman" w:cs="Times New Roman" w:eastAsia="Times New Roman" w:hint="default"/>
          <w:spacing w:val="-1"/>
        </w:rPr>
        <w:t>“</w:t>
      </w:r>
      <w:r>
        <w:rPr>
          <w:spacing w:val="-1"/>
        </w:rPr>
        <w:t>东莞市美盈森环保科技有限公司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日被认定为国家高新技术企业，编号</w:t>
      </w:r>
      <w:r>
        <w:rPr>
          <w:rFonts w:ascii="Times New Roman" w:hAnsi="Times New Roman" w:cs="Times New Roman" w:eastAsia="Times New Roman" w:hint="default"/>
          <w:spacing w:val="-2"/>
        </w:rPr>
        <w:t>GR201444000733</w:t>
      </w:r>
      <w:r>
        <w:rPr>
          <w:spacing w:val="-2"/>
        </w:rPr>
        <w:t>，有效期</w:t>
      </w:r>
      <w:r>
        <w:rPr/>
        <w:t> 三年，自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年所得税按</w:t>
      </w:r>
      <w:r>
        <w:rPr>
          <w:rFonts w:ascii="Times New Roman" w:hAnsi="Times New Roman" w:cs="Times New Roman" w:eastAsia="Times New Roman" w:hint="default"/>
        </w:rPr>
        <w:t>15%</w:t>
      </w:r>
      <w:r>
        <w:rPr/>
        <w:t>计算缴纳。</w:t>
      </w:r>
    </w:p>
    <w:p>
      <w:pPr>
        <w:pStyle w:val="BodyText"/>
        <w:spacing w:line="300" w:lineRule="auto" w:before="133"/>
        <w:ind w:left="151" w:right="104" w:firstLine="420"/>
        <w:jc w:val="left"/>
      </w:pPr>
      <w:r>
        <w:rPr>
          <w:spacing w:val="-1"/>
        </w:rPr>
        <w:t>子公司</w:t>
      </w:r>
      <w:r>
        <w:rPr>
          <w:rFonts w:ascii="Times New Roman" w:hAnsi="Times New Roman" w:cs="Times New Roman" w:eastAsia="Times New Roman" w:hint="default"/>
          <w:spacing w:val="-1"/>
        </w:rPr>
        <w:t>“</w:t>
      </w:r>
      <w:r>
        <w:rPr>
          <w:spacing w:val="-1"/>
        </w:rPr>
        <w:t>苏州美盈森环保科技有限公司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日被认定为国家高新技术企业，编号</w:t>
      </w:r>
      <w:r>
        <w:rPr>
          <w:rFonts w:ascii="Times New Roman" w:hAnsi="Times New Roman" w:cs="Times New Roman" w:eastAsia="Times New Roman" w:hint="default"/>
          <w:spacing w:val="-2"/>
        </w:rPr>
        <w:t>GR201432002227</w:t>
      </w:r>
      <w:r>
        <w:rPr>
          <w:spacing w:val="-2"/>
        </w:rPr>
        <w:t>，有效期三</w:t>
      </w:r>
      <w:r>
        <w:rPr/>
        <w:t> 年，自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年所得税按</w:t>
      </w:r>
      <w:r>
        <w:rPr>
          <w:rFonts w:ascii="Times New Roman" w:hAnsi="Times New Roman" w:cs="Times New Roman" w:eastAsia="Times New Roman" w:hint="default"/>
        </w:rPr>
        <w:t>15%</w:t>
      </w:r>
      <w:r>
        <w:rPr/>
        <w:t>计算缴纳。</w:t>
      </w:r>
    </w:p>
    <w:p>
      <w:pPr>
        <w:pStyle w:val="BodyText"/>
        <w:spacing w:line="300" w:lineRule="auto" w:before="133"/>
        <w:ind w:left="151" w:right="100" w:firstLine="419"/>
        <w:jc w:val="left"/>
      </w:pPr>
      <w:r>
        <w:rPr/>
        <w:t>子公司</w:t>
      </w:r>
      <w:r>
        <w:rPr>
          <w:spacing w:val="11"/>
        </w:rPr>
        <w:t> </w:t>
      </w:r>
      <w:r>
        <w:rPr>
          <w:rFonts w:ascii="Times New Roman" w:hAnsi="Times New Roman" w:cs="Times New Roman" w:eastAsia="Times New Roman" w:hint="default"/>
          <w:spacing w:val="-2"/>
        </w:rPr>
        <w:t>“</w:t>
      </w:r>
      <w:r>
        <w:rPr>
          <w:spacing w:val="-2"/>
        </w:rPr>
        <w:t>中山市美盈森环保科技有限公司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东莞市美芯龙物联网科技有限公司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武汉市美盈森环保科技有限公司</w:t>
      </w:r>
      <w:r>
        <w:rPr>
          <w:rFonts w:ascii="Times New Roman" w:hAnsi="Times New Roman" w:cs="Times New Roman" w:eastAsia="Times New Roman" w:hint="default"/>
          <w:spacing w:val="-2"/>
        </w:rPr>
        <w:t>”</w:t>
      </w:r>
      <w:r>
        <w:rPr>
          <w:spacing w:val="-2"/>
        </w:rPr>
        <w:t>、</w:t>
      </w:r>
      <w:r>
        <w:rPr/>
        <w:t> </w:t>
      </w:r>
      <w:r>
        <w:rPr>
          <w:rFonts w:ascii="Times New Roman" w:hAnsi="Times New Roman" w:cs="Times New Roman" w:eastAsia="Times New Roman" w:hint="default"/>
        </w:rPr>
        <w:t>“</w:t>
      </w:r>
      <w:r>
        <w:rPr/>
        <w:t>成都市美盈森环保科技有限公司</w:t>
      </w:r>
      <w:r>
        <w:rPr>
          <w:rFonts w:ascii="Times New Roman" w:hAnsi="Times New Roman" w:cs="Times New Roman" w:eastAsia="Times New Roman" w:hint="default"/>
        </w:rPr>
        <w:t>”</w:t>
      </w:r>
      <w:r>
        <w:rPr/>
        <w:t>的企业所得税税率均为</w:t>
      </w:r>
      <w:r>
        <w:rPr>
          <w:rFonts w:ascii="Times New Roman" w:hAnsi="Times New Roman" w:cs="Times New Roman" w:eastAsia="Times New Roman" w:hint="default"/>
        </w:rPr>
        <w:t>25%</w:t>
      </w:r>
      <w:r>
        <w:rPr/>
        <w:t>。</w:t>
      </w:r>
    </w:p>
    <w:p>
      <w:pPr>
        <w:pStyle w:val="BodyText"/>
        <w:spacing w:line="240" w:lineRule="auto" w:before="133"/>
        <w:ind w:left="571" w:right="104"/>
        <w:jc w:val="left"/>
      </w:pPr>
      <w:r>
        <w:rPr/>
        <w:t>子公司</w:t>
      </w:r>
      <w:r>
        <w:rPr>
          <w:rFonts w:ascii="Times New Roman" w:hAnsi="Times New Roman" w:cs="Times New Roman" w:eastAsia="Times New Roman" w:hint="default"/>
        </w:rPr>
        <w:t>“</w:t>
      </w:r>
      <w:r>
        <w:rPr/>
        <w:t>重庆市美盈森环保包装工程有限公司</w:t>
      </w:r>
      <w:r>
        <w:rPr>
          <w:rFonts w:ascii="Times New Roman" w:hAnsi="Times New Roman" w:cs="Times New Roman" w:eastAsia="Times New Roman" w:hint="default"/>
        </w:rPr>
        <w:t>”</w:t>
      </w:r>
      <w:r>
        <w:rPr/>
        <w:t>因地处西部大开发区域，享受</w:t>
      </w:r>
      <w:r>
        <w:rPr>
          <w:rFonts w:ascii="Times New Roman" w:hAnsi="Times New Roman" w:cs="Times New Roman" w:eastAsia="Times New Roman" w:hint="default"/>
        </w:rPr>
        <w:t>15%</w:t>
      </w:r>
      <w:r>
        <w:rPr/>
        <w:t>的企业所得税优惠税率。</w:t>
      </w:r>
    </w:p>
    <w:p>
      <w:pPr>
        <w:spacing w:line="240" w:lineRule="auto" w:before="13"/>
        <w:rPr>
          <w:rFonts w:ascii="宋体" w:hAnsi="宋体" w:cs="宋体" w:eastAsia="宋体" w:hint="default"/>
          <w:sz w:val="13"/>
          <w:szCs w:val="13"/>
        </w:rPr>
      </w:pPr>
    </w:p>
    <w:p>
      <w:pPr>
        <w:pStyle w:val="BodyText"/>
        <w:spacing w:line="300" w:lineRule="auto"/>
        <w:ind w:left="151" w:right="94" w:firstLine="419"/>
        <w:jc w:val="left"/>
      </w:pPr>
      <w:r>
        <w:rPr>
          <w:spacing w:val="-1"/>
        </w:rPr>
        <w:t>子公司</w:t>
      </w:r>
      <w:r>
        <w:rPr>
          <w:rFonts w:ascii="Times New Roman" w:hAnsi="Times New Roman" w:cs="Times New Roman" w:eastAsia="Times New Roman" w:hint="default"/>
          <w:spacing w:val="-1"/>
        </w:rPr>
        <w:t>“</w:t>
      </w:r>
      <w:r>
        <w:rPr>
          <w:spacing w:val="-1"/>
        </w:rPr>
        <w:t>深圳市金之彩文化创意有限公司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日被认定为高新技术企业，编号</w:t>
      </w:r>
      <w:r>
        <w:rPr>
          <w:rFonts w:ascii="Times New Roman" w:hAnsi="Times New Roman" w:cs="Times New Roman" w:eastAsia="Times New Roman" w:hint="default"/>
          <w:spacing w:val="-2"/>
        </w:rPr>
        <w:t>GR201344200315</w:t>
      </w:r>
      <w:r>
        <w:rPr>
          <w:spacing w:val="-2"/>
        </w:rPr>
        <w:t>，有效期三年，</w:t>
      </w:r>
      <w:r>
        <w:rPr/>
        <w:t> 自</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年所得税按</w:t>
      </w:r>
      <w:r>
        <w:rPr>
          <w:rFonts w:ascii="Times New Roman" w:hAnsi="Times New Roman" w:cs="Times New Roman" w:eastAsia="Times New Roman" w:hint="default"/>
        </w:rPr>
        <w:t>15%</w:t>
      </w:r>
      <w:r>
        <w:rPr/>
        <w:t>计算缴纳。</w:t>
      </w:r>
    </w:p>
    <w:p>
      <w:pPr>
        <w:pStyle w:val="BodyText"/>
        <w:spacing w:line="300" w:lineRule="auto" w:before="133"/>
        <w:ind w:left="151" w:right="97" w:firstLine="419"/>
        <w:jc w:val="left"/>
      </w:pPr>
      <w:r>
        <w:rPr>
          <w:spacing w:val="-1"/>
        </w:rPr>
        <w:t>根据香港特别行政区相关的税收政策规定，子公司</w:t>
      </w:r>
      <w:r>
        <w:rPr>
          <w:rFonts w:ascii="Times New Roman" w:hAnsi="Times New Roman" w:cs="Times New Roman" w:eastAsia="Times New Roman" w:hint="default"/>
          <w:spacing w:val="-1"/>
        </w:rPr>
        <w:t>“</w:t>
      </w:r>
      <w:r>
        <w:rPr>
          <w:spacing w:val="-1"/>
        </w:rPr>
        <w:t>美盈森（香港）国际控股有限公司</w:t>
      </w:r>
      <w:r>
        <w:rPr>
          <w:rFonts w:ascii="Times New Roman" w:hAnsi="Times New Roman" w:cs="Times New Roman" w:eastAsia="Times New Roman" w:hint="default"/>
          <w:spacing w:val="-1"/>
        </w:rPr>
        <w:t>”</w:t>
      </w:r>
      <w:r>
        <w:rPr>
          <w:spacing w:val="-1"/>
        </w:rPr>
        <w:t>只按</w:t>
      </w:r>
      <w:r>
        <w:rPr>
          <w:rFonts w:ascii="Times New Roman" w:hAnsi="Times New Roman" w:cs="Times New Roman" w:eastAsia="Times New Roman" w:hint="default"/>
          <w:spacing w:val="-1"/>
        </w:rPr>
        <w:t>16.50%</w:t>
      </w:r>
      <w:r>
        <w:rPr>
          <w:spacing w:val="-1"/>
        </w:rPr>
        <w:t>的税率计缴利得税，</w:t>
      </w:r>
      <w:r>
        <w:rPr/>
        <w:t> 无需缴纳其他税费。</w:t>
      </w:r>
    </w:p>
    <w:p>
      <w:pPr>
        <w:pStyle w:val="BodyText"/>
        <w:spacing w:line="240" w:lineRule="auto" w:before="151"/>
        <w:ind w:left="603" w:right="104"/>
        <w:jc w:val="left"/>
      </w:pPr>
      <w:r>
        <w:rPr/>
        <w:t>台湾子公司营利事业所得税率</w:t>
      </w:r>
      <w:r>
        <w:rPr>
          <w:rFonts w:ascii="Times New Roman" w:hAnsi="Times New Roman" w:cs="Times New Roman" w:eastAsia="Times New Roman" w:hint="default"/>
        </w:rPr>
        <w:t>17%</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Heading3"/>
        <w:spacing w:line="240" w:lineRule="auto"/>
        <w:ind w:right="104"/>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本公司其他税项按国家有关规定缴纳。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2"/>
        <w:spacing w:line="240" w:lineRule="auto"/>
        <w:ind w:right="104"/>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after="0" w:line="240" w:lineRule="auto"/>
        <w:jc w:val="right"/>
        <w:sectPr>
          <w:pgSz w:w="11910" w:h="16840"/>
          <w:pgMar w:header="745"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1,043,981.40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1,425,074.63</w:t>
            </w:r>
            <w:r>
              <w:rPr>
                <w:rFonts w:ascii="Times New Roman"/>
                <w:sz w:val="18"/>
              </w:rPr>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818,380,382.41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952,277,813.09</w:t>
            </w:r>
            <w:r>
              <w:rPr>
                <w:rFonts w:ascii="Times New Roman"/>
                <w:sz w:val="18"/>
              </w:rPr>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4,366,305.60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823,790,669.41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衍生金融资产" w:id="222"/>
      <w:bookmarkEnd w:id="222"/>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应收票据" w:id="223"/>
      <w:bookmarkEnd w:id="223"/>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4"/>
      <w:bookmarkEnd w:id="22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26,197,180.79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43,470,917.05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26,197,180.79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43,470,917.05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公司已质押的应收票据" w:id="225"/>
      <w:bookmarkEnd w:id="22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42,687,032.00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42,687,032.00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因出票人未履约而将其转应收账款的票据" w:id="227"/>
      <w:bookmarkEnd w:id="22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0"/>
        <w:ind w:right="905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应收账款" w:id="228"/>
      <w:bookmarkEnd w:id="228"/>
      <w:r>
        <w:rPr>
          <w:b w:val="0"/>
          <w:bCs w:val="0"/>
        </w:rPr>
      </w: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515,643,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932.28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28,228,3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487,415,6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07.18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424,609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,206.03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22,828,75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0.98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401,780,45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5.05</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3,144,64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3,144,64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518,788,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575.67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31,372,9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68.49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6.05%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487,415,6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07.18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424,609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,206.03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22,828,75</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0.98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5.38%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401,780,45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5.05</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4D4D4"/>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495,063,309.49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24,745,436.77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495,063,309.49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24,745,436.77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18,656,231.74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1,865,623.18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438,751.28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131,625.38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1,485,639.77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1,485,639.77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515,643,932.28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28,228,325.10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794"/>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50" w:lineRule="auto" w:before="11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after="0" w:line="35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9"/>
        <w:jc w:val="left"/>
      </w:pPr>
      <w:bookmarkStart w:name="（2）本期计提、收回或转回的坏账准备情况" w:id="230"/>
      <w:bookmarkEnd w:id="230"/>
      <w:r>
        <w:rPr/>
      </w:r>
      <w:r>
        <w:rPr/>
        <w:t>本期计提坏账准备金额</w:t>
      </w:r>
      <w:r>
        <w:rPr>
          <w:spacing w:val="-47"/>
        </w:rPr>
        <w:t> </w:t>
      </w:r>
      <w:r>
        <w:rPr>
          <w:rFonts w:ascii="Times New Roman" w:hAnsi="Times New Roman" w:cs="Times New Roman" w:eastAsia="Times New Roman" w:hint="default"/>
        </w:rPr>
        <w:t>6,889,421.09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458" w:space="2369"/>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其中重要的应收账款核销情况：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8154"/>
        <w:jc w:val="left"/>
      </w:pPr>
      <w:r>
        <w:rPr/>
        <w:t>应收账款核销说明：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91"/>
        <w:gridCol w:w="1786"/>
        <w:gridCol w:w="2086"/>
        <w:gridCol w:w="2035"/>
        <w:gridCol w:w="1750"/>
      </w:tblGrid>
      <w:tr>
        <w:trPr>
          <w:trHeight w:val="346"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1" w:right="0"/>
              <w:jc w:val="left"/>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30,928,302.96</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5.96%</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1,546,415.15</w:t>
            </w:r>
            <w:r>
              <w:rPr>
                <w:rFonts w:ascii="Times New Roman"/>
                <w:sz w:val="18"/>
              </w:rPr>
            </w:r>
          </w:p>
        </w:tc>
      </w:tr>
      <w:tr>
        <w:trPr>
          <w:trHeight w:val="346"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30,433,944.92</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5.87%</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1,521,697.25</w:t>
            </w:r>
            <w:r>
              <w:rPr>
                <w:rFonts w:ascii="Times New Roman"/>
                <w:sz w:val="18"/>
              </w:rPr>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14,994,087.28</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2.89%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749,704.36</w:t>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13,429,925.62</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671,496.28</w:t>
            </w:r>
          </w:p>
        </w:tc>
      </w:tr>
      <w:tr>
        <w:trPr>
          <w:trHeight w:val="346"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13,040,808.60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2.51%</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652,040.43</w:t>
            </w:r>
          </w:p>
        </w:tc>
      </w:tr>
      <w:tr>
        <w:trPr>
          <w:trHeight w:val="348"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102,827,069.38</w:t>
            </w:r>
            <w:r>
              <w:rPr>
                <w:rFonts w:ascii="Times New Roman"/>
                <w:sz w:val="18"/>
              </w:rPr>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19.82%</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5,141,353.47</w:t>
            </w:r>
            <w:r>
              <w:rPr>
                <w:rFonts w:ascii="Times New Roman"/>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5）因金融资产转移而终止确认的应收账款" w:id="233"/>
      <w:bookmarkEnd w:id="23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转移应收账款且继续涉入形成的资产、负债金额" w:id="234"/>
      <w:bookmarkEnd w:id="23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874"/>
        <w:jc w:val="left"/>
      </w:pPr>
      <w:r>
        <w:rPr/>
        <w:t>无 其他说明：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344"/>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344"/>
        <w:jc w:val="left"/>
        <w:rPr>
          <w:b w:val="0"/>
          <w:bCs w:val="0"/>
        </w:rPr>
      </w:pPr>
      <w:bookmarkStart w:name="5、预付款项" w:id="235"/>
      <w:bookmarkEnd w:id="235"/>
      <w:r>
        <w:rPr>
          <w:b w:val="0"/>
          <w:bCs w:val="0"/>
        </w:rPr>
      </w: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3"/>
        <w:gridCol w:w="1915"/>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4D4D4"/>
          </w:tcPr>
          <w:p>
            <w:pPr/>
          </w:p>
        </w:tc>
        <w:tc>
          <w:tcPr>
            <w:tcW w:w="3830"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8,326,048.41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5,414,941.63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87.60%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348,711.66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766,281.95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31,586.50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787,873.30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9,494,219.87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6,181,223.58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right="5097"/>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5"/>
        <w:rPr>
          <w:rFonts w:ascii="宋体" w:hAnsi="宋体" w:cs="宋体" w:eastAsia="宋体" w:hint="default"/>
          <w:sz w:val="21"/>
          <w:szCs w:val="21"/>
        </w:rPr>
      </w:pPr>
    </w:p>
    <w:p>
      <w:pPr>
        <w:pStyle w:val="Heading3"/>
        <w:spacing w:line="240" w:lineRule="auto"/>
        <w:ind w:right="344"/>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159"/>
        <w:gridCol w:w="2626"/>
        <w:gridCol w:w="3070"/>
      </w:tblGrid>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占预付账款金额比例</w:t>
            </w:r>
          </w:p>
        </w:tc>
      </w:tr>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安徽山鹰纸业销售有限公司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1,318,235.04</w:t>
            </w:r>
            <w:r>
              <w:rPr>
                <w:rFonts w:ascii="Times New Roman"/>
                <w:sz w:val="18"/>
              </w:rPr>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13.88%</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OJI Fibre</w:t>
            </w:r>
            <w:r>
              <w:rPr>
                <w:rFonts w:ascii="Times New Roman"/>
                <w:spacing w:val="-12"/>
                <w:sz w:val="18"/>
              </w:rPr>
              <w:t> </w:t>
            </w:r>
            <w:r>
              <w:rPr>
                <w:rFonts w:ascii="Times New Roman"/>
                <w:sz w:val="18"/>
              </w:rPr>
              <w:t>SoIutions(NZ)Limited</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1,253,922.60</w:t>
            </w:r>
            <w:r>
              <w:rPr>
                <w:rFonts w:ascii="Times New Roman"/>
                <w:sz w:val="18"/>
              </w:rPr>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13.21%</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马鞍山鑫汇工业贸易有限公司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920,625.98</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9.70%</w:t>
            </w:r>
          </w:p>
        </w:tc>
      </w:tr>
      <w:tr>
        <w:trPr>
          <w:trHeight w:val="346"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永丰余造纸（扬州）有限公司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715,816.60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7.54%</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城市印刷器材有限公司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624,146.10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6.57%</w:t>
            </w:r>
          </w:p>
        </w:tc>
      </w:tr>
      <w:tr>
        <w:trPr>
          <w:trHeight w:val="348" w:hRule="exact"/>
        </w:trPr>
        <w:tc>
          <w:tcPr>
            <w:tcW w:w="4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4,832,746.32</w:t>
            </w:r>
            <w:r>
              <w:rPr>
                <w:rFonts w:ascii="Times New Roman"/>
                <w:sz w:val="18"/>
              </w:rPr>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50.90%</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344"/>
        <w:jc w:val="left"/>
        <w:rPr>
          <w:b w:val="0"/>
          <w:bCs w:val="0"/>
        </w:rPr>
      </w:pPr>
      <w:bookmarkStart w:name="6、应收利息" w:id="238"/>
      <w:bookmarkEnd w:id="238"/>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44"/>
        <w:jc w:val="left"/>
        <w:rPr>
          <w:b w:val="0"/>
          <w:bCs w:val="0"/>
        </w:rPr>
      </w:pPr>
      <w:bookmarkStart w:name="（1）应收利息分类" w:id="239"/>
      <w:bookmarkEnd w:id="23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10,141,547.17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10,141,547.17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344"/>
        <w:jc w:val="left"/>
        <w:rPr>
          <w:b w:val="0"/>
          <w:bCs w:val="0"/>
        </w:rPr>
      </w:pPr>
      <w:bookmarkStart w:name="（2）重要逾期利息" w:id="240"/>
      <w:bookmarkEnd w:id="240"/>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3"/>
        <w:gridCol w:w="191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800"/>
        </w:sectPr>
      </w:pPr>
    </w:p>
    <w:p>
      <w:pPr>
        <w:spacing w:line="240" w:lineRule="auto" w:before="9"/>
        <w:rPr>
          <w:rFonts w:ascii="宋体" w:hAnsi="宋体" w:cs="宋体" w:eastAsia="宋体" w:hint="default"/>
          <w:b/>
          <w:bCs/>
          <w:sz w:val="25"/>
          <w:szCs w:val="25"/>
        </w:rPr>
      </w:pP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7、其他应收款" w:id="241"/>
      <w:bookmarkEnd w:id="241"/>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2"/>
      <w:bookmarkEnd w:id="24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50"/>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4D4D4"/>
          </w:tcPr>
          <w:p>
            <w:pPr/>
          </w:p>
        </w:tc>
        <w:tc>
          <w:tcPr>
            <w:tcW w:w="774"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36,185,3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90.37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444,618.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35,740,77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2.05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22,081,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165.54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22,081,165.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36,610,3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90.37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869,618.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2.38%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35,740,77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2.05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22,081,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165.54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22,081,165.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82" w:header="745" w:top="1060" w:bottom="1180" w:left="980" w:right="980"/>
          <w:pgNumType w:start="11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4"/>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211,618.96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211,618.96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1,123,207.60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112,320.76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1,008,956.88</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302,687.06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37,775.50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2,381,558.94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444,618.32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794"/>
        <w:jc w:val="left"/>
      </w:pPr>
      <w:r>
        <w:rPr/>
        <w:t>确定该组合依据的说明： 无</w:t>
      </w:r>
    </w:p>
    <w:p>
      <w:pPr>
        <w:pStyle w:val="BodyText"/>
        <w:spacing w:line="240" w:lineRule="auto" w:before="27"/>
        <w:ind w:right="0"/>
        <w:jc w:val="left"/>
      </w:pPr>
      <w:r>
        <w:rPr/>
        <w:t>组合中，采用余额百分比法计提坏账准备的其他应收款：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637,067.52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324" w:space="2504"/>
            <w:col w:w="1122"/>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本期实际核销的其他应收款情况" w:id="244"/>
      <w:bookmarkEnd w:id="24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其中重要的其他应收款核销情况：</w:t>
      </w:r>
    </w:p>
    <w:p>
      <w:pPr>
        <w:pStyle w:val="BodyText"/>
        <w:spacing w:line="240" w:lineRule="auto" w:before="117"/>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85"/>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23"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7974"/>
        <w:jc w:val="left"/>
      </w:pPr>
      <w:r>
        <w:rPr/>
        <w:t>其他应收款核销说明：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245"/>
      <w:bookmarkEnd w:id="24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4,541,013.76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6,490,793.69</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23,786,933.24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14,163,855.82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6,583,054.89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987,845.06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车辆储值卡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1,113,142.49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66,250.78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586,245.99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372,420.19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36,610,390.37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22,081,165.54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w:id="246"/>
      <w:bookmarkEnd w:id="24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四川优派科技有限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23.49%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崇州市公共资源交 易服务中心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江苏洋河新城投资 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入园保证金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吴江市建筑安装管 理处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民工工资保证金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17,990,000.00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49.14%</w:t>
            </w: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49"/>
        <w:ind w:right="0"/>
        <w:jc w:val="left"/>
      </w:pPr>
      <w:r>
        <w:rPr>
          <w:spacing w:val="-2"/>
        </w:rPr>
        <w:t>注：上表中五家单位与公司董事、监事、高级管理人员以及持有公司百分之五以上股份的股东、实际控制人之间不存在关联</w:t>
      </w:r>
      <w:r>
        <w:rPr>
          <w:spacing w:val="-64"/>
        </w:rPr>
        <w:t> </w:t>
      </w:r>
      <w:r>
        <w:rPr>
          <w:spacing w:val="-64"/>
        </w:rPr>
      </w:r>
      <w:r>
        <w:rPr/>
        <w:t>关系。</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6）涉及政府补助的应收款项" w:id="247"/>
      <w:bookmarkEnd w:id="24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5"/>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因金融资产转移而终止确认的其他应收款" w:id="248"/>
      <w:bookmarkEnd w:id="24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转移其他应收款且继续涉入形成的资产、负债金额" w:id="249"/>
      <w:bookmarkEnd w:id="24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8、存货" w:id="250"/>
      <w:bookmarkEnd w:id="250"/>
      <w:r>
        <w:rPr>
          <w:b w:val="0"/>
          <w:bCs w:val="0"/>
        </w:rPr>
      </w:r>
      <w:r>
        <w:rPr>
          <w:rFonts w:ascii="Times New Roman" w:hAnsi="Times New Roman" w:cs="Times New Roman" w:eastAsia="Times New Roman" w:hint="default"/>
        </w:rPr>
        <w:t>8</w:t>
      </w:r>
      <w:r>
        <w:rPr/>
        <w:t>、存货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51"/>
      <w:bookmarkEnd w:id="25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149,617,184.56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149,617,184.56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108,717,806.43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276,381.32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108,441,425.11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34,975,573.84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7,837,206.01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27,138,367.83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11,986,076.02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11,986,076.02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200,907,245.56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12,477,117.82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188,430,127.74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176,855,355.40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731,754.12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176,123,601.28</w:t>
            </w:r>
            <w:r>
              <w:rPr>
                <w:rFonts w:ascii="Times New Roman"/>
                <w:sz w:val="18"/>
              </w:rPr>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385,500,003.96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20,314,323.83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365,185,680.13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297,559,237.85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1,008,135.44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296,551,102.41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344"/>
        <w:jc w:val="left"/>
        <w:rPr>
          <w:b w:val="0"/>
          <w:bCs w:val="0"/>
        </w:rPr>
      </w:pPr>
      <w:bookmarkStart w:name="（2）存货跌价准备" w:id="252"/>
      <w:bookmarkEnd w:id="25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8"/>
        <w:gridCol w:w="1366"/>
        <w:gridCol w:w="1368"/>
        <w:gridCol w:w="1366"/>
        <w:gridCol w:w="1368"/>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4D4D4"/>
          </w:tcPr>
          <w:p>
            <w:pPr/>
          </w:p>
        </w:tc>
        <w:tc>
          <w:tcPr>
            <w:tcW w:w="1379"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right w:val="single" w:sz="4" w:space="0" w:color="000000"/>
            </w:tcBorders>
            <w:shd w:val="clear" w:color="auto" w:fill="D4D4D4"/>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4D4D4"/>
          </w:tcPr>
          <w:p>
            <w:pPr/>
          </w:p>
        </w:tc>
        <w:tc>
          <w:tcPr>
            <w:tcW w:w="1379"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right w:val="single" w:sz="4" w:space="0" w:color="000000"/>
            </w:tcBorders>
            <w:shd w:val="clear" w:color="auto" w:fill="D4D4D4"/>
          </w:tcPr>
          <w:p>
            <w:pPr/>
          </w:p>
        </w:tc>
      </w:tr>
      <w:tr>
        <w:trPr>
          <w:trHeight w:val="204" w:hRule="exact"/>
        </w:trPr>
        <w:tc>
          <w:tcPr>
            <w:tcW w:w="1345" w:type="dxa"/>
            <w:tcBorders>
              <w:top w:val="nil" w:sz="6" w:space="0" w:color="auto"/>
              <w:left w:val="single" w:sz="4" w:space="0" w:color="000000"/>
              <w:bottom w:val="single" w:sz="4" w:space="0" w:color="000000"/>
              <w:right w:val="single" w:sz="4" w:space="0" w:color="000000"/>
            </w:tcBorders>
            <w:shd w:val="clear" w:color="auto" w:fill="D4D4D4"/>
          </w:tcPr>
          <w:p>
            <w:pPr/>
          </w:p>
        </w:tc>
        <w:tc>
          <w:tcPr>
            <w:tcW w:w="1379"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276,381.32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276,381.32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4D4D4"/>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7,837,206.01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7,837,206.01</w:t>
            </w:r>
            <w:r>
              <w:rPr>
                <w:rFonts w:ascii="Times New Roman"/>
                <w:sz w:val="18"/>
              </w:rPr>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731,754.12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11,745,363.70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12,477,117.82</w:t>
            </w:r>
            <w:r>
              <w:rPr>
                <w:rFonts w:ascii="Times New Roman"/>
                <w:sz w:val="18"/>
              </w:rPr>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1,008,135.44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19,582,569.71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276,381.32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20,314,323.83</w:t>
            </w:r>
          </w:p>
        </w:tc>
      </w:tr>
    </w:tbl>
    <w:p>
      <w:pPr>
        <w:spacing w:line="240" w:lineRule="auto" w:before="6"/>
        <w:rPr>
          <w:rFonts w:ascii="宋体" w:hAnsi="宋体" w:cs="宋体" w:eastAsia="宋体" w:hint="default"/>
          <w:sz w:val="19"/>
          <w:szCs w:val="19"/>
        </w:rPr>
      </w:pPr>
    </w:p>
    <w:p>
      <w:pPr>
        <w:spacing w:before="37"/>
        <w:ind w:left="152" w:right="344" w:firstLine="0"/>
        <w:jc w:val="left"/>
        <w:rPr>
          <w:rFonts w:ascii="宋体" w:hAnsi="宋体" w:cs="宋体" w:eastAsia="宋体" w:hint="default"/>
          <w:sz w:val="20"/>
          <w:szCs w:val="20"/>
        </w:rPr>
      </w:pPr>
      <w:r>
        <w:rPr>
          <w:rFonts w:ascii="宋体" w:hAnsi="宋体" w:cs="宋体" w:eastAsia="宋体" w:hint="default"/>
          <w:sz w:val="20"/>
          <w:szCs w:val="20"/>
        </w:rPr>
        <w:t>存货跌价准备计提依据及本年转回或转销原因：</w:t>
      </w:r>
    </w:p>
    <w:p>
      <w:pPr>
        <w:spacing w:line="240" w:lineRule="auto" w:before="5"/>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02"/>
        <w:gridCol w:w="2813"/>
        <w:gridCol w:w="2710"/>
        <w:gridCol w:w="2830"/>
      </w:tblGrid>
      <w:tr>
        <w:trPr>
          <w:trHeight w:val="34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4" w:space="0" w:color="000000"/>
              <w:left w:val="single" w:sz="4" w:space="0" w:color="000000"/>
              <w:bottom w:val="single" w:sz="4" w:space="0" w:color="000000"/>
              <w:right w:val="single" w:sz="4" w:space="0" w:color="000000"/>
            </w:tcBorders>
          </w:tcPr>
          <w:p>
            <w:pPr/>
          </w:p>
        </w:tc>
        <w:tc>
          <w:tcPr>
            <w:tcW w:w="28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344"/>
        <w:jc w:val="left"/>
        <w:rPr>
          <w:b w:val="0"/>
          <w:bCs w:val="0"/>
        </w:rPr>
      </w:pPr>
      <w:bookmarkStart w:name="（3）存货期末余额含有借款费用资本化金额的说明" w:id="253"/>
      <w:bookmarkEnd w:id="25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34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344"/>
        <w:jc w:val="left"/>
        <w:rPr>
          <w:b w:val="0"/>
          <w:bCs w:val="0"/>
        </w:rPr>
      </w:pPr>
      <w:bookmarkStart w:name="（4）期末建造合同形成的已完工未结算资产情况" w:id="254"/>
      <w:bookmarkEnd w:id="25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74"/>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344"/>
        <w:jc w:val="left"/>
        <w:rPr>
          <w:b w:val="0"/>
          <w:bCs w:val="0"/>
        </w:rPr>
      </w:pPr>
      <w:bookmarkStart w:name="9、其他流动资产" w:id="255"/>
      <w:bookmarkEnd w:id="255"/>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1,371,597.17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431,298.62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2,342,972.36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3,714,569.53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431,298.62</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1500" w:header="745" w:top="1060" w:bottom="1700" w:left="980" w:right="800"/>
          <w:pgNumType w:start="113"/>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0、可供出售金融资产" w:id="256"/>
      <w:bookmarkEnd w:id="256"/>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7"/>
      <w:bookmarkEnd w:id="25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194"/>
        <w:gridCol w:w="1198"/>
        <w:gridCol w:w="1195"/>
        <w:gridCol w:w="1248"/>
        <w:gridCol w:w="1368"/>
        <w:gridCol w:w="136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4D4D4"/>
          </w:tcPr>
          <w:p>
            <w:pP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按公允价值计量的可供出售金融资产" w:id="258"/>
      <w:bookmarkEnd w:id="25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按成本计量的可供出售金融资产" w:id="259"/>
      <w:bookmarkEnd w:id="25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6"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4D4D4"/>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4D4D4"/>
          </w:tcPr>
          <w:p>
            <w:pPr/>
          </w:p>
        </w:tc>
        <w:tc>
          <w:tcPr>
            <w:tcW w:w="871" w:type="dxa"/>
            <w:vMerge/>
            <w:tcBorders>
              <w:left w:val="single" w:sz="4" w:space="0" w:color="000000"/>
              <w:bottom w:val="single" w:sz="4" w:space="0" w:color="000000"/>
              <w:right w:val="single" w:sz="4" w:space="0" w:color="000000"/>
            </w:tcBorders>
            <w:shd w:val="clear" w:color="auto" w:fill="D4D4D4"/>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固佳原材 料贸易有 限责任公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9.00%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900,000.00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4D4D4"/>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报告期内可供出售金融资产减值的变动情况" w:id="260"/>
      <w:bookmarkEnd w:id="26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5"/>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可供出售权益工具期末公允价值严重下跌或非暂时性下跌但未计提减值准备的相关说" w:id="261"/>
      <w:bookmarkEnd w:id="26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after="0" w:line="240" w:lineRule="auto"/>
        <w:jc w:val="left"/>
        <w:sectPr>
          <w:footerReference w:type="default" r:id="rId18"/>
          <w:pgSz w:w="11910" w:h="16840"/>
          <w:pgMar w:footer="982" w:header="745" w:top="1060" w:bottom="1180" w:left="980" w:right="980"/>
          <w:pgNumType w:start="114"/>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11、长期股权投资" w:id="262"/>
      <w:bookmarkEnd w:id="262"/>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四川金剑 包装制品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6,315,997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6,315,997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6,315,997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7,820,300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12、投资性房地产" w:id="263"/>
      <w:bookmarkEnd w:id="263"/>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4"/>
      <w:bookmarkEnd w:id="26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采用公允价值计量模式的投资性房地产" w:id="265"/>
      <w:bookmarkEnd w:id="26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19,715,424.00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19,715,424.00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229,283,693.69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229,283,693.69</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168,919,609.64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168,919,609.64</w:t>
            </w:r>
            <w:r>
              <w:rPr>
                <w:rFonts w:ascii="Times New Roman"/>
                <w:sz w:val="18"/>
              </w:rPr>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3,216,221.02</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3,216,221.02</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437"/>
              <w:jc w:val="right"/>
              <w:rPr>
                <w:rFonts w:ascii="宋体" w:hAnsi="宋体" w:cs="宋体" w:eastAsia="宋体" w:hint="default"/>
                <w:sz w:val="18"/>
                <w:szCs w:val="18"/>
              </w:rPr>
            </w:pPr>
            <w:r>
              <w:rPr>
                <w:rFonts w:ascii="宋体" w:hAnsi="宋体" w:cs="宋体" w:eastAsia="宋体" w:hint="default"/>
                <w:sz w:val="18"/>
                <w:szCs w:val="18"/>
              </w:rPr>
              <w:t>其他转出</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37"/>
              <w:jc w:val="right"/>
              <w:rPr>
                <w:rFonts w:ascii="宋体" w:hAnsi="宋体" w:cs="宋体" w:eastAsia="宋体" w:hint="default"/>
                <w:sz w:val="18"/>
                <w:szCs w:val="18"/>
              </w:rPr>
            </w:pPr>
            <w:r>
              <w:rPr>
                <w:rFonts w:ascii="宋体" w:hAnsi="宋体" w:cs="宋体" w:eastAsia="宋体" w:hint="default"/>
                <w:sz w:val="18"/>
                <w:szCs w:val="18"/>
              </w:rPr>
              <w:t>公允价值变动</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57,147,863.03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57,147,863.03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248,999,117.69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248,999,117.69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未办妥产权证书的投资性房地产情况" w:id="266"/>
      <w:bookmarkEnd w:id="26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重庆美盈森仓库及宿舍楼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25,374,637.68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美盈森软件产业基地公寓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153,998,680.00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13、固定资产" w:id="267"/>
      <w:bookmarkEnd w:id="267"/>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68"/>
      <w:bookmarkEnd w:id="26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403" w:hRule="exact"/>
        </w:trPr>
        <w:tc>
          <w:tcPr>
            <w:tcW w:w="1368"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10" w:space="0" w:color="E1FFFF"/>
              <w:bottom w:val="single" w:sz="4" w:space="0" w:color="000000"/>
              <w:right w:val="single" w:sz="4" w:space="0" w:color="000000"/>
            </w:tcBorders>
            <w:shd w:val="clear" w:color="auto" w:fill="D4D4D4"/>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420,336,226.63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485,194,263.77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44,635,300.86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34,154,099.81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3,016,462.72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987,336,353.79</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52,523,525.78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61,673,670.01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2,580,790.87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2,336,019.46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8,493,807.99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127,607,814.11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52,523,525.78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25,300,837.09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2,438,180.10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1,466,436.99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1,592,648.19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83,321,628.15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281,578.46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100,854.70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168,263.22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550,696.38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35,788,542.44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673,824.25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6,784,460.19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43,246,826.88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302,712.02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41,756.07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116,699.61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488,662.70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1,542,367.54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10,234,846.14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1,259,680.31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4,279,649.28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17,333,031.27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5,726,263.34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1,259,680.31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2,162,983.28</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9,165,414.93</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）转投资性房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1,542,367.54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1,542,367.54</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）转入在建工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4,508,582.80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2,116,666.00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6,625,248.80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471,317,384.87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536,633,087.64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45,956,411.42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32,210,469.99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11,493,782.71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1,097,611,136.63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45,772,601.96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148,883,119.04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25,534,534.09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24,361,708.87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1,432,318.47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245,984,282.43</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13,294,795.64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50,215,133.32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7,020,307.63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4,324,730.27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5,359,394.89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80,214,361.75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13,294,795.64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35,631,299.21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7,002,033.70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4,072,900.15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2,128,777.17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62,129,805.87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）企业合并增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14,517,007.69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249,218.09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3,218,654.42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17,984,880.20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18,273.93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11,963.30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99,675.68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191,297.33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7,317,943.69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1,156,311.19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3,928,504.06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12,608,895.47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4,894,477.73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1,156,311.19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1,917,671.36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14,839.20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7,983,299.48</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191,297.33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191,297.33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）转入在建工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2,423,465.96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2,010,832.70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4,434,298.66</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58,876,100.27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191,780,308.67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31,398,530.53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24,757,935.08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6,776,874.16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313,589,748.72</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136,931.56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42,608.89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179,540.45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9"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136,931.56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42,608.89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179,540.45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4" w:right="11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412,441,284.60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344,715,847.41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14,515,272.00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7,452,534.91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4,716,908.55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783,841,847.47</w:t>
            </w:r>
            <w:r>
              <w:rPr>
                <w:rFonts w:ascii="Times New Roman"/>
                <w:sz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374,563,624.67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336,174,213.17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19,058,157.88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9,792,390.94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1,584,144.25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741,172,530.91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2）暂时闲置的固定资产情况" w:id="269"/>
      <w:bookmarkEnd w:id="26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通过融资租赁租入的固定资产情况" w:id="270"/>
      <w:bookmarkEnd w:id="27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5,200,000.00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858,000.00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4,342,000.00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271"/>
      <w:bookmarkEnd w:id="27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办妥产权证书的固定资产情况" w:id="272"/>
      <w:bookmarkEnd w:id="27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89,414,678.84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108,784,765.56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美盈森软件产业基地办公楼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25,186,667.00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26,902,399.13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泸州厂区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20,153,730.10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合江厂区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2,368,025.76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14、在建工程" w:id="273"/>
      <w:bookmarkEnd w:id="273"/>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4"/>
      <w:bookmarkEnd w:id="27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2"/>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低碳环保包装研 发总部基地项目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6,558,592.32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6,558,592.32</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3,378,328.50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3,378,328.50</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总部技术改造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3,182,044.39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3,182,044.39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629,903.44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629,903.44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环保包装生产建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46,342,733.79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46,342,733.79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25,673,110.20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25,673,110.20</w:t>
            </w:r>
            <w:r>
              <w:rPr>
                <w:rFonts w:ascii="Times New Roman"/>
                <w:sz w:val="18"/>
              </w:rPr>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成都综合基地项 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3,228,248.40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3,228,248.40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59,311,618.90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59,311,618.90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29,759,342.14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29,759,342.14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75"/>
      <w:bookmarkEnd w:id="27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环保包 装生产 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东莞 基地扩 建工程</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8,922,72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34,362,8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142,392.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43,143,2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低碳环 保包装 研发总 部基地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3,378,32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3,180,26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3.82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6,558,59</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290,000,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12,301,0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37,543,1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142,392.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49,701,8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10.40</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76"/>
      <w:bookmarkEnd w:id="27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5、无形资产" w:id="277"/>
      <w:bookmarkEnd w:id="277"/>
      <w:r>
        <w:rPr>
          <w:b w:val="0"/>
          <w:bCs w:val="0"/>
        </w:rPr>
      </w:r>
      <w:bookmarkStart w:name="（1）无形资产情况" w:id="278"/>
      <w:bookmarkEnd w:id="27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3" w:space="0" w:color="D4D4D4"/>
              <w:bottom w:val="single" w:sz="4" w:space="0" w:color="000000"/>
              <w:right w:val="single" w:sz="4" w:space="0" w:color="000000"/>
            </w:tcBorders>
            <w:shd w:val="clear" w:color="auto" w:fill="E1FFFF"/>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226,088,005.45</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2,236,303.46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228,324,308.91</w:t>
            </w:r>
            <w:r>
              <w:rPr>
                <w:rFonts w:ascii="Times New Roman"/>
                <w:sz w:val="18"/>
              </w:rPr>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4,852,910.46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4,852,910.46</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982,458.72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982,458.72</w:t>
            </w: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4D4D4"/>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3,644,631.51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3,644,631.51</w:t>
            </w:r>
            <w:r>
              <w:rPr>
                <w:rFonts w:ascii="Times New Roman"/>
                <w:sz w:val="18"/>
              </w:rPr>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225,820.23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225,820.23</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69,764.83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69,764.83</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69,764.83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69,764.83</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226,018,240.62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7,089,213.92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233,107,454.54</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19,575,297.95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1,526,699.51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21,101,997.46</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4,813,513.20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1,210,158.96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6,023,672.16</w:t>
            </w:r>
            <w:r>
              <w:rPr>
                <w:rFonts w:ascii="Times New Roman"/>
                <w:sz w:val="18"/>
              </w:rPr>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4,813,513.20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1,070,575.44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5,884,088.64</w:t>
            </w:r>
            <w:r>
              <w:rPr>
                <w:rFonts w:ascii="Times New Roman"/>
                <w:sz w:val="18"/>
              </w:rPr>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131,439.57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131,439.57</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8,143.95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8,143.95</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81,955.35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81,955.35</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49"/>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81,955.35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81,955.35</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24,306,855.80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2,736,858.47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27,043,714.27</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82" w:header="745" w:top="1060" w:bottom="118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201,711,384.82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4,352,355.45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206,063,740.27</w:t>
            </w:r>
            <w:r>
              <w:rPr>
                <w:rFonts w:ascii="Times New Roman"/>
                <w:sz w:val="18"/>
              </w:rPr>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206,512,707.50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709,603.95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207,222,311.45</w:t>
            </w:r>
          </w:p>
        </w:tc>
      </w:tr>
    </w:tbl>
    <w:p>
      <w:pPr>
        <w:pStyle w:val="BodyText"/>
        <w:spacing w:line="240" w:lineRule="auto" w:before="49"/>
        <w:ind w:right="0"/>
        <w:jc w:val="left"/>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79"/>
      <w:bookmarkEnd w:id="27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16、商誉" w:id="280"/>
      <w:bookmarkEnd w:id="280"/>
      <w:r>
        <w:rPr>
          <w:b w:val="0"/>
          <w:bCs w:val="0"/>
        </w:rPr>
      </w:r>
      <w:r>
        <w:rPr>
          <w:rFonts w:ascii="Times New Roman" w:hAnsi="Times New Roman" w:cs="Times New Roman" w:eastAsia="Times New Roman" w:hint="default"/>
        </w:rPr>
        <w:t>16</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81"/>
      <w:bookmarkEnd w:id="28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359" w:hRule="exact"/>
        </w:trPr>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60" w:hRule="exact"/>
        </w:trPr>
        <w:tc>
          <w:tcPr>
            <w:tcW w:w="1367" w:type="dxa"/>
            <w:vMerge/>
            <w:tcBorders>
              <w:left w:val="single" w:sz="4" w:space="0" w:color="000000"/>
              <w:right w:val="single" w:sz="4" w:space="0" w:color="000000"/>
            </w:tcBorders>
            <w:shd w:val="clear" w:color="auto" w:fill="D4D4D4"/>
          </w:tcPr>
          <w:p>
            <w:pP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6" w:type="dxa"/>
            <w:vMerge w:val="restart"/>
            <w:tcBorders>
              <w:top w:val="single" w:sz="4" w:space="0" w:color="000000"/>
              <w:left w:val="single" w:sz="12" w:space="0" w:color="D4D4D4"/>
              <w:right w:val="single" w:sz="13" w:space="0" w:color="D4D4D4"/>
            </w:tcBorders>
            <w:shd w:val="clear" w:color="auto" w:fill="E1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12" w:space="0" w:color="D4D4D4"/>
              <w:right w:val="single" w:sz="10" w:space="0" w:color="D4D4D4"/>
            </w:tcBorders>
            <w:shd w:val="clear" w:color="auto" w:fill="E1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7" w:type="dxa"/>
            <w:vMerge/>
            <w:tcBorders>
              <w:left w:val="single" w:sz="4" w:space="0" w:color="000000"/>
              <w:right w:val="single" w:sz="4" w:space="0" w:color="000000"/>
            </w:tcBorders>
            <w:shd w:val="clear" w:color="auto" w:fill="D4D4D4"/>
          </w:tcPr>
          <w:p>
            <w:pPr/>
          </w:p>
        </w:tc>
        <w:tc>
          <w:tcPr>
            <w:tcW w:w="136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4D4D4"/>
              <w:right w:val="single" w:sz="13" w:space="0" w:color="D4D4D4"/>
            </w:tcBorders>
            <w:shd w:val="clear" w:color="auto" w:fill="E1FFFF"/>
          </w:tcPr>
          <w:p>
            <w:pPr/>
          </w:p>
        </w:tc>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4D4D4"/>
              <w:right w:val="single" w:sz="10" w:space="0" w:color="D4D4D4"/>
            </w:tcBorders>
            <w:shd w:val="clear" w:color="auto" w:fill="E1FFFF"/>
          </w:tcPr>
          <w:p>
            <w:pPr/>
          </w:p>
        </w:tc>
        <w:tc>
          <w:tcPr>
            <w:tcW w:w="1366"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4D4D4"/>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12" w:space="0" w:color="D4D4D4"/>
              <w:bottom w:val="single" w:sz="4" w:space="0" w:color="000000"/>
              <w:right w:val="single" w:sz="13" w:space="0" w:color="D4D4D4"/>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12" w:space="0" w:color="D4D4D4"/>
              <w:bottom w:val="single" w:sz="4" w:space="0" w:color="000000"/>
              <w:right w:val="single" w:sz="10" w:space="0" w:color="D4D4D4"/>
            </w:tcBorders>
            <w:shd w:val="clear" w:color="auto" w:fill="E1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174,891,428.47</w:t>
            </w:r>
            <w:r>
              <w:rPr>
                <w:rFonts w:ascii="Times New Roman"/>
                <w:sz w:val="18"/>
              </w:rPr>
            </w:r>
          </w:p>
        </w:tc>
        <w:tc>
          <w:tcPr>
            <w:tcW w:w="1368" w:type="dxa"/>
            <w:tcBorders>
              <w:top w:val="single" w:sz="44" w:space="0" w:color="D4D4D4"/>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4" w:space="0" w:color="D4D4D4"/>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174,891,428.47</w:t>
            </w:r>
            <w:r>
              <w:rPr>
                <w:rFonts w:ascii="Times New Roman"/>
                <w:sz w:val="18"/>
              </w:rPr>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汇天云网集团有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20,738,107.50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-88,050.81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20,650,056.69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174,891,428.47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20,738,107.50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-88,050.81</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195,541,485.16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bookmarkStart w:name="（2）商誉减值准备" w:id="282"/>
      <w:bookmarkEnd w:id="28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73,340,667.23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73,340,667.23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汇天云网集团有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2,318,176.49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2,318,176.49</w:t>
            </w:r>
            <w:r>
              <w:rPr>
                <w:rFonts w:ascii="Times New Roman"/>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75,658,843.72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75,658,843.72</w:t>
            </w:r>
          </w:p>
        </w:tc>
      </w:tr>
    </w:tbl>
    <w:p>
      <w:pPr>
        <w:pStyle w:val="BodyText"/>
        <w:spacing w:line="338" w:lineRule="auto" w:before="49"/>
        <w:ind w:right="94"/>
        <w:jc w:val="left"/>
      </w:pPr>
      <w:r>
        <w:rPr/>
        <w:t>说明商誉减值测试过程、参数及商誉减值损失的确认方法： 公司聘请具有证券、期货从业资格的资产评估公司采用预计未来现金流现值计算资产组的可收回金额，根据减值测试结果， 计提相应的资产减值损失。</w:t>
      </w:r>
    </w:p>
    <w:p>
      <w:pPr>
        <w:pStyle w:val="BodyText"/>
        <w:spacing w:line="357" w:lineRule="auto" w:before="43"/>
        <w:ind w:right="909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04"/>
        <w:jc w:val="left"/>
        <w:rPr>
          <w:b w:val="0"/>
          <w:bCs w:val="0"/>
        </w:rPr>
      </w:pPr>
      <w:bookmarkStart w:name="17、长期待摊费用" w:id="283"/>
      <w:bookmarkEnd w:id="283"/>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办公场所装修费、绿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化工程、景观湖等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11,730,187.43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6,010,106.70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3,740,711.36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13,999,582.77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11,730,187.43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6,010,106.70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3,740,711.36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13,999,582.77</w:t>
            </w:r>
          </w:p>
        </w:tc>
      </w:tr>
    </w:tbl>
    <w:p>
      <w:pPr>
        <w:pStyle w:val="BodyText"/>
        <w:spacing w:line="357" w:lineRule="auto" w:before="49"/>
        <w:ind w:right="909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104"/>
        <w:jc w:val="left"/>
        <w:rPr>
          <w:b w:val="0"/>
          <w:bCs w:val="0"/>
        </w:rPr>
      </w:pPr>
      <w:bookmarkStart w:name="18、递延所得税资产/递延所得税负债" w:id="284"/>
      <w:bookmarkEnd w:id="284"/>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bookmarkStart w:name="（1）未经抵销的递延所得税资产" w:id="285"/>
      <w:bookmarkEnd w:id="28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49,803,384.84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8,143,276.20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23,836,886.41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3,747,904.86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4,375,555.45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787,333.32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461,500.00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54,178,940.29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8,930,609.52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26,306,886.41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4,209,404.86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未经抵销的递延所得税负债" w:id="286"/>
      <w:bookmarkEnd w:id="28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按公允价值模式计量的 投资性房地产</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66,035,141.60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9,905,271.24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8,536,752.77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1,280,512.91</w:t>
            </w:r>
            <w:r>
              <w:rPr>
                <w:rFonts w:ascii="Times New Roman"/>
                <w:sz w:val="18"/>
              </w:rPr>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407,798.30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101,949.58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66,442,939.90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10,007,220.82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8,536,752.77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1,280,512.91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287"/>
      <w:bookmarkEnd w:id="28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right w:val="single" w:sz="4" w:space="0" w:color="000000"/>
            </w:tcBorders>
            <w:shd w:val="clear" w:color="auto" w:fill="D4D4D4"/>
          </w:tcPr>
          <w:p>
            <w:pPr/>
          </w:p>
        </w:tc>
        <w:tc>
          <w:tcPr>
            <w:tcW w:w="1915" w:type="dxa"/>
            <w:vMerge/>
            <w:tcBorders>
              <w:left w:val="single" w:sz="4" w:space="0" w:color="000000"/>
              <w:right w:val="single" w:sz="4" w:space="0" w:color="000000"/>
            </w:tcBorders>
            <w:shd w:val="clear" w:color="auto" w:fill="D4D4D4"/>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8,930,609.52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4,209,404.86</w:t>
            </w:r>
            <w:r>
              <w:rPr>
                <w:rFonts w:ascii="Times New Roman"/>
                <w:sz w:val="18"/>
              </w:rPr>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10,007,220.82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1,280,512.91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未确认递延所得税资产明细" w:id="288"/>
      <w:bookmarkEnd w:id="28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24,745,112.06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24,542,202.12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24,745,112.06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24,542,202.12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289"/>
      <w:bookmarkEnd w:id="28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1,276,697.54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1,973,107.09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6,421,654.50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6,692,925.26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8,756,212.47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3,719,137.91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3,999,688.31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3,362,626.57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4,087,949.30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8,997,315.23</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24,745,112.06</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24,542,202.12</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19、其他非流动资产" w:id="290"/>
      <w:bookmarkEnd w:id="290"/>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4,584,192.67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1,561,350.00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预付土地交易保证金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6,487,469.34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6,381,469.34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15,071,662.01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14,942,819.34</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0、应付票据" w:id="291"/>
      <w:bookmarkEnd w:id="291"/>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216,660,186.98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217,935,866.81</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216,660,186.98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217,935,866.81</w:t>
            </w:r>
            <w:r>
              <w:rPr>
                <w:rFonts w:ascii="Times New Roman"/>
                <w:sz w:val="18"/>
              </w:rPr>
            </w:r>
          </w:p>
        </w:tc>
      </w:tr>
    </w:tbl>
    <w:p>
      <w:pPr>
        <w:pStyle w:val="BodyText"/>
        <w:spacing w:line="240" w:lineRule="auto" w:before="49"/>
        <w:ind w:right="0"/>
        <w:jc w:val="left"/>
      </w:pPr>
      <w:r>
        <w:rPr/>
        <w:t>本期末已到期未支付的应付票据总额为</w:t>
      </w:r>
      <w:r>
        <w:rPr>
          <w:spacing w:val="-46"/>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1、应付账款" w:id="292"/>
      <w:bookmarkEnd w:id="292"/>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93"/>
      <w:bookmarkEnd w:id="29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363,924,094.18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242,321,132.07</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39,122,793.19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35,467,332.98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403,046,887.37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277,788,465.05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294"/>
      <w:bookmarkEnd w:id="294"/>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重庆中达正建筑工程有限公司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5,474,686.45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江苏省建工集团有限公司吴江分公司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2,715,000.00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重庆市五一实业</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1,047,664.56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9,237,351.01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2、预收款项" w:id="295"/>
      <w:bookmarkEnd w:id="295"/>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6,493,521.81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6,574,275.68</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1,337,641.69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1,615,801.51</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7,831,163.50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8,190,077.19</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297"/>
      <w:bookmarkEnd w:id="297"/>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建造合同形成的已结算未完工项目情况" w:id="298"/>
      <w:bookmarkEnd w:id="29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7"/>
        <w:gridCol w:w="4790"/>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3、应付职工薪酬" w:id="299"/>
      <w:bookmarkEnd w:id="299"/>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00"/>
      <w:bookmarkEnd w:id="30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7,673,383.31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254,606,990.34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251,649,916.06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10,630,457.59</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15,871,000.99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15,870,386.53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614.46</w:t>
            </w:r>
            <w:r>
              <w:rPr>
                <w:rFonts w:ascii="Times New Roman"/>
                <w:sz w:val="18"/>
              </w:rPr>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8,544,376.00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316,514.00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8,227,862.00</w:t>
            </w:r>
            <w:r>
              <w:rPr>
                <w:rFonts w:ascii="Times New Roman"/>
                <w:sz w:val="18"/>
              </w:rPr>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65"/>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562,090.97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562,090.97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7,673,383.31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279,584,458.30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268,398,907.56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18,858,934.05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短期薪酬列示" w:id="301"/>
      <w:bookmarkEnd w:id="30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6,751,905.75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240,959,444.13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237,437,418.64</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10,273,931.24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759,026.84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5,972,926.64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6,593,005.16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138,948.32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5,882,193.01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5,827,065.70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55,127.31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4,359,259.98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4,304,132.67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55,127.31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1,073,506.08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1,073,506.08</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449,426.96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449,426.96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1,789,997.00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1,789,997.00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162,450.72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2,429.56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2,429.56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162,450.72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7,673,383.31</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254,606,990.34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251,649,916.06</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10,630,457.59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302"/>
      <w:bookmarkEnd w:id="30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14,513,724.86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14,513,724.86</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1,357,276.13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1,356,661.67</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614.46</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15,871,000.99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15,870,386.53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614.46</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4、应交税费" w:id="303"/>
      <w:bookmarkEnd w:id="303"/>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9,851,998.56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7,793,777.78</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10,434,782.33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11,002,295.32</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669,611.89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414,037.54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964,082.23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684,107.05</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865,128.53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557,518.43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31,127.32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28,408.17</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1,579,031.74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923,725.34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24,395,762.60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21,403,869.63</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5、其他应付款" w:id="304"/>
      <w:bookmarkEnd w:id="304"/>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05"/>
      <w:bookmarkEnd w:id="30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4,223,393.85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68,852.50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应缴印花税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47,367.99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18,169.18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5,151,688.41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1,180,000.00</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38,131,378.10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6,832,246.10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3,092,124.13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54,386,074.45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127,859,145.81</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06"/>
      <w:bookmarkEnd w:id="306"/>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西藏新天地投资合伙企业（有限合伙）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38,131,378.10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38,131,378.10</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6、一年内到期的非流动负债" w:id="307"/>
      <w:bookmarkEnd w:id="307"/>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5,515,384.82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2,486,034.76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8,001,419.58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7、长期借款" w:id="308"/>
      <w:bookmarkEnd w:id="308"/>
      <w:r>
        <w:rPr>
          <w:b w:val="0"/>
          <w:bCs w:val="0"/>
        </w:rPr>
      </w:r>
      <w:bookmarkStart w:name="（1）长期借款分类" w:id="309"/>
      <w:bookmarkEnd w:id="30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6,886,086.20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6,886,086.20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974"/>
        <w:jc w:val="left"/>
      </w:pPr>
      <w:r>
        <w:rPr/>
        <w:t>长期借款分类的说明： 无</w:t>
      </w:r>
    </w:p>
    <w:p>
      <w:pPr>
        <w:pStyle w:val="BodyText"/>
        <w:spacing w:line="357" w:lineRule="auto" w:before="27"/>
        <w:ind w:right="7614"/>
        <w:jc w:val="left"/>
      </w:pPr>
      <w:r>
        <w:rPr/>
        <w:t>其他说明，包括利率区间：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8、长期应付款" w:id="310"/>
      <w:bookmarkEnd w:id="310"/>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11"/>
      <w:bookmarkEnd w:id="31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分期购买设备款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429,579.24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429,579.24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9、递延收益" w:id="312"/>
      <w:bookmarkEnd w:id="312"/>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7,412,852.57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7,742,673.42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2,595,955.20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12,559,570.79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7,412,852.57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7,742,673.42</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2,595,955.20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12,559,570.79</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市级技术中心 项目资助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2,920,630.40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255,674.56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2,664,955.84</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投资项目发展 专项资金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822,222.17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66,666.72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755,555.45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深圳市财政库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25.279999pt;margin-top:318.719971pt;width:67.95pt;height:23.4pt;mso-position-horizontal-relative:page;mso-position-vertical-relative:page;z-index:-944272" coordorigin="2506,6374" coordsize="1359,468">
            <v:shape style="position:absolute;left:2506;top:6374;width:1359;height:468" coordorigin="2506,6374" coordsize="1359,468" path="m2506,6842l3864,6842,3864,6374,2506,6374,2506,684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新兴产业发 展专项资金补贴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深圳家居产品 创意设计工程实 验室项目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4,300,000.00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5. 2010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年代金属 复合工艺技改项 目拨款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1,310,000.00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深圳发改委维 纳高端材料实验 室补贴</w:t>
            </w:r>
          </w:p>
          <w:p>
            <w:pPr>
              <w:pStyle w:val="TableParagraph"/>
              <w:spacing w:line="240" w:lineRule="auto" w:before="24"/>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1,047,500.00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1,047,500.00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深圳文体旅游 局环保立体代金 属包装补贴</w:t>
            </w:r>
          </w:p>
          <w:p>
            <w:pPr>
              <w:pStyle w:val="TableParagraph"/>
              <w:spacing w:line="240" w:lineRule="auto" w:before="24"/>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512,500.00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实现自动一体 化包装生产线的 工艺创新项目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废纸循环纸浮 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 </w:t>
            </w:r>
            <w:r>
              <w:rPr>
                <w:rFonts w:ascii="宋体" w:hAnsi="宋体" w:cs="宋体" w:eastAsia="宋体" w:hint="default"/>
                <w:sz w:val="18"/>
                <w:szCs w:val="18"/>
              </w:rPr>
              <w:t>印刷产品 产业化及市场推 广项目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环保立体代金 属高档包装项目 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微纳结构材料 高端印刷文化工 程实验室</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中小企业推广 基金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13,613.92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19,059.50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7,412,852.57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7,742,673.42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2,595,955.20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12,559,570.79</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0、股本" w:id="313"/>
      <w:bookmarkEnd w:id="313"/>
      <w:r>
        <w:rPr>
          <w:b w:val="0"/>
          <w:bCs w:val="0"/>
        </w:rPr>
      </w: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5"/>
        <w:gridCol w:w="1198"/>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4D4D4"/>
          </w:tcPr>
          <w:p>
            <w:pP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4D4D4"/>
          </w:tcPr>
          <w:p>
            <w:pPr/>
          </w:p>
        </w:tc>
        <w:tc>
          <w:tcPr>
            <w:tcW w:w="1198"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5"/>
        <w:gridCol w:w="1198"/>
        <w:gridCol w:w="1195"/>
        <w:gridCol w:w="1195"/>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715,200,000.00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214,560,000.00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500,640,000.00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715,200,000.00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1,430,400,000.</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0"/>
        <w:jc w:val="left"/>
      </w:pPr>
      <w:r>
        <w:rPr/>
        <w:t>其他说明：</w:t>
      </w:r>
    </w:p>
    <w:p>
      <w:pPr>
        <w:pStyle w:val="Heading4"/>
        <w:spacing w:line="300" w:lineRule="auto" w:before="115"/>
        <w:ind w:right="0" w:firstLine="461"/>
        <w:jc w:val="left"/>
        <w:rPr>
          <w:b w:val="0"/>
          <w:bCs w:val="0"/>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年度利润分配和公积金转增股本预案》：以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w w:val="95"/>
        </w:rPr>
        <w:t>日的公司总股本</w:t>
      </w:r>
      <w:r>
        <w:rPr>
          <w:rFonts w:ascii="Times New Roman" w:hAnsi="Times New Roman" w:cs="Times New Roman" w:eastAsia="Times New Roman" w:hint="default"/>
          <w:spacing w:val="-1"/>
          <w:w w:val="95"/>
        </w:rPr>
        <w:t>715,200,000</w:t>
      </w:r>
      <w:r>
        <w:rPr>
          <w:spacing w:val="-1"/>
          <w:w w:val="95"/>
        </w:rPr>
        <w:t>股为基数，向全体股东每</w:t>
      </w:r>
      <w:r>
        <w:rPr>
          <w:rFonts w:ascii="Times New Roman" w:hAnsi="Times New Roman" w:cs="Times New Roman" w:eastAsia="Times New Roman" w:hint="default"/>
          <w:spacing w:val="-1"/>
          <w:w w:val="95"/>
        </w:rPr>
        <w:t>10</w:t>
      </w:r>
      <w:r>
        <w:rPr>
          <w:spacing w:val="-1"/>
          <w:w w:val="95"/>
        </w:rPr>
        <w:t>股派发现金</w:t>
      </w:r>
      <w:r>
        <w:rPr>
          <w:rFonts w:ascii="Times New Roman" w:hAnsi="Times New Roman" w:cs="Times New Roman" w:eastAsia="Times New Roman" w:hint="default"/>
          <w:spacing w:val="-1"/>
          <w:w w:val="95"/>
        </w:rPr>
        <w:t>0.75</w:t>
      </w:r>
      <w:r>
        <w:rPr>
          <w:spacing w:val="-1"/>
          <w:w w:val="95"/>
        </w:rPr>
        <w:t>元（含税），本次利润分配</w:t>
      </w:r>
      <w:r>
        <w:rPr>
          <w:rFonts w:ascii="Times New Roman" w:hAnsi="Times New Roman" w:cs="Times New Roman" w:eastAsia="Times New Roman" w:hint="default"/>
          <w:spacing w:val="-1"/>
          <w:w w:val="95"/>
        </w:rPr>
        <w:t>5364</w:t>
      </w:r>
      <w:r>
        <w:rPr>
          <w:spacing w:val="-1"/>
          <w:w w:val="95"/>
        </w:rPr>
        <w:t>万元（含税），以未</w:t>
      </w:r>
      <w:r>
        <w:rPr>
          <w:spacing w:val="33"/>
          <w:w w:val="95"/>
        </w:rPr>
        <w:t> </w:t>
      </w:r>
      <w:r>
        <w:rPr>
          <w:spacing w:val="33"/>
          <w:w w:val="95"/>
        </w:rPr>
      </w:r>
      <w:r>
        <w:rPr/>
        <w:t>分配利润向全体股东每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3</w:t>
      </w:r>
      <w:r>
        <w:rPr/>
        <w:t>股，共计派发股票股利</w:t>
      </w:r>
      <w:r>
        <w:rPr>
          <w:rFonts w:ascii="Times New Roman" w:hAnsi="Times New Roman" w:cs="Times New Roman" w:eastAsia="Times New Roman" w:hint="default"/>
        </w:rPr>
        <w:t>214,560,000</w:t>
      </w:r>
      <w:r>
        <w:rPr/>
        <w:t>股；同时，以资本公积金向全体股东每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 </w:t>
      </w:r>
      <w:r>
        <w:rPr/>
        <w:t>股，共计转增股本</w:t>
      </w:r>
      <w:r>
        <w:rPr>
          <w:rFonts w:ascii="Times New Roman" w:hAnsi="Times New Roman" w:cs="Times New Roman" w:eastAsia="Times New Roman" w:hint="default"/>
        </w:rPr>
        <w:t>500,640,000</w:t>
      </w:r>
      <w:r>
        <w:rPr/>
        <w:t>股。该权益分配方案已于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日实施完毕。</w:t>
      </w:r>
      <w:r>
        <w:rPr>
          <w:b w:val="0"/>
          <w:bCs w:val="0"/>
        </w:rPr>
      </w:r>
    </w:p>
    <w:p>
      <w:pPr>
        <w:spacing w:line="240" w:lineRule="auto" w:before="4"/>
        <w:rPr>
          <w:rFonts w:ascii="宋体" w:hAnsi="宋体" w:cs="宋体" w:eastAsia="宋体" w:hint="default"/>
          <w:b/>
          <w:bCs/>
          <w:sz w:val="22"/>
          <w:szCs w:val="22"/>
        </w:rPr>
      </w:pPr>
    </w:p>
    <w:p>
      <w:pPr>
        <w:pStyle w:val="Heading3"/>
        <w:spacing w:line="240" w:lineRule="auto"/>
        <w:ind w:right="0"/>
        <w:jc w:val="left"/>
        <w:rPr>
          <w:b w:val="0"/>
          <w:bCs w:val="0"/>
        </w:rPr>
      </w:pPr>
      <w:bookmarkStart w:name="31、资本公积" w:id="314"/>
      <w:bookmarkEnd w:id="314"/>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516,797,900.40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500,640,000.00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16,157,900.40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516,797,900.40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500,640,000.00</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16,157,900.40</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BodyText"/>
        <w:spacing w:line="300" w:lineRule="auto" w:before="141"/>
        <w:ind w:right="150" w:firstLine="360"/>
        <w:jc w:val="both"/>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04</w:t>
      </w:r>
      <w:r>
        <w:rPr>
          <w:spacing w:val="-2"/>
        </w:rPr>
        <w:t>月</w:t>
      </w:r>
      <w:r>
        <w:rPr>
          <w:rFonts w:ascii="Times New Roman" w:hAnsi="Times New Roman" w:cs="Times New Roman" w:eastAsia="Times New Roman" w:hint="default"/>
          <w:spacing w:val="-2"/>
        </w:rPr>
        <w:t>23</w:t>
      </w:r>
      <w:r>
        <w:rPr>
          <w:spacing w:val="-2"/>
        </w:rPr>
        <w:t>日第三届董事会第十二次会议决议并经股东大会审议批准，同意公司以截止</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w:t>
      </w:r>
      <w:r>
        <w:rPr/>
        <w:t> </w:t>
      </w:r>
      <w:r>
        <w:rPr>
          <w:spacing w:val="-1"/>
        </w:rPr>
        <w:t>总股本</w:t>
      </w:r>
      <w:r>
        <w:rPr>
          <w:rFonts w:ascii="Times New Roman" w:hAnsi="Times New Roman" w:cs="Times New Roman" w:eastAsia="Times New Roman" w:hint="default"/>
          <w:spacing w:val="-1"/>
        </w:rPr>
        <w:t>715,200,000</w:t>
      </w:r>
      <w:r>
        <w:rPr>
          <w:spacing w:val="-1"/>
        </w:rPr>
        <w:t>股为基数，向全体股东每</w:t>
      </w:r>
      <w:r>
        <w:rPr>
          <w:rFonts w:ascii="Times New Roman" w:hAnsi="Times New Roman" w:cs="Times New Roman" w:eastAsia="Times New Roman" w:hint="default"/>
          <w:spacing w:val="-1"/>
        </w:rPr>
        <w:t>10</w:t>
      </w:r>
      <w:r>
        <w:rPr>
          <w:spacing w:val="-1"/>
        </w:rPr>
        <w:t>股派发现金</w:t>
      </w:r>
      <w:r>
        <w:rPr>
          <w:rFonts w:ascii="Times New Roman" w:hAnsi="Times New Roman" w:cs="Times New Roman" w:eastAsia="Times New Roman" w:hint="default"/>
          <w:spacing w:val="-1"/>
        </w:rPr>
        <w:t>0.75</w:t>
      </w:r>
      <w:r>
        <w:rPr>
          <w:spacing w:val="-1"/>
        </w:rPr>
        <w:t>元（含税），本次利润分配</w:t>
      </w:r>
      <w:r>
        <w:rPr>
          <w:rFonts w:ascii="Times New Roman" w:hAnsi="Times New Roman" w:cs="Times New Roman" w:eastAsia="Times New Roman" w:hint="default"/>
          <w:spacing w:val="-1"/>
        </w:rPr>
        <w:t>5364</w:t>
      </w:r>
      <w:r>
        <w:rPr>
          <w:spacing w:val="-1"/>
        </w:rPr>
        <w:t>万元（含税），以未分配利润</w:t>
      </w:r>
      <w:r>
        <w:rPr>
          <w:spacing w:val="-75"/>
        </w:rPr>
        <w:t> </w:t>
      </w:r>
      <w:r>
        <w:rPr>
          <w:spacing w:val="-75"/>
        </w:rPr>
      </w:r>
      <w:r>
        <w:rPr>
          <w:spacing w:val="-2"/>
        </w:rPr>
        <w:t>向全体股东每</w:t>
      </w:r>
      <w:r>
        <w:rPr>
          <w:rFonts w:ascii="Times New Roman" w:hAnsi="Times New Roman" w:cs="Times New Roman" w:eastAsia="Times New Roman" w:hint="default"/>
          <w:spacing w:val="-2"/>
        </w:rPr>
        <w:t>10</w:t>
      </w:r>
      <w:r>
        <w:rPr>
          <w:spacing w:val="-2"/>
        </w:rPr>
        <w:t>股派送红股</w:t>
      </w:r>
      <w:r>
        <w:rPr>
          <w:rFonts w:ascii="Times New Roman" w:hAnsi="Times New Roman" w:cs="Times New Roman" w:eastAsia="Times New Roman" w:hint="default"/>
          <w:spacing w:val="-2"/>
        </w:rPr>
        <w:t>3</w:t>
      </w:r>
      <w:r>
        <w:rPr>
          <w:spacing w:val="-2"/>
        </w:rPr>
        <w:t>股，共计派发股票股利</w:t>
      </w:r>
      <w:r>
        <w:rPr>
          <w:rFonts w:ascii="Times New Roman" w:hAnsi="Times New Roman" w:cs="Times New Roman" w:eastAsia="Times New Roman" w:hint="default"/>
          <w:spacing w:val="-2"/>
        </w:rPr>
        <w:t>214,560,000</w:t>
      </w:r>
      <w:r>
        <w:rPr>
          <w:spacing w:val="-2"/>
        </w:rPr>
        <w:t>股；同时，以资本公积金向全体股东每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股，共计转</w:t>
      </w:r>
      <w:r>
        <w:rPr>
          <w:spacing w:val="-52"/>
        </w:rPr>
        <w:t> </w:t>
      </w:r>
      <w:r>
        <w:rPr>
          <w:spacing w:val="-52"/>
        </w:rPr>
      </w:r>
      <w:r>
        <w:rPr/>
        <w:t>增股本</w:t>
      </w:r>
      <w:r>
        <w:rPr>
          <w:rFonts w:ascii="Times New Roman" w:hAnsi="Times New Roman" w:cs="Times New Roman" w:eastAsia="Times New Roman" w:hint="default"/>
        </w:rPr>
        <w:t>500,640,000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3"/>
        <w:spacing w:line="240" w:lineRule="auto"/>
        <w:ind w:right="0"/>
        <w:jc w:val="left"/>
        <w:rPr>
          <w:b w:val="0"/>
          <w:bCs w:val="0"/>
        </w:rPr>
      </w:pPr>
      <w:bookmarkStart w:name="32、其他综合收益" w:id="315"/>
      <w:bookmarkEnd w:id="315"/>
      <w:r>
        <w:rPr>
          <w:b w:val="0"/>
          <w:bCs w:val="0"/>
        </w:rPr>
      </w:r>
      <w:r>
        <w:rPr>
          <w:rFonts w:ascii="Times New Roman" w:hAnsi="Times New Roman" w:cs="Times New Roman" w:eastAsia="Times New Roman" w:hint="default"/>
        </w:rPr>
        <w:t>32</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8"/>
        <w:gridCol w:w="1068"/>
        <w:gridCol w:w="936"/>
        <w:gridCol w:w="1152"/>
        <w:gridCol w:w="934"/>
        <w:gridCol w:w="936"/>
        <w:gridCol w:w="936"/>
        <w:gridCol w:w="797"/>
      </w:tblGrid>
      <w:tr>
        <w:trPr>
          <w:trHeight w:val="396" w:hRule="exact"/>
        </w:trPr>
        <w:tc>
          <w:tcPr>
            <w:tcW w:w="2798" w:type="dxa"/>
            <w:vMerge w:val="restart"/>
            <w:tcBorders>
              <w:top w:val="single" w:sz="4" w:space="0" w:color="000000"/>
              <w:left w:val="single" w:sz="4" w:space="0" w:color="000000"/>
              <w:right w:val="single" w:sz="4" w:space="0" w:color="000000"/>
            </w:tcBorders>
            <w:shd w:val="clear" w:color="auto" w:fill="D4D4D4"/>
          </w:tcPr>
          <w:p>
            <w:pPr/>
          </w:p>
        </w:tc>
        <w:tc>
          <w:tcPr>
            <w:tcW w:w="1068" w:type="dxa"/>
            <w:vMerge w:val="restart"/>
            <w:tcBorders>
              <w:top w:val="single" w:sz="4" w:space="0" w:color="000000"/>
              <w:left w:val="single" w:sz="4" w:space="0" w:color="000000"/>
              <w:right w:val="single" w:sz="4" w:space="0" w:color="000000"/>
            </w:tcBorders>
            <w:shd w:val="clear" w:color="auto" w:fill="D4D4D4"/>
          </w:tcPr>
          <w:p>
            <w:pP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4D4D4"/>
          </w:tcPr>
          <w:p>
            <w:pPr/>
          </w:p>
        </w:tc>
      </w:tr>
      <w:tr>
        <w:trPr>
          <w:trHeight w:val="122" w:hRule="exact"/>
        </w:trPr>
        <w:tc>
          <w:tcPr>
            <w:tcW w:w="2798" w:type="dxa"/>
            <w:vMerge/>
            <w:tcBorders>
              <w:left w:val="single" w:sz="4" w:space="0" w:color="000000"/>
              <w:bottom w:val="nil" w:sz="6" w:space="0" w:color="auto"/>
              <w:right w:val="single" w:sz="4" w:space="0" w:color="000000"/>
            </w:tcBorders>
            <w:shd w:val="clear" w:color="auto" w:fill="D4D4D4"/>
          </w:tcPr>
          <w:p>
            <w:pPr/>
          </w:p>
        </w:tc>
        <w:tc>
          <w:tcPr>
            <w:tcW w:w="1068" w:type="dxa"/>
            <w:vMerge/>
            <w:tcBorders>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tcBorders>
              <w:top w:val="single" w:sz="4" w:space="0" w:color="000000"/>
              <w:left w:val="single" w:sz="4" w:space="0" w:color="000000"/>
              <w:bottom w:val="nil" w:sz="6" w:space="0" w:color="auto"/>
              <w:right w:val="single" w:sz="4" w:space="0" w:color="000000"/>
            </w:tcBorders>
            <w:shd w:val="clear" w:color="auto" w:fill="D4D4D4"/>
          </w:tcPr>
          <w:p>
            <w:pPr/>
          </w:p>
        </w:tc>
        <w:tc>
          <w:tcPr>
            <w:tcW w:w="93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4D4D4"/>
          </w:tcPr>
          <w:p>
            <w:pPr/>
          </w:p>
        </w:tc>
      </w:tr>
      <w:tr>
        <w:trPr>
          <w:trHeight w:val="370"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70"/>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8" w:type="dxa"/>
            <w:vMerge w:val="restart"/>
            <w:tcBorders>
              <w:top w:val="nil" w:sz="6" w:space="0" w:color="auto"/>
              <w:left w:val="single" w:sz="4" w:space="0" w:color="000000"/>
              <w:right w:val="single" w:sz="4" w:space="0" w:color="000000"/>
            </w:tcBorders>
            <w:shd w:val="clear" w:color="auto" w:fill="D4D4D4"/>
          </w:tcPr>
          <w:p>
            <w:pPr/>
          </w:p>
        </w:tc>
        <w:tc>
          <w:tcPr>
            <w:tcW w:w="1068" w:type="dxa"/>
            <w:vMerge w:val="restart"/>
            <w:tcBorders>
              <w:top w:val="nil" w:sz="6" w:space="0" w:color="auto"/>
              <w:left w:val="single" w:sz="4" w:space="0" w:color="000000"/>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1152" w:type="dxa"/>
            <w:vMerge/>
            <w:tcBorders>
              <w:left w:val="single" w:sz="4" w:space="0" w:color="000000"/>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bottom w:val="nil" w:sz="6" w:space="0" w:color="auto"/>
              <w:right w:val="single" w:sz="4" w:space="0" w:color="000000"/>
            </w:tcBorders>
            <w:shd w:val="clear" w:color="auto" w:fill="D4D4D4"/>
          </w:tcPr>
          <w:p>
            <w:pPr/>
          </w:p>
        </w:tc>
        <w:tc>
          <w:tcPr>
            <w:tcW w:w="936"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798" w:type="dxa"/>
            <w:vMerge/>
            <w:tcBorders>
              <w:left w:val="single" w:sz="4" w:space="0" w:color="000000"/>
              <w:bottom w:val="single" w:sz="4" w:space="0" w:color="000000"/>
              <w:right w:val="single" w:sz="4" w:space="0" w:color="000000"/>
            </w:tcBorders>
            <w:shd w:val="clear" w:color="auto" w:fill="D4D4D4"/>
          </w:tcPr>
          <w:p>
            <w:pPr/>
          </w:p>
        </w:tc>
        <w:tc>
          <w:tcPr>
            <w:tcW w:w="1068" w:type="dxa"/>
            <w:vMerge/>
            <w:tcBorders>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1152" w:type="dxa"/>
            <w:vMerge/>
            <w:tcBorders>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tcBorders>
              <w:top w:val="nil" w:sz="6" w:space="0" w:color="auto"/>
              <w:left w:val="single" w:sz="4" w:space="0" w:color="000000"/>
              <w:bottom w:val="single" w:sz="4" w:space="0" w:color="000000"/>
              <w:right w:val="single" w:sz="4" w:space="0" w:color="000000"/>
            </w:tcBorders>
            <w:shd w:val="clear" w:color="auto" w:fill="D4D4D4"/>
          </w:tcPr>
          <w:p>
            <w:pPr/>
          </w:p>
        </w:tc>
        <w:tc>
          <w:tcPr>
            <w:tcW w:w="93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-1,988,290.69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5,731,754.1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5,731,754.1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r>
      <w:tr>
        <w:trPr>
          <w:trHeight w:val="161" w:hRule="exact"/>
        </w:trPr>
        <w:tc>
          <w:tcPr>
            <w:tcW w:w="2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8"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-1,988,290.69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3,956,592.4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3,956,592.4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r>
      <w:tr>
        <w:trPr>
          <w:trHeight w:val="394" w:hRule="exact"/>
        </w:trPr>
        <w:tc>
          <w:tcPr>
            <w:tcW w:w="279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4D4D4"/>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8" w:type="dxa"/>
            <w:vMerge/>
            <w:tcBorders>
              <w:left w:val="single" w:sz="9" w:space="0" w:color="D4D4D4"/>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3"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1,775,161.7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1,775,161.7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2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-1,988,290.69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5,731,754.1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5,731,754.1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3,743,463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r>
    </w:tbl>
    <w:p>
      <w:pPr>
        <w:pStyle w:val="BodyText"/>
        <w:spacing w:line="357" w:lineRule="auto" w:before="49"/>
        <w:ind w:right="3114"/>
        <w:jc w:val="left"/>
      </w:pPr>
      <w:r>
        <w:rPr/>
        <w:t>其他说明，包括对现金流量套期损益的有效部分转为被套期项目初始确认金额调整：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3、盈余公积" w:id="316"/>
      <w:bookmarkEnd w:id="316"/>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5"/>
        <w:gridCol w:w="1913"/>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81,793,721.42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19,611,662.68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101,405,384.10</w:t>
            </w:r>
            <w:r>
              <w:rPr>
                <w:rFonts w:ascii="Times New Roman"/>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81,793,721.42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19,611,662.68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101,405,384.10</w:t>
            </w:r>
            <w:r>
              <w:rPr>
                <w:rFonts w:ascii="Times New Roman"/>
                <w:sz w:val="18"/>
              </w:rPr>
            </w:r>
          </w:p>
        </w:tc>
      </w:tr>
    </w:tbl>
    <w:p>
      <w:pPr>
        <w:pStyle w:val="BodyText"/>
        <w:spacing w:line="240" w:lineRule="auto" w:before="49"/>
        <w:ind w:right="0"/>
        <w:jc w:val="left"/>
      </w:pPr>
      <w:r>
        <w:rPr/>
        <w:t>盈余公积说明，包括本期增减变动情况、变动原因说明：</w:t>
      </w:r>
    </w:p>
    <w:p>
      <w:pPr>
        <w:pStyle w:val="BodyText"/>
        <w:spacing w:line="300" w:lineRule="auto" w:before="115"/>
        <w:ind w:right="144" w:firstLine="300"/>
        <w:jc w:val="left"/>
      </w:pPr>
      <w:r>
        <w:rPr>
          <w:rFonts w:ascii="Times New Roman" w:hAnsi="Times New Roman" w:cs="Times New Roman" w:eastAsia="Times New Roman" w:hint="default"/>
        </w:rPr>
        <w:t>2015</w:t>
      </w:r>
      <w:r>
        <w:rPr/>
        <w:t>年盈余公积的增加系根据《公司法》和本公司章程的规定按母公司当期净利润的</w:t>
      </w:r>
      <w:r>
        <w:rPr>
          <w:rFonts w:ascii="Times New Roman" w:hAnsi="Times New Roman" w:cs="Times New Roman" w:eastAsia="Times New Roman" w:hint="default"/>
        </w:rPr>
        <w:t>10%</w:t>
      </w:r>
      <w:r>
        <w:rPr/>
        <w:t>计提的法定盈余公积；法定盈 余公积累计提取达到本公司注册资本</w:t>
      </w:r>
      <w:r>
        <w:rPr>
          <w:rFonts w:ascii="Times New Roman" w:hAnsi="Times New Roman" w:cs="Times New Roman" w:eastAsia="Times New Roman" w:hint="default"/>
        </w:rPr>
        <w:t>50%</w:t>
      </w:r>
      <w:r>
        <w:rPr/>
        <w:t>以上时，可不再提取。</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34、未分配利润" w:id="317"/>
      <w:bookmarkEnd w:id="317"/>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884,902,823.95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663,474,075.58</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7,256,239.86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5,947,880.18</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892,159,063.81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669,421,955.76</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220,482,825.97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262,848,840.93</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19,611,662.68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11,503,732.88</w:t>
            </w:r>
            <w:r>
              <w:rPr>
                <w:rFonts w:ascii="Times New Roman"/>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268,200,000.00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28,608,000.00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824,830,227.10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892,159,063.81</w:t>
            </w:r>
            <w:r>
              <w:rPr>
                <w:rFonts w:ascii="Times New Roman"/>
                <w:sz w:val="18"/>
              </w:rPr>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8"/>
        </w:rPr>
        <w:t> </w:t>
      </w:r>
      <w:r>
        <w:rPr>
          <w:rFonts w:ascii="Times New Roman" w:hAnsi="Times New Roman" w:cs="Times New Roman" w:eastAsia="Times New Roman" w:hint="default"/>
        </w:rPr>
        <w:t>7,256,239.86</w:t>
      </w:r>
      <w:r>
        <w:rPr>
          <w:rFonts w:ascii="Times New Roman" w:hAnsi="Times New Roman" w:cs="Times New Roman" w:eastAsia="Times New Roman" w:hint="default"/>
          <w:spacing w:val="-4"/>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5"/>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5、营业收入和营业成本" w:id="318"/>
      <w:bookmarkEnd w:id="318"/>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1,978,520,190.93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1,478,617,260.03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1,545,651,603.12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1,015,072,063.07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37,902,699.91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2,342,472.86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17,570,678.84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2,473,552.38</w:t>
            </w:r>
            <w:r>
              <w:rPr>
                <w:rFonts w:ascii="Times New Roman"/>
                <w:sz w:val="18"/>
              </w:rPr>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2,016,422,890.84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1,480,959,732.89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1,563,222,281.96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1,017,545,615.45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6、营业税金及附加" w:id="319"/>
      <w:bookmarkEnd w:id="319"/>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6,245,236.55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6,261,367.86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4,945,379.36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4,984,889.53</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391,781.23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96,124.62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11,582,397.14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11,342,382.01</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7、销售费用" w:id="320"/>
      <w:bookmarkEnd w:id="320"/>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2,123,420.83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1,086,951.08</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1,959,654.14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1,775,696.68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5,297,044.73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2,182,759.16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37,566,814.38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20,216,066.87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2,228,288.50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1,292,352.20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728,498.37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434,141.72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59,655,640.28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48,437,881.51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7,428,473.63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6,461,719.93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3,817,965.47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2,829,287.71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1,039,811.21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855,856.43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603,408.24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1,546,983.77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55,175.31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50,782.17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6,889,654.00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6,672,567.26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865,292.19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360,305.08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1,575,385.36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782,191.14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28,988.86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7,769.00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5,784,721.11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3,973,210.85</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137,648,236.61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98,966,522.56</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8、管理费用" w:id="321"/>
      <w:bookmarkEnd w:id="321"/>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4,656,171.00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3,960,548.86</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2,186,234.71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728,546.15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2,233,600.96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688,880.48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59,986,170.79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33,428,150.61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6,652,482.91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3,976,355.31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12,154,812.35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2,522,194.64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299,360.22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79,081.60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14,472,369.20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6,183,023.04</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3,227,555.82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1,953,498.39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1,815,819.72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1,745,748.03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4,148,422.67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2,232,743.91</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管理费列支的税金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9,140,507.46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9,036,810.98</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2,946,587.63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838,719.60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15,357,653.18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15,827,399.43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54,069,773.52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52,827,700.25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3,389,673.58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3,003,220.01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1,235,050.58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1,099,261.79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5,777,937.69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5,150,888.43</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1,106,642.80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613,077.12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9,042,089.76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1,290,608.00</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117,961.35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153,743.22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行业协会费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176,155.99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422,015.50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436,811.70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5,302,387.44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1,723,413.71</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2,098,433.68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1,427,542.72</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784,411.24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855,246.52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222,815,077.95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152,278,418.30</w:t>
            </w:r>
            <w:r>
              <w:rPr>
                <w:rFonts w:ascii="Times New Roman"/>
                <w:sz w:val="18"/>
              </w:rPr>
            </w:r>
          </w:p>
        </w:tc>
      </w:tr>
    </w:tbl>
    <w:p>
      <w:pPr>
        <w:pStyle w:val="BodyText"/>
        <w:spacing w:line="360" w:lineRule="auto" w:before="49"/>
        <w:ind w:right="8874"/>
        <w:jc w:val="left"/>
      </w:pPr>
      <w:r>
        <w:rPr/>
        <w:t>其他说明： 无</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39、财务费用" w:id="322"/>
      <w:bookmarkEnd w:id="322"/>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891,721.47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373,132.39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23,093,764.04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14,073,448.99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3,523,130.80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3,296,731.29</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20,920,253.15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3,864,582.16</w:t>
            </w:r>
            <w:r>
              <w:rPr>
                <w:rFonts w:ascii="Times New Roman"/>
                <w:sz w:val="18"/>
              </w:rPr>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1,150,289.53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534,314.48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10,977.73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-38,448,499.75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-13,722,875.26</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0、资产减值损失" w:id="323"/>
      <w:bookmarkEnd w:id="323"/>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7,365,685.51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1,331,147.72</w:t>
            </w:r>
            <w:r>
              <w:rPr>
                <w:rFonts w:ascii="Times New Roman"/>
                <w:sz w:val="18"/>
              </w:rPr>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19,306,188.39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75,658,843.72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102,330,717.62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1,331,147.72</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1、公允价值变动收益" w:id="324"/>
      <w:bookmarkEnd w:id="324"/>
      <w:r>
        <w:rPr>
          <w:b w:val="0"/>
          <w:bCs w:val="0"/>
        </w:rPr>
      </w:r>
      <w:r>
        <w:rPr>
          <w:rFonts w:ascii="Times New Roman" w:hAnsi="Times New Roman" w:cs="Times New Roman" w:eastAsia="Times New Roman" w:hint="default"/>
        </w:rPr>
        <w:t>41</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57,147,863.03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1,201,280.96</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57,147,863.03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1,201,280.96</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2、投资收益" w:id="325"/>
      <w:bookmarkEnd w:id="325"/>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0"/>
        <w:gridCol w:w="2918"/>
      </w:tblGrid>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3190"/>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1,504,303.79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875,381.01</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1,504,303.79</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875,381.01</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3、营业外收入" w:id="326"/>
      <w:bookmarkEnd w:id="326"/>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289,111.49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289,111.49</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2"/>
                <w:sz w:val="18"/>
              </w:rPr>
              <w:t>289,111.49</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289,111.49</w:t>
            </w:r>
            <w:r>
              <w:rPr>
                <w:rFonts w:ascii="Times New Roman"/>
                <w:sz w:val="18"/>
              </w:rPr>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8,493,645.87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17,398,325.48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8,493,645.87</w:t>
            </w:r>
            <w:r>
              <w:rPr>
                <w:rFonts w:ascii="Times New Roman"/>
                <w:sz w:val="18"/>
              </w:rPr>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85,684,671.54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210,336.18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85,684,671.54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94,467,428.90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17,648,358.08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94,467,428.90</w:t>
            </w:r>
          </w:p>
        </w:tc>
      </w:tr>
    </w:tbl>
    <w:p>
      <w:pPr>
        <w:pStyle w:val="BodyText"/>
        <w:spacing w:line="240" w:lineRule="auto" w:before="49"/>
        <w:ind w:right="0"/>
        <w:jc w:val="left"/>
      </w:pPr>
      <w:r>
        <w:rPr/>
        <w:t>计入当期损益的政府补助：</w:t>
      </w:r>
    </w:p>
    <w:p>
      <w:pPr>
        <w:pStyle w:val="BodyText"/>
        <w:spacing w:line="240" w:lineRule="auto" w:before="115"/>
        <w:ind w:left="0" w:right="153"/>
        <w:jc w:val="right"/>
      </w:pPr>
      <w:r>
        <w:rPr/>
        <w:pict>
          <v:group style="position:absolute;margin-left:56.400002pt;margin-top:22.738226pt;width:478.95pt;height:369.15pt;mso-position-horizontal-relative:page;mso-position-vertical-relative:paragraph;z-index:-944248" coordorigin="1128,455" coordsize="9579,7383">
            <v:group style="position:absolute;left:1140;top:469;width:1054;height:156" coordorigin="1140,469" coordsize="1054,156">
              <v:shape style="position:absolute;left:1140;top:469;width:1054;height:156" coordorigin="1140,469" coordsize="1054,156" path="m1140,625l2194,625,2194,469,1140,469,1140,625xe" filled="true" fillcolor="#d4d4d4" stroked="false">
                <v:path arrowok="t"/>
                <v:fill type="solid"/>
              </v:shape>
            </v:group>
            <v:group style="position:absolute;left:1151;top:625;width:2;height:392" coordorigin="1151,625" coordsize="2,392">
              <v:shape style="position:absolute;left:1151;top:625;width:2;height:392" coordorigin="1151,625" coordsize="0,392" path="m1151,625l1151,1016e" filled="false" stroked="true" strokeweight="1.08pt" strokecolor="#d4d4d4">
                <v:path arrowok="t"/>
              </v:shape>
            </v:group>
            <v:group style="position:absolute;left:2183;top:625;width:2;height:392" coordorigin="2183,625" coordsize="2,392">
              <v:shape style="position:absolute;left:2183;top:625;width:2;height:392" coordorigin="2183,625" coordsize="0,392" path="m2183,625l2183,1016e" filled="false" stroked="true" strokeweight="1.08pt" strokecolor="#d4d4d4">
                <v:path arrowok="t"/>
              </v:shape>
            </v:group>
            <v:group style="position:absolute;left:1140;top:1016;width:1054;height:156" coordorigin="1140,1016" coordsize="1054,156">
              <v:shape style="position:absolute;left:1140;top:1016;width:1054;height:156" coordorigin="1140,1016" coordsize="1054,156" path="m1140,1172l2194,1172,2194,1016,1140,1016,1140,1172xe" filled="true" fillcolor="#d4d4d4" stroked="false">
                <v:path arrowok="t"/>
                <v:fill type="solid"/>
              </v:shape>
            </v:group>
            <v:group style="position:absolute;left:1162;top:625;width:1011;height:392" coordorigin="1162,625" coordsize="1011,392">
              <v:shape style="position:absolute;left:1162;top:625;width:1011;height:392" coordorigin="1162,625" coordsize="1011,392" path="m1162,1016l2172,1016,2172,625,1162,625,1162,1016xe" filled="true" fillcolor="#d4d4d4" stroked="false">
                <v:path arrowok="t"/>
                <v:fill type="solid"/>
              </v:shape>
            </v:group>
            <v:group style="position:absolute;left:2203;top:469;width:1054;height:156" coordorigin="2203,469" coordsize="1054,156">
              <v:shape style="position:absolute;left:2203;top:469;width:1054;height:156" coordorigin="2203,469" coordsize="1054,156" path="m2203,625l3257,625,3257,469,2203,469,2203,625xe" filled="true" fillcolor="#d4d4d4" stroked="false">
                <v:path arrowok="t"/>
                <v:fill type="solid"/>
              </v:shape>
            </v:group>
            <v:group style="position:absolute;left:2215;top:625;width:2;height:392" coordorigin="2215,625" coordsize="2,392">
              <v:shape style="position:absolute;left:2215;top:625;width:2;height:392" coordorigin="2215,625" coordsize="0,392" path="m2215,625l2215,1016e" filled="false" stroked="true" strokeweight="1.2pt" strokecolor="#d4d4d4">
                <v:path arrowok="t"/>
              </v:shape>
            </v:group>
            <v:group style="position:absolute;left:3245;top:625;width:2;height:392" coordorigin="3245,625" coordsize="2,392">
              <v:shape style="position:absolute;left:3245;top:625;width:2;height:392" coordorigin="3245,625" coordsize="0,392" path="m3245,625l3245,1016e" filled="false" stroked="true" strokeweight="1.2pt" strokecolor="#d4d4d4">
                <v:path arrowok="t"/>
              </v:shape>
            </v:group>
            <v:group style="position:absolute;left:2203;top:1016;width:1054;height:156" coordorigin="2203,1016" coordsize="1054,156">
              <v:shape style="position:absolute;left:2203;top:1016;width:1054;height:156" coordorigin="2203,1016" coordsize="1054,156" path="m2203,1172l3257,1172,3257,1016,2203,1016,2203,1172xe" filled="true" fillcolor="#d4d4d4" stroked="false">
                <v:path arrowok="t"/>
                <v:fill type="solid"/>
              </v:shape>
            </v:group>
            <v:group style="position:absolute;left:2227;top:625;width:1006;height:392" coordorigin="2227,625" coordsize="1006,392">
              <v:shape style="position:absolute;left:2227;top:625;width:1006;height:392" coordorigin="2227,625" coordsize="1006,392" path="m2227,1016l3233,1016,3233,625,2227,625,2227,1016xe" filled="true" fillcolor="#d4d4d4" stroked="false">
                <v:path arrowok="t"/>
                <v:fill type="solid"/>
              </v:shape>
            </v:group>
            <v:group style="position:absolute;left:3266;top:469;width:1054;height:156" coordorigin="3266,469" coordsize="1054,156">
              <v:shape style="position:absolute;left:3266;top:469;width:1054;height:156" coordorigin="3266,469" coordsize="1054,156" path="m3266,625l4320,625,4320,469,3266,469,3266,625xe" filled="true" fillcolor="#d4d4d4" stroked="false">
                <v:path arrowok="t"/>
                <v:fill type="solid"/>
              </v:shape>
            </v:group>
            <v:group style="position:absolute;left:3278;top:625;width:2;height:392" coordorigin="3278,625" coordsize="2,392">
              <v:shape style="position:absolute;left:3278;top:625;width:2;height:392" coordorigin="3278,625" coordsize="0,392" path="m3278,625l3278,1016e" filled="false" stroked="true" strokeweight="1.2pt" strokecolor="#d4d4d4">
                <v:path arrowok="t"/>
              </v:shape>
            </v:group>
            <v:group style="position:absolute;left:4308;top:625;width:2;height:392" coordorigin="4308,625" coordsize="2,392">
              <v:shape style="position:absolute;left:4308;top:625;width:2;height:392" coordorigin="4308,625" coordsize="0,392" path="m4308,625l4308,1016e" filled="false" stroked="true" strokeweight="1.2pt" strokecolor="#d4d4d4">
                <v:path arrowok="t"/>
              </v:shape>
            </v:group>
            <v:group style="position:absolute;left:3266;top:1016;width:1054;height:156" coordorigin="3266,1016" coordsize="1054,156">
              <v:shape style="position:absolute;left:3266;top:1016;width:1054;height:156" coordorigin="3266,1016" coordsize="1054,156" path="m3266,1172l4320,1172,4320,1016,3266,1016,3266,1172xe" filled="true" fillcolor="#d4d4d4" stroked="false">
                <v:path arrowok="t"/>
                <v:fill type="solid"/>
              </v:shape>
            </v:group>
            <v:group style="position:absolute;left:3290;top:625;width:1006;height:392" coordorigin="3290,625" coordsize="1006,392">
              <v:shape style="position:absolute;left:3290;top:625;width:1006;height:392" coordorigin="3290,625" coordsize="1006,392" path="m3290,1016l4296,1016,4296,625,3290,625,3290,1016xe" filled="true" fillcolor="#d4d4d4" stroked="false">
                <v:path arrowok="t"/>
                <v:fill type="solid"/>
              </v:shape>
            </v:group>
            <v:group style="position:absolute;left:4330;top:469;width:1054;height:156" coordorigin="4330,469" coordsize="1054,156">
              <v:shape style="position:absolute;left:4330;top:469;width:1054;height:156" coordorigin="4330,469" coordsize="1054,156" path="m4330,625l5383,625,5383,469,4330,469,4330,625xe" filled="true" fillcolor="#d4d4d4" stroked="false">
                <v:path arrowok="t"/>
                <v:fill type="solid"/>
              </v:shape>
            </v:group>
            <v:group style="position:absolute;left:4342;top:625;width:2;height:392" coordorigin="4342,625" coordsize="2,392">
              <v:shape style="position:absolute;left:4342;top:625;width:2;height:392" coordorigin="4342,625" coordsize="0,392" path="m4342,625l4342,1016e" filled="false" stroked="true" strokeweight="1.2pt" strokecolor="#d4d4d4">
                <v:path arrowok="t"/>
              </v:shape>
            </v:group>
            <v:group style="position:absolute;left:5371;top:625;width:2;height:392" coordorigin="5371,625" coordsize="2,392">
              <v:shape style="position:absolute;left:5371;top:625;width:2;height:392" coordorigin="5371,625" coordsize="0,392" path="m5371,625l5371,1016e" filled="false" stroked="true" strokeweight="1.2pt" strokecolor="#d4d4d4">
                <v:path arrowok="t"/>
              </v:shape>
            </v:group>
            <v:group style="position:absolute;left:4330;top:1016;width:1054;height:156" coordorigin="4330,1016" coordsize="1054,156">
              <v:shape style="position:absolute;left:4330;top:1016;width:1054;height:156" coordorigin="4330,1016" coordsize="1054,156" path="m4330,1172l5383,1172,5383,1016,4330,1016,4330,1172xe" filled="true" fillcolor="#d4d4d4" stroked="false">
                <v:path arrowok="t"/>
                <v:fill type="solid"/>
              </v:shape>
            </v:group>
            <v:group style="position:absolute;left:4354;top:625;width:1006;height:392" coordorigin="4354,625" coordsize="1006,392">
              <v:shape style="position:absolute;left:4354;top:625;width:1006;height:392" coordorigin="4354,625" coordsize="1006,392" path="m4354,1016l5359,1016,5359,625,4354,625,4354,1016xe" filled="true" fillcolor="#d4d4d4" stroked="false">
                <v:path arrowok="t"/>
                <v:fill type="solid"/>
              </v:shape>
            </v:group>
            <v:group style="position:absolute;left:5405;top:469;width:2;height:704" coordorigin="5405,469" coordsize="2,704">
              <v:shape style="position:absolute;left:5405;top:469;width:2;height:704" coordorigin="5405,469" coordsize="0,704" path="m5405,469l5405,1172e" filled="false" stroked="true" strokeweight="1.2pt" strokecolor="#d4d4d4">
                <v:path arrowok="t"/>
              </v:shape>
            </v:group>
            <v:group style="position:absolute;left:6434;top:469;width:2;height:704" coordorigin="6434,469" coordsize="2,704">
              <v:shape style="position:absolute;left:6434;top:469;width:2;height:704" coordorigin="6434,469" coordsize="0,704" path="m6434,469l6434,1172e" filled="false" stroked="true" strokeweight="1.2pt" strokecolor="#d4d4d4">
                <v:path arrowok="t"/>
              </v:shape>
            </v:group>
            <v:group style="position:absolute;left:5417;top:469;width:1006;height:353" coordorigin="5417,469" coordsize="1006,353">
              <v:shape style="position:absolute;left:5417;top:469;width:1006;height:353" coordorigin="5417,469" coordsize="1006,353" path="m5417,822l6422,822,6422,469,5417,469,5417,822xe" filled="true" fillcolor="#d4d4d4" stroked="false">
                <v:path arrowok="t"/>
                <v:fill type="solid"/>
              </v:shape>
            </v:group>
            <v:group style="position:absolute;left:5417;top:822;width:1006;height:351" coordorigin="5417,822" coordsize="1006,351">
              <v:shape style="position:absolute;left:5417;top:822;width:1006;height:351" coordorigin="5417,822" coordsize="1006,351" path="m5417,1172l6422,1172,6422,822,5417,822,5417,1172xe" filled="true" fillcolor="#d4d4d4" stroked="false">
                <v:path arrowok="t"/>
                <v:fill type="solid"/>
              </v:shape>
            </v:group>
            <v:group style="position:absolute;left:6468;top:469;width:2;height:704" coordorigin="6468,469" coordsize="2,704">
              <v:shape style="position:absolute;left:6468;top:469;width:2;height:704" coordorigin="6468,469" coordsize="0,704" path="m6468,469l6468,1172e" filled="false" stroked="true" strokeweight="1.2pt" strokecolor="#d4d4d4">
                <v:path arrowok="t"/>
              </v:shape>
            </v:group>
            <v:group style="position:absolute;left:7498;top:469;width:2;height:704" coordorigin="7498,469" coordsize="2,704">
              <v:shape style="position:absolute;left:7498;top:469;width:2;height:704" coordorigin="7498,469" coordsize="0,704" path="m7498,469l7498,1172e" filled="false" stroked="true" strokeweight="1.2pt" strokecolor="#d4d4d4">
                <v:path arrowok="t"/>
              </v:shape>
            </v:group>
            <v:group style="position:absolute;left:6480;top:469;width:1006;height:353" coordorigin="6480,469" coordsize="1006,353">
              <v:shape style="position:absolute;left:6480;top:469;width:1006;height:353" coordorigin="6480,469" coordsize="1006,353" path="m6480,822l7486,822,7486,469,6480,469,6480,822xe" filled="true" fillcolor="#d4d4d4" stroked="false">
                <v:path arrowok="t"/>
                <v:fill type="solid"/>
              </v:shape>
            </v:group>
            <v:group style="position:absolute;left:6480;top:822;width:1006;height:351" coordorigin="6480,822" coordsize="1006,351">
              <v:shape style="position:absolute;left:6480;top:822;width:1006;height:351" coordorigin="6480,822" coordsize="1006,351" path="m6480,1172l7486,1172,7486,822,6480,822,6480,1172xe" filled="true" fillcolor="#d4d4d4" stroked="false">
                <v:path arrowok="t"/>
                <v:fill type="solid"/>
              </v:shape>
            </v:group>
            <v:group style="position:absolute;left:7530;top:469;width:2;height:704" coordorigin="7530,469" coordsize="2,704">
              <v:shape style="position:absolute;left:7530;top:469;width:2;height:704" coordorigin="7530,469" coordsize="0,704" path="m7530,469l7530,1172e" filled="false" stroked="true" strokeweight="1.08pt" strokecolor="#d4d4d4">
                <v:path arrowok="t"/>
              </v:shape>
            </v:group>
            <v:group style="position:absolute;left:8561;top:469;width:2;height:704" coordorigin="8561,469" coordsize="2,704">
              <v:shape style="position:absolute;left:8561;top:469;width:2;height:704" coordorigin="8561,469" coordsize="0,704" path="m8561,469l8561,1172e" filled="false" stroked="true" strokeweight="1.2pt" strokecolor="#d4d4d4">
                <v:path arrowok="t"/>
              </v:shape>
            </v:group>
            <v:group style="position:absolute;left:7541;top:469;width:1008;height:353" coordorigin="7541,469" coordsize="1008,353">
              <v:shape style="position:absolute;left:7541;top:469;width:1008;height:353" coordorigin="7541,469" coordsize="1008,353" path="m7541,822l8549,822,8549,469,7541,469,7541,822xe" filled="true" fillcolor="#d4d4d4" stroked="false">
                <v:path arrowok="t"/>
                <v:fill type="solid"/>
              </v:shape>
            </v:group>
            <v:group style="position:absolute;left:7541;top:822;width:1008;height:351" coordorigin="7541,822" coordsize="1008,351">
              <v:shape style="position:absolute;left:7541;top:822;width:1008;height:351" coordorigin="7541,822" coordsize="1008,351" path="m7541,1172l8549,1172,8549,822,7541,822,7541,1172xe" filled="true" fillcolor="#d4d4d4" stroked="false">
                <v:path arrowok="t"/>
                <v:fill type="solid"/>
              </v:shape>
            </v:group>
            <v:group style="position:absolute;left:8593;top:469;width:2;height:704" coordorigin="8593,469" coordsize="2,704">
              <v:shape style="position:absolute;left:8593;top:469;width:2;height:704" coordorigin="8593,469" coordsize="0,704" path="m8593,469l8593,1172e" filled="false" stroked="true" strokeweight="1.08pt" strokecolor="#d4d4d4">
                <v:path arrowok="t"/>
              </v:shape>
            </v:group>
            <v:group style="position:absolute;left:9624;top:469;width:2;height:704" coordorigin="9624,469" coordsize="2,704">
              <v:shape style="position:absolute;left:9624;top:469;width:2;height:704" coordorigin="9624,469" coordsize="0,704" path="m9624,469l9624,1172e" filled="false" stroked="true" strokeweight="1.2pt" strokecolor="#d4d4d4">
                <v:path arrowok="t"/>
              </v:shape>
            </v:group>
            <v:group style="position:absolute;left:8604;top:469;width:1008;height:353" coordorigin="8604,469" coordsize="1008,353">
              <v:shape style="position:absolute;left:8604;top:469;width:1008;height:353" coordorigin="8604,469" coordsize="1008,353" path="m8604,822l9612,822,9612,469,8604,469,8604,822xe" filled="true" fillcolor="#d4d4d4" stroked="false">
                <v:path arrowok="t"/>
                <v:fill type="solid"/>
              </v:shape>
            </v:group>
            <v:group style="position:absolute;left:8604;top:822;width:1008;height:351" coordorigin="8604,822" coordsize="1008,351">
              <v:shape style="position:absolute;left:8604;top:822;width:1008;height:351" coordorigin="8604,822" coordsize="1008,351" path="m8604,1172l9612,1172,9612,822,8604,822,8604,1172xe" filled="true" fillcolor="#d4d4d4" stroked="false">
                <v:path arrowok="t"/>
                <v:fill type="solid"/>
              </v:shape>
            </v:group>
            <v:group style="position:absolute;left:9656;top:469;width:2;height:704" coordorigin="9656,469" coordsize="2,704">
              <v:shape style="position:absolute;left:9656;top:469;width:2;height:704" coordorigin="9656,469" coordsize="0,704" path="m9656,469l9656,1172e" filled="false" stroked="true" strokeweight="1.08pt" strokecolor="#d4d4d4">
                <v:path arrowok="t"/>
              </v:shape>
            </v:group>
            <v:group style="position:absolute;left:10686;top:469;width:2;height:704" coordorigin="10686,469" coordsize="2,704">
              <v:shape style="position:absolute;left:10686;top:469;width:2;height:704" coordorigin="10686,469" coordsize="0,704" path="m10686,469l10686,1172e" filled="false" stroked="true" strokeweight="1.08pt" strokecolor="#d4d4d4">
                <v:path arrowok="t"/>
              </v:shape>
            </v:group>
            <v:group style="position:absolute;left:9667;top:469;width:1008;height:353" coordorigin="9667,469" coordsize="1008,353">
              <v:shape style="position:absolute;left:9667;top:469;width:1008;height:353" coordorigin="9667,469" coordsize="1008,353" path="m9667,822l10675,822,10675,469,9667,469,9667,822xe" filled="true" fillcolor="#d4d4d4" stroked="false">
                <v:path arrowok="t"/>
                <v:fill type="solid"/>
              </v:shape>
            </v:group>
            <v:group style="position:absolute;left:9667;top:822;width:1008;height:351" coordorigin="9667,822" coordsize="1008,351">
              <v:shape style="position:absolute;left:9667;top:822;width:1008;height:351" coordorigin="9667,822" coordsize="1008,351" path="m9667,1172l10675,1172,10675,822,9667,822,9667,1172xe" filled="true" fillcolor="#d4d4d4" stroked="false">
                <v:path arrowok="t"/>
                <v:fill type="solid"/>
              </v:shape>
            </v:group>
            <v:group style="position:absolute;left:1138;top:464;width:1056;height:2" coordorigin="1138,464" coordsize="1056,2">
              <v:shape style="position:absolute;left:1138;top:464;width:1056;height:2" coordorigin="1138,464" coordsize="1056,0" path="m1138,464l2194,464e" filled="false" stroked="true" strokeweight=".48pt" strokecolor="#000000">
                <v:path arrowok="t"/>
              </v:shape>
            </v:group>
            <v:group style="position:absolute;left:2203;top:464;width:1054;height:2" coordorigin="2203,464" coordsize="1054,2">
              <v:shape style="position:absolute;left:2203;top:464;width:1054;height:2" coordorigin="2203,464" coordsize="1054,0" path="m2203,464l3257,464e" filled="false" stroked="true" strokeweight=".48pt" strokecolor="#000000">
                <v:path arrowok="t"/>
              </v:shape>
            </v:group>
            <v:group style="position:absolute;left:3266;top:464;width:1054;height:2" coordorigin="3266,464" coordsize="1054,2">
              <v:shape style="position:absolute;left:3266;top:464;width:1054;height:2" coordorigin="3266,464" coordsize="1054,0" path="m3266,464l4320,464e" filled="false" stroked="true" strokeweight=".48pt" strokecolor="#000000">
                <v:path arrowok="t"/>
              </v:shape>
            </v:group>
            <v:group style="position:absolute;left:4330;top:464;width:1054;height:2" coordorigin="4330,464" coordsize="1054,2">
              <v:shape style="position:absolute;left:4330;top:464;width:1054;height:2" coordorigin="4330,464" coordsize="1054,0" path="m4330,464l5383,464e" filled="false" stroked="true" strokeweight=".48pt" strokecolor="#000000">
                <v:path arrowok="t"/>
              </v:shape>
            </v:group>
            <v:group style="position:absolute;left:5393;top:464;width:1052;height:2" coordorigin="5393,464" coordsize="1052,2">
              <v:shape style="position:absolute;left:5393;top:464;width:1052;height:2" coordorigin="5393,464" coordsize="1052,0" path="m5393,464l6444,464e" filled="false" stroked="true" strokeweight=".48pt" strokecolor="#000000">
                <v:path arrowok="t"/>
              </v:shape>
            </v:group>
            <v:group style="position:absolute;left:6454;top:464;width:1054;height:2" coordorigin="6454,464" coordsize="1054,2">
              <v:shape style="position:absolute;left:6454;top:464;width:1054;height:2" coordorigin="6454,464" coordsize="1054,0" path="m6454,464l7507,464e" filled="false" stroked="true" strokeweight=".48pt" strokecolor="#000000">
                <v:path arrowok="t"/>
              </v:shape>
            </v:group>
            <v:group style="position:absolute;left:7517;top:464;width:1054;height:2" coordorigin="7517,464" coordsize="1054,2">
              <v:shape style="position:absolute;left:7517;top:464;width:1054;height:2" coordorigin="7517,464" coordsize="1054,0" path="m7517,464l8570,464e" filled="false" stroked="true" strokeweight=".48pt" strokecolor="#000000">
                <v:path arrowok="t"/>
              </v:shape>
            </v:group>
            <v:group style="position:absolute;left:8580;top:464;width:1054;height:2" coordorigin="8580,464" coordsize="1054,2">
              <v:shape style="position:absolute;left:8580;top:464;width:1054;height:2" coordorigin="8580,464" coordsize="1054,0" path="m8580,464l9634,464e" filled="false" stroked="true" strokeweight=".48pt" strokecolor="#000000">
                <v:path arrowok="t"/>
              </v:shape>
            </v:group>
            <v:group style="position:absolute;left:9643;top:464;width:1054;height:2" coordorigin="9643,464" coordsize="1054,2">
              <v:shape style="position:absolute;left:9643;top:464;width:1054;height:2" coordorigin="9643,464" coordsize="1054,0" path="m9643,464l10697,464e" filled="false" stroked="true" strokeweight=".48pt" strokecolor="#000000">
                <v:path arrowok="t"/>
              </v:shape>
            </v:group>
            <v:group style="position:absolute;left:5393;top:1184;width:1054;height:468" coordorigin="5393,1184" coordsize="1054,468">
              <v:shape style="position:absolute;left:5393;top:1184;width:1054;height:468" coordorigin="5393,1184" coordsize="1054,468" path="m5393,1652l6446,1652,6446,1184,5393,1184,5393,1652xe" filled="true" fillcolor="#ffffff" stroked="false">
                <v:path arrowok="t"/>
                <v:fill type="solid"/>
              </v:shape>
            </v:group>
            <v:group style="position:absolute;left:1138;top:1177;width:1056;height:2" coordorigin="1138,1177" coordsize="1056,2">
              <v:shape style="position:absolute;left:1138;top:1177;width:1056;height:2" coordorigin="1138,1177" coordsize="1056,0" path="m1138,1177l2194,1177e" filled="false" stroked="true" strokeweight=".48pt" strokecolor="#000000">
                <v:path arrowok="t"/>
              </v:shape>
            </v:group>
            <v:group style="position:absolute;left:2203;top:1177;width:1054;height:2" coordorigin="2203,1177" coordsize="1054,2">
              <v:shape style="position:absolute;left:2203;top:1177;width:1054;height:2" coordorigin="2203,1177" coordsize="1054,0" path="m2203,1177l3257,1177e" filled="false" stroked="true" strokeweight=".48pt" strokecolor="#000000">
                <v:path arrowok="t"/>
              </v:shape>
            </v:group>
            <v:group style="position:absolute;left:3266;top:1177;width:1054;height:2" coordorigin="3266,1177" coordsize="1054,2">
              <v:shape style="position:absolute;left:3266;top:1177;width:1054;height:2" coordorigin="3266,1177" coordsize="1054,0" path="m3266,1177l4320,1177e" filled="false" stroked="true" strokeweight=".48pt" strokecolor="#000000">
                <v:path arrowok="t"/>
              </v:shape>
            </v:group>
            <v:group style="position:absolute;left:4330;top:1177;width:1054;height:2" coordorigin="4330,1177" coordsize="1054,2">
              <v:shape style="position:absolute;left:4330;top:1177;width:1054;height:2" coordorigin="4330,1177" coordsize="1054,0" path="m4330,1177l5383,1177e" filled="false" stroked="true" strokeweight=".48pt" strokecolor="#000000">
                <v:path arrowok="t"/>
              </v:shape>
            </v:group>
            <v:group style="position:absolute;left:5393;top:1177;width:1052;height:2" coordorigin="5393,1177" coordsize="1052,2">
              <v:shape style="position:absolute;left:5393;top:1177;width:1052;height:2" coordorigin="5393,1177" coordsize="1052,0" path="m5393,1177l6444,1177e" filled="false" stroked="true" strokeweight=".48pt" strokecolor="#000000">
                <v:path arrowok="t"/>
              </v:shape>
            </v:group>
            <v:group style="position:absolute;left:6454;top:1177;width:1054;height:2" coordorigin="6454,1177" coordsize="1054,2">
              <v:shape style="position:absolute;left:6454;top:1177;width:1054;height:2" coordorigin="6454,1177" coordsize="1054,0" path="m6454,1177l7507,1177e" filled="false" stroked="true" strokeweight=".48pt" strokecolor="#000000">
                <v:path arrowok="t"/>
              </v:shape>
            </v:group>
            <v:group style="position:absolute;left:7517;top:1177;width:1054;height:2" coordorigin="7517,1177" coordsize="1054,2">
              <v:shape style="position:absolute;left:7517;top:1177;width:1054;height:2" coordorigin="7517,1177" coordsize="1054,0" path="m7517,1177l8570,1177e" filled="false" stroked="true" strokeweight=".48pt" strokecolor="#000000">
                <v:path arrowok="t"/>
              </v:shape>
            </v:group>
            <v:group style="position:absolute;left:8580;top:1177;width:1054;height:2" coordorigin="8580,1177" coordsize="1054,2">
              <v:shape style="position:absolute;left:8580;top:1177;width:1054;height:2" coordorigin="8580,1177" coordsize="1054,0" path="m8580,1177l9634,1177e" filled="false" stroked="true" strokeweight=".48pt" strokecolor="#000000">
                <v:path arrowok="t"/>
              </v:shape>
            </v:group>
            <v:group style="position:absolute;left:9643;top:1177;width:1054;height:2" coordorigin="9643,1177" coordsize="1054,2">
              <v:shape style="position:absolute;left:9643;top:1177;width:1054;height:2" coordorigin="9643,1177" coordsize="1054,0" path="m9643,1177l10697,1177e" filled="false" stroked="true" strokeweight=".48pt" strokecolor="#000000">
                <v:path arrowok="t"/>
              </v:shape>
            </v:group>
            <v:group style="position:absolute;left:5393;top:2521;width:1054;height:468" coordorigin="5393,2521" coordsize="1054,468">
              <v:shape style="position:absolute;left:5393;top:2521;width:1054;height:468" coordorigin="5393,2521" coordsize="1054,468" path="m5393,2989l6446,2989,6446,2521,5393,2521,5393,2989xe" filled="true" fillcolor="#ffffff" stroked="false">
                <v:path arrowok="t"/>
                <v:fill type="solid"/>
              </v:shape>
            </v:group>
            <v:group style="position:absolute;left:1138;top:2516;width:1056;height:2" coordorigin="1138,2516" coordsize="1056,2">
              <v:shape style="position:absolute;left:1138;top:2516;width:1056;height:2" coordorigin="1138,2516" coordsize="1056,0" path="m1138,2516l2194,2516e" filled="false" stroked="true" strokeweight=".48pt" strokecolor="#000000">
                <v:path arrowok="t"/>
              </v:shape>
            </v:group>
            <v:group style="position:absolute;left:2203;top:2516;width:1054;height:2" coordorigin="2203,2516" coordsize="1054,2">
              <v:shape style="position:absolute;left:2203;top:2516;width:1054;height:2" coordorigin="2203,2516" coordsize="1054,0" path="m2203,2516l3257,2516e" filled="false" stroked="true" strokeweight=".48pt" strokecolor="#000000">
                <v:path arrowok="t"/>
              </v:shape>
            </v:group>
            <v:group style="position:absolute;left:3266;top:2516;width:1054;height:2" coordorigin="3266,2516" coordsize="1054,2">
              <v:shape style="position:absolute;left:3266;top:2516;width:1054;height:2" coordorigin="3266,2516" coordsize="1054,0" path="m3266,2516l4320,2516e" filled="false" stroked="true" strokeweight=".48pt" strokecolor="#000000">
                <v:path arrowok="t"/>
              </v:shape>
            </v:group>
            <v:group style="position:absolute;left:4330;top:2516;width:1054;height:2" coordorigin="4330,2516" coordsize="1054,2">
              <v:shape style="position:absolute;left:4330;top:2516;width:1054;height:2" coordorigin="4330,2516" coordsize="1054,0" path="m4330,2516l5383,2516e" filled="false" stroked="true" strokeweight=".48pt" strokecolor="#000000">
                <v:path arrowok="t"/>
              </v:shape>
            </v:group>
            <v:group style="position:absolute;left:5393;top:2516;width:1052;height:2" coordorigin="5393,2516" coordsize="1052,2">
              <v:shape style="position:absolute;left:5393;top:2516;width:1052;height:2" coordorigin="5393,2516" coordsize="1052,0" path="m5393,2516l6444,2516e" filled="false" stroked="true" strokeweight=".48pt" strokecolor="#000000">
                <v:path arrowok="t"/>
              </v:shape>
            </v:group>
            <v:group style="position:absolute;left:6454;top:2516;width:1054;height:2" coordorigin="6454,2516" coordsize="1054,2">
              <v:shape style="position:absolute;left:6454;top:2516;width:1054;height:2" coordorigin="6454,2516" coordsize="1054,0" path="m6454,2516l7507,2516e" filled="false" stroked="true" strokeweight=".48pt" strokecolor="#000000">
                <v:path arrowok="t"/>
              </v:shape>
            </v:group>
            <v:group style="position:absolute;left:7517;top:2516;width:1054;height:2" coordorigin="7517,2516" coordsize="1054,2">
              <v:shape style="position:absolute;left:7517;top:2516;width:1054;height:2" coordorigin="7517,2516" coordsize="1054,0" path="m7517,2516l8570,2516e" filled="false" stroked="true" strokeweight=".48pt" strokecolor="#000000">
                <v:path arrowok="t"/>
              </v:shape>
            </v:group>
            <v:group style="position:absolute;left:8580;top:2516;width:1054;height:2" coordorigin="8580,2516" coordsize="1054,2">
              <v:shape style="position:absolute;left:8580;top:2516;width:1054;height:2" coordorigin="8580,2516" coordsize="1054,0" path="m8580,2516l9634,2516e" filled="false" stroked="true" strokeweight=".48pt" strokecolor="#000000">
                <v:path arrowok="t"/>
              </v:shape>
            </v:group>
            <v:group style="position:absolute;left:9643;top:2516;width:1054;height:2" coordorigin="9643,2516" coordsize="1054,2">
              <v:shape style="position:absolute;left:9643;top:2516;width:1054;height:2" coordorigin="9643,2516" coordsize="1054,0" path="m9643,2516l10697,2516e" filled="false" stroked="true" strokeweight=".48pt" strokecolor="#000000">
                <v:path arrowok="t"/>
              </v:shape>
            </v:group>
            <v:group style="position:absolute;left:5393;top:3860;width:1054;height:468" coordorigin="5393,3860" coordsize="1054,468">
              <v:shape style="position:absolute;left:5393;top:3860;width:1054;height:468" coordorigin="5393,3860" coordsize="1054,468" path="m5393,4328l6446,4328,6446,3860,5393,3860,5393,4328xe" filled="true" fillcolor="#ffffff" stroked="false">
                <v:path arrowok="t"/>
                <v:fill type="solid"/>
              </v:shape>
            </v:group>
            <v:group style="position:absolute;left:1138;top:3853;width:1056;height:2" coordorigin="1138,3853" coordsize="1056,2">
              <v:shape style="position:absolute;left:1138;top:3853;width:1056;height:2" coordorigin="1138,3853" coordsize="1056,0" path="m1138,3853l2194,3853e" filled="false" stroked="true" strokeweight=".48pt" strokecolor="#000000">
                <v:path arrowok="t"/>
              </v:shape>
            </v:group>
            <v:group style="position:absolute;left:2203;top:3853;width:1054;height:2" coordorigin="2203,3853" coordsize="1054,2">
              <v:shape style="position:absolute;left:2203;top:3853;width:1054;height:2" coordorigin="2203,3853" coordsize="1054,0" path="m2203,3853l3257,3853e" filled="false" stroked="true" strokeweight=".48pt" strokecolor="#000000">
                <v:path arrowok="t"/>
              </v:shape>
            </v:group>
            <v:group style="position:absolute;left:3266;top:3853;width:1054;height:2" coordorigin="3266,3853" coordsize="1054,2">
              <v:shape style="position:absolute;left:3266;top:3853;width:1054;height:2" coordorigin="3266,3853" coordsize="1054,0" path="m3266,3853l4320,3853e" filled="false" stroked="true" strokeweight=".48pt" strokecolor="#000000">
                <v:path arrowok="t"/>
              </v:shape>
            </v:group>
            <v:group style="position:absolute;left:4330;top:3853;width:1054;height:2" coordorigin="4330,3853" coordsize="1054,2">
              <v:shape style="position:absolute;left:4330;top:3853;width:1054;height:2" coordorigin="4330,3853" coordsize="1054,0" path="m4330,3853l5383,3853e" filled="false" stroked="true" strokeweight=".48pt" strokecolor="#000000">
                <v:path arrowok="t"/>
              </v:shape>
            </v:group>
            <v:group style="position:absolute;left:5393;top:3853;width:1052;height:2" coordorigin="5393,3853" coordsize="1052,2">
              <v:shape style="position:absolute;left:5393;top:3853;width:1052;height:2" coordorigin="5393,3853" coordsize="1052,0" path="m5393,3853l6444,3853e" filled="false" stroked="true" strokeweight=".48pt" strokecolor="#000000">
                <v:path arrowok="t"/>
              </v:shape>
            </v:group>
            <v:group style="position:absolute;left:6454;top:3853;width:1054;height:2" coordorigin="6454,3853" coordsize="1054,2">
              <v:shape style="position:absolute;left:6454;top:3853;width:1054;height:2" coordorigin="6454,3853" coordsize="1054,0" path="m6454,3853l7507,3853e" filled="false" stroked="true" strokeweight=".48pt" strokecolor="#000000">
                <v:path arrowok="t"/>
              </v:shape>
            </v:group>
            <v:group style="position:absolute;left:7517;top:3853;width:1054;height:2" coordorigin="7517,3853" coordsize="1054,2">
              <v:shape style="position:absolute;left:7517;top:3853;width:1054;height:2" coordorigin="7517,3853" coordsize="1054,0" path="m7517,3853l8570,3853e" filled="false" stroked="true" strokeweight=".48pt" strokecolor="#000000">
                <v:path arrowok="t"/>
              </v:shape>
            </v:group>
            <v:group style="position:absolute;left:8580;top:3853;width:1054;height:2" coordorigin="8580,3853" coordsize="1054,2">
              <v:shape style="position:absolute;left:8580;top:3853;width:1054;height:2" coordorigin="8580,3853" coordsize="1054,0" path="m8580,3853l9634,3853e" filled="false" stroked="true" strokeweight=".48pt" strokecolor="#000000">
                <v:path arrowok="t"/>
              </v:shape>
            </v:group>
            <v:group style="position:absolute;left:9643;top:3853;width:1054;height:2" coordorigin="9643,3853" coordsize="1054,2">
              <v:shape style="position:absolute;left:9643;top:3853;width:1054;height:2" coordorigin="9643,3853" coordsize="1054,0" path="m9643,3853l10697,3853e" filled="false" stroked="true" strokeweight=".48pt" strokecolor="#000000">
                <v:path arrowok="t"/>
              </v:shape>
            </v:group>
            <v:group style="position:absolute;left:5393;top:5197;width:1054;height:468" coordorigin="5393,5197" coordsize="1054,468">
              <v:shape style="position:absolute;left:5393;top:5197;width:1054;height:468" coordorigin="5393,5197" coordsize="1054,468" path="m5393,5665l6446,5665,6446,5197,5393,5197,5393,5665xe" filled="true" fillcolor="#ffffff" stroked="false">
                <v:path arrowok="t"/>
                <v:fill type="solid"/>
              </v:shape>
            </v:group>
            <v:group style="position:absolute;left:1138;top:5192;width:1056;height:2" coordorigin="1138,5192" coordsize="1056,2">
              <v:shape style="position:absolute;left:1138;top:5192;width:1056;height:2" coordorigin="1138,5192" coordsize="1056,0" path="m1138,5192l2194,5192e" filled="false" stroked="true" strokeweight=".48pt" strokecolor="#000000">
                <v:path arrowok="t"/>
              </v:shape>
            </v:group>
            <v:group style="position:absolute;left:2203;top:5192;width:1054;height:2" coordorigin="2203,5192" coordsize="1054,2">
              <v:shape style="position:absolute;left:2203;top:5192;width:1054;height:2" coordorigin="2203,5192" coordsize="1054,0" path="m2203,5192l3257,5192e" filled="false" stroked="true" strokeweight=".48pt" strokecolor="#000000">
                <v:path arrowok="t"/>
              </v:shape>
            </v:group>
            <v:group style="position:absolute;left:3266;top:5192;width:1054;height:2" coordorigin="3266,5192" coordsize="1054,2">
              <v:shape style="position:absolute;left:3266;top:5192;width:1054;height:2" coordorigin="3266,5192" coordsize="1054,0" path="m3266,5192l4320,5192e" filled="false" stroked="true" strokeweight=".48pt" strokecolor="#000000">
                <v:path arrowok="t"/>
              </v:shape>
            </v:group>
            <v:group style="position:absolute;left:4330;top:5192;width:1054;height:2" coordorigin="4330,5192" coordsize="1054,2">
              <v:shape style="position:absolute;left:4330;top:5192;width:1054;height:2" coordorigin="4330,5192" coordsize="1054,0" path="m4330,5192l5383,5192e" filled="false" stroked="true" strokeweight=".48pt" strokecolor="#000000">
                <v:path arrowok="t"/>
              </v:shape>
            </v:group>
            <v:group style="position:absolute;left:5393;top:5192;width:1052;height:2" coordorigin="5393,5192" coordsize="1052,2">
              <v:shape style="position:absolute;left:5393;top:5192;width:1052;height:2" coordorigin="5393,5192" coordsize="1052,0" path="m5393,5192l6444,5192e" filled="false" stroked="true" strokeweight=".48pt" strokecolor="#000000">
                <v:path arrowok="t"/>
              </v:shape>
            </v:group>
            <v:group style="position:absolute;left:6454;top:5192;width:1054;height:2" coordorigin="6454,5192" coordsize="1054,2">
              <v:shape style="position:absolute;left:6454;top:5192;width:1054;height:2" coordorigin="6454,5192" coordsize="1054,0" path="m6454,5192l7507,5192e" filled="false" stroked="true" strokeweight=".48pt" strokecolor="#000000">
                <v:path arrowok="t"/>
              </v:shape>
            </v:group>
            <v:group style="position:absolute;left:7517;top:5192;width:1054;height:2" coordorigin="7517,5192" coordsize="1054,2">
              <v:shape style="position:absolute;left:7517;top:5192;width:1054;height:2" coordorigin="7517,5192" coordsize="1054,0" path="m7517,5192l8570,5192e" filled="false" stroked="true" strokeweight=".48pt" strokecolor="#000000">
                <v:path arrowok="t"/>
              </v:shape>
            </v:group>
            <v:group style="position:absolute;left:8580;top:5192;width:1054;height:2" coordorigin="8580,5192" coordsize="1054,2">
              <v:shape style="position:absolute;left:8580;top:5192;width:1054;height:2" coordorigin="8580,5192" coordsize="1054,0" path="m8580,5192l9634,5192e" filled="false" stroked="true" strokeweight=".48pt" strokecolor="#000000">
                <v:path arrowok="t"/>
              </v:shape>
            </v:group>
            <v:group style="position:absolute;left:9643;top:5192;width:1054;height:2" coordorigin="9643,5192" coordsize="1054,2">
              <v:shape style="position:absolute;left:9643;top:5192;width:1054;height:2" coordorigin="9643,5192" coordsize="1054,0" path="m9643,5192l10697,5192e" filled="false" stroked="true" strokeweight=".48pt" strokecolor="#000000">
                <v:path arrowok="t"/>
              </v:shape>
            </v:group>
            <v:group style="position:absolute;left:1138;top:6529;width:1056;height:2" coordorigin="1138,6529" coordsize="1056,2">
              <v:shape style="position:absolute;left:1138;top:6529;width:1056;height:2" coordorigin="1138,6529" coordsize="1056,0" path="m1138,6529l2194,6529e" filled="false" stroked="true" strokeweight=".481pt" strokecolor="#000000">
                <v:path arrowok="t"/>
              </v:shape>
            </v:group>
            <v:group style="position:absolute;left:2203;top:6529;width:1054;height:2" coordorigin="2203,6529" coordsize="1054,2">
              <v:shape style="position:absolute;left:2203;top:6529;width:1054;height:2" coordorigin="2203,6529" coordsize="1054,0" path="m2203,6529l3257,6529e" filled="false" stroked="true" strokeweight=".481pt" strokecolor="#000000">
                <v:path arrowok="t"/>
              </v:shape>
            </v:group>
            <v:group style="position:absolute;left:3266;top:6529;width:1054;height:2" coordorigin="3266,6529" coordsize="1054,2">
              <v:shape style="position:absolute;left:3266;top:6529;width:1054;height:2" coordorigin="3266,6529" coordsize="1054,0" path="m3266,6529l4320,6529e" filled="false" stroked="true" strokeweight=".481pt" strokecolor="#000000">
                <v:path arrowok="t"/>
              </v:shape>
            </v:group>
            <v:group style="position:absolute;left:4330;top:6529;width:1054;height:2" coordorigin="4330,6529" coordsize="1054,2">
              <v:shape style="position:absolute;left:4330;top:6529;width:1054;height:2" coordorigin="4330,6529" coordsize="1054,0" path="m4330,6529l5383,6529e" filled="false" stroked="true" strokeweight=".481pt" strokecolor="#000000">
                <v:path arrowok="t"/>
              </v:shape>
            </v:group>
            <v:group style="position:absolute;left:5393;top:6529;width:1052;height:2" coordorigin="5393,6529" coordsize="1052,2">
              <v:shape style="position:absolute;left:5393;top:6529;width:1052;height:2" coordorigin="5393,6529" coordsize="1052,0" path="m5393,6529l6444,6529e" filled="false" stroked="true" strokeweight=".481pt" strokecolor="#000000">
                <v:path arrowok="t"/>
              </v:shape>
            </v:group>
            <v:group style="position:absolute;left:6454;top:6529;width:1054;height:2" coordorigin="6454,6529" coordsize="1054,2">
              <v:shape style="position:absolute;left:6454;top:6529;width:1054;height:2" coordorigin="6454,6529" coordsize="1054,0" path="m6454,6529l7507,6529e" filled="false" stroked="true" strokeweight=".481pt" strokecolor="#000000">
                <v:path arrowok="t"/>
              </v:shape>
            </v:group>
            <v:group style="position:absolute;left:7517;top:6529;width:1054;height:2" coordorigin="7517,6529" coordsize="1054,2">
              <v:shape style="position:absolute;left:7517;top:6529;width:1054;height:2" coordorigin="7517,6529" coordsize="1054,0" path="m7517,6529l8570,6529e" filled="false" stroked="true" strokeweight=".481pt" strokecolor="#000000">
                <v:path arrowok="t"/>
              </v:shape>
            </v:group>
            <v:group style="position:absolute;left:8580;top:6529;width:1054;height:2" coordorigin="8580,6529" coordsize="1054,2">
              <v:shape style="position:absolute;left:8580;top:6529;width:1054;height:2" coordorigin="8580,6529" coordsize="1054,0" path="m8580,6529l9634,6529e" filled="false" stroked="true" strokeweight=".481pt" strokecolor="#000000">
                <v:path arrowok="t"/>
              </v:shape>
            </v:group>
            <v:group style="position:absolute;left:9643;top:6529;width:1054;height:2" coordorigin="9643,6529" coordsize="1054,2">
              <v:shape style="position:absolute;left:9643;top:6529;width:1054;height:2" coordorigin="9643,6529" coordsize="1054,0" path="m9643,6529l10697,6529e" filled="false" stroked="true" strokeweight=".481pt" strokecolor="#000000">
                <v:path arrowok="t"/>
              </v:shape>
            </v:group>
            <v:group style="position:absolute;left:1133;top:460;width:2;height:7373" coordorigin="1133,460" coordsize="2,7373">
              <v:shape style="position:absolute;left:1133;top:460;width:2;height:7373" coordorigin="1133,460" coordsize="0,7373" path="m1133,460l1133,7832e" filled="false" stroked="true" strokeweight=".48pt" strokecolor="#000000">
                <v:path arrowok="t"/>
              </v:shape>
            </v:group>
            <v:group style="position:absolute;left:1138;top:7828;width:1056;height:2" coordorigin="1138,7828" coordsize="1056,2">
              <v:shape style="position:absolute;left:1138;top:7828;width:1056;height:2" coordorigin="1138,7828" coordsize="1056,0" path="m1138,7828l2194,7828e" filled="false" stroked="true" strokeweight=".48pt" strokecolor="#000000">
                <v:path arrowok="t"/>
              </v:shape>
            </v:group>
            <v:group style="position:absolute;left:2198;top:460;width:2;height:7373" coordorigin="2198,460" coordsize="2,7373">
              <v:shape style="position:absolute;left:2198;top:460;width:2;height:7373" coordorigin="2198,460" coordsize="0,7373" path="m2198,460l2198,7832e" filled="false" stroked="true" strokeweight=".48pt" strokecolor="#000000">
                <v:path arrowok="t"/>
              </v:shape>
            </v:group>
            <v:group style="position:absolute;left:2203;top:7828;width:1054;height:2" coordorigin="2203,7828" coordsize="1054,2">
              <v:shape style="position:absolute;left:2203;top:7828;width:1054;height:2" coordorigin="2203,7828" coordsize="1054,0" path="m2203,7828l3257,7828e" filled="false" stroked="true" strokeweight=".48pt" strokecolor="#000000">
                <v:path arrowok="t"/>
              </v:shape>
            </v:group>
            <v:group style="position:absolute;left:3262;top:460;width:2;height:7373" coordorigin="3262,460" coordsize="2,7373">
              <v:shape style="position:absolute;left:3262;top:460;width:2;height:7373" coordorigin="3262,460" coordsize="0,7373" path="m3262,460l3262,7832e" filled="false" stroked="true" strokeweight=".481pt" strokecolor="#000000">
                <v:path arrowok="t"/>
              </v:shape>
            </v:group>
            <v:group style="position:absolute;left:3266;top:7828;width:1054;height:2" coordorigin="3266,7828" coordsize="1054,2">
              <v:shape style="position:absolute;left:3266;top:7828;width:1054;height:2" coordorigin="3266,7828" coordsize="1054,0" path="m3266,7828l4320,7828e" filled="false" stroked="true" strokeweight=".48pt" strokecolor="#000000">
                <v:path arrowok="t"/>
              </v:shape>
            </v:group>
            <v:group style="position:absolute;left:4325;top:460;width:2;height:7373" coordorigin="4325,460" coordsize="2,7373">
              <v:shape style="position:absolute;left:4325;top:460;width:2;height:7373" coordorigin="4325,460" coordsize="0,7373" path="m4325,460l4325,7832e" filled="false" stroked="true" strokeweight=".48pt" strokecolor="#000000">
                <v:path arrowok="t"/>
              </v:shape>
            </v:group>
            <v:group style="position:absolute;left:4330;top:7828;width:1054;height:2" coordorigin="4330,7828" coordsize="1054,2">
              <v:shape style="position:absolute;left:4330;top:7828;width:1054;height:2" coordorigin="4330,7828" coordsize="1054,0" path="m4330,7828l5383,7828e" filled="false" stroked="true" strokeweight=".48pt" strokecolor="#000000">
                <v:path arrowok="t"/>
              </v:shape>
            </v:group>
            <v:group style="position:absolute;left:5388;top:460;width:2;height:7373" coordorigin="5388,460" coordsize="2,7373">
              <v:shape style="position:absolute;left:5388;top:460;width:2;height:7373" coordorigin="5388,460" coordsize="0,7373" path="m5388,460l5388,7832e" filled="false" stroked="true" strokeweight=".48pt" strokecolor="#000000">
                <v:path arrowok="t"/>
              </v:shape>
            </v:group>
            <v:group style="position:absolute;left:5393;top:7828;width:1052;height:2" coordorigin="5393,7828" coordsize="1052,2">
              <v:shape style="position:absolute;left:5393;top:7828;width:1052;height:2" coordorigin="5393,7828" coordsize="1052,0" path="m5393,7828l6444,7828e" filled="false" stroked="true" strokeweight=".48pt" strokecolor="#000000">
                <v:path arrowok="t"/>
              </v:shape>
            </v:group>
            <v:group style="position:absolute;left:6449;top:460;width:2;height:7373" coordorigin="6449,460" coordsize="2,7373">
              <v:shape style="position:absolute;left:6449;top:460;width:2;height:7373" coordorigin="6449,460" coordsize="0,7373" path="m6449,460l6449,7832e" filled="false" stroked="true" strokeweight=".48pt" strokecolor="#000000">
                <v:path arrowok="t"/>
              </v:shape>
            </v:group>
            <v:group style="position:absolute;left:6454;top:7828;width:1054;height:2" coordorigin="6454,7828" coordsize="1054,2">
              <v:shape style="position:absolute;left:6454;top:7828;width:1054;height:2" coordorigin="6454,7828" coordsize="1054,0" path="m6454,7828l7507,7828e" filled="false" stroked="true" strokeweight=".48pt" strokecolor="#000000">
                <v:path arrowok="t"/>
              </v:shape>
            </v:group>
            <v:group style="position:absolute;left:7512;top:460;width:2;height:7373" coordorigin="7512,460" coordsize="2,7373">
              <v:shape style="position:absolute;left:7512;top:460;width:2;height:7373" coordorigin="7512,460" coordsize="0,7373" path="m7512,460l7512,7832e" filled="false" stroked="true" strokeweight=".48pt" strokecolor="#000000">
                <v:path arrowok="t"/>
              </v:shape>
            </v:group>
            <v:group style="position:absolute;left:7517;top:7828;width:1054;height:2" coordorigin="7517,7828" coordsize="1054,2">
              <v:shape style="position:absolute;left:7517;top:7828;width:1054;height:2" coordorigin="7517,7828" coordsize="1054,0" path="m7517,7828l8570,7828e" filled="false" stroked="true" strokeweight=".48pt" strokecolor="#000000">
                <v:path arrowok="t"/>
              </v:shape>
            </v:group>
            <v:group style="position:absolute;left:8575;top:460;width:2;height:7373" coordorigin="8575,460" coordsize="2,7373">
              <v:shape style="position:absolute;left:8575;top:460;width:2;height:7373" coordorigin="8575,460" coordsize="0,7373" path="m8575,460l8575,7832e" filled="false" stroked="true" strokeweight=".481pt" strokecolor="#000000">
                <v:path arrowok="t"/>
              </v:shape>
            </v:group>
            <v:group style="position:absolute;left:8580;top:7828;width:1054;height:2" coordorigin="8580,7828" coordsize="1054,2">
              <v:shape style="position:absolute;left:8580;top:7828;width:1054;height:2" coordorigin="8580,7828" coordsize="1054,0" path="m8580,7828l9634,7828e" filled="false" stroked="true" strokeweight=".48pt" strokecolor="#000000">
                <v:path arrowok="t"/>
              </v:shape>
            </v:group>
            <v:group style="position:absolute;left:9638;top:460;width:2;height:7373" coordorigin="9638,460" coordsize="2,7373">
              <v:shape style="position:absolute;left:9638;top:460;width:2;height:7373" coordorigin="9638,460" coordsize="0,7373" path="m9638,460l9638,7832e" filled="false" stroked="true" strokeweight=".48pt" strokecolor="#000000">
                <v:path arrowok="t"/>
              </v:shape>
            </v:group>
            <v:group style="position:absolute;left:9643;top:7828;width:1054;height:2" coordorigin="9643,7828" coordsize="1054,2">
              <v:shape style="position:absolute;left:9643;top:7828;width:1054;height:2" coordorigin="9643,7828" coordsize="1054,0" path="m9643,7828l10697,7828e" filled="false" stroked="true" strokeweight=".48pt" strokecolor="#000000">
                <v:path arrowok="t"/>
              </v:shape>
            </v:group>
            <v:group style="position:absolute;left:10702;top:460;width:2;height:7373" coordorigin="10702,460" coordsize="2,7373">
              <v:shape style="position:absolute;left:10702;top:460;width:2;height:7373" coordorigin="10702,460" coordsize="0,7373" path="m10702,460l10702,7832e" filled="false" stroked="true" strokeweight=".48pt" strokecolor="#000000">
                <v:path arrowok="t"/>
              </v:shape>
            </v:group>
            <w10:wrap type="none"/>
          </v:group>
        </w:pict>
      </w:r>
      <w:r>
        <w:rPr/>
        <w:t>单位：</w:t>
      </w:r>
      <w:r>
        <w:rPr>
          <w:spacing w:val="1"/>
        </w:rPr>
        <w:t> </w:t>
      </w:r>
      <w:r>
        <w:rPr/>
        <w:t>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2" w:top="1060" w:bottom="1180" w:left="980" w:right="980"/>
        </w:sectPr>
      </w:pPr>
    </w:p>
    <w:p>
      <w:pPr>
        <w:spacing w:line="240" w:lineRule="auto" w:before="4"/>
        <w:rPr>
          <w:rFonts w:ascii="宋体" w:hAnsi="宋体" w:cs="宋体" w:eastAsia="宋体" w:hint="default"/>
          <w:sz w:val="15"/>
          <w:szCs w:val="15"/>
        </w:rPr>
      </w:pPr>
    </w:p>
    <w:p>
      <w:pPr>
        <w:pStyle w:val="BodyText"/>
        <w:tabs>
          <w:tab w:pos="1391" w:val="left" w:leader="none"/>
          <w:tab w:pos="2454" w:val="left" w:leader="none"/>
          <w:tab w:pos="3517" w:val="left" w:leader="none"/>
        </w:tabs>
        <w:spacing w:line="240" w:lineRule="auto"/>
        <w:ind w:left="325" w:right="-20"/>
        <w:jc w:val="left"/>
      </w:pPr>
      <w:r>
        <w:rPr/>
        <w:t>补助项目</w:t>
        <w:tab/>
        <w:t>发放主体</w:t>
        <w:tab/>
        <w:t>发放原因</w:t>
        <w:tab/>
        <w:t>性质类型</w:t>
      </w:r>
    </w:p>
    <w:p>
      <w:pPr>
        <w:pStyle w:val="BodyText"/>
        <w:spacing w:line="316" w:lineRule="auto" w:before="44"/>
        <w:ind w:left="211" w:right="-19"/>
        <w:jc w:val="left"/>
      </w:pPr>
      <w:r>
        <w:rPr/>
        <w:br w:type="column"/>
      </w:r>
      <w:r>
        <w:rPr/>
        <w:t>补贴是否影 响当年盈亏</w:t>
      </w:r>
    </w:p>
    <w:p>
      <w:pPr>
        <w:pStyle w:val="BodyText"/>
        <w:spacing w:line="316" w:lineRule="auto" w:before="44"/>
        <w:ind w:left="483" w:right="-20" w:hanging="360"/>
        <w:jc w:val="left"/>
      </w:pPr>
      <w:r>
        <w:rPr/>
        <w:br w:type="column"/>
      </w:r>
      <w:r>
        <w:rPr/>
        <w:t>是否特殊补 贴</w:t>
      </w:r>
    </w:p>
    <w:p>
      <w:pPr>
        <w:pStyle w:val="BodyText"/>
        <w:spacing w:line="316" w:lineRule="auto" w:before="44"/>
        <w:ind w:left="480" w:right="-20" w:hanging="360"/>
        <w:jc w:val="left"/>
      </w:pPr>
      <w:r>
        <w:rPr/>
        <w:br w:type="column"/>
      </w:r>
      <w:r>
        <w:rPr/>
        <w:t>本期发生金 额</w:t>
      </w:r>
    </w:p>
    <w:p>
      <w:pPr>
        <w:pStyle w:val="BodyText"/>
        <w:spacing w:line="316" w:lineRule="auto" w:before="44"/>
        <w:ind w:left="483" w:right="-20" w:hanging="360"/>
        <w:jc w:val="left"/>
      </w:pPr>
      <w:r>
        <w:rPr/>
        <w:br w:type="column"/>
      </w:r>
      <w:r>
        <w:rPr/>
        <w:t>上期发生金 额</w:t>
      </w:r>
    </w:p>
    <w:p>
      <w:pPr>
        <w:pStyle w:val="BodyText"/>
        <w:spacing w:line="300" w:lineRule="auto" w:before="44"/>
        <w:ind w:left="123" w:right="260" w:hanging="24"/>
        <w:jc w:val="left"/>
      </w:pPr>
      <w:r>
        <w:rPr/>
        <w:br w:type="column"/>
      </w:r>
      <w:r>
        <w:rPr/>
        <w:t>与资产相关</w:t>
      </w:r>
      <w:r>
        <w:rPr>
          <w:rFonts w:ascii="Times New Roman" w:hAnsi="Times New Roman" w:cs="Times New Roman" w:eastAsia="Times New Roman" w:hint="default"/>
        </w:rPr>
        <w:t>/ </w:t>
      </w:r>
      <w:r>
        <w:rPr/>
        <w:t>与收益相关</w:t>
      </w:r>
    </w:p>
    <w:p>
      <w:pPr>
        <w:spacing w:after="0" w:line="300" w:lineRule="auto"/>
        <w:jc w:val="left"/>
        <w:sectPr>
          <w:type w:val="continuous"/>
          <w:pgSz w:w="11910" w:h="16840"/>
          <w:pgMar w:top="1060" w:bottom="1180" w:left="980" w:right="980"/>
          <w:cols w:num="6" w:equalWidth="0">
            <w:col w:w="4238" w:space="40"/>
            <w:col w:w="1113" w:space="40"/>
            <w:col w:w="1024" w:space="40"/>
            <w:col w:w="1021" w:space="40"/>
            <w:col w:w="1024" w:space="40"/>
            <w:col w:w="1330"/>
          </w:cols>
        </w:sectPr>
      </w:pPr>
    </w:p>
    <w:p>
      <w:pPr>
        <w:pStyle w:val="BodyText"/>
        <w:spacing w:line="316" w:lineRule="auto" w:before="110"/>
        <w:ind w:left="181" w:right="0"/>
        <w:jc w:val="both"/>
      </w:pPr>
      <w:r>
        <w:rPr/>
        <w:t>光明新区经 济服务局企 业研发投入 资助</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深圳市光明 新区经济服</w:t>
      </w:r>
      <w:r>
        <w:rPr>
          <w:spacing w:val="73"/>
        </w:rPr>
        <w:t> </w:t>
      </w:r>
      <w:r>
        <w:rPr/>
        <w:t>补助</w:t>
      </w:r>
      <w:r>
        <w:rPr/>
        <w:t> 务局</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4628" w:val="left" w:leader="none"/>
        </w:tabs>
        <w:spacing w:line="124" w:lineRule="exact"/>
        <w:ind w:left="1244"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7"/>
        </w:rPr>
        <w:t> </w:t>
      </w:r>
      <w:r>
        <w:rPr/>
        <w:t>与收益相关</w:t>
      </w:r>
    </w:p>
    <w:p>
      <w:pPr>
        <w:pStyle w:val="BodyText"/>
        <w:spacing w:line="188"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财政委员技 术专项资金 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深圳市财政</w:t>
      </w:r>
    </w:p>
    <w:p>
      <w:pPr>
        <w:pStyle w:val="BodyText"/>
        <w:spacing w:line="156" w:lineRule="exact"/>
        <w:ind w:left="0" w:right="0"/>
        <w:jc w:val="right"/>
      </w:pPr>
      <w:r>
        <w:rPr/>
        <w:t>补助</w:t>
      </w:r>
    </w:p>
    <w:p>
      <w:pPr>
        <w:pStyle w:val="BodyText"/>
        <w:spacing w:line="196" w:lineRule="exact"/>
        <w:ind w:left="125" w:right="-20"/>
        <w:jc w:val="left"/>
      </w:pPr>
      <w:r>
        <w:rPr/>
        <w:t>委员会</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rPr>
        <w:t>656,500.00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深圳市市场 监督管理局 专利资助费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深圳市市场</w:t>
      </w:r>
    </w:p>
    <w:p>
      <w:pPr>
        <w:pStyle w:val="BodyText"/>
        <w:spacing w:line="155" w:lineRule="exact"/>
        <w:ind w:left="0" w:right="0"/>
        <w:jc w:val="right"/>
      </w:pPr>
      <w:r>
        <w:rPr/>
        <w:t>补助</w:t>
      </w:r>
    </w:p>
    <w:p>
      <w:pPr>
        <w:pStyle w:val="BodyText"/>
        <w:spacing w:line="195" w:lineRule="exact"/>
        <w:ind w:left="125" w:right="-20"/>
        <w:jc w:val="left"/>
      </w:pPr>
      <w:r>
        <w:rPr/>
        <w:t>监督管理局</w:t>
      </w:r>
    </w:p>
    <w:p>
      <w:pPr>
        <w:pStyle w:val="BodyText"/>
        <w:spacing w:line="310" w:lineRule="exact" w:before="6"/>
        <w:ind w:left="181" w:right="5473"/>
        <w:jc w:val="left"/>
      </w:pPr>
      <w:r>
        <w:rPr/>
        <w:br w:type="column"/>
      </w:r>
      <w:r>
        <w:rPr/>
        <w:t>因研究开发、 技术更新及</w:t>
      </w:r>
    </w:p>
    <w:p>
      <w:pPr>
        <w:pStyle w:val="BodyText"/>
        <w:tabs>
          <w:tab w:pos="2307" w:val="left" w:leader="none"/>
          <w:tab w:pos="4719" w:val="left" w:leader="none"/>
        </w:tabs>
        <w:spacing w:line="88" w:lineRule="exact"/>
        <w:ind w:left="1244" w:right="0"/>
        <w:jc w:val="left"/>
      </w:pPr>
      <w:r>
        <w:rPr/>
        <w:t>否</w:t>
        <w:tab/>
        <w:t>否</w:t>
        <w:tab/>
      </w:r>
      <w:r>
        <w:rPr>
          <w:rFonts w:ascii="Times New Roman" w:hAnsi="Times New Roman" w:cs="Times New Roman" w:eastAsia="Times New Roman" w:hint="default"/>
        </w:rPr>
        <w:t>95,000.00</w:t>
      </w:r>
      <w:r>
        <w:rPr>
          <w:rFonts w:ascii="Times New Roman" w:hAnsi="Times New Roman" w:cs="Times New Roman" w:eastAsia="Times New Roman" w:hint="default"/>
          <w:spacing w:val="6"/>
        </w:rPr>
        <w:t> </w:t>
      </w:r>
      <w:r>
        <w:rPr/>
        <w:t>与收益相关</w:t>
      </w:r>
    </w:p>
    <w:p>
      <w:pPr>
        <w:pStyle w:val="BodyText"/>
        <w:spacing w:line="188"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市场监督管 理局新区质 量强区奖励</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深圳市光明 新区质量强</w:t>
      </w:r>
      <w:r>
        <w:rPr>
          <w:spacing w:val="73"/>
        </w:rPr>
        <w:t> </w:t>
      </w:r>
      <w:r>
        <w:rPr/>
        <w:t>奖励</w:t>
      </w:r>
      <w:r>
        <w:rPr/>
        <w:t> 区办</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210,000.00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240" w:lineRule="auto"/>
        <w:ind w:left="181" w:right="-20"/>
        <w:jc w:val="left"/>
      </w:pPr>
      <w:r>
        <w:rPr/>
        <w:t>税局退税款</w:t>
      </w:r>
    </w:p>
    <w:p>
      <w:pPr>
        <w:spacing w:line="240" w:lineRule="auto" w:before="9"/>
        <w:rPr>
          <w:rFonts w:ascii="宋体" w:hAnsi="宋体" w:cs="宋体" w:eastAsia="宋体" w:hint="default"/>
          <w:sz w:val="13"/>
          <w:szCs w:val="13"/>
        </w:rPr>
      </w:pPr>
      <w:r>
        <w:rPr/>
        <w:br w:type="column"/>
      </w:r>
      <w:r>
        <w:rPr>
          <w:rFonts w:ascii="宋体"/>
          <w:sz w:val="13"/>
        </w:rPr>
      </w:r>
    </w:p>
    <w:p>
      <w:pPr>
        <w:pStyle w:val="BodyText"/>
        <w:spacing w:line="316" w:lineRule="auto"/>
        <w:ind w:left="125" w:right="-20"/>
        <w:jc w:val="left"/>
      </w:pPr>
      <w:r>
        <w:rPr/>
        <w:t>吴江经济开 发区管理委</w:t>
      </w:r>
      <w:r>
        <w:rPr>
          <w:spacing w:val="73"/>
        </w:rPr>
        <w:t> </w:t>
      </w:r>
      <w:r>
        <w:rPr/>
        <w:t>补助</w:t>
      </w:r>
      <w:r>
        <w:rPr/>
        <w:t> 员会</w:t>
      </w:r>
    </w:p>
    <w:p>
      <w:pPr>
        <w:pStyle w:val="BodyText"/>
        <w:spacing w:line="316" w:lineRule="auto" w:before="44"/>
        <w:ind w:left="181" w:right="0"/>
        <w:jc w:val="both"/>
      </w:pPr>
      <w:r>
        <w:rPr/>
        <w:br w:type="column"/>
      </w:r>
      <w:r>
        <w:rPr/>
        <w:t>因符合地方 政府招商引 资等地方性 扶持政策而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9"/>
          <w:szCs w:val="19"/>
        </w:rPr>
      </w:pPr>
    </w:p>
    <w:p>
      <w:pPr>
        <w:pStyle w:val="BodyText"/>
        <w:tabs>
          <w:tab w:pos="1186" w:val="left" w:leader="none"/>
          <w:tab w:pos="2309" w:val="left" w:leader="none"/>
        </w:tabs>
        <w:spacing w:line="240" w:lineRule="auto"/>
        <w:ind w:left="123" w:right="0"/>
        <w:jc w:val="left"/>
      </w:pPr>
      <w:r>
        <w:rPr/>
        <w:t>否</w:t>
        <w:tab/>
        <w:t>否</w:t>
        <w:tab/>
      </w:r>
      <w:r>
        <w:rPr>
          <w:rFonts w:ascii="Times New Roman" w:hAnsi="Times New Roman" w:cs="Times New Roman" w:eastAsia="Times New Roman" w:hint="default"/>
        </w:rPr>
        <w:t>1,022,900.00   1,355,452.29</w:t>
      </w:r>
      <w:r>
        <w:rPr>
          <w:rFonts w:ascii="Times New Roman" w:hAnsi="Times New Roman" w:cs="Times New Roman" w:eastAsia="Times New Roman" w:hint="default"/>
          <w:spacing w:val="-15"/>
        </w:rPr>
        <w:t> </w:t>
      </w:r>
      <w:r>
        <w:rPr/>
        <w:t>与收益相关</w:t>
      </w:r>
    </w:p>
    <w:p>
      <w:pPr>
        <w:spacing w:after="0" w:line="240" w:lineRule="auto"/>
        <w:jc w:val="left"/>
        <w:sectPr>
          <w:type w:val="continuous"/>
          <w:pgSz w:w="11910" w:h="16840"/>
          <w:pgMar w:top="1060" w:bottom="1180" w:left="980" w:right="980"/>
          <w:cols w:num="4" w:equalWidth="0">
            <w:col w:w="1082" w:space="40"/>
            <w:col w:w="1549" w:space="521"/>
            <w:col w:w="1082" w:space="40"/>
            <w:col w:w="5636"/>
          </w:cols>
        </w:sectPr>
      </w:pPr>
    </w:p>
    <w:p>
      <w:pPr>
        <w:spacing w:line="240" w:lineRule="auto" w:before="6"/>
        <w:rPr>
          <w:rFonts w:ascii="宋体" w:hAnsi="宋体" w:cs="宋体" w:eastAsia="宋体" w:hint="default"/>
          <w:sz w:val="26"/>
          <w:szCs w:val="26"/>
        </w:rPr>
      </w:pPr>
    </w:p>
    <w:p>
      <w:pPr>
        <w:pStyle w:val="BodyText"/>
        <w:spacing w:line="240" w:lineRule="auto" w:before="44"/>
        <w:ind w:left="227" w:right="2524"/>
        <w:jc w:val="center"/>
      </w:pPr>
      <w:r>
        <w:rPr/>
        <w:t>获得的补助</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2"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财政局补助 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东莞市财政</w:t>
      </w:r>
    </w:p>
    <w:p>
      <w:pPr>
        <w:pStyle w:val="BodyText"/>
        <w:spacing w:line="156" w:lineRule="exact"/>
        <w:ind w:left="0" w:right="0"/>
        <w:jc w:val="right"/>
      </w:pPr>
      <w:r>
        <w:rPr/>
        <w:t>补助</w:t>
      </w:r>
    </w:p>
    <w:p>
      <w:pPr>
        <w:pStyle w:val="BodyText"/>
        <w:spacing w:line="196" w:lineRule="exact"/>
        <w:ind w:left="125" w:right="-20"/>
        <w:jc w:val="left"/>
      </w:pPr>
      <w:r>
        <w:rPr/>
        <w:t>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501" w:val="left" w:leader="none"/>
        </w:tabs>
        <w:spacing w:line="86" w:lineRule="exact"/>
        <w:ind w:left="1244" w:right="0"/>
        <w:jc w:val="left"/>
      </w:pPr>
      <w:r>
        <w:rPr/>
        <w:t>否</w:t>
        <w:tab/>
        <w:t>否</w:t>
        <w:tab/>
      </w:r>
      <w:r>
        <w:rPr>
          <w:rFonts w:ascii="Times New Roman" w:hAnsi="Times New Roman" w:cs="Times New Roman" w:eastAsia="Times New Roman" w:hint="default"/>
        </w:rPr>
        <w:t>5,110,600.00</w:t>
      </w:r>
      <w:r>
        <w:rPr>
          <w:rFonts w:ascii="Times New Roman" w:hAnsi="Times New Roman" w:cs="Times New Roman" w:eastAsia="Times New Roman" w:hint="default"/>
          <w:spacing w:val="-1"/>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2" w:lineRule="auto" w:before="44"/>
        <w:ind w:left="181"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年度民 营优势成长 型工业企业 奖励资金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吴江区财政</w:t>
      </w:r>
    </w:p>
    <w:p>
      <w:pPr>
        <w:pStyle w:val="BodyText"/>
        <w:spacing w:line="156" w:lineRule="exact"/>
        <w:ind w:left="0" w:right="0"/>
        <w:jc w:val="right"/>
      </w:pPr>
      <w:r>
        <w:rPr/>
        <w:t>奖励</w:t>
      </w:r>
    </w:p>
    <w:p>
      <w:pPr>
        <w:pStyle w:val="BodyText"/>
        <w:spacing w:line="196" w:lineRule="exact"/>
        <w:ind w:left="77" w:right="0"/>
        <w:jc w:val="left"/>
      </w:pPr>
      <w:r>
        <w:rPr/>
        <w:t>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400,000.00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316" w:lineRule="auto"/>
        <w:ind w:left="181" w:right="-20"/>
        <w:jc w:val="left"/>
      </w:pPr>
      <w:r>
        <w:rPr/>
        <w:t>吴江开发区 财政局拨款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pStyle w:val="BodyText"/>
        <w:spacing w:line="196" w:lineRule="exact"/>
        <w:ind w:left="125" w:right="-20"/>
        <w:jc w:val="left"/>
      </w:pPr>
      <w:r>
        <w:rPr/>
        <w:t>吴江区财政</w:t>
      </w:r>
    </w:p>
    <w:p>
      <w:pPr>
        <w:pStyle w:val="BodyText"/>
        <w:spacing w:line="156" w:lineRule="exact"/>
        <w:ind w:left="0" w:right="0"/>
        <w:jc w:val="right"/>
      </w:pPr>
      <w:r>
        <w:rPr/>
        <w:t>补助</w:t>
      </w:r>
    </w:p>
    <w:p>
      <w:pPr>
        <w:pStyle w:val="BodyText"/>
        <w:spacing w:line="196" w:lineRule="exact"/>
        <w:ind w:left="125" w:right="-20"/>
        <w:jc w:val="left"/>
      </w:pPr>
      <w:r>
        <w:rPr/>
        <w:t>局</w:t>
      </w:r>
    </w:p>
    <w:p>
      <w:pPr>
        <w:pStyle w:val="BodyText"/>
        <w:spacing w:line="310" w:lineRule="atLeast" w:before="39"/>
        <w:ind w:left="181" w:right="5473"/>
        <w:jc w:val="left"/>
      </w:pPr>
      <w:r>
        <w:rPr/>
        <w:br w:type="column"/>
      </w:r>
      <w:r>
        <w:rPr/>
        <w:t>因研究开发、 技术更新及</w:t>
      </w:r>
    </w:p>
    <w:p>
      <w:pPr>
        <w:pStyle w:val="BodyText"/>
        <w:tabs>
          <w:tab w:pos="2307"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rPr>
        <w:t>617,500.00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重庆市沙坪 坝区商业委 员会发展专 项资金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重庆沙坪坝 区发展和改</w:t>
      </w:r>
      <w:r>
        <w:rPr>
          <w:spacing w:val="73"/>
        </w:rPr>
        <w:t> </w:t>
      </w:r>
      <w:r>
        <w:rPr/>
        <w:t>补助</w:t>
      </w:r>
      <w:r>
        <w:rPr/>
        <w:t> 革委员会</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656" w:val="left" w:leader="none"/>
          <w:tab w:pos="4719" w:val="left" w:leader="none"/>
        </w:tabs>
        <w:spacing w:line="86" w:lineRule="exact"/>
        <w:ind w:left="1244" w:right="0"/>
        <w:jc w:val="left"/>
      </w:pPr>
      <w:r>
        <w:rPr/>
        <w:t>否</w:t>
        <w:tab/>
        <w:t>否</w:t>
        <w:tab/>
      </w:r>
      <w:r>
        <w:rPr>
          <w:rFonts w:ascii="Times New Roman" w:hAnsi="Times New Roman" w:cs="Times New Roman" w:eastAsia="Times New Roman" w:hint="default"/>
          <w:spacing w:val="-1"/>
        </w:rPr>
        <w:t>66,666.72</w:t>
        <w:tab/>
        <w:t>66,666.72</w:t>
      </w:r>
      <w:r>
        <w:rPr>
          <w:rFonts w:ascii="Times New Roman" w:hAnsi="Times New Roman" w:cs="Times New Roman" w:eastAsia="Times New Roman" w:hint="default"/>
          <w:spacing w:val="15"/>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316" w:lineRule="auto" w:before="110"/>
        <w:ind w:left="181" w:right="0"/>
        <w:jc w:val="both"/>
      </w:pPr>
      <w:r>
        <w:rPr/>
        <w:t>全息三维复 合膜关键材 料应用的产 业化政府补 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pStyle w:val="BodyText"/>
        <w:spacing w:line="196" w:lineRule="exact"/>
        <w:ind w:left="125" w:right="-20"/>
        <w:jc w:val="left"/>
      </w:pPr>
      <w:r>
        <w:rPr/>
        <w:t>深圳市财政</w:t>
      </w:r>
    </w:p>
    <w:p>
      <w:pPr>
        <w:pStyle w:val="BodyText"/>
        <w:spacing w:line="156" w:lineRule="exact"/>
        <w:ind w:left="0" w:right="0"/>
        <w:jc w:val="right"/>
      </w:pPr>
      <w:r>
        <w:rPr/>
        <w:t>补助</w:t>
      </w:r>
    </w:p>
    <w:p>
      <w:pPr>
        <w:pStyle w:val="BodyText"/>
        <w:spacing w:line="196" w:lineRule="exact"/>
        <w:ind w:left="125" w:right="-20"/>
        <w:jc w:val="left"/>
      </w:pPr>
      <w:r>
        <w:rPr/>
        <w:t>委员会</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1" w:right="5473"/>
        <w:jc w:val="left"/>
      </w:pPr>
      <w:r>
        <w:rPr/>
        <w:t>因研究开发、 技术更新及</w:t>
      </w:r>
    </w:p>
    <w:p>
      <w:pPr>
        <w:pStyle w:val="BodyText"/>
        <w:tabs>
          <w:tab w:pos="2307" w:val="left" w:leader="none"/>
          <w:tab w:pos="4494" w:val="left" w:leader="none"/>
        </w:tabs>
        <w:spacing w:line="123" w:lineRule="exact"/>
        <w:ind w:left="1244" w:right="0"/>
        <w:jc w:val="left"/>
      </w:pPr>
      <w:r>
        <w:rPr/>
        <w:t>否</w:t>
        <w:tab/>
        <w:t>否</w:t>
        <w:tab/>
      </w:r>
      <w:r>
        <w:rPr>
          <w:rFonts w:ascii="Times New Roman" w:hAnsi="Times New Roman" w:cs="Times New Roman" w:eastAsia="Times New Roman" w:hint="default"/>
        </w:rPr>
        <w:t>1,600,000.00</w:t>
      </w:r>
      <w:r>
        <w:rPr>
          <w:rFonts w:ascii="Times New Roman" w:hAnsi="Times New Roman" w:cs="Times New Roman" w:eastAsia="Times New Roman" w:hint="default"/>
          <w:spacing w:val="6"/>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1247" w:val="left" w:leader="none"/>
        </w:tabs>
        <w:spacing w:line="240" w:lineRule="auto"/>
        <w:ind w:left="181" w:right="-20"/>
        <w:jc w:val="left"/>
      </w:pPr>
      <w:r>
        <w:rPr/>
        <w:t>税收奖励</w:t>
        <w:tab/>
        <w:t>泗洪财政局</w:t>
      </w:r>
      <w:r>
        <w:rPr>
          <w:spacing w:val="73"/>
        </w:rPr>
        <w:t> </w:t>
      </w:r>
      <w:r>
        <w:rPr/>
        <w:t>奖励</w:t>
      </w:r>
    </w:p>
    <w:p>
      <w:pPr>
        <w:pStyle w:val="BodyText"/>
        <w:spacing w:line="316" w:lineRule="auto" w:before="107"/>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tabs>
          <w:tab w:pos="1186" w:val="left" w:leader="none"/>
          <w:tab w:pos="3372" w:val="left" w:leader="none"/>
        </w:tabs>
        <w:spacing w:line="240" w:lineRule="auto"/>
        <w:ind w:left="123" w:right="0"/>
        <w:jc w:val="left"/>
      </w:pPr>
      <w:r>
        <w:rPr/>
        <w:t>否</w:t>
        <w:tab/>
        <w:t>否</w:t>
        <w:tab/>
      </w:r>
      <w:r>
        <w:rPr>
          <w:rFonts w:ascii="Times New Roman" w:hAnsi="Times New Roman" w:cs="Times New Roman" w:eastAsia="Times New Roman" w:hint="default"/>
        </w:rPr>
        <w:t>2,628,236.87</w:t>
      </w:r>
      <w:r>
        <w:rPr>
          <w:rFonts w:ascii="Times New Roman" w:hAnsi="Times New Roman" w:cs="Times New Roman" w:eastAsia="Times New Roman" w:hint="default"/>
          <w:spacing w:val="6"/>
        </w:rPr>
        <w:t> </w:t>
      </w:r>
      <w:r>
        <w:rPr/>
        <w:t>与收益相关</w:t>
      </w:r>
    </w:p>
    <w:p>
      <w:pPr>
        <w:spacing w:after="0" w:line="240" w:lineRule="auto"/>
        <w:jc w:val="left"/>
        <w:sectPr>
          <w:type w:val="continuous"/>
          <w:pgSz w:w="11910" w:h="16840"/>
          <w:pgMar w:top="1060" w:bottom="1180" w:left="980" w:right="980"/>
          <w:cols w:num="3" w:equalWidth="0">
            <w:col w:w="2671" w:space="521"/>
            <w:col w:w="1082" w:space="40"/>
            <w:col w:w="5636"/>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16" w:lineRule="auto"/>
        <w:ind w:left="181" w:right="-20"/>
        <w:jc w:val="left"/>
      </w:pPr>
      <w:r>
        <w:rPr/>
        <w:t>科技服务创 新资助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深圳市科技</w:t>
      </w:r>
    </w:p>
    <w:p>
      <w:pPr>
        <w:pStyle w:val="BodyText"/>
        <w:spacing w:line="156" w:lineRule="exact"/>
        <w:ind w:left="0" w:right="0"/>
        <w:jc w:val="right"/>
      </w:pPr>
      <w:r>
        <w:rPr/>
        <w:t>补助</w:t>
      </w:r>
    </w:p>
    <w:p>
      <w:pPr>
        <w:pStyle w:val="BodyText"/>
        <w:spacing w:line="196" w:lineRule="exact"/>
        <w:ind w:left="125" w:right="-20"/>
        <w:jc w:val="left"/>
      </w:pPr>
      <w:r>
        <w:rPr/>
        <w:t>创新委员会</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rPr>
        <w:t>500,000.00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代金属复合 工艺补助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深圳发展和</w:t>
      </w:r>
    </w:p>
    <w:p>
      <w:pPr>
        <w:pStyle w:val="BodyText"/>
        <w:spacing w:line="156" w:lineRule="exact"/>
        <w:ind w:left="0" w:right="0"/>
        <w:jc w:val="right"/>
      </w:pPr>
      <w:r>
        <w:rPr/>
        <w:t>补助</w:t>
      </w:r>
    </w:p>
    <w:p>
      <w:pPr>
        <w:pStyle w:val="BodyText"/>
        <w:spacing w:line="196" w:lineRule="exact"/>
        <w:ind w:left="125" w:right="-20"/>
        <w:jc w:val="left"/>
      </w:pPr>
      <w:r>
        <w:rPr/>
        <w:t>改革委员会</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565"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spacing w:val="-1"/>
        </w:rPr>
        <w:t>200,000.00</w:t>
        <w:tab/>
        <w:t>140,000.00</w:t>
      </w:r>
      <w:r>
        <w:rPr>
          <w:rFonts w:ascii="Times New Roman" w:hAnsi="Times New Roman" w:cs="Times New Roman" w:eastAsia="Times New Roman" w:hint="default"/>
          <w:spacing w:val="17"/>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深圳龙华新 区发展和财 政局贴息补 助</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深圳市龙华 新区经济服</w:t>
      </w:r>
      <w:r>
        <w:rPr>
          <w:spacing w:val="73"/>
        </w:rPr>
        <w:t> </w:t>
      </w:r>
      <w:r>
        <w:rPr/>
        <w:t>补助</w:t>
      </w:r>
      <w:r>
        <w:rPr/>
        <w:t> 务局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565,000.00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316" w:lineRule="auto" w:before="107"/>
        <w:ind w:left="181" w:right="-20"/>
        <w:jc w:val="left"/>
      </w:pPr>
      <w:r>
        <w:rPr/>
        <w:pict>
          <v:group style="position:absolute;margin-left:56.400002pt;margin-top:71.758484pt;width:478.95pt;height:688.1pt;mso-position-horizontal-relative:page;mso-position-vertical-relative:page;z-index:-944224" coordorigin="1128,1435" coordsize="9579,13762">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5393;top:1812;width:1054;height:468" coordorigin="5393,1812" coordsize="1054,468">
              <v:shape style="position:absolute;left:5393;top:1812;width:1054;height:468" coordorigin="5393,1812" coordsize="1054,468" path="m5393,2280l6446,2280,6446,1812,5393,1812,5393,2280xe" filled="true" fillcolor="#ffffff" stroked="false">
                <v:path arrowok="t"/>
                <v:fill type="solid"/>
              </v:shape>
            </v:group>
            <v:group style="position:absolute;left:1138;top:1807;width:1056;height:2" coordorigin="1138,1807" coordsize="1056,2">
              <v:shape style="position:absolute;left:1138;top:1807;width:1056;height:2" coordorigin="1138,1807" coordsize="1056,0" path="m1138,1807l2194,1807e" filled="false" stroked="true" strokeweight=".48pt" strokecolor="#000000">
                <v:path arrowok="t"/>
              </v:shape>
            </v:group>
            <v:group style="position:absolute;left:2203;top:1807;width:1054;height:2" coordorigin="2203,1807" coordsize="1054,2">
              <v:shape style="position:absolute;left:2203;top:1807;width:1054;height:2" coordorigin="2203,1807" coordsize="1054,0" path="m2203,1807l3257,1807e" filled="false" stroked="true" strokeweight=".48pt" strokecolor="#000000">
                <v:path arrowok="t"/>
              </v:shape>
            </v:group>
            <v:group style="position:absolute;left:3266;top:1807;width:1054;height:2" coordorigin="3266,1807" coordsize="1054,2">
              <v:shape style="position:absolute;left:3266;top:1807;width:1054;height:2" coordorigin="3266,1807" coordsize="1054,0" path="m3266,1807l4320,1807e" filled="false" stroked="true" strokeweight=".48pt" strokecolor="#000000">
                <v:path arrowok="t"/>
              </v:shape>
            </v:group>
            <v:group style="position:absolute;left:4330;top:1807;width:1054;height:2" coordorigin="4330,1807" coordsize="1054,2">
              <v:shape style="position:absolute;left:4330;top:1807;width:1054;height:2" coordorigin="4330,1807" coordsize="1054,0" path="m4330,1807l5383,1807e" filled="false" stroked="true" strokeweight=".48pt" strokecolor="#000000">
                <v:path arrowok="t"/>
              </v:shape>
            </v:group>
            <v:group style="position:absolute;left:5393;top:1807;width:1052;height:2" coordorigin="5393,1807" coordsize="1052,2">
              <v:shape style="position:absolute;left:5393;top:1807;width:1052;height:2" coordorigin="5393,1807" coordsize="1052,0" path="m5393,1807l6444,1807e" filled="false" stroked="true" strokeweight=".48pt" strokecolor="#000000">
                <v:path arrowok="t"/>
              </v:shape>
            </v:group>
            <v:group style="position:absolute;left:6454;top:1807;width:1054;height:2" coordorigin="6454,1807" coordsize="1054,2">
              <v:shape style="position:absolute;left:6454;top:1807;width:1054;height:2" coordorigin="6454,1807" coordsize="1054,0" path="m6454,1807l7507,1807e" filled="false" stroked="true" strokeweight=".48pt" strokecolor="#000000">
                <v:path arrowok="t"/>
              </v:shape>
            </v:group>
            <v:group style="position:absolute;left:7517;top:1807;width:1054;height:2" coordorigin="7517,1807" coordsize="1054,2">
              <v:shape style="position:absolute;left:7517;top:1807;width:1054;height:2" coordorigin="7517,1807" coordsize="1054,0" path="m7517,1807l8570,1807e" filled="false" stroked="true" strokeweight=".48pt" strokecolor="#000000">
                <v:path arrowok="t"/>
              </v:shape>
            </v:group>
            <v:group style="position:absolute;left:8580;top:1807;width:1054;height:2" coordorigin="8580,1807" coordsize="1054,2">
              <v:shape style="position:absolute;left:8580;top:1807;width:1054;height:2" coordorigin="8580,1807" coordsize="1054,0" path="m8580,1807l9634,1807e" filled="false" stroked="true" strokeweight=".48pt" strokecolor="#000000">
                <v:path arrowok="t"/>
              </v:shape>
            </v:group>
            <v:group style="position:absolute;left:9643;top:1807;width:1054;height:2" coordorigin="9643,1807" coordsize="1054,2">
              <v:shape style="position:absolute;left:9643;top:1807;width:1054;height:2" coordorigin="9643,1807" coordsize="1054,0" path="m9643,1807l10697,1807e" filled="false" stroked="true" strokeweight=".48pt" strokecolor="#000000">
                <v:path arrowok="t"/>
              </v:shape>
            </v:group>
            <v:group style="position:absolute;left:5393;top:3149;width:1054;height:468" coordorigin="5393,3149" coordsize="1054,468">
              <v:shape style="position:absolute;left:5393;top:3149;width:1054;height:468" coordorigin="5393,3149" coordsize="1054,468" path="m5393,3617l6446,3617,6446,3149,5393,3149,5393,3617xe" filled="true" fillcolor="#ffffff" stroked="false">
                <v:path arrowok="t"/>
                <v:fill type="solid"/>
              </v:shape>
            </v:group>
            <v:group style="position:absolute;left:1138;top:3144;width:1056;height:2" coordorigin="1138,3144" coordsize="1056,2">
              <v:shape style="position:absolute;left:1138;top:3144;width:1056;height:2" coordorigin="1138,3144" coordsize="1056,0" path="m1138,3144l2194,3144e" filled="false" stroked="true" strokeweight=".481pt" strokecolor="#000000">
                <v:path arrowok="t"/>
              </v:shape>
            </v:group>
            <v:group style="position:absolute;left:2203;top:3144;width:1054;height:2" coordorigin="2203,3144" coordsize="1054,2">
              <v:shape style="position:absolute;left:2203;top:3144;width:1054;height:2" coordorigin="2203,3144" coordsize="1054,0" path="m2203,3144l3257,3144e" filled="false" stroked="true" strokeweight=".481pt" strokecolor="#000000">
                <v:path arrowok="t"/>
              </v:shape>
            </v:group>
            <v:group style="position:absolute;left:3266;top:3144;width:1054;height:2" coordorigin="3266,3144" coordsize="1054,2">
              <v:shape style="position:absolute;left:3266;top:3144;width:1054;height:2" coordorigin="3266,3144" coordsize="1054,0" path="m3266,3144l4320,3144e" filled="false" stroked="true" strokeweight=".481pt" strokecolor="#000000">
                <v:path arrowok="t"/>
              </v:shape>
            </v:group>
            <v:group style="position:absolute;left:4330;top:3144;width:1054;height:2" coordorigin="4330,3144" coordsize="1054,2">
              <v:shape style="position:absolute;left:4330;top:3144;width:1054;height:2" coordorigin="4330,3144" coordsize="1054,0" path="m4330,3144l5383,3144e" filled="false" stroked="true" strokeweight=".481pt" strokecolor="#000000">
                <v:path arrowok="t"/>
              </v:shape>
            </v:group>
            <v:group style="position:absolute;left:5393;top:3144;width:1052;height:2" coordorigin="5393,3144" coordsize="1052,2">
              <v:shape style="position:absolute;left:5393;top:3144;width:1052;height:2" coordorigin="5393,3144" coordsize="1052,0" path="m5393,3144l6444,3144e" filled="false" stroked="true" strokeweight=".481pt" strokecolor="#000000">
                <v:path arrowok="t"/>
              </v:shape>
            </v:group>
            <v:group style="position:absolute;left:6454;top:3144;width:1054;height:2" coordorigin="6454,3144" coordsize="1054,2">
              <v:shape style="position:absolute;left:6454;top:3144;width:1054;height:2" coordorigin="6454,3144" coordsize="1054,0" path="m6454,3144l7507,3144e" filled="false" stroked="true" strokeweight=".481pt" strokecolor="#000000">
                <v:path arrowok="t"/>
              </v:shape>
            </v:group>
            <v:group style="position:absolute;left:7517;top:3144;width:1054;height:2" coordorigin="7517,3144" coordsize="1054,2">
              <v:shape style="position:absolute;left:7517;top:3144;width:1054;height:2" coordorigin="7517,3144" coordsize="1054,0" path="m7517,3144l8570,3144e" filled="false" stroked="true" strokeweight=".481pt" strokecolor="#000000">
                <v:path arrowok="t"/>
              </v:shape>
            </v:group>
            <v:group style="position:absolute;left:8580;top:3144;width:1054;height:2" coordorigin="8580,3144" coordsize="1054,2">
              <v:shape style="position:absolute;left:8580;top:3144;width:1054;height:2" coordorigin="8580,3144" coordsize="1054,0" path="m8580,3144l9634,3144e" filled="false" stroked="true" strokeweight=".481pt" strokecolor="#000000">
                <v:path arrowok="t"/>
              </v:shape>
            </v:group>
            <v:group style="position:absolute;left:9643;top:3144;width:1054;height:2" coordorigin="9643,3144" coordsize="1054,2">
              <v:shape style="position:absolute;left:9643;top:3144;width:1054;height:2" coordorigin="9643,3144" coordsize="1054,0" path="m9643,3144l10697,3144e" filled="false" stroked="true" strokeweight=".481pt" strokecolor="#000000">
                <v:path arrowok="t"/>
              </v:shape>
            </v:group>
            <v:group style="position:absolute;left:5393;top:4488;width:1054;height:468" coordorigin="5393,4488" coordsize="1054,468">
              <v:shape style="position:absolute;left:5393;top:4488;width:1054;height:468" coordorigin="5393,4488" coordsize="1054,468" path="m5393,4956l6446,4956,6446,4488,5393,4488,5393,4956xe" filled="true" fillcolor="#ffffff" stroked="false">
                <v:path arrowok="t"/>
                <v:fill type="solid"/>
              </v:shape>
            </v:group>
            <v:group style="position:absolute;left:1138;top:4483;width:1056;height:2" coordorigin="1138,4483" coordsize="1056,2">
              <v:shape style="position:absolute;left:1138;top:4483;width:1056;height:2" coordorigin="1138,4483" coordsize="1056,0" path="m1138,4483l2194,4483e" filled="false" stroked="true" strokeweight=".481pt" strokecolor="#000000">
                <v:path arrowok="t"/>
              </v:shape>
            </v:group>
            <v:group style="position:absolute;left:2203;top:4483;width:1054;height:2" coordorigin="2203,4483" coordsize="1054,2">
              <v:shape style="position:absolute;left:2203;top:4483;width:1054;height:2" coordorigin="2203,4483" coordsize="1054,0" path="m2203,4483l3257,4483e" filled="false" stroked="true" strokeweight=".481pt" strokecolor="#000000">
                <v:path arrowok="t"/>
              </v:shape>
            </v:group>
            <v:group style="position:absolute;left:3266;top:4483;width:1054;height:2" coordorigin="3266,4483" coordsize="1054,2">
              <v:shape style="position:absolute;left:3266;top:4483;width:1054;height:2" coordorigin="3266,4483" coordsize="1054,0" path="m3266,4483l4320,4483e" filled="false" stroked="true" strokeweight=".481pt" strokecolor="#000000">
                <v:path arrowok="t"/>
              </v:shape>
            </v:group>
            <v:group style="position:absolute;left:4330;top:4483;width:1054;height:2" coordorigin="4330,4483" coordsize="1054,2">
              <v:shape style="position:absolute;left:4330;top:4483;width:1054;height:2" coordorigin="4330,4483" coordsize="1054,0" path="m4330,4483l5383,4483e" filled="false" stroked="true" strokeweight=".481pt" strokecolor="#000000">
                <v:path arrowok="t"/>
              </v:shape>
            </v:group>
            <v:group style="position:absolute;left:5393;top:4483;width:1052;height:2" coordorigin="5393,4483" coordsize="1052,2">
              <v:shape style="position:absolute;left:5393;top:4483;width:1052;height:2" coordorigin="5393,4483" coordsize="1052,0" path="m5393,4483l6444,4483e" filled="false" stroked="true" strokeweight=".481pt" strokecolor="#000000">
                <v:path arrowok="t"/>
              </v:shape>
            </v:group>
            <v:group style="position:absolute;left:6454;top:4483;width:1054;height:2" coordorigin="6454,4483" coordsize="1054,2">
              <v:shape style="position:absolute;left:6454;top:4483;width:1054;height:2" coordorigin="6454,4483" coordsize="1054,0" path="m6454,4483l7507,4483e" filled="false" stroked="true" strokeweight=".481pt" strokecolor="#000000">
                <v:path arrowok="t"/>
              </v:shape>
            </v:group>
            <v:group style="position:absolute;left:7517;top:4483;width:1054;height:2" coordorigin="7517,4483" coordsize="1054,2">
              <v:shape style="position:absolute;left:7517;top:4483;width:1054;height:2" coordorigin="7517,4483" coordsize="1054,0" path="m7517,4483l8570,4483e" filled="false" stroked="true" strokeweight=".481pt" strokecolor="#000000">
                <v:path arrowok="t"/>
              </v:shape>
            </v:group>
            <v:group style="position:absolute;left:8580;top:4483;width:1054;height:2" coordorigin="8580,4483" coordsize="1054,2">
              <v:shape style="position:absolute;left:8580;top:4483;width:1054;height:2" coordorigin="8580,4483" coordsize="1054,0" path="m8580,4483l9634,4483e" filled="false" stroked="true" strokeweight=".481pt" strokecolor="#000000">
                <v:path arrowok="t"/>
              </v:shape>
            </v:group>
            <v:group style="position:absolute;left:9643;top:4483;width:1054;height:2" coordorigin="9643,4483" coordsize="1054,2">
              <v:shape style="position:absolute;left:9643;top:4483;width:1054;height:2" coordorigin="9643,4483" coordsize="1054,0" path="m9643,4483l10697,4483e" filled="false" stroked="true" strokeweight=".481pt" strokecolor="#000000">
                <v:path arrowok="t"/>
              </v:shape>
            </v:group>
            <v:group style="position:absolute;left:5393;top:5825;width:1054;height:468" coordorigin="5393,5825" coordsize="1054,468">
              <v:shape style="position:absolute;left:5393;top:5825;width:1054;height:468" coordorigin="5393,5825" coordsize="1054,468" path="m5393,6293l6446,6293,6446,5825,5393,5825,5393,6293xe" filled="true" fillcolor="#ffffff" stroked="false">
                <v:path arrowok="t"/>
                <v:fill type="solid"/>
              </v:shape>
            </v:group>
            <v:group style="position:absolute;left:1138;top:5820;width:1056;height:2" coordorigin="1138,5820" coordsize="1056,2">
              <v:shape style="position:absolute;left:1138;top:5820;width:1056;height:2" coordorigin="1138,5820" coordsize="1056,0" path="m1138,5820l2194,5820e" filled="false" stroked="true" strokeweight=".48pt" strokecolor="#000000">
                <v:path arrowok="t"/>
              </v:shape>
            </v:group>
            <v:group style="position:absolute;left:2203;top:5820;width:1054;height:2" coordorigin="2203,5820" coordsize="1054,2">
              <v:shape style="position:absolute;left:2203;top:5820;width:1054;height:2" coordorigin="2203,5820" coordsize="1054,0" path="m2203,5820l3257,5820e" filled="false" stroked="true" strokeweight=".48pt" strokecolor="#000000">
                <v:path arrowok="t"/>
              </v:shape>
            </v:group>
            <v:group style="position:absolute;left:3266;top:5820;width:1054;height:2" coordorigin="3266,5820" coordsize="1054,2">
              <v:shape style="position:absolute;left:3266;top:5820;width:1054;height:2" coordorigin="3266,5820" coordsize="1054,0" path="m3266,5820l4320,5820e" filled="false" stroked="true" strokeweight=".48pt" strokecolor="#000000">
                <v:path arrowok="t"/>
              </v:shape>
            </v:group>
            <v:group style="position:absolute;left:4330;top:5820;width:1054;height:2" coordorigin="4330,5820" coordsize="1054,2">
              <v:shape style="position:absolute;left:4330;top:5820;width:1054;height:2" coordorigin="4330,5820" coordsize="1054,0" path="m4330,5820l5383,5820e" filled="false" stroked="true" strokeweight=".48pt" strokecolor="#000000">
                <v:path arrowok="t"/>
              </v:shape>
            </v:group>
            <v:group style="position:absolute;left:5393;top:5820;width:1052;height:2" coordorigin="5393,5820" coordsize="1052,2">
              <v:shape style="position:absolute;left:5393;top:5820;width:1052;height:2" coordorigin="5393,5820" coordsize="1052,0" path="m5393,5820l6444,5820e" filled="false" stroked="true" strokeweight=".48pt" strokecolor="#000000">
                <v:path arrowok="t"/>
              </v:shape>
            </v:group>
            <v:group style="position:absolute;left:6454;top:5820;width:1054;height:2" coordorigin="6454,5820" coordsize="1054,2">
              <v:shape style="position:absolute;left:6454;top:5820;width:1054;height:2" coordorigin="6454,5820" coordsize="1054,0" path="m6454,5820l7507,5820e" filled="false" stroked="true" strokeweight=".48pt" strokecolor="#000000">
                <v:path arrowok="t"/>
              </v:shape>
            </v:group>
            <v:group style="position:absolute;left:7517;top:5820;width:1054;height:2" coordorigin="7517,5820" coordsize="1054,2">
              <v:shape style="position:absolute;left:7517;top:5820;width:1054;height:2" coordorigin="7517,5820" coordsize="1054,0" path="m7517,5820l8570,5820e" filled="false" stroked="true" strokeweight=".48pt" strokecolor="#000000">
                <v:path arrowok="t"/>
              </v:shape>
            </v:group>
            <v:group style="position:absolute;left:8580;top:5820;width:1054;height:2" coordorigin="8580,5820" coordsize="1054,2">
              <v:shape style="position:absolute;left:8580;top:5820;width:1054;height:2" coordorigin="8580,5820" coordsize="1054,0" path="m8580,5820l9634,5820e" filled="false" stroked="true" strokeweight=".48pt" strokecolor="#000000">
                <v:path arrowok="t"/>
              </v:shape>
            </v:group>
            <v:group style="position:absolute;left:9643;top:5820;width:1054;height:2" coordorigin="9643,5820" coordsize="1054,2">
              <v:shape style="position:absolute;left:9643;top:5820;width:1054;height:2" coordorigin="9643,5820" coordsize="1054,0" path="m9643,5820l10697,5820e" filled="false" stroked="true" strokeweight=".48pt" strokecolor="#000000">
                <v:path arrowok="t"/>
              </v:shape>
            </v:group>
            <v:group style="position:absolute;left:5393;top:7164;width:1054;height:624" coordorigin="5393,7164" coordsize="1054,624">
              <v:shape style="position:absolute;left:5393;top:7164;width:1054;height:624" coordorigin="5393,7164" coordsize="1054,624" path="m5393,7788l6446,7788,6446,7164,5393,7164,5393,7788xe" filled="true" fillcolor="#ffffff" stroked="false">
                <v:path arrowok="t"/>
                <v:fill type="solid"/>
              </v:shape>
            </v:group>
            <v:group style="position:absolute;left:1138;top:7159;width:1056;height:2" coordorigin="1138,7159" coordsize="1056,2">
              <v:shape style="position:absolute;left:1138;top:7159;width:1056;height:2" coordorigin="1138,7159" coordsize="1056,0" path="m1138,7159l2194,7159e" filled="false" stroked="true" strokeweight=".48pt" strokecolor="#000000">
                <v:path arrowok="t"/>
              </v:shape>
            </v:group>
            <v:group style="position:absolute;left:2203;top:7159;width:1054;height:2" coordorigin="2203,7159" coordsize="1054,2">
              <v:shape style="position:absolute;left:2203;top:7159;width:1054;height:2" coordorigin="2203,7159" coordsize="1054,0" path="m2203,7159l3257,7159e" filled="false" stroked="true" strokeweight=".48pt" strokecolor="#000000">
                <v:path arrowok="t"/>
              </v:shape>
            </v:group>
            <v:group style="position:absolute;left:3266;top:7159;width:1054;height:2" coordorigin="3266,7159" coordsize="1054,2">
              <v:shape style="position:absolute;left:3266;top:7159;width:1054;height:2" coordorigin="3266,7159" coordsize="1054,0" path="m3266,7159l4320,7159e" filled="false" stroked="true" strokeweight=".48pt" strokecolor="#000000">
                <v:path arrowok="t"/>
              </v:shape>
            </v:group>
            <v:group style="position:absolute;left:4330;top:7159;width:1054;height:2" coordorigin="4330,7159" coordsize="1054,2">
              <v:shape style="position:absolute;left:4330;top:7159;width:1054;height:2" coordorigin="4330,7159" coordsize="1054,0" path="m4330,7159l5383,7159e" filled="false" stroked="true" strokeweight=".48pt" strokecolor="#000000">
                <v:path arrowok="t"/>
              </v:shape>
            </v:group>
            <v:group style="position:absolute;left:5393;top:7159;width:1052;height:2" coordorigin="5393,7159" coordsize="1052,2">
              <v:shape style="position:absolute;left:5393;top:7159;width:1052;height:2" coordorigin="5393,7159" coordsize="1052,0" path="m5393,7159l6444,7159e" filled="false" stroked="true" strokeweight=".48pt" strokecolor="#000000">
                <v:path arrowok="t"/>
              </v:shape>
            </v:group>
            <v:group style="position:absolute;left:6454;top:7159;width:1054;height:2" coordorigin="6454,7159" coordsize="1054,2">
              <v:shape style="position:absolute;left:6454;top:7159;width:1054;height:2" coordorigin="6454,7159" coordsize="1054,0" path="m6454,7159l7507,7159e" filled="false" stroked="true" strokeweight=".48pt" strokecolor="#000000">
                <v:path arrowok="t"/>
              </v:shape>
            </v:group>
            <v:group style="position:absolute;left:7517;top:7159;width:1054;height:2" coordorigin="7517,7159" coordsize="1054,2">
              <v:shape style="position:absolute;left:7517;top:7159;width:1054;height:2" coordorigin="7517,7159" coordsize="1054,0" path="m7517,7159l8570,7159e" filled="false" stroked="true" strokeweight=".48pt" strokecolor="#000000">
                <v:path arrowok="t"/>
              </v:shape>
            </v:group>
            <v:group style="position:absolute;left:8580;top:7159;width:1054;height:2" coordorigin="8580,7159" coordsize="1054,2">
              <v:shape style="position:absolute;left:8580;top:7159;width:1054;height:2" coordorigin="8580,7159" coordsize="1054,0" path="m8580,7159l9634,7159e" filled="false" stroked="true" strokeweight=".48pt" strokecolor="#000000">
                <v:path arrowok="t"/>
              </v:shape>
            </v:group>
            <v:group style="position:absolute;left:9643;top:7159;width:1054;height:2" coordorigin="9643,7159" coordsize="1054,2">
              <v:shape style="position:absolute;left:9643;top:7159;width:1054;height:2" coordorigin="9643,7159" coordsize="1054,0" path="m9643,7159l10697,7159e" filled="false" stroked="true" strokeweight=".48pt" strokecolor="#000000">
                <v:path arrowok="t"/>
              </v:shape>
            </v:group>
            <v:group style="position:absolute;left:1138;top:8808;width:1056;height:2" coordorigin="1138,8808" coordsize="1056,2">
              <v:shape style="position:absolute;left:1138;top:8808;width:1056;height:2" coordorigin="1138,8808" coordsize="1056,0" path="m1138,8808l2194,8808e" filled="false" stroked="true" strokeweight=".48pt" strokecolor="#000000">
                <v:path arrowok="t"/>
              </v:shape>
            </v:group>
            <v:group style="position:absolute;left:2203;top:8808;width:1054;height:2" coordorigin="2203,8808" coordsize="1054,2">
              <v:shape style="position:absolute;left:2203;top:8808;width:1054;height:2" coordorigin="2203,8808" coordsize="1054,0" path="m2203,8808l3257,8808e" filled="false" stroked="true" strokeweight=".48pt" strokecolor="#000000">
                <v:path arrowok="t"/>
              </v:shape>
            </v:group>
            <v:group style="position:absolute;left:3266;top:8808;width:1054;height:2" coordorigin="3266,8808" coordsize="1054,2">
              <v:shape style="position:absolute;left:3266;top:8808;width:1054;height:2" coordorigin="3266,8808" coordsize="1054,0" path="m3266,8808l4320,8808e" filled="false" stroked="true" strokeweight=".48pt" strokecolor="#000000">
                <v:path arrowok="t"/>
              </v:shape>
            </v:group>
            <v:group style="position:absolute;left:4330;top:8808;width:1054;height:2" coordorigin="4330,8808" coordsize="1054,2">
              <v:shape style="position:absolute;left:4330;top:8808;width:1054;height:2" coordorigin="4330,8808" coordsize="1054,0" path="m4330,8808l5383,8808e" filled="false" stroked="true" strokeweight=".48pt" strokecolor="#000000">
                <v:path arrowok="t"/>
              </v:shape>
            </v:group>
            <v:group style="position:absolute;left:5393;top:8808;width:1052;height:2" coordorigin="5393,8808" coordsize="1052,2">
              <v:shape style="position:absolute;left:5393;top:8808;width:1052;height:2" coordorigin="5393,8808" coordsize="1052,0" path="m5393,8808l6444,8808e" filled="false" stroked="true" strokeweight=".48pt" strokecolor="#000000">
                <v:path arrowok="t"/>
              </v:shape>
            </v:group>
            <v:group style="position:absolute;left:6454;top:8808;width:1054;height:2" coordorigin="6454,8808" coordsize="1054,2">
              <v:shape style="position:absolute;left:6454;top:8808;width:1054;height:2" coordorigin="6454,8808" coordsize="1054,0" path="m6454,8808l7507,8808e" filled="false" stroked="true" strokeweight=".48pt" strokecolor="#000000">
                <v:path arrowok="t"/>
              </v:shape>
            </v:group>
            <v:group style="position:absolute;left:7517;top:8808;width:1054;height:2" coordorigin="7517,8808" coordsize="1054,2">
              <v:shape style="position:absolute;left:7517;top:8808;width:1054;height:2" coordorigin="7517,8808" coordsize="1054,0" path="m7517,8808l8570,8808e" filled="false" stroked="true" strokeweight=".48pt" strokecolor="#000000">
                <v:path arrowok="t"/>
              </v:shape>
            </v:group>
            <v:group style="position:absolute;left:8580;top:8808;width:1054;height:2" coordorigin="8580,8808" coordsize="1054,2">
              <v:shape style="position:absolute;left:8580;top:8808;width:1054;height:2" coordorigin="8580,8808" coordsize="1054,0" path="m8580,8808l9634,8808e" filled="false" stroked="true" strokeweight=".48pt" strokecolor="#000000">
                <v:path arrowok="t"/>
              </v:shape>
            </v:group>
            <v:group style="position:absolute;left:9643;top:8808;width:1054;height:2" coordorigin="9643,8808" coordsize="1054,2">
              <v:shape style="position:absolute;left:9643;top:8808;width:1054;height:2" coordorigin="9643,8808" coordsize="1054,0" path="m9643,8808l10697,8808e" filled="false" stroked="true" strokeweight=".48pt" strokecolor="#000000">
                <v:path arrowok="t"/>
              </v:shape>
            </v:group>
            <v:group style="position:absolute;left:5393;top:10464;width:1054;height:468" coordorigin="5393,10464" coordsize="1054,468">
              <v:shape style="position:absolute;left:5393;top:10464;width:1054;height:468" coordorigin="5393,10464" coordsize="1054,468" path="m5393,10932l6446,10932,6446,10464,5393,10464,5393,10932xe" filled="true" fillcolor="#ffffff" stroked="false">
                <v:path arrowok="t"/>
                <v:fill type="solid"/>
              </v:shape>
            </v:group>
            <v:group style="position:absolute;left:1138;top:10459;width:1056;height:2" coordorigin="1138,10459" coordsize="1056,2">
              <v:shape style="position:absolute;left:1138;top:10459;width:1056;height:2" coordorigin="1138,10459" coordsize="1056,0" path="m1138,10459l2194,10459e" filled="false" stroked="true" strokeweight=".481pt" strokecolor="#000000">
                <v:path arrowok="t"/>
              </v:shape>
            </v:group>
            <v:group style="position:absolute;left:2203;top:10459;width:1054;height:2" coordorigin="2203,10459" coordsize="1054,2">
              <v:shape style="position:absolute;left:2203;top:10459;width:1054;height:2" coordorigin="2203,10459" coordsize="1054,0" path="m2203,10459l3257,10459e" filled="false" stroked="true" strokeweight=".481pt" strokecolor="#000000">
                <v:path arrowok="t"/>
              </v:shape>
            </v:group>
            <v:group style="position:absolute;left:3266;top:10459;width:1054;height:2" coordorigin="3266,10459" coordsize="1054,2">
              <v:shape style="position:absolute;left:3266;top:10459;width:1054;height:2" coordorigin="3266,10459" coordsize="1054,0" path="m3266,10459l4320,10459e" filled="false" stroked="true" strokeweight=".481pt" strokecolor="#000000">
                <v:path arrowok="t"/>
              </v:shape>
            </v:group>
            <v:group style="position:absolute;left:4330;top:10459;width:1054;height:2" coordorigin="4330,10459" coordsize="1054,2">
              <v:shape style="position:absolute;left:4330;top:10459;width:1054;height:2" coordorigin="4330,10459" coordsize="1054,0" path="m4330,10459l5383,10459e" filled="false" stroked="true" strokeweight=".481pt" strokecolor="#000000">
                <v:path arrowok="t"/>
              </v:shape>
            </v:group>
            <v:group style="position:absolute;left:5393;top:10459;width:1052;height:2" coordorigin="5393,10459" coordsize="1052,2">
              <v:shape style="position:absolute;left:5393;top:10459;width:1052;height:2" coordorigin="5393,10459" coordsize="1052,0" path="m5393,10459l6444,10459e" filled="false" stroked="true" strokeweight=".481pt" strokecolor="#000000">
                <v:path arrowok="t"/>
              </v:shape>
            </v:group>
            <v:group style="position:absolute;left:6454;top:10459;width:1054;height:2" coordorigin="6454,10459" coordsize="1054,2">
              <v:shape style="position:absolute;left:6454;top:10459;width:1054;height:2" coordorigin="6454,10459" coordsize="1054,0" path="m6454,10459l7507,10459e" filled="false" stroked="true" strokeweight=".481pt" strokecolor="#000000">
                <v:path arrowok="t"/>
              </v:shape>
            </v:group>
            <v:group style="position:absolute;left:7517;top:10459;width:1054;height:2" coordorigin="7517,10459" coordsize="1054,2">
              <v:shape style="position:absolute;left:7517;top:10459;width:1054;height:2" coordorigin="7517,10459" coordsize="1054,0" path="m7517,10459l8570,10459e" filled="false" stroked="true" strokeweight=".481pt" strokecolor="#000000">
                <v:path arrowok="t"/>
              </v:shape>
            </v:group>
            <v:group style="position:absolute;left:8580;top:10459;width:1054;height:2" coordorigin="8580,10459" coordsize="1054,2">
              <v:shape style="position:absolute;left:8580;top:10459;width:1054;height:2" coordorigin="8580,10459" coordsize="1054,0" path="m8580,10459l9634,10459e" filled="false" stroked="true" strokeweight=".481pt" strokecolor="#000000">
                <v:path arrowok="t"/>
              </v:shape>
            </v:group>
            <v:group style="position:absolute;left:9643;top:10459;width:1054;height:2" coordorigin="9643,10459" coordsize="1054,2">
              <v:shape style="position:absolute;left:9643;top:10459;width:1054;height:2" coordorigin="9643,10459" coordsize="1054,0" path="m9643,10459l10697,10459e" filled="false" stroked="true" strokeweight=".481pt" strokecolor="#000000">
                <v:path arrowok="t"/>
              </v:shape>
            </v:group>
            <v:group style="position:absolute;left:5393;top:11801;width:1054;height:468" coordorigin="5393,11801" coordsize="1054,468">
              <v:shape style="position:absolute;left:5393;top:11801;width:1054;height:468" coordorigin="5393,11801" coordsize="1054,468" path="m5393,12269l6446,12269,6446,11801,5393,11801,5393,12269xe" filled="true" fillcolor="#ffffff" stroked="false">
                <v:path arrowok="t"/>
                <v:fill type="solid"/>
              </v:shape>
            </v:group>
            <v:group style="position:absolute;left:1138;top:11796;width:1056;height:2" coordorigin="1138,11796" coordsize="1056,2">
              <v:shape style="position:absolute;left:1138;top:11796;width:1056;height:2" coordorigin="1138,11796" coordsize="1056,0" path="m1138,11796l2194,11796e" filled="false" stroked="true" strokeweight=".48pt" strokecolor="#000000">
                <v:path arrowok="t"/>
              </v:shape>
            </v:group>
            <v:group style="position:absolute;left:2203;top:11796;width:1054;height:2" coordorigin="2203,11796" coordsize="1054,2">
              <v:shape style="position:absolute;left:2203;top:11796;width:1054;height:2" coordorigin="2203,11796" coordsize="1054,0" path="m2203,11796l3257,11796e" filled="false" stroked="true" strokeweight=".48pt" strokecolor="#000000">
                <v:path arrowok="t"/>
              </v:shape>
            </v:group>
            <v:group style="position:absolute;left:3266;top:11796;width:1054;height:2" coordorigin="3266,11796" coordsize="1054,2">
              <v:shape style="position:absolute;left:3266;top:11796;width:1054;height:2" coordorigin="3266,11796" coordsize="1054,0" path="m3266,11796l4320,11796e" filled="false" stroked="true" strokeweight=".48pt" strokecolor="#000000">
                <v:path arrowok="t"/>
              </v:shape>
            </v:group>
            <v:group style="position:absolute;left:4330;top:11796;width:1054;height:2" coordorigin="4330,11796" coordsize="1054,2">
              <v:shape style="position:absolute;left:4330;top:11796;width:1054;height:2" coordorigin="4330,11796" coordsize="1054,0" path="m4330,11796l5383,11796e" filled="false" stroked="true" strokeweight=".48pt" strokecolor="#000000">
                <v:path arrowok="t"/>
              </v:shape>
            </v:group>
            <v:group style="position:absolute;left:5393;top:11796;width:1052;height:2" coordorigin="5393,11796" coordsize="1052,2">
              <v:shape style="position:absolute;left:5393;top:11796;width:1052;height:2" coordorigin="5393,11796" coordsize="1052,0" path="m5393,11796l6444,11796e" filled="false" stroked="true" strokeweight=".48pt" strokecolor="#000000">
                <v:path arrowok="t"/>
              </v:shape>
            </v:group>
            <v:group style="position:absolute;left:6454;top:11796;width:1054;height:2" coordorigin="6454,11796" coordsize="1054,2">
              <v:shape style="position:absolute;left:6454;top:11796;width:1054;height:2" coordorigin="6454,11796" coordsize="1054,0" path="m6454,11796l7507,11796e" filled="false" stroked="true" strokeweight=".48pt" strokecolor="#000000">
                <v:path arrowok="t"/>
              </v:shape>
            </v:group>
            <v:group style="position:absolute;left:7517;top:11796;width:1054;height:2" coordorigin="7517,11796" coordsize="1054,2">
              <v:shape style="position:absolute;left:7517;top:11796;width:1054;height:2" coordorigin="7517,11796" coordsize="1054,0" path="m7517,11796l8570,11796e" filled="false" stroked="true" strokeweight=".48pt" strokecolor="#000000">
                <v:path arrowok="t"/>
              </v:shape>
            </v:group>
            <v:group style="position:absolute;left:8580;top:11796;width:1054;height:2" coordorigin="8580,11796" coordsize="1054,2">
              <v:shape style="position:absolute;left:8580;top:11796;width:1054;height:2" coordorigin="8580,11796" coordsize="1054,0" path="m8580,11796l9634,11796e" filled="false" stroked="true" strokeweight=".48pt" strokecolor="#000000">
                <v:path arrowok="t"/>
              </v:shape>
            </v:group>
            <v:group style="position:absolute;left:9643;top:11796;width:1054;height:2" coordorigin="9643,11796" coordsize="1054,2">
              <v:shape style="position:absolute;left:9643;top:11796;width:1054;height:2" coordorigin="9643,11796" coordsize="1054,0" path="m9643,11796l10697,11796e" filled="false" stroked="true" strokeweight=".48pt" strokecolor="#000000">
                <v:path arrowok="t"/>
              </v:shape>
            </v:group>
            <v:group style="position:absolute;left:5393;top:13140;width:1054;height:468" coordorigin="5393,13140" coordsize="1054,468">
              <v:shape style="position:absolute;left:5393;top:13140;width:1054;height:468" coordorigin="5393,13140" coordsize="1054,468" path="m5393,13608l6446,13608,6446,13140,5393,13140,5393,13608xe" filled="true" fillcolor="#ffffff" stroked="false">
                <v:path arrowok="t"/>
                <v:fill type="solid"/>
              </v:shape>
            </v:group>
            <v:group style="position:absolute;left:1138;top:13135;width:1056;height:2" coordorigin="1138,13135" coordsize="1056,2">
              <v:shape style="position:absolute;left:1138;top:13135;width:1056;height:2" coordorigin="1138,13135" coordsize="1056,0" path="m1138,13135l2194,13135e" filled="false" stroked="true" strokeweight=".48pt" strokecolor="#000000">
                <v:path arrowok="t"/>
              </v:shape>
            </v:group>
            <v:group style="position:absolute;left:2203;top:13135;width:1054;height:2" coordorigin="2203,13135" coordsize="1054,2">
              <v:shape style="position:absolute;left:2203;top:13135;width:1054;height:2" coordorigin="2203,13135" coordsize="1054,0" path="m2203,13135l3257,13135e" filled="false" stroked="true" strokeweight=".48pt" strokecolor="#000000">
                <v:path arrowok="t"/>
              </v:shape>
            </v:group>
            <v:group style="position:absolute;left:3266;top:13135;width:1054;height:2" coordorigin="3266,13135" coordsize="1054,2">
              <v:shape style="position:absolute;left:3266;top:13135;width:1054;height:2" coordorigin="3266,13135" coordsize="1054,0" path="m3266,13135l4320,13135e" filled="false" stroked="true" strokeweight=".48pt" strokecolor="#000000">
                <v:path arrowok="t"/>
              </v:shape>
            </v:group>
            <v:group style="position:absolute;left:4330;top:13135;width:1054;height:2" coordorigin="4330,13135" coordsize="1054,2">
              <v:shape style="position:absolute;left:4330;top:13135;width:1054;height:2" coordorigin="4330,13135" coordsize="1054,0" path="m4330,13135l5383,13135e" filled="false" stroked="true" strokeweight=".48pt" strokecolor="#000000">
                <v:path arrowok="t"/>
              </v:shape>
            </v:group>
            <v:group style="position:absolute;left:5393;top:13135;width:1052;height:2" coordorigin="5393,13135" coordsize="1052,2">
              <v:shape style="position:absolute;left:5393;top:13135;width:1052;height:2" coordorigin="5393,13135" coordsize="1052,0" path="m5393,13135l6444,13135e" filled="false" stroked="true" strokeweight=".48pt" strokecolor="#000000">
                <v:path arrowok="t"/>
              </v:shape>
            </v:group>
            <v:group style="position:absolute;left:6454;top:13135;width:1054;height:2" coordorigin="6454,13135" coordsize="1054,2">
              <v:shape style="position:absolute;left:6454;top:13135;width:1054;height:2" coordorigin="6454,13135" coordsize="1054,0" path="m6454,13135l7507,13135e" filled="false" stroked="true" strokeweight=".48pt" strokecolor="#000000">
                <v:path arrowok="t"/>
              </v:shape>
            </v:group>
            <v:group style="position:absolute;left:7517;top:13135;width:1054;height:2" coordorigin="7517,13135" coordsize="1054,2">
              <v:shape style="position:absolute;left:7517;top:13135;width:1054;height:2" coordorigin="7517,13135" coordsize="1054,0" path="m7517,13135l8570,13135e" filled="false" stroked="true" strokeweight=".48pt" strokecolor="#000000">
                <v:path arrowok="t"/>
              </v:shape>
            </v:group>
            <v:group style="position:absolute;left:8580;top:13135;width:1054;height:2" coordorigin="8580,13135" coordsize="1054,2">
              <v:shape style="position:absolute;left:8580;top:13135;width:1054;height:2" coordorigin="8580,13135" coordsize="1054,0" path="m8580,13135l9634,13135e" filled="false" stroked="true" strokeweight=".48pt" strokecolor="#000000">
                <v:path arrowok="t"/>
              </v:shape>
            </v:group>
            <v:group style="position:absolute;left:9643;top:13135;width:1054;height:2" coordorigin="9643,13135" coordsize="1054,2">
              <v:shape style="position:absolute;left:9643;top:13135;width:1054;height:2" coordorigin="9643,13135" coordsize="1054,0" path="m9643,13135l10697,13135e" filled="false" stroked="true" strokeweight=".48pt" strokecolor="#000000">
                <v:path arrowok="t"/>
              </v:shape>
            </v:group>
            <v:group style="position:absolute;left:1138;top:14472;width:1056;height:2" coordorigin="1138,14472" coordsize="1056,2">
              <v:shape style="position:absolute;left:1138;top:14472;width:1056;height:2" coordorigin="1138,14472" coordsize="1056,0" path="m1138,14472l2194,14472e" filled="false" stroked="true" strokeweight=".48pt" strokecolor="#000000">
                <v:path arrowok="t"/>
              </v:shape>
            </v:group>
            <v:group style="position:absolute;left:2203;top:14472;width:1054;height:2" coordorigin="2203,14472" coordsize="1054,2">
              <v:shape style="position:absolute;left:2203;top:14472;width:1054;height:2" coordorigin="2203,14472" coordsize="1054,0" path="m2203,14472l3257,14472e" filled="false" stroked="true" strokeweight=".48pt" strokecolor="#000000">
                <v:path arrowok="t"/>
              </v:shape>
            </v:group>
            <v:group style="position:absolute;left:3266;top:14472;width:1054;height:2" coordorigin="3266,14472" coordsize="1054,2">
              <v:shape style="position:absolute;left:3266;top:14472;width:1054;height:2" coordorigin="3266,14472" coordsize="1054,0" path="m3266,14472l4320,14472e" filled="false" stroked="true" strokeweight=".48pt" strokecolor="#000000">
                <v:path arrowok="t"/>
              </v:shape>
            </v:group>
            <v:group style="position:absolute;left:4330;top:14472;width:1054;height:2" coordorigin="4330,14472" coordsize="1054,2">
              <v:shape style="position:absolute;left:4330;top:14472;width:1054;height:2" coordorigin="4330,14472" coordsize="1054,0" path="m4330,14472l5383,14472e" filled="false" stroked="true" strokeweight=".48pt" strokecolor="#000000">
                <v:path arrowok="t"/>
              </v:shape>
            </v:group>
            <v:group style="position:absolute;left:5393;top:14472;width:1052;height:2" coordorigin="5393,14472" coordsize="1052,2">
              <v:shape style="position:absolute;left:5393;top:14472;width:1052;height:2" coordorigin="5393,14472" coordsize="1052,0" path="m5393,14472l6444,14472e" filled="false" stroked="true" strokeweight=".48pt" strokecolor="#000000">
                <v:path arrowok="t"/>
              </v:shape>
            </v:group>
            <v:group style="position:absolute;left:6454;top:14472;width:1054;height:2" coordorigin="6454,14472" coordsize="1054,2">
              <v:shape style="position:absolute;left:6454;top:14472;width:1054;height:2" coordorigin="6454,14472" coordsize="1054,0" path="m6454,14472l7507,14472e" filled="false" stroked="true" strokeweight=".48pt" strokecolor="#000000">
                <v:path arrowok="t"/>
              </v:shape>
            </v:group>
            <v:group style="position:absolute;left:7517;top:14472;width:1054;height:2" coordorigin="7517,14472" coordsize="1054,2">
              <v:shape style="position:absolute;left:7517;top:14472;width:1054;height:2" coordorigin="7517,14472" coordsize="1054,0" path="m7517,14472l8570,14472e" filled="false" stroked="true" strokeweight=".48pt" strokecolor="#000000">
                <v:path arrowok="t"/>
              </v:shape>
            </v:group>
            <v:group style="position:absolute;left:8580;top:14472;width:1054;height:2" coordorigin="8580,14472" coordsize="1054,2">
              <v:shape style="position:absolute;left:8580;top:14472;width:1054;height:2" coordorigin="8580,14472" coordsize="1054,0" path="m8580,14472l9634,14472e" filled="false" stroked="true" strokeweight=".48pt" strokecolor="#000000">
                <v:path arrowok="t"/>
              </v:shape>
            </v:group>
            <v:group style="position:absolute;left:9643;top:14472;width:1054;height:2" coordorigin="9643,14472" coordsize="1054,2">
              <v:shape style="position:absolute;left:9643;top:14472;width:1054;height:2" coordorigin="9643,14472" coordsize="1054,0" path="m9643,14472l10697,14472e" filled="false" stroked="true" strokeweight=".48pt" strokecolor="#000000">
                <v:path arrowok="t"/>
              </v:shape>
            </v:group>
            <v:group style="position:absolute;left:1133;top:1440;width:2;height:13753" coordorigin="1133,1440" coordsize="2,13753">
              <v:shape style="position:absolute;left:1133;top:1440;width:2;height:13753" coordorigin="1133,1440" coordsize="0,13753" path="m1133,1440l1133,15192e" filled="false" stroked="true" strokeweight=".48pt" strokecolor="#000000">
                <v:path arrowok="t"/>
              </v:shape>
            </v:group>
            <v:group style="position:absolute;left:1138;top:15187;width:1056;height:2" coordorigin="1138,15187" coordsize="1056,2">
              <v:shape style="position:absolute;left:1138;top:15187;width:1056;height:2" coordorigin="1138,15187" coordsize="1056,0" path="m1138,15187l2194,15187e" filled="false" stroked="true" strokeweight=".48pt" strokecolor="#000000">
                <v:path arrowok="t"/>
              </v:shape>
            </v:group>
            <v:group style="position:absolute;left:2198;top:1440;width:2;height:13753" coordorigin="2198,1440" coordsize="2,13753">
              <v:shape style="position:absolute;left:2198;top:1440;width:2;height:13753" coordorigin="2198,1440" coordsize="0,13753" path="m2198,1440l2198,15192e" filled="false" stroked="true" strokeweight=".48pt" strokecolor="#000000">
                <v:path arrowok="t"/>
              </v:shape>
            </v:group>
            <v:group style="position:absolute;left:2203;top:15187;width:1054;height:2" coordorigin="2203,15187" coordsize="1054,2">
              <v:shape style="position:absolute;left:2203;top:15187;width:1054;height:2" coordorigin="2203,15187" coordsize="1054,0" path="m2203,15187l3257,15187e" filled="false" stroked="true" strokeweight=".48pt" strokecolor="#000000">
                <v:path arrowok="t"/>
              </v:shape>
            </v:group>
            <v:group style="position:absolute;left:3262;top:1440;width:2;height:13753" coordorigin="3262,1440" coordsize="2,13753">
              <v:shape style="position:absolute;left:3262;top:1440;width:2;height:13753" coordorigin="3262,1440" coordsize="0,13753" path="m3262,1440l3262,15192e" filled="false" stroked="true" strokeweight=".481pt" strokecolor="#000000">
                <v:path arrowok="t"/>
              </v:shape>
            </v:group>
            <v:group style="position:absolute;left:3266;top:15187;width:1054;height:2" coordorigin="3266,15187" coordsize="1054,2">
              <v:shape style="position:absolute;left:3266;top:15187;width:1054;height:2" coordorigin="3266,15187" coordsize="1054,0" path="m3266,15187l4320,15187e" filled="false" stroked="true" strokeweight=".48pt" strokecolor="#000000">
                <v:path arrowok="t"/>
              </v:shape>
            </v:group>
            <v:group style="position:absolute;left:4325;top:1440;width:2;height:13753" coordorigin="4325,1440" coordsize="2,13753">
              <v:shape style="position:absolute;left:4325;top:1440;width:2;height:13753" coordorigin="4325,1440" coordsize="0,13753" path="m4325,1440l4325,15192e" filled="false" stroked="true" strokeweight=".48pt" strokecolor="#000000">
                <v:path arrowok="t"/>
              </v:shape>
            </v:group>
            <v:group style="position:absolute;left:4330;top:15187;width:1054;height:2" coordorigin="4330,15187" coordsize="1054,2">
              <v:shape style="position:absolute;left:4330;top:15187;width:1054;height:2" coordorigin="4330,15187" coordsize="1054,0" path="m4330,15187l5383,15187e" filled="false" stroked="true" strokeweight=".48pt" strokecolor="#000000">
                <v:path arrowok="t"/>
              </v:shape>
            </v:group>
            <v:group style="position:absolute;left:5388;top:1440;width:2;height:13753" coordorigin="5388,1440" coordsize="2,13753">
              <v:shape style="position:absolute;left:5388;top:1440;width:2;height:13753" coordorigin="5388,1440" coordsize="0,13753" path="m5388,1440l5388,15192e" filled="false" stroked="true" strokeweight=".48pt" strokecolor="#000000">
                <v:path arrowok="t"/>
              </v:shape>
            </v:group>
            <v:group style="position:absolute;left:5393;top:15187;width:1052;height:2" coordorigin="5393,15187" coordsize="1052,2">
              <v:shape style="position:absolute;left:5393;top:15187;width:1052;height:2" coordorigin="5393,15187" coordsize="1052,0" path="m5393,15187l6444,15187e" filled="false" stroked="true" strokeweight=".48pt" strokecolor="#000000">
                <v:path arrowok="t"/>
              </v:shape>
            </v:group>
            <v:group style="position:absolute;left:6449;top:1440;width:2;height:13753" coordorigin="6449,1440" coordsize="2,13753">
              <v:shape style="position:absolute;left:6449;top:1440;width:2;height:13753" coordorigin="6449,1440" coordsize="0,13753" path="m6449,1440l6449,15192e" filled="false" stroked="true" strokeweight=".48pt" strokecolor="#000000">
                <v:path arrowok="t"/>
              </v:shape>
            </v:group>
            <v:group style="position:absolute;left:6454;top:15187;width:1054;height:2" coordorigin="6454,15187" coordsize="1054,2">
              <v:shape style="position:absolute;left:6454;top:15187;width:1054;height:2" coordorigin="6454,15187" coordsize="1054,0" path="m6454,15187l7507,15187e" filled="false" stroked="true" strokeweight=".48pt" strokecolor="#000000">
                <v:path arrowok="t"/>
              </v:shape>
            </v:group>
            <v:group style="position:absolute;left:7512;top:1440;width:2;height:13753" coordorigin="7512,1440" coordsize="2,13753">
              <v:shape style="position:absolute;left:7512;top:1440;width:2;height:13753" coordorigin="7512,1440" coordsize="0,13753" path="m7512,1440l7512,15192e" filled="false" stroked="true" strokeweight=".48pt" strokecolor="#000000">
                <v:path arrowok="t"/>
              </v:shape>
            </v:group>
            <v:group style="position:absolute;left:7517;top:15187;width:1054;height:2" coordorigin="7517,15187" coordsize="1054,2">
              <v:shape style="position:absolute;left:7517;top:15187;width:1054;height:2" coordorigin="7517,15187" coordsize="1054,0" path="m7517,15187l8570,15187e" filled="false" stroked="true" strokeweight=".48pt" strokecolor="#000000">
                <v:path arrowok="t"/>
              </v:shape>
            </v:group>
            <v:group style="position:absolute;left:8575;top:1440;width:2;height:13753" coordorigin="8575,1440" coordsize="2,13753">
              <v:shape style="position:absolute;left:8575;top:1440;width:2;height:13753" coordorigin="8575,1440" coordsize="0,13753" path="m8575,1440l8575,15192e" filled="false" stroked="true" strokeweight=".481pt" strokecolor="#000000">
                <v:path arrowok="t"/>
              </v:shape>
            </v:group>
            <v:group style="position:absolute;left:8580;top:15187;width:1054;height:2" coordorigin="8580,15187" coordsize="1054,2">
              <v:shape style="position:absolute;left:8580;top:15187;width:1054;height:2" coordorigin="8580,15187" coordsize="1054,0" path="m8580,15187l9634,15187e" filled="false" stroked="true" strokeweight=".48pt" strokecolor="#000000">
                <v:path arrowok="t"/>
              </v:shape>
            </v:group>
            <v:group style="position:absolute;left:9638;top:1440;width:2;height:13753" coordorigin="9638,1440" coordsize="2,13753">
              <v:shape style="position:absolute;left:9638;top:1440;width:2;height:13753" coordorigin="9638,1440" coordsize="0,13753" path="m9638,1440l9638,15192e" filled="false" stroked="true" strokeweight=".48pt" strokecolor="#000000">
                <v:path arrowok="t"/>
              </v:shape>
            </v:group>
            <v:group style="position:absolute;left:9643;top:15187;width:1054;height:2" coordorigin="9643,15187" coordsize="1054,2">
              <v:shape style="position:absolute;left:9643;top:15187;width:1054;height:2" coordorigin="9643,15187" coordsize="1054,0" path="m9643,15187l10697,15187e" filled="false" stroked="true" strokeweight=".48pt" strokecolor="#000000">
                <v:path arrowok="t"/>
              </v:shape>
            </v:group>
            <v:group style="position:absolute;left:10702;top:1440;width:2;height:13753" coordorigin="10702,1440" coordsize="2,13753">
              <v:shape style="position:absolute;left:10702;top:1440;width:2;height:13753" coordorigin="10702,1440" coordsize="0,13753" path="m10702,1440l10702,15192e" filled="false" stroked="true" strokeweight=".48pt" strokecolor="#000000">
                <v:path arrowok="t"/>
              </v:shape>
            </v:group>
            <w10:wrap type="none"/>
          </v:group>
        </w:pict>
      </w:r>
      <w:r>
        <w:rPr/>
        <w:t>工商业联合 会</w:t>
      </w:r>
    </w:p>
    <w:p>
      <w:pPr>
        <w:pStyle w:val="BodyText"/>
        <w:spacing w:line="196" w:lineRule="exact" w:before="107"/>
        <w:ind w:left="125" w:right="-20"/>
        <w:jc w:val="left"/>
      </w:pPr>
      <w:r>
        <w:rPr/>
        <w:br w:type="column"/>
      </w:r>
      <w:r>
        <w:rPr/>
        <w:t>深圳工商联</w:t>
      </w:r>
    </w:p>
    <w:p>
      <w:pPr>
        <w:pStyle w:val="BodyText"/>
        <w:spacing w:line="156" w:lineRule="exact"/>
        <w:ind w:left="0" w:right="0"/>
        <w:jc w:val="right"/>
      </w:pPr>
      <w:r>
        <w:rPr/>
        <w:t>补助</w:t>
      </w:r>
    </w:p>
    <w:p>
      <w:pPr>
        <w:pStyle w:val="BodyText"/>
        <w:spacing w:line="196" w:lineRule="exact"/>
        <w:ind w:left="125" w:right="-20"/>
        <w:jc w:val="left"/>
      </w:pPr>
      <w:r>
        <w:rPr/>
        <w:t>合会</w:t>
      </w:r>
    </w:p>
    <w:p>
      <w:pPr>
        <w:pStyle w:val="BodyText"/>
        <w:spacing w:line="314" w:lineRule="auto" w:before="129"/>
        <w:ind w:left="181" w:right="-20"/>
        <w:jc w:val="left"/>
      </w:pPr>
      <w:r>
        <w:rPr/>
        <w:br w:type="column"/>
      </w:r>
      <w:r>
        <w:rPr/>
        <w:t>因符合地方 政府招商引</w:t>
      </w:r>
    </w:p>
    <w:p>
      <w:pPr>
        <w:spacing w:line="240" w:lineRule="auto" w:before="2"/>
        <w:rPr>
          <w:rFonts w:ascii="宋体" w:hAnsi="宋体" w:cs="宋体" w:eastAsia="宋体" w:hint="default"/>
          <w:sz w:val="20"/>
          <w:szCs w:val="20"/>
        </w:rPr>
      </w:pPr>
      <w:r>
        <w:rPr/>
        <w:br w:type="column"/>
      </w:r>
      <w:r>
        <w:rPr>
          <w:rFonts w:ascii="宋体"/>
          <w:sz w:val="20"/>
        </w:rPr>
      </w:r>
    </w:p>
    <w:p>
      <w:pPr>
        <w:pStyle w:val="BodyText"/>
        <w:tabs>
          <w:tab w:pos="1186" w:val="left" w:leader="none"/>
          <w:tab w:pos="3598" w:val="left" w:leader="none"/>
        </w:tabs>
        <w:spacing w:line="240" w:lineRule="auto"/>
        <w:ind w:left="123" w:right="0"/>
        <w:jc w:val="left"/>
      </w:pPr>
      <w:r>
        <w:rPr/>
        <w:t>否</w:t>
        <w:tab/>
        <w:t>否</w:t>
        <w:tab/>
      </w:r>
      <w:r>
        <w:rPr>
          <w:rFonts w:ascii="Times New Roman" w:hAnsi="Times New Roman" w:cs="Times New Roman" w:eastAsia="Times New Roman" w:hint="default"/>
        </w:rPr>
        <w:t>10,000.00</w:t>
      </w:r>
      <w:r>
        <w:rPr>
          <w:rFonts w:ascii="Times New Roman" w:hAnsi="Times New Roman" w:cs="Times New Roman" w:eastAsia="Times New Roman" w:hint="default"/>
          <w:spacing w:val="6"/>
        </w:rPr>
        <w:t> </w:t>
      </w:r>
      <w:r>
        <w:rPr/>
        <w:t>与收益相关</w:t>
      </w:r>
    </w:p>
    <w:p>
      <w:pPr>
        <w:spacing w:after="0" w:line="240" w:lineRule="auto"/>
        <w:jc w:val="left"/>
        <w:sectPr>
          <w:type w:val="continuous"/>
          <w:pgSz w:w="11910" w:h="16840"/>
          <w:pgMar w:top="1060" w:bottom="1180" w:left="980" w:right="980"/>
          <w:cols w:num="4" w:equalWidth="0">
            <w:col w:w="1082" w:space="40"/>
            <w:col w:w="1549" w:space="521"/>
            <w:col w:w="1082" w:space="40"/>
            <w:col w:w="5636"/>
          </w:cols>
        </w:sectPr>
      </w:pPr>
    </w:p>
    <w:p>
      <w:pPr>
        <w:spacing w:line="240" w:lineRule="auto" w:before="6"/>
        <w:rPr>
          <w:rFonts w:ascii="宋体" w:hAnsi="宋体" w:cs="宋体" w:eastAsia="宋体" w:hint="default"/>
          <w:sz w:val="26"/>
          <w:szCs w:val="26"/>
        </w:rPr>
      </w:pPr>
    </w:p>
    <w:p>
      <w:pPr>
        <w:pStyle w:val="BodyText"/>
        <w:spacing w:line="316" w:lineRule="auto" w:before="44"/>
        <w:ind w:left="3373" w:right="5670"/>
        <w:jc w:val="both"/>
      </w:pPr>
      <w:r>
        <w:rPr/>
        <w:t>资等地方性 扶持政策而 获得的补助</w:t>
      </w:r>
    </w:p>
    <w:p>
      <w:pPr>
        <w:spacing w:after="0" w:line="316" w:lineRule="auto"/>
        <w:jc w:val="both"/>
        <w:sectPr>
          <w:pgSz w:w="11910" w:h="16840"/>
          <w:pgMar w:header="745" w:footer="982" w:top="1060" w:bottom="1180" w:left="980" w:right="980"/>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深圳财政深 圳高新产业 专项补助</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20"/>
        <w:jc w:val="left"/>
      </w:pPr>
      <w:r>
        <w:rPr/>
        <w:t>深圳龙华新 区经济服务</w:t>
      </w:r>
      <w:r>
        <w:rPr>
          <w:spacing w:val="73"/>
        </w:rPr>
        <w:t> </w:t>
      </w:r>
      <w:r>
        <w:rPr/>
        <w:t>补助</w:t>
      </w:r>
      <w:r>
        <w:rPr/>
        <w:t> 局</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rPr>
        <w:t>200,000.00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贷款贴息补 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深圳文体旅</w:t>
      </w:r>
    </w:p>
    <w:p>
      <w:pPr>
        <w:pStyle w:val="BodyText"/>
        <w:spacing w:line="156" w:lineRule="exact"/>
        <w:ind w:left="0" w:right="0"/>
        <w:jc w:val="right"/>
      </w:pPr>
      <w:r>
        <w:rPr/>
        <w:t>补助</w:t>
      </w:r>
    </w:p>
    <w:p>
      <w:pPr>
        <w:pStyle w:val="BodyText"/>
        <w:spacing w:line="196" w:lineRule="exact"/>
        <w:ind w:left="125" w:right="-20"/>
        <w:jc w:val="left"/>
      </w:pPr>
      <w:r>
        <w:rPr/>
        <w:t>游局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432,000.00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广东著名商 标与专利资 助费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深圳市市场</w:t>
      </w:r>
    </w:p>
    <w:p>
      <w:pPr>
        <w:pStyle w:val="BodyText"/>
        <w:spacing w:line="156" w:lineRule="exact"/>
        <w:ind w:left="0" w:right="0"/>
        <w:jc w:val="right"/>
      </w:pPr>
      <w:r>
        <w:rPr/>
        <w:t>补助</w:t>
      </w:r>
    </w:p>
    <w:p>
      <w:pPr>
        <w:pStyle w:val="BodyText"/>
        <w:spacing w:line="196" w:lineRule="exact"/>
        <w:ind w:left="125" w:right="-20"/>
        <w:jc w:val="left"/>
      </w:pPr>
      <w:r>
        <w:rPr/>
        <w:t>监督管理局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502,500.00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rPr>
          <w:rFonts w:ascii="Times New Roman" w:hAnsi="Times New Roman" w:cs="Times New Roman" w:eastAsia="Times New Roman" w:hint="default"/>
        </w:rPr>
      </w:pPr>
      <w:r>
        <w:rPr/>
        <w:t>深圳发改委 维纳高端材 料实验室补 贴</w:t>
      </w:r>
      <w:r>
        <w:rPr>
          <w:spacing w:val="-46"/>
        </w:rPr>
        <w:t> </w:t>
      </w:r>
      <w:r>
        <w:rPr>
          <w:rFonts w:ascii="Times New Roman" w:hAnsi="Times New Roman" w:cs="Times New Roman" w:eastAsia="Times New Roman" w:hint="default"/>
        </w:rPr>
        <w:t>2014-2015</w:t>
      </w:r>
    </w:p>
    <w:p>
      <w:pPr>
        <w:pStyle w:val="BodyText"/>
        <w:spacing w:line="235" w:lineRule="exact"/>
        <w:ind w:left="181" w:right="0"/>
        <w:jc w:val="both"/>
      </w:pP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7" w:right="-20"/>
        <w:jc w:val="left"/>
      </w:pPr>
      <w:r>
        <w:rPr/>
        <w:t>深圳发改委</w:t>
      </w:r>
      <w:r>
        <w:rPr>
          <w:spacing w:val="73"/>
        </w:rPr>
        <w:t> </w:t>
      </w:r>
      <w:r>
        <w:rPr/>
        <w:t>补助</w:t>
      </w:r>
    </w:p>
    <w:p>
      <w:pPr>
        <w:pStyle w:val="BodyText"/>
        <w:spacing w:line="310" w:lineRule="atLeast" w:before="126"/>
        <w:ind w:left="181" w:right="5473"/>
        <w:jc w:val="left"/>
      </w:pPr>
      <w:r>
        <w:rPr/>
        <w:br w:type="column"/>
      </w:r>
      <w:r>
        <w:rPr/>
        <w:t>因研究开发、 技术更新及</w:t>
      </w:r>
    </w:p>
    <w:p>
      <w:pPr>
        <w:pStyle w:val="BodyText"/>
        <w:tabs>
          <w:tab w:pos="2307" w:val="left" w:leader="none"/>
          <w:tab w:pos="3431" w:val="left" w:leader="none"/>
        </w:tabs>
        <w:spacing w:line="123" w:lineRule="exact"/>
        <w:ind w:left="1244" w:right="0"/>
        <w:jc w:val="left"/>
      </w:pPr>
      <w:r>
        <w:rPr/>
        <w:t>否</w:t>
        <w:tab/>
        <w:t>否</w:t>
        <w:tab/>
      </w:r>
      <w:r>
        <w:rPr>
          <w:rFonts w:ascii="Times New Roman" w:hAnsi="Times New Roman" w:cs="Times New Roman" w:eastAsia="Times New Roman" w:hint="default"/>
        </w:rPr>
        <w:t>1,047,500.00   1,252,500.00</w:t>
      </w:r>
      <w:r>
        <w:rPr>
          <w:rFonts w:ascii="Times New Roman" w:hAnsi="Times New Roman" w:cs="Times New Roman" w:eastAsia="Times New Roman" w:hint="default"/>
          <w:spacing w:val="-15"/>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90" w:space="40"/>
            <w:col w:w="1441"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59"/>
        <w:jc w:val="both"/>
      </w:pPr>
      <w:r>
        <w:rPr/>
        <w:t>深圳文体旅 游局环保立 体代金属包 装补贴</w:t>
      </w:r>
    </w:p>
    <w:p>
      <w:pPr>
        <w:pStyle w:val="BodyText"/>
        <w:spacing w:line="240" w:lineRule="auto" w:before="19"/>
        <w:ind w:left="181"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2014-2015</w:t>
      </w:r>
    </w:p>
    <w:p>
      <w:pPr>
        <w:pStyle w:val="BodyText"/>
        <w:spacing w:line="240" w:lineRule="auto" w:before="63"/>
        <w:ind w:left="181" w:right="0"/>
        <w:jc w:val="both"/>
      </w:pPr>
      <w:r>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196" w:lineRule="exact"/>
        <w:ind w:left="64" w:right="0"/>
        <w:jc w:val="left"/>
      </w:pPr>
      <w:r>
        <w:rPr/>
        <w:t>深圳文体旅</w:t>
      </w:r>
    </w:p>
    <w:p>
      <w:pPr>
        <w:pStyle w:val="BodyText"/>
        <w:spacing w:line="156" w:lineRule="exact"/>
        <w:ind w:left="0" w:right="0"/>
        <w:jc w:val="right"/>
      </w:pPr>
      <w:r>
        <w:rPr/>
        <w:t>补助</w:t>
      </w:r>
    </w:p>
    <w:p>
      <w:pPr>
        <w:pStyle w:val="BodyText"/>
        <w:spacing w:line="196" w:lineRule="exact"/>
        <w:ind w:left="64" w:right="0"/>
        <w:jc w:val="left"/>
      </w:pPr>
      <w:r>
        <w:rPr/>
        <w:t>游局</w:t>
      </w:r>
    </w:p>
    <w:p>
      <w:pPr>
        <w:spacing w:line="240" w:lineRule="auto" w:before="7"/>
        <w:rPr>
          <w:rFonts w:ascii="宋体" w:hAnsi="宋体" w:cs="宋体" w:eastAsia="宋体" w:hint="default"/>
          <w:sz w:val="21"/>
          <w:szCs w:val="21"/>
        </w:rPr>
      </w:pPr>
      <w:r>
        <w:rPr/>
        <w:br w:type="column"/>
      </w:r>
      <w:r>
        <w:rPr>
          <w:rFonts w:ascii="宋体"/>
          <w:sz w:val="21"/>
        </w:rPr>
      </w:r>
    </w:p>
    <w:p>
      <w:pPr>
        <w:pStyle w:val="BodyText"/>
        <w:spacing w:line="310" w:lineRule="atLeast"/>
        <w:ind w:left="181" w:right="5473"/>
        <w:jc w:val="left"/>
      </w:pPr>
      <w:r>
        <w:rPr/>
        <w:t>因研究开发、 技术更新及</w:t>
      </w:r>
    </w:p>
    <w:p>
      <w:pPr>
        <w:pStyle w:val="BodyText"/>
        <w:tabs>
          <w:tab w:pos="2307" w:val="left" w:leader="none"/>
          <w:tab w:pos="3565" w:val="left" w:leader="none"/>
          <w:tab w:pos="4628" w:val="left" w:leader="none"/>
        </w:tabs>
        <w:spacing w:line="123" w:lineRule="exact"/>
        <w:ind w:left="1244" w:right="0"/>
        <w:jc w:val="left"/>
      </w:pPr>
      <w:r>
        <w:rPr/>
        <w:t>否</w:t>
        <w:tab/>
        <w:t>否</w:t>
        <w:tab/>
      </w:r>
      <w:r>
        <w:rPr>
          <w:rFonts w:ascii="Times New Roman" w:hAnsi="Times New Roman" w:cs="Times New Roman" w:eastAsia="Times New Roman" w:hint="default"/>
          <w:spacing w:val="-1"/>
        </w:rPr>
        <w:t>512,500.00</w:t>
        <w:tab/>
        <w:t>307,500.00</w:t>
      </w:r>
      <w:r>
        <w:rPr>
          <w:rFonts w:ascii="Times New Roman" w:hAnsi="Times New Roman" w:cs="Times New Roman" w:eastAsia="Times New Roman" w:hint="default"/>
          <w:spacing w:val="17"/>
        </w:rPr>
        <w:t> </w:t>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43" w:space="40"/>
            <w:col w:w="1488"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发电机组容 量指标款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深圳南电能</w:t>
      </w:r>
    </w:p>
    <w:p>
      <w:pPr>
        <w:pStyle w:val="BodyText"/>
        <w:spacing w:line="156" w:lineRule="exact"/>
        <w:ind w:left="0" w:right="0"/>
        <w:jc w:val="right"/>
      </w:pPr>
      <w:r>
        <w:rPr/>
        <w:t>补助</w:t>
      </w:r>
    </w:p>
    <w:p>
      <w:pPr>
        <w:pStyle w:val="BodyText"/>
        <w:spacing w:line="196" w:lineRule="exact"/>
        <w:ind w:left="125" w:right="-20"/>
        <w:jc w:val="left"/>
      </w:pPr>
      <w:r>
        <w:rPr/>
        <w:t>源投资</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628" w:val="left" w:leader="none"/>
        </w:tabs>
        <w:spacing w:line="86" w:lineRule="exact"/>
        <w:ind w:left="1244" w:right="0"/>
        <w:jc w:val="left"/>
      </w:pPr>
      <w:r>
        <w:rPr/>
        <w:t>否</w:t>
        <w:tab/>
        <w:t>否</w:t>
        <w:tab/>
      </w:r>
      <w:r>
        <w:rPr>
          <w:rFonts w:ascii="Times New Roman" w:hAnsi="Times New Roman" w:cs="Times New Roman" w:eastAsia="Times New Roman" w:hint="default"/>
        </w:rPr>
        <w:t>360,000.00</w:t>
      </w:r>
      <w:r>
        <w:rPr>
          <w:rFonts w:ascii="Times New Roman" w:hAnsi="Times New Roman" w:cs="Times New Roman" w:eastAsia="Times New Roman" w:hint="default"/>
          <w:spacing w:val="7"/>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龙华新区发 展和财政局 资助国内发 明款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龙华新区发</w:t>
      </w:r>
    </w:p>
    <w:p>
      <w:pPr>
        <w:pStyle w:val="BodyText"/>
        <w:spacing w:line="156" w:lineRule="exact"/>
        <w:ind w:left="0" w:right="0"/>
        <w:jc w:val="right"/>
      </w:pPr>
      <w:r>
        <w:rPr/>
        <w:t>补助</w:t>
      </w:r>
    </w:p>
    <w:p>
      <w:pPr>
        <w:pStyle w:val="BodyText"/>
        <w:spacing w:line="196" w:lineRule="exact"/>
        <w:ind w:left="125" w:right="-20"/>
        <w:jc w:val="left"/>
      </w:pPr>
      <w:r>
        <w:rPr/>
        <w:t>展和财政局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4808" w:val="left" w:leader="none"/>
        </w:tabs>
        <w:spacing w:line="86" w:lineRule="exact"/>
        <w:ind w:left="1244" w:right="0"/>
        <w:jc w:val="left"/>
      </w:pPr>
      <w:r>
        <w:rPr/>
        <w:t>否</w:t>
        <w:tab/>
        <w:t>否</w:t>
        <w:tab/>
      </w:r>
      <w:r>
        <w:rPr>
          <w:rFonts w:ascii="Times New Roman" w:hAnsi="Times New Roman" w:cs="Times New Roman" w:eastAsia="Times New Roman" w:hint="default"/>
        </w:rPr>
        <w:t>9,500.00</w:t>
      </w:r>
      <w:r>
        <w:rPr>
          <w:rFonts w:ascii="Times New Roman" w:hAnsi="Times New Roman" w:cs="Times New Roman" w:eastAsia="Times New Roman" w:hint="default"/>
          <w:spacing w:val="8"/>
        </w:rPr>
        <w:t> </w:t>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240" w:lineRule="auto" w:before="107"/>
        <w:ind w:left="181" w:right="-20"/>
        <w:jc w:val="left"/>
      </w:pPr>
      <w:r>
        <w:rPr/>
        <w:t>深圳市财政</w:t>
      </w:r>
    </w:p>
    <w:p>
      <w:pPr>
        <w:pStyle w:val="BodyText"/>
        <w:spacing w:line="203" w:lineRule="exact" w:before="76"/>
        <w:ind w:left="181" w:right="-20"/>
        <w:jc w:val="left"/>
      </w:pPr>
      <w:r>
        <w:rPr/>
        <w:t>局 </w:t>
      </w:r>
      <w:r>
        <w:rPr>
          <w:rFonts w:ascii="Times New Roman" w:hAnsi="Times New Roman" w:cs="Times New Roman" w:eastAsia="Times New Roman" w:hint="default"/>
        </w:rPr>
        <w:t>2013 </w:t>
      </w:r>
      <w:r>
        <w:rPr/>
        <w:t>新兴</w:t>
      </w:r>
      <w:r>
        <w:rPr>
          <w:spacing w:val="-62"/>
        </w:rPr>
        <w:t> </w:t>
      </w:r>
      <w:r>
        <w:rPr/>
        <w:t>深圳市财政</w:t>
      </w:r>
    </w:p>
    <w:p>
      <w:pPr>
        <w:pStyle w:val="BodyText"/>
        <w:spacing w:line="165" w:lineRule="exact"/>
        <w:ind w:left="0" w:right="0"/>
        <w:jc w:val="right"/>
      </w:pPr>
      <w:r>
        <w:rPr/>
        <w:t>补助</w:t>
      </w:r>
    </w:p>
    <w:p>
      <w:pPr>
        <w:pStyle w:val="BodyText"/>
        <w:spacing w:line="310" w:lineRule="atLeast" w:before="33"/>
        <w:ind w:left="181" w:right="5473"/>
        <w:jc w:val="left"/>
      </w:pPr>
      <w:r>
        <w:rPr/>
        <w:br w:type="column"/>
      </w:r>
      <w:r>
        <w:rPr/>
        <w:t>因研究开发、 技术更新及</w:t>
      </w:r>
    </w:p>
    <w:p>
      <w:pPr>
        <w:pStyle w:val="BodyText"/>
        <w:tabs>
          <w:tab w:pos="2307" w:val="left" w:leader="none"/>
          <w:tab w:pos="3565" w:val="left" w:leader="none"/>
          <w:tab w:pos="4719" w:val="left" w:leader="none"/>
        </w:tabs>
        <w:spacing w:line="132" w:lineRule="exact"/>
        <w:ind w:left="1244" w:right="0"/>
        <w:jc w:val="left"/>
      </w:pPr>
      <w:r>
        <w:rPr/>
        <w:t>否</w:t>
        <w:tab/>
        <w:t>否</w:t>
        <w:tab/>
      </w:r>
      <w:r>
        <w:rPr>
          <w:rFonts w:ascii="Times New Roman" w:hAnsi="Times New Roman" w:cs="Times New Roman" w:eastAsia="Times New Roman" w:hint="default"/>
          <w:spacing w:val="-1"/>
        </w:rPr>
        <w:t>255,674.56</w:t>
        <w:tab/>
        <w:t>79,369.60</w:t>
      </w:r>
      <w:r>
        <w:rPr>
          <w:rFonts w:ascii="Times New Roman" w:hAnsi="Times New Roman" w:cs="Times New Roman" w:eastAsia="Times New Roman" w:hint="default"/>
          <w:spacing w:val="15"/>
        </w:rPr>
        <w:t> </w:t>
      </w:r>
      <w:r>
        <w:rPr/>
        <w:t>与资产相关</w:t>
      </w:r>
    </w:p>
    <w:p>
      <w:pPr>
        <w:spacing w:after="0" w:line="132" w:lineRule="exact"/>
        <w:jc w:val="left"/>
        <w:sectPr>
          <w:type w:val="continuous"/>
          <w:pgSz w:w="11910" w:h="16840"/>
          <w:pgMar w:top="1060" w:bottom="1180" w:left="980" w:right="980"/>
          <w:cols w:num="2" w:equalWidth="0">
            <w:col w:w="2671" w:space="521"/>
            <w:col w:w="6758"/>
          </w:cols>
        </w:sectPr>
      </w:pPr>
    </w:p>
    <w:p>
      <w:pPr>
        <w:pStyle w:val="BodyText"/>
        <w:spacing w:line="180" w:lineRule="exact"/>
        <w:ind w:left="181" w:right="-19"/>
        <w:jc w:val="left"/>
      </w:pPr>
      <w:r>
        <w:rPr/>
        <w:t>产业发展专</w:t>
      </w:r>
      <w:r>
        <w:rPr>
          <w:spacing w:val="75"/>
        </w:rPr>
        <w:t> </w:t>
      </w:r>
      <w:r>
        <w:rPr/>
        <w:t>局</w:t>
      </w:r>
    </w:p>
    <w:p>
      <w:pPr>
        <w:pStyle w:val="BodyText"/>
        <w:spacing w:line="240" w:lineRule="auto" w:before="76"/>
        <w:ind w:left="181" w:right="-19"/>
        <w:jc w:val="left"/>
      </w:pPr>
      <w:r>
        <w:rPr/>
        <w:t>项资金补贴</w:t>
      </w:r>
    </w:p>
    <w:p>
      <w:pPr>
        <w:pStyle w:val="BodyText"/>
        <w:spacing w:line="180" w:lineRule="exact"/>
        <w:ind w:left="181" w:right="5473"/>
        <w:jc w:val="left"/>
      </w:pPr>
      <w:r>
        <w:rPr/>
        <w:br w:type="column"/>
      </w: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2" w:equalWidth="0">
            <w:col w:w="1428" w:space="1764"/>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11"/>
        <w:rPr>
          <w:rFonts w:ascii="宋体" w:hAnsi="宋体" w:cs="宋体" w:eastAsia="宋体" w:hint="default"/>
          <w:sz w:val="13"/>
          <w:szCs w:val="13"/>
        </w:rPr>
      </w:pPr>
      <w:r>
        <w:rPr/>
        <w:pict>
          <v:group style="position:absolute;margin-left:56.400002pt;margin-top:71.758484pt;width:478.95pt;height:697.25pt;mso-position-horizontal-relative:page;mso-position-vertical-relative:page;z-index:-944200" coordorigin="1128,1435" coordsize="9579,13945">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5393;top:2436;width:1054;height:468" coordorigin="5393,2436" coordsize="1054,468">
              <v:shape style="position:absolute;left:5393;top:2436;width:1054;height:468" coordorigin="5393,2436" coordsize="1054,468" path="m5393,2904l6446,2904,6446,2436,5393,2436,5393,2904xe" filled="true" fillcolor="#ffffff" stroked="false">
                <v:path arrowok="t"/>
                <v:fill type="solid"/>
              </v:shape>
            </v:group>
            <v:group style="position:absolute;left:1138;top:2431;width:1056;height:2" coordorigin="1138,2431" coordsize="1056,2">
              <v:shape style="position:absolute;left:1138;top:2431;width:1056;height:2" coordorigin="1138,2431" coordsize="1056,0" path="m1138,2431l2194,2431e" filled="false" stroked="true" strokeweight=".481pt" strokecolor="#000000">
                <v:path arrowok="t"/>
              </v:shape>
            </v:group>
            <v:group style="position:absolute;left:2203;top:2431;width:1054;height:2" coordorigin="2203,2431" coordsize="1054,2">
              <v:shape style="position:absolute;left:2203;top:2431;width:1054;height:2" coordorigin="2203,2431" coordsize="1054,0" path="m2203,2431l3257,2431e" filled="false" stroked="true" strokeweight=".481pt" strokecolor="#000000">
                <v:path arrowok="t"/>
              </v:shape>
            </v:group>
            <v:group style="position:absolute;left:3266;top:2431;width:1054;height:2" coordorigin="3266,2431" coordsize="1054,2">
              <v:shape style="position:absolute;left:3266;top:2431;width:1054;height:2" coordorigin="3266,2431" coordsize="1054,0" path="m3266,2431l4320,2431e" filled="false" stroked="true" strokeweight=".481pt" strokecolor="#000000">
                <v:path arrowok="t"/>
              </v:shape>
            </v:group>
            <v:group style="position:absolute;left:4330;top:2431;width:1054;height:2" coordorigin="4330,2431" coordsize="1054,2">
              <v:shape style="position:absolute;left:4330;top:2431;width:1054;height:2" coordorigin="4330,2431" coordsize="1054,0" path="m4330,2431l5383,2431e" filled="false" stroked="true" strokeweight=".481pt" strokecolor="#000000">
                <v:path arrowok="t"/>
              </v:shape>
            </v:group>
            <v:group style="position:absolute;left:5393;top:2431;width:1052;height:2" coordorigin="5393,2431" coordsize="1052,2">
              <v:shape style="position:absolute;left:5393;top:2431;width:1052;height:2" coordorigin="5393,2431" coordsize="1052,0" path="m5393,2431l6444,2431e" filled="false" stroked="true" strokeweight=".481pt" strokecolor="#000000">
                <v:path arrowok="t"/>
              </v:shape>
            </v:group>
            <v:group style="position:absolute;left:6454;top:2431;width:1054;height:2" coordorigin="6454,2431" coordsize="1054,2">
              <v:shape style="position:absolute;left:6454;top:2431;width:1054;height:2" coordorigin="6454,2431" coordsize="1054,0" path="m6454,2431l7507,2431e" filled="false" stroked="true" strokeweight=".481pt" strokecolor="#000000">
                <v:path arrowok="t"/>
              </v:shape>
            </v:group>
            <v:group style="position:absolute;left:7517;top:2431;width:1054;height:2" coordorigin="7517,2431" coordsize="1054,2">
              <v:shape style="position:absolute;left:7517;top:2431;width:1054;height:2" coordorigin="7517,2431" coordsize="1054,0" path="m7517,2431l8570,2431e" filled="false" stroked="true" strokeweight=".481pt" strokecolor="#000000">
                <v:path arrowok="t"/>
              </v:shape>
            </v:group>
            <v:group style="position:absolute;left:8580;top:2431;width:1054;height:2" coordorigin="8580,2431" coordsize="1054,2">
              <v:shape style="position:absolute;left:8580;top:2431;width:1054;height:2" coordorigin="8580,2431" coordsize="1054,0" path="m8580,2431l9634,2431e" filled="false" stroked="true" strokeweight=".481pt" strokecolor="#000000">
                <v:path arrowok="t"/>
              </v:shape>
            </v:group>
            <v:group style="position:absolute;left:9643;top:2431;width:1054;height:2" coordorigin="9643,2431" coordsize="1054,2">
              <v:shape style="position:absolute;left:9643;top:2431;width:1054;height:2" coordorigin="9643,2431" coordsize="1054,0" path="m9643,2431l10697,2431e" filled="false" stroked="true" strokeweight=".481pt" strokecolor="#000000">
                <v:path arrowok="t"/>
              </v:shape>
            </v:group>
            <v:group style="position:absolute;left:5393;top:3773;width:1054;height:468" coordorigin="5393,3773" coordsize="1054,468">
              <v:shape style="position:absolute;left:5393;top:3773;width:1054;height:468" coordorigin="5393,3773" coordsize="1054,468" path="m5393,4241l6446,4241,6446,3773,5393,3773,5393,4241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3;top:3768;width:1054;height:2" coordorigin="2203,3768" coordsize="1054,2">
              <v:shape style="position:absolute;left:2203;top:3768;width:1054;height:2" coordorigin="2203,3768" coordsize="1054,0" path="m2203,3768l3257,3768e" filled="false" stroked="true" strokeweight=".48pt" strokecolor="#000000">
                <v:path arrowok="t"/>
              </v:shape>
            </v:group>
            <v:group style="position:absolute;left:3266;top:3768;width:1054;height:2" coordorigin="3266,3768" coordsize="1054,2">
              <v:shape style="position:absolute;left:3266;top:3768;width:1054;height:2" coordorigin="3266,3768" coordsize="1054,0" path="m3266,3768l4320,3768e" filled="false" stroked="true" strokeweight=".48pt" strokecolor="#000000">
                <v:path arrowok="t"/>
              </v:shape>
            </v:group>
            <v:group style="position:absolute;left:4330;top:3768;width:1054;height:2" coordorigin="4330,3768" coordsize="1054,2">
              <v:shape style="position:absolute;left:4330;top:3768;width:1054;height:2" coordorigin="4330,3768" coordsize="1054,0" path="m4330,3768l5383,3768e" filled="false" stroked="true" strokeweight=".48pt" strokecolor="#000000">
                <v:path arrowok="t"/>
              </v:shape>
            </v:group>
            <v:group style="position:absolute;left:5393;top:3768;width:1052;height:2" coordorigin="5393,3768" coordsize="1052,2">
              <v:shape style="position:absolute;left:5393;top:3768;width:1052;height:2" coordorigin="5393,3768" coordsize="1052,0" path="m5393,3768l6444,3768e" filled="false" stroked="true" strokeweight=".48pt" strokecolor="#000000">
                <v:path arrowok="t"/>
              </v:shape>
            </v:group>
            <v:group style="position:absolute;left:6454;top:3768;width:1054;height:2" coordorigin="6454,3768" coordsize="1054,2">
              <v:shape style="position:absolute;left:6454;top:3768;width:1054;height:2" coordorigin="6454,3768" coordsize="1054,0" path="m6454,3768l7507,3768e" filled="false" stroked="true" strokeweight=".48pt" strokecolor="#000000">
                <v:path arrowok="t"/>
              </v:shape>
            </v:group>
            <v:group style="position:absolute;left:7517;top:3768;width:1054;height:2" coordorigin="7517,3768" coordsize="1054,2">
              <v:shape style="position:absolute;left:7517;top:3768;width:1054;height:2" coordorigin="7517,3768" coordsize="1054,0" path="m7517,3768l8570,3768e" filled="false" stroked="true" strokeweight=".48pt" strokecolor="#000000">
                <v:path arrowok="t"/>
              </v:shape>
            </v:group>
            <v:group style="position:absolute;left:8580;top:3768;width:1054;height:2" coordorigin="8580,3768" coordsize="1054,2">
              <v:shape style="position:absolute;left:8580;top:3768;width:1054;height:2" coordorigin="8580,3768" coordsize="1054,0" path="m8580,3768l9634,3768e" filled="false" stroked="true" strokeweight=".48pt" strokecolor="#000000">
                <v:path arrowok="t"/>
              </v:shape>
            </v:group>
            <v:group style="position:absolute;left:9643;top:3768;width:1054;height:2" coordorigin="9643,3768" coordsize="1054,2">
              <v:shape style="position:absolute;left:9643;top:3768;width:1054;height:2" coordorigin="9643,3768" coordsize="1054,0" path="m9643,3768l10697,3768e" filled="false" stroked="true" strokeweight=".48pt" strokecolor="#000000">
                <v:path arrowok="t"/>
              </v:shape>
            </v:group>
            <v:group style="position:absolute;left:5393;top:5112;width:1054;height:468" coordorigin="5393,5112" coordsize="1054,468">
              <v:shape style="position:absolute;left:5393;top:5112;width:1054;height:468" coordorigin="5393,5112" coordsize="1054,468" path="m5393,5580l6446,5580,6446,5112,5393,5112,5393,5580xe" filled="true" fillcolor="#ffffff" stroked="false">
                <v:path arrowok="t"/>
                <v:fill type="solid"/>
              </v:shape>
            </v:group>
            <v:group style="position:absolute;left:1138;top:5107;width:1056;height:2" coordorigin="1138,5107" coordsize="1056,2">
              <v:shape style="position:absolute;left:1138;top:5107;width:1056;height:2" coordorigin="1138,5107" coordsize="1056,0" path="m1138,5107l2194,5107e" filled="false" stroked="true" strokeweight=".48pt" strokecolor="#000000">
                <v:path arrowok="t"/>
              </v:shape>
            </v:group>
            <v:group style="position:absolute;left:2203;top:5107;width:1054;height:2" coordorigin="2203,5107" coordsize="1054,2">
              <v:shape style="position:absolute;left:2203;top:5107;width:1054;height:2" coordorigin="2203,5107" coordsize="1054,0" path="m2203,5107l3257,5107e" filled="false" stroked="true" strokeweight=".48pt" strokecolor="#000000">
                <v:path arrowok="t"/>
              </v:shape>
            </v:group>
            <v:group style="position:absolute;left:3266;top:5107;width:1054;height:2" coordorigin="3266,5107" coordsize="1054,2">
              <v:shape style="position:absolute;left:3266;top:5107;width:1054;height:2" coordorigin="3266,5107" coordsize="1054,0" path="m3266,5107l4320,5107e" filled="false" stroked="true" strokeweight=".48pt" strokecolor="#000000">
                <v:path arrowok="t"/>
              </v:shape>
            </v:group>
            <v:group style="position:absolute;left:4330;top:5107;width:1054;height:2" coordorigin="4330,5107" coordsize="1054,2">
              <v:shape style="position:absolute;left:4330;top:5107;width:1054;height:2" coordorigin="4330,5107" coordsize="1054,0" path="m4330,5107l5383,5107e" filled="false" stroked="true" strokeweight=".48pt" strokecolor="#000000">
                <v:path arrowok="t"/>
              </v:shape>
            </v:group>
            <v:group style="position:absolute;left:5393;top:5107;width:1052;height:2" coordorigin="5393,5107" coordsize="1052,2">
              <v:shape style="position:absolute;left:5393;top:5107;width:1052;height:2" coordorigin="5393,5107" coordsize="1052,0" path="m5393,5107l6444,5107e" filled="false" stroked="true" strokeweight=".48pt" strokecolor="#000000">
                <v:path arrowok="t"/>
              </v:shape>
            </v:group>
            <v:group style="position:absolute;left:6454;top:5107;width:1054;height:2" coordorigin="6454,5107" coordsize="1054,2">
              <v:shape style="position:absolute;left:6454;top:5107;width:1054;height:2" coordorigin="6454,5107" coordsize="1054,0" path="m6454,5107l7507,5107e" filled="false" stroked="true" strokeweight=".48pt" strokecolor="#000000">
                <v:path arrowok="t"/>
              </v:shape>
            </v:group>
            <v:group style="position:absolute;left:7517;top:5107;width:1054;height:2" coordorigin="7517,5107" coordsize="1054,2">
              <v:shape style="position:absolute;left:7517;top:5107;width:1054;height:2" coordorigin="7517,5107" coordsize="1054,0" path="m7517,5107l8570,5107e" filled="false" stroked="true" strokeweight=".48pt" strokecolor="#000000">
                <v:path arrowok="t"/>
              </v:shape>
            </v:group>
            <v:group style="position:absolute;left:8580;top:5107;width:1054;height:2" coordorigin="8580,5107" coordsize="1054,2">
              <v:shape style="position:absolute;left:8580;top:5107;width:1054;height:2" coordorigin="8580,5107" coordsize="1054,0" path="m8580,5107l9634,5107e" filled="false" stroked="true" strokeweight=".48pt" strokecolor="#000000">
                <v:path arrowok="t"/>
              </v:shape>
            </v:group>
            <v:group style="position:absolute;left:9643;top:5107;width:1054;height:2" coordorigin="9643,5107" coordsize="1054,2">
              <v:shape style="position:absolute;left:9643;top:5107;width:1054;height:2" coordorigin="9643,5107" coordsize="1054,0" path="m9643,5107l10697,5107e" filled="false" stroked="true" strokeweight=".48pt" strokecolor="#000000">
                <v:path arrowok="t"/>
              </v:shape>
            </v:group>
            <v:group style="position:absolute;left:5393;top:6449;width:1054;height:624" coordorigin="5393,6449" coordsize="1054,624">
              <v:shape style="position:absolute;left:5393;top:6449;width:1054;height:624" coordorigin="5393,6449" coordsize="1054,624" path="m5393,7073l6446,7073,6446,6449,5393,6449,5393,7073xe" filled="true" fillcolor="#ffffff" stroked="false">
                <v:path arrowok="t"/>
                <v:fill type="solid"/>
              </v:shape>
            </v:group>
            <v:group style="position:absolute;left:1138;top:6444;width:1056;height:2" coordorigin="1138,6444" coordsize="1056,2">
              <v:shape style="position:absolute;left:1138;top:6444;width:1056;height:2" coordorigin="1138,6444" coordsize="1056,0" path="m1138,6444l2194,6444e" filled="false" stroked="true" strokeweight=".48pt" strokecolor="#000000">
                <v:path arrowok="t"/>
              </v:shape>
            </v:group>
            <v:group style="position:absolute;left:2203;top:6444;width:1054;height:2" coordorigin="2203,6444" coordsize="1054,2">
              <v:shape style="position:absolute;left:2203;top:6444;width:1054;height:2" coordorigin="2203,6444" coordsize="1054,0" path="m2203,6444l3257,6444e" filled="false" stroked="true" strokeweight=".48pt" strokecolor="#000000">
                <v:path arrowok="t"/>
              </v:shape>
            </v:group>
            <v:group style="position:absolute;left:3266;top:6444;width:1054;height:2" coordorigin="3266,6444" coordsize="1054,2">
              <v:shape style="position:absolute;left:3266;top:6444;width:1054;height:2" coordorigin="3266,6444" coordsize="1054,0" path="m3266,6444l4320,6444e" filled="false" stroked="true" strokeweight=".48pt" strokecolor="#000000">
                <v:path arrowok="t"/>
              </v:shape>
            </v:group>
            <v:group style="position:absolute;left:4330;top:6444;width:1054;height:2" coordorigin="4330,6444" coordsize="1054,2">
              <v:shape style="position:absolute;left:4330;top:6444;width:1054;height:2" coordorigin="4330,6444" coordsize="1054,0" path="m4330,6444l5383,6444e" filled="false" stroked="true" strokeweight=".48pt" strokecolor="#000000">
                <v:path arrowok="t"/>
              </v:shape>
            </v:group>
            <v:group style="position:absolute;left:5393;top:6444;width:1052;height:2" coordorigin="5393,6444" coordsize="1052,2">
              <v:shape style="position:absolute;left:5393;top:6444;width:1052;height:2" coordorigin="5393,6444" coordsize="1052,0" path="m5393,6444l6444,6444e" filled="false" stroked="true" strokeweight=".48pt" strokecolor="#000000">
                <v:path arrowok="t"/>
              </v:shape>
            </v:group>
            <v:group style="position:absolute;left:6454;top:6444;width:1054;height:2" coordorigin="6454,6444" coordsize="1054,2">
              <v:shape style="position:absolute;left:6454;top:6444;width:1054;height:2" coordorigin="6454,6444" coordsize="1054,0" path="m6454,6444l7507,6444e" filled="false" stroked="true" strokeweight=".48pt" strokecolor="#000000">
                <v:path arrowok="t"/>
              </v:shape>
            </v:group>
            <v:group style="position:absolute;left:7517;top:6444;width:1054;height:2" coordorigin="7517,6444" coordsize="1054,2">
              <v:shape style="position:absolute;left:7517;top:6444;width:1054;height:2" coordorigin="7517,6444" coordsize="1054,0" path="m7517,6444l8570,6444e" filled="false" stroked="true" strokeweight=".48pt" strokecolor="#000000">
                <v:path arrowok="t"/>
              </v:shape>
            </v:group>
            <v:group style="position:absolute;left:8580;top:6444;width:1054;height:2" coordorigin="8580,6444" coordsize="1054,2">
              <v:shape style="position:absolute;left:8580;top:6444;width:1054;height:2" coordorigin="8580,6444" coordsize="1054,0" path="m8580,6444l9634,6444e" filled="false" stroked="true" strokeweight=".48pt" strokecolor="#000000">
                <v:path arrowok="t"/>
              </v:shape>
            </v:group>
            <v:group style="position:absolute;left:9643;top:6444;width:1054;height:2" coordorigin="9643,6444" coordsize="1054,2">
              <v:shape style="position:absolute;left:9643;top:6444;width:1054;height:2" coordorigin="9643,6444" coordsize="1054,0" path="m9643,6444l10697,6444e" filled="false" stroked="true" strokeweight=".48pt" strokecolor="#000000">
                <v:path arrowok="t"/>
              </v:shape>
            </v:group>
            <v:group style="position:absolute;left:5393;top:8100;width:1054;height:780" coordorigin="5393,8100" coordsize="1054,780">
              <v:shape style="position:absolute;left:5393;top:8100;width:1054;height:780" coordorigin="5393,8100" coordsize="1054,780" path="m5393,8880l6446,8880,6446,8100,5393,8100,5393,8880xe" filled="true" fillcolor="#ffffff" stroked="false">
                <v:path arrowok="t"/>
                <v:fill type="solid"/>
              </v:shape>
            </v:group>
            <v:group style="position:absolute;left:1138;top:8095;width:1056;height:2" coordorigin="1138,8095" coordsize="1056,2">
              <v:shape style="position:absolute;left:1138;top:8095;width:1056;height:2" coordorigin="1138,8095" coordsize="1056,0" path="m1138,8095l2194,8095e" filled="false" stroked="true" strokeweight=".48pt" strokecolor="#000000">
                <v:path arrowok="t"/>
              </v:shape>
            </v:group>
            <v:group style="position:absolute;left:2203;top:8095;width:1054;height:2" coordorigin="2203,8095" coordsize="1054,2">
              <v:shape style="position:absolute;left:2203;top:8095;width:1054;height:2" coordorigin="2203,8095" coordsize="1054,0" path="m2203,8095l3257,8095e" filled="false" stroked="true" strokeweight=".48pt" strokecolor="#000000">
                <v:path arrowok="t"/>
              </v:shape>
            </v:group>
            <v:group style="position:absolute;left:3266;top:8095;width:1054;height:2" coordorigin="3266,8095" coordsize="1054,2">
              <v:shape style="position:absolute;left:3266;top:8095;width:1054;height:2" coordorigin="3266,8095" coordsize="1054,0" path="m3266,8095l4320,8095e" filled="false" stroked="true" strokeweight=".48pt" strokecolor="#000000">
                <v:path arrowok="t"/>
              </v:shape>
            </v:group>
            <v:group style="position:absolute;left:4330;top:8095;width:1054;height:2" coordorigin="4330,8095" coordsize="1054,2">
              <v:shape style="position:absolute;left:4330;top:8095;width:1054;height:2" coordorigin="4330,8095" coordsize="1054,0" path="m4330,8095l5383,8095e" filled="false" stroked="true" strokeweight=".48pt" strokecolor="#000000">
                <v:path arrowok="t"/>
              </v:shape>
            </v:group>
            <v:group style="position:absolute;left:5393;top:8095;width:1052;height:2" coordorigin="5393,8095" coordsize="1052,2">
              <v:shape style="position:absolute;left:5393;top:8095;width:1052;height:2" coordorigin="5393,8095" coordsize="1052,0" path="m5393,8095l6444,8095e" filled="false" stroked="true" strokeweight=".48pt" strokecolor="#000000">
                <v:path arrowok="t"/>
              </v:shape>
            </v:group>
            <v:group style="position:absolute;left:6454;top:8095;width:1054;height:2" coordorigin="6454,8095" coordsize="1054,2">
              <v:shape style="position:absolute;left:6454;top:8095;width:1054;height:2" coordorigin="6454,8095" coordsize="1054,0" path="m6454,8095l7507,8095e" filled="false" stroked="true" strokeweight=".48pt" strokecolor="#000000">
                <v:path arrowok="t"/>
              </v:shape>
            </v:group>
            <v:group style="position:absolute;left:7517;top:8095;width:1054;height:2" coordorigin="7517,8095" coordsize="1054,2">
              <v:shape style="position:absolute;left:7517;top:8095;width:1054;height:2" coordorigin="7517,8095" coordsize="1054,0" path="m7517,8095l8570,8095e" filled="false" stroked="true" strokeweight=".48pt" strokecolor="#000000">
                <v:path arrowok="t"/>
              </v:shape>
            </v:group>
            <v:group style="position:absolute;left:8580;top:8095;width:1054;height:2" coordorigin="8580,8095" coordsize="1054,2">
              <v:shape style="position:absolute;left:8580;top:8095;width:1054;height:2" coordorigin="8580,8095" coordsize="1054,0" path="m8580,8095l9634,8095e" filled="false" stroked="true" strokeweight=".48pt" strokecolor="#000000">
                <v:path arrowok="t"/>
              </v:shape>
            </v:group>
            <v:group style="position:absolute;left:9643;top:8095;width:1054;height:2" coordorigin="9643,8095" coordsize="1054,2">
              <v:shape style="position:absolute;left:9643;top:8095;width:1054;height:2" coordorigin="9643,8095" coordsize="1054,0" path="m9643,8095l10697,8095e" filled="false" stroked="true" strokeweight=".48pt" strokecolor="#000000">
                <v:path arrowok="t"/>
              </v:shape>
            </v:group>
            <v:group style="position:absolute;left:5393;top:10061;width:1054;height:468" coordorigin="5393,10061" coordsize="1054,468">
              <v:shape style="position:absolute;left:5393;top:10061;width:1054;height:468" coordorigin="5393,10061" coordsize="1054,468" path="m5393,10529l6446,10529,6446,10061,5393,10061,5393,10529xe" filled="true" fillcolor="#ffffff" stroked="false">
                <v:path arrowok="t"/>
                <v:fill type="solid"/>
              </v:shape>
            </v:group>
            <v:group style="position:absolute;left:1138;top:10056;width:1056;height:2" coordorigin="1138,10056" coordsize="1056,2">
              <v:shape style="position:absolute;left:1138;top:10056;width:1056;height:2" coordorigin="1138,10056" coordsize="1056,0" path="m1138,10056l2194,10056e" filled="false" stroked="true" strokeweight=".481pt" strokecolor="#000000">
                <v:path arrowok="t"/>
              </v:shape>
            </v:group>
            <v:group style="position:absolute;left:2203;top:10056;width:1054;height:2" coordorigin="2203,10056" coordsize="1054,2">
              <v:shape style="position:absolute;left:2203;top:10056;width:1054;height:2" coordorigin="2203,10056" coordsize="1054,0" path="m2203,10056l3257,10056e" filled="false" stroked="true" strokeweight=".481pt" strokecolor="#000000">
                <v:path arrowok="t"/>
              </v:shape>
            </v:group>
            <v:group style="position:absolute;left:3266;top:10056;width:1054;height:2" coordorigin="3266,10056" coordsize="1054,2">
              <v:shape style="position:absolute;left:3266;top:10056;width:1054;height:2" coordorigin="3266,10056" coordsize="1054,0" path="m3266,10056l4320,10056e" filled="false" stroked="true" strokeweight=".481pt" strokecolor="#000000">
                <v:path arrowok="t"/>
              </v:shape>
            </v:group>
            <v:group style="position:absolute;left:4330;top:10056;width:1054;height:2" coordorigin="4330,10056" coordsize="1054,2">
              <v:shape style="position:absolute;left:4330;top:10056;width:1054;height:2" coordorigin="4330,10056" coordsize="1054,0" path="m4330,10056l5383,10056e" filled="false" stroked="true" strokeweight=".481pt" strokecolor="#000000">
                <v:path arrowok="t"/>
              </v:shape>
            </v:group>
            <v:group style="position:absolute;left:5393;top:10056;width:1052;height:2" coordorigin="5393,10056" coordsize="1052,2">
              <v:shape style="position:absolute;left:5393;top:10056;width:1052;height:2" coordorigin="5393,10056" coordsize="1052,0" path="m5393,10056l6444,10056e" filled="false" stroked="true" strokeweight=".481pt" strokecolor="#000000">
                <v:path arrowok="t"/>
              </v:shape>
            </v:group>
            <v:group style="position:absolute;left:6454;top:10056;width:1054;height:2" coordorigin="6454,10056" coordsize="1054,2">
              <v:shape style="position:absolute;left:6454;top:10056;width:1054;height:2" coordorigin="6454,10056" coordsize="1054,0" path="m6454,10056l7507,10056e" filled="false" stroked="true" strokeweight=".481pt" strokecolor="#000000">
                <v:path arrowok="t"/>
              </v:shape>
            </v:group>
            <v:group style="position:absolute;left:7517;top:10056;width:1054;height:2" coordorigin="7517,10056" coordsize="1054,2">
              <v:shape style="position:absolute;left:7517;top:10056;width:1054;height:2" coordorigin="7517,10056" coordsize="1054,0" path="m7517,10056l8570,10056e" filled="false" stroked="true" strokeweight=".481pt" strokecolor="#000000">
                <v:path arrowok="t"/>
              </v:shape>
            </v:group>
            <v:group style="position:absolute;left:8580;top:10056;width:1054;height:2" coordorigin="8580,10056" coordsize="1054,2">
              <v:shape style="position:absolute;left:8580;top:10056;width:1054;height:2" coordorigin="8580,10056" coordsize="1054,0" path="m8580,10056l9634,10056e" filled="false" stroked="true" strokeweight=".481pt" strokecolor="#000000">
                <v:path arrowok="t"/>
              </v:shape>
            </v:group>
            <v:group style="position:absolute;left:9643;top:10056;width:1054;height:2" coordorigin="9643,10056" coordsize="1054,2">
              <v:shape style="position:absolute;left:9643;top:10056;width:1054;height:2" coordorigin="9643,10056" coordsize="1054,0" path="m9643,10056l10697,10056e" filled="false" stroked="true" strokeweight=".481pt" strokecolor="#000000">
                <v:path arrowok="t"/>
              </v:shape>
            </v:group>
            <v:group style="position:absolute;left:5393;top:11400;width:1054;height:468" coordorigin="5393,11400" coordsize="1054,468">
              <v:shape style="position:absolute;left:5393;top:11400;width:1054;height:468" coordorigin="5393,11400" coordsize="1054,468" path="m5393,11868l6446,11868,6446,11400,5393,11400,5393,11868xe" filled="true" fillcolor="#ffffff" stroked="false">
                <v:path arrowok="t"/>
                <v:fill type="solid"/>
              </v:shape>
            </v:group>
            <v:group style="position:absolute;left:1138;top:11395;width:1056;height:2" coordorigin="1138,11395" coordsize="1056,2">
              <v:shape style="position:absolute;left:1138;top:11395;width:1056;height:2" coordorigin="1138,11395" coordsize="1056,0" path="m1138,11395l2194,11395e" filled="false" stroked="true" strokeweight=".481pt" strokecolor="#000000">
                <v:path arrowok="t"/>
              </v:shape>
            </v:group>
            <v:group style="position:absolute;left:2203;top:11395;width:1054;height:2" coordorigin="2203,11395" coordsize="1054,2">
              <v:shape style="position:absolute;left:2203;top:11395;width:1054;height:2" coordorigin="2203,11395" coordsize="1054,0" path="m2203,11395l3257,11395e" filled="false" stroked="true" strokeweight=".481pt" strokecolor="#000000">
                <v:path arrowok="t"/>
              </v:shape>
            </v:group>
            <v:group style="position:absolute;left:3266;top:11395;width:1054;height:2" coordorigin="3266,11395" coordsize="1054,2">
              <v:shape style="position:absolute;left:3266;top:11395;width:1054;height:2" coordorigin="3266,11395" coordsize="1054,0" path="m3266,11395l4320,11395e" filled="false" stroked="true" strokeweight=".481pt" strokecolor="#000000">
                <v:path arrowok="t"/>
              </v:shape>
            </v:group>
            <v:group style="position:absolute;left:4330;top:11395;width:1054;height:2" coordorigin="4330,11395" coordsize="1054,2">
              <v:shape style="position:absolute;left:4330;top:11395;width:1054;height:2" coordorigin="4330,11395" coordsize="1054,0" path="m4330,11395l5383,11395e" filled="false" stroked="true" strokeweight=".481pt" strokecolor="#000000">
                <v:path arrowok="t"/>
              </v:shape>
            </v:group>
            <v:group style="position:absolute;left:5393;top:11395;width:1052;height:2" coordorigin="5393,11395" coordsize="1052,2">
              <v:shape style="position:absolute;left:5393;top:11395;width:1052;height:2" coordorigin="5393,11395" coordsize="1052,0" path="m5393,11395l6444,11395e" filled="false" stroked="true" strokeweight=".481pt" strokecolor="#000000">
                <v:path arrowok="t"/>
              </v:shape>
            </v:group>
            <v:group style="position:absolute;left:6454;top:11395;width:1054;height:2" coordorigin="6454,11395" coordsize="1054,2">
              <v:shape style="position:absolute;left:6454;top:11395;width:1054;height:2" coordorigin="6454,11395" coordsize="1054,0" path="m6454,11395l7507,11395e" filled="false" stroked="true" strokeweight=".481pt" strokecolor="#000000">
                <v:path arrowok="t"/>
              </v:shape>
            </v:group>
            <v:group style="position:absolute;left:7517;top:11395;width:1054;height:2" coordorigin="7517,11395" coordsize="1054,2">
              <v:shape style="position:absolute;left:7517;top:11395;width:1054;height:2" coordorigin="7517,11395" coordsize="1054,0" path="m7517,11395l8570,11395e" filled="false" stroked="true" strokeweight=".481pt" strokecolor="#000000">
                <v:path arrowok="t"/>
              </v:shape>
            </v:group>
            <v:group style="position:absolute;left:8580;top:11395;width:1054;height:2" coordorigin="8580,11395" coordsize="1054,2">
              <v:shape style="position:absolute;left:8580;top:11395;width:1054;height:2" coordorigin="8580,11395" coordsize="1054,0" path="m8580,11395l9634,11395e" filled="false" stroked="true" strokeweight=".481pt" strokecolor="#000000">
                <v:path arrowok="t"/>
              </v:shape>
            </v:group>
            <v:group style="position:absolute;left:9643;top:11395;width:1054;height:2" coordorigin="9643,11395" coordsize="1054,2">
              <v:shape style="position:absolute;left:9643;top:11395;width:1054;height:2" coordorigin="9643,11395" coordsize="1054,0" path="m9643,11395l10697,11395e" filled="false" stroked="true" strokeweight=".481pt" strokecolor="#000000">
                <v:path arrowok="t"/>
              </v:shape>
            </v:group>
            <v:group style="position:absolute;left:5393;top:12737;width:1054;height:468" coordorigin="5393,12737" coordsize="1054,468">
              <v:shape style="position:absolute;left:5393;top:12737;width:1054;height:468" coordorigin="5393,12737" coordsize="1054,468" path="m5393,13205l6446,13205,6446,12737,5393,12737,5393,13205xe" filled="true" fillcolor="#ffffff" stroked="false">
                <v:path arrowok="t"/>
                <v:fill type="solid"/>
              </v:shape>
            </v:group>
            <v:group style="position:absolute;left:1138;top:12732;width:1056;height:2" coordorigin="1138,12732" coordsize="1056,2">
              <v:shape style="position:absolute;left:1138;top:12732;width:1056;height:2" coordorigin="1138,12732" coordsize="1056,0" path="m1138,12732l2194,12732e" filled="false" stroked="true" strokeweight=".48pt" strokecolor="#000000">
                <v:path arrowok="t"/>
              </v:shape>
            </v:group>
            <v:group style="position:absolute;left:2203;top:12732;width:1054;height:2" coordorigin="2203,12732" coordsize="1054,2">
              <v:shape style="position:absolute;left:2203;top:12732;width:1054;height:2" coordorigin="2203,12732" coordsize="1054,0" path="m2203,12732l3257,12732e" filled="false" stroked="true" strokeweight=".48pt" strokecolor="#000000">
                <v:path arrowok="t"/>
              </v:shape>
            </v:group>
            <v:group style="position:absolute;left:3266;top:12732;width:1054;height:2" coordorigin="3266,12732" coordsize="1054,2">
              <v:shape style="position:absolute;left:3266;top:12732;width:1054;height:2" coordorigin="3266,12732" coordsize="1054,0" path="m3266,12732l4320,12732e" filled="false" stroked="true" strokeweight=".48pt" strokecolor="#000000">
                <v:path arrowok="t"/>
              </v:shape>
            </v:group>
            <v:group style="position:absolute;left:4330;top:12732;width:1054;height:2" coordorigin="4330,12732" coordsize="1054,2">
              <v:shape style="position:absolute;left:4330;top:12732;width:1054;height:2" coordorigin="4330,12732" coordsize="1054,0" path="m4330,12732l5383,12732e" filled="false" stroked="true" strokeweight=".48pt" strokecolor="#000000">
                <v:path arrowok="t"/>
              </v:shape>
            </v:group>
            <v:group style="position:absolute;left:5393;top:12732;width:1052;height:2" coordorigin="5393,12732" coordsize="1052,2">
              <v:shape style="position:absolute;left:5393;top:12732;width:1052;height:2" coordorigin="5393,12732" coordsize="1052,0" path="m5393,12732l6444,12732e" filled="false" stroked="true" strokeweight=".48pt" strokecolor="#000000">
                <v:path arrowok="t"/>
              </v:shape>
            </v:group>
            <v:group style="position:absolute;left:6454;top:12732;width:1054;height:2" coordorigin="6454,12732" coordsize="1054,2">
              <v:shape style="position:absolute;left:6454;top:12732;width:1054;height:2" coordorigin="6454,12732" coordsize="1054,0" path="m6454,12732l7507,12732e" filled="false" stroked="true" strokeweight=".48pt" strokecolor="#000000">
                <v:path arrowok="t"/>
              </v:shape>
            </v:group>
            <v:group style="position:absolute;left:7517;top:12732;width:1054;height:2" coordorigin="7517,12732" coordsize="1054,2">
              <v:shape style="position:absolute;left:7517;top:12732;width:1054;height:2" coordorigin="7517,12732" coordsize="1054,0" path="m7517,12732l8570,12732e" filled="false" stroked="true" strokeweight=".48pt" strokecolor="#000000">
                <v:path arrowok="t"/>
              </v:shape>
            </v:group>
            <v:group style="position:absolute;left:8580;top:12732;width:1054;height:2" coordorigin="8580,12732" coordsize="1054,2">
              <v:shape style="position:absolute;left:8580;top:12732;width:1054;height:2" coordorigin="8580,12732" coordsize="1054,0" path="m8580,12732l9634,12732e" filled="false" stroked="true" strokeweight=".48pt" strokecolor="#000000">
                <v:path arrowok="t"/>
              </v:shape>
            </v:group>
            <v:group style="position:absolute;left:9643;top:12732;width:1054;height:2" coordorigin="9643,12732" coordsize="1054,2">
              <v:shape style="position:absolute;left:9643;top:12732;width:1054;height:2" coordorigin="9643,12732" coordsize="1054,0" path="m9643,12732l10697,12732e" filled="false" stroked="true" strokeweight=".48pt" strokecolor="#000000">
                <v:path arrowok="t"/>
              </v:shape>
            </v:group>
            <v:group style="position:absolute;left:1138;top:14071;width:1056;height:2" coordorigin="1138,14071" coordsize="1056,2">
              <v:shape style="position:absolute;left:1138;top:14071;width:1056;height:2" coordorigin="1138,14071" coordsize="1056,0" path="m1138,14071l2194,14071e" filled="false" stroked="true" strokeweight=".48pt" strokecolor="#000000">
                <v:path arrowok="t"/>
              </v:shape>
            </v:group>
            <v:group style="position:absolute;left:2203;top:14071;width:1054;height:2" coordorigin="2203,14071" coordsize="1054,2">
              <v:shape style="position:absolute;left:2203;top:14071;width:1054;height:2" coordorigin="2203,14071" coordsize="1054,0" path="m2203,14071l3257,14071e" filled="false" stroked="true" strokeweight=".48pt" strokecolor="#000000">
                <v:path arrowok="t"/>
              </v:shape>
            </v:group>
            <v:group style="position:absolute;left:3266;top:14071;width:1054;height:2" coordorigin="3266,14071" coordsize="1054,2">
              <v:shape style="position:absolute;left:3266;top:14071;width:1054;height:2" coordorigin="3266,14071" coordsize="1054,0" path="m3266,14071l4320,14071e" filled="false" stroked="true" strokeweight=".48pt" strokecolor="#000000">
                <v:path arrowok="t"/>
              </v:shape>
            </v:group>
            <v:group style="position:absolute;left:4330;top:14071;width:1054;height:2" coordorigin="4330,14071" coordsize="1054,2">
              <v:shape style="position:absolute;left:4330;top:14071;width:1054;height:2" coordorigin="4330,14071" coordsize="1054,0" path="m4330,14071l5383,14071e" filled="false" stroked="true" strokeweight=".48pt" strokecolor="#000000">
                <v:path arrowok="t"/>
              </v:shape>
            </v:group>
            <v:group style="position:absolute;left:5393;top:14071;width:1052;height:2" coordorigin="5393,14071" coordsize="1052,2">
              <v:shape style="position:absolute;left:5393;top:14071;width:1052;height:2" coordorigin="5393,14071" coordsize="1052,0" path="m5393,14071l6444,14071e" filled="false" stroked="true" strokeweight=".48pt" strokecolor="#000000">
                <v:path arrowok="t"/>
              </v:shape>
            </v:group>
            <v:group style="position:absolute;left:6454;top:14071;width:1054;height:2" coordorigin="6454,14071" coordsize="1054,2">
              <v:shape style="position:absolute;left:6454;top:14071;width:1054;height:2" coordorigin="6454,14071" coordsize="1054,0" path="m6454,14071l7507,14071e" filled="false" stroked="true" strokeweight=".48pt" strokecolor="#000000">
                <v:path arrowok="t"/>
              </v:shape>
            </v:group>
            <v:group style="position:absolute;left:7517;top:14071;width:1054;height:2" coordorigin="7517,14071" coordsize="1054,2">
              <v:shape style="position:absolute;left:7517;top:14071;width:1054;height:2" coordorigin="7517,14071" coordsize="1054,0" path="m7517,14071l8570,14071e" filled="false" stroked="true" strokeweight=".48pt" strokecolor="#000000">
                <v:path arrowok="t"/>
              </v:shape>
            </v:group>
            <v:group style="position:absolute;left:8580;top:14071;width:1054;height:2" coordorigin="8580,14071" coordsize="1054,2">
              <v:shape style="position:absolute;left:8580;top:14071;width:1054;height:2" coordorigin="8580,14071" coordsize="1054,0" path="m8580,14071l9634,14071e" filled="false" stroked="true" strokeweight=".48pt" strokecolor="#000000">
                <v:path arrowok="t"/>
              </v:shape>
            </v:group>
            <v:group style="position:absolute;left:9643;top:14071;width:1054;height:2" coordorigin="9643,14071" coordsize="1054,2">
              <v:shape style="position:absolute;left:9643;top:14071;width:1054;height:2" coordorigin="9643,14071" coordsize="1054,0" path="m9643,14071l10697,14071e" filled="false" stroked="true" strokeweight=".48pt" strokecolor="#000000">
                <v:path arrowok="t"/>
              </v:shape>
            </v:group>
            <v:group style="position:absolute;left:1133;top:1440;width:2;height:13935" coordorigin="1133,1440" coordsize="2,13935">
              <v:shape style="position:absolute;left:1133;top:1440;width:2;height:13935" coordorigin="1133,1440" coordsize="0,13935" path="m1133,1440l1133,15374e" filled="false" stroked="true" strokeweight=".48pt" strokecolor="#000000">
                <v:path arrowok="t"/>
              </v:shape>
            </v:group>
            <v:group style="position:absolute;left:1138;top:15370;width:1056;height:2" coordorigin="1138,15370" coordsize="1056,2">
              <v:shape style="position:absolute;left:1138;top:15370;width:1056;height:2" coordorigin="1138,15370" coordsize="1056,0" path="m1138,15370l2194,15370e" filled="false" stroked="true" strokeweight=".481pt" strokecolor="#000000">
                <v:path arrowok="t"/>
              </v:shape>
            </v:group>
            <v:group style="position:absolute;left:2198;top:1440;width:2;height:13935" coordorigin="2198,1440" coordsize="2,13935">
              <v:shape style="position:absolute;left:2198;top:1440;width:2;height:13935" coordorigin="2198,1440" coordsize="0,13935" path="m2198,1440l2198,15374e" filled="false" stroked="true" strokeweight=".48pt" strokecolor="#000000">
                <v:path arrowok="t"/>
              </v:shape>
            </v:group>
            <v:group style="position:absolute;left:2203;top:15370;width:1054;height:2" coordorigin="2203,15370" coordsize="1054,2">
              <v:shape style="position:absolute;left:2203;top:15370;width:1054;height:2" coordorigin="2203,15370" coordsize="1054,0" path="m2203,15370l3257,15370e" filled="false" stroked="true" strokeweight=".481pt" strokecolor="#000000">
                <v:path arrowok="t"/>
              </v:shape>
            </v:group>
            <v:group style="position:absolute;left:3262;top:1440;width:2;height:13935" coordorigin="3262,1440" coordsize="2,13935">
              <v:shape style="position:absolute;left:3262;top:1440;width:2;height:13935" coordorigin="3262,1440" coordsize="0,13935" path="m3262,1440l3262,15374e" filled="false" stroked="true" strokeweight=".481pt" strokecolor="#000000">
                <v:path arrowok="t"/>
              </v:shape>
            </v:group>
            <v:group style="position:absolute;left:3266;top:15370;width:1054;height:2" coordorigin="3266,15370" coordsize="1054,2">
              <v:shape style="position:absolute;left:3266;top:15370;width:1054;height:2" coordorigin="3266,15370" coordsize="1054,0" path="m3266,15370l4320,15370e" filled="false" stroked="true" strokeweight=".481pt" strokecolor="#000000">
                <v:path arrowok="t"/>
              </v:shape>
            </v:group>
            <v:group style="position:absolute;left:4325;top:1440;width:2;height:13935" coordorigin="4325,1440" coordsize="2,13935">
              <v:shape style="position:absolute;left:4325;top:1440;width:2;height:13935" coordorigin="4325,1440" coordsize="0,13935" path="m4325,1440l4325,15374e" filled="false" stroked="true" strokeweight=".48pt" strokecolor="#000000">
                <v:path arrowok="t"/>
              </v:shape>
            </v:group>
            <v:group style="position:absolute;left:4330;top:15370;width:1054;height:2" coordorigin="4330,15370" coordsize="1054,2">
              <v:shape style="position:absolute;left:4330;top:15370;width:1054;height:2" coordorigin="4330,15370" coordsize="1054,0" path="m4330,15370l5383,15370e" filled="false" stroked="true" strokeweight=".481pt" strokecolor="#000000">
                <v:path arrowok="t"/>
              </v:shape>
            </v:group>
            <v:group style="position:absolute;left:5388;top:1440;width:2;height:13935" coordorigin="5388,1440" coordsize="2,13935">
              <v:shape style="position:absolute;left:5388;top:1440;width:2;height:13935" coordorigin="5388,1440" coordsize="0,13935" path="m5388,1440l5388,15374e" filled="false" stroked="true" strokeweight=".48pt" strokecolor="#000000">
                <v:path arrowok="t"/>
              </v:shape>
            </v:group>
            <v:group style="position:absolute;left:5393;top:15370;width:1052;height:2" coordorigin="5393,15370" coordsize="1052,2">
              <v:shape style="position:absolute;left:5393;top:15370;width:1052;height:2" coordorigin="5393,15370" coordsize="1052,0" path="m5393,15370l6444,15370e" filled="false" stroked="true" strokeweight=".481pt" strokecolor="#000000">
                <v:path arrowok="t"/>
              </v:shape>
            </v:group>
            <v:group style="position:absolute;left:6449;top:1440;width:2;height:13935" coordorigin="6449,1440" coordsize="2,13935">
              <v:shape style="position:absolute;left:6449;top:1440;width:2;height:13935" coordorigin="6449,1440" coordsize="0,13935" path="m6449,1440l6449,15374e" filled="false" stroked="true" strokeweight=".48pt" strokecolor="#000000">
                <v:path arrowok="t"/>
              </v:shape>
            </v:group>
            <v:group style="position:absolute;left:6454;top:15370;width:1054;height:2" coordorigin="6454,15370" coordsize="1054,2">
              <v:shape style="position:absolute;left:6454;top:15370;width:1054;height:2" coordorigin="6454,15370" coordsize="1054,0" path="m6454,15370l7507,15370e" filled="false" stroked="true" strokeweight=".481pt" strokecolor="#000000">
                <v:path arrowok="t"/>
              </v:shape>
            </v:group>
            <v:group style="position:absolute;left:7512;top:1440;width:2;height:13935" coordorigin="7512,1440" coordsize="2,13935">
              <v:shape style="position:absolute;left:7512;top:1440;width:2;height:13935" coordorigin="7512,1440" coordsize="0,13935" path="m7512,1440l7512,15374e" filled="false" stroked="true" strokeweight=".48pt" strokecolor="#000000">
                <v:path arrowok="t"/>
              </v:shape>
            </v:group>
            <v:group style="position:absolute;left:7517;top:15370;width:1054;height:2" coordorigin="7517,15370" coordsize="1054,2">
              <v:shape style="position:absolute;left:7517;top:15370;width:1054;height:2" coordorigin="7517,15370" coordsize="1054,0" path="m7517,15370l8570,15370e" filled="false" stroked="true" strokeweight=".481pt" strokecolor="#000000">
                <v:path arrowok="t"/>
              </v:shape>
            </v:group>
            <v:group style="position:absolute;left:8575;top:1440;width:2;height:13935" coordorigin="8575,1440" coordsize="2,13935">
              <v:shape style="position:absolute;left:8575;top:1440;width:2;height:13935" coordorigin="8575,1440" coordsize="0,13935" path="m8575,1440l8575,15374e" filled="false" stroked="true" strokeweight=".481pt" strokecolor="#000000">
                <v:path arrowok="t"/>
              </v:shape>
            </v:group>
            <v:group style="position:absolute;left:8580;top:15370;width:1054;height:2" coordorigin="8580,15370" coordsize="1054,2">
              <v:shape style="position:absolute;left:8580;top:15370;width:1054;height:2" coordorigin="8580,15370" coordsize="1054,0" path="m8580,15370l9634,15370e" filled="false" stroked="true" strokeweight=".481pt" strokecolor="#000000">
                <v:path arrowok="t"/>
              </v:shape>
            </v:group>
            <v:group style="position:absolute;left:9638;top:1440;width:2;height:13935" coordorigin="9638,1440" coordsize="2,13935">
              <v:shape style="position:absolute;left:9638;top:1440;width:2;height:13935" coordorigin="9638,1440" coordsize="0,13935" path="m9638,1440l9638,15374e" filled="false" stroked="true" strokeweight=".48pt" strokecolor="#000000">
                <v:path arrowok="t"/>
              </v:shape>
            </v:group>
            <v:group style="position:absolute;left:9643;top:15370;width:1054;height:2" coordorigin="9643,15370" coordsize="1054,2">
              <v:shape style="position:absolute;left:9643;top:15370;width:1054;height:2" coordorigin="9643,15370" coordsize="1054,0" path="m9643,15370l10697,15370e" filled="false" stroked="true" strokeweight=".481pt" strokecolor="#000000">
                <v:path arrowok="t"/>
              </v:shape>
            </v:group>
            <v:group style="position:absolute;left:10702;top:1440;width:2;height:13935" coordorigin="10702,1440" coordsize="2,13935">
              <v:shape style="position:absolute;left:10702;top:1440;width:2;height:13935" coordorigin="10702,1440" coordsize="0,13935" path="m10702,1440l10702,15374e" filled="false" stroked="true" strokeweight=".48pt" strokecolor="#000000">
                <v:path arrowok="t"/>
              </v:shape>
            </v:group>
            <w10:wrap type="none"/>
          </v:group>
        </w:pict>
      </w:r>
    </w:p>
    <w:p>
      <w:pPr>
        <w:pStyle w:val="BodyText"/>
        <w:spacing w:line="316" w:lineRule="auto"/>
        <w:ind w:left="181" w:right="0"/>
        <w:jc w:val="both"/>
      </w:pPr>
      <w:r>
        <w:rPr/>
        <w:t>财政局失业 保险稳岗补 贴</w:t>
      </w:r>
    </w:p>
    <w:p>
      <w:pPr>
        <w:spacing w:line="240" w:lineRule="auto" w:before="11"/>
        <w:rPr>
          <w:rFonts w:ascii="宋体" w:hAnsi="宋体" w:cs="宋体" w:eastAsia="宋体" w:hint="default"/>
          <w:sz w:val="13"/>
          <w:szCs w:val="13"/>
        </w:rPr>
      </w:pPr>
      <w:r>
        <w:rPr/>
        <w:br w:type="column"/>
      </w:r>
      <w:r>
        <w:rPr>
          <w:rFonts w:ascii="宋体"/>
          <w:sz w:val="13"/>
        </w:rPr>
      </w:r>
    </w:p>
    <w:p>
      <w:pPr>
        <w:pStyle w:val="BodyText"/>
        <w:spacing w:line="316" w:lineRule="auto"/>
        <w:ind w:left="125" w:right="-20"/>
        <w:jc w:val="left"/>
      </w:pPr>
      <w:r>
        <w:rPr/>
        <w:t>重庆沙坪坝 </w:t>
      </w:r>
      <w:r>
        <w:rPr>
          <w:spacing w:val="-12"/>
        </w:rPr>
        <w:t>区财政局、四</w:t>
      </w:r>
      <w:r>
        <w:rPr>
          <w:spacing w:val="-35"/>
        </w:rPr>
        <w:t> </w:t>
      </w:r>
      <w:r>
        <w:rPr/>
        <w:t>补助</w:t>
      </w:r>
      <w:r>
        <w:rPr/>
        <w:t> 川财政局</w:t>
      </w:r>
    </w:p>
    <w:p>
      <w:pPr>
        <w:pStyle w:val="BodyText"/>
        <w:spacing w:line="316" w:lineRule="auto" w:before="44"/>
        <w:ind w:left="181" w:right="0"/>
        <w:jc w:val="both"/>
      </w:pPr>
      <w:r>
        <w:rPr/>
        <w:br w:type="column"/>
      </w:r>
      <w:r>
        <w:rPr/>
        <w:t>因符合地方 政府招商引 资等地方性 扶持政策而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9"/>
          <w:szCs w:val="19"/>
        </w:rPr>
      </w:pPr>
    </w:p>
    <w:p>
      <w:pPr>
        <w:pStyle w:val="BodyText"/>
        <w:tabs>
          <w:tab w:pos="1186" w:val="left" w:leader="none"/>
          <w:tab w:pos="2535" w:val="left" w:leader="none"/>
          <w:tab w:pos="4373" w:val="left" w:leader="none"/>
        </w:tabs>
        <w:spacing w:line="240" w:lineRule="auto"/>
        <w:ind w:left="123" w:right="0"/>
        <w:jc w:val="left"/>
      </w:pPr>
      <w:r>
        <w:rPr/>
        <w:t>否</w:t>
        <w:tab/>
        <w:t>否</w:t>
        <w:tab/>
      </w:r>
      <w:r>
        <w:rPr>
          <w:rFonts w:ascii="Times New Roman" w:hAnsi="Times New Roman" w:cs="Times New Roman" w:eastAsia="Times New Roman" w:hint="default"/>
          <w:spacing w:val="-1"/>
        </w:rPr>
        <w:t>97,231.73</w:t>
        <w:tab/>
      </w:r>
      <w:r>
        <w:rPr/>
        <w:t>与收益相关</w:t>
      </w:r>
    </w:p>
    <w:p>
      <w:pPr>
        <w:spacing w:after="0" w:line="240" w:lineRule="auto"/>
        <w:jc w:val="left"/>
        <w:sectPr>
          <w:type w:val="continuous"/>
          <w:pgSz w:w="11910" w:h="16840"/>
          <w:pgMar w:top="1060" w:bottom="1180" w:left="980" w:right="980"/>
          <w:cols w:num="4" w:equalWidth="0">
            <w:col w:w="1082" w:space="40"/>
            <w:col w:w="1549" w:space="521"/>
            <w:col w:w="1082" w:space="40"/>
            <w:col w:w="563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5" w:footer="982" w:top="1060" w:bottom="1180" w:left="980" w:right="980"/>
        </w:sectPr>
      </w:pPr>
    </w:p>
    <w:p>
      <w:pPr>
        <w:pStyle w:val="BodyText"/>
        <w:spacing w:line="316" w:lineRule="auto" w:before="44"/>
        <w:ind w:left="181" w:right="0"/>
        <w:jc w:val="both"/>
      </w:pPr>
      <w:r>
        <w:rPr/>
        <w:t>吴江开发区 税收贡献先 进奖励</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7779"/>
        <w:jc w:val="left"/>
      </w:pPr>
      <w:r>
        <w:rPr/>
        <w:pict>
          <v:shape style="position:absolute;margin-left:163.080505pt;margin-top:-44.208759pt;width:367.05pt;height:182.4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063"/>
                    <w:gridCol w:w="1061"/>
                    <w:gridCol w:w="1063"/>
                    <w:gridCol w:w="1063"/>
                    <w:gridCol w:w="1063"/>
                    <w:gridCol w:w="964"/>
                  </w:tblGrid>
                  <w:tr>
                    <w:trPr>
                      <w:trHeight w:val="362" w:hRule="exact"/>
                    </w:trPr>
                    <w:tc>
                      <w:tcPr>
                        <w:tcW w:w="1063" w:type="dxa"/>
                        <w:vMerge w:val="restart"/>
                        <w:tcBorders>
                          <w:top w:val="nil" w:sz="6" w:space="0" w:color="auto"/>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5214" w:type="dxa"/>
                        <w:gridSpan w:val="5"/>
                        <w:vMerge w:val="restart"/>
                        <w:tcBorders>
                          <w:top w:val="nil" w:sz="6" w:space="0" w:color="auto"/>
                          <w:left w:val="nil" w:sz="6" w:space="0" w:color="auto"/>
                          <w:right w:val="nil" w:sz="6" w:space="0" w:color="auto"/>
                        </w:tcBorders>
                      </w:tcPr>
                      <w:p>
                        <w:pPr/>
                      </w:p>
                    </w:tc>
                  </w:tr>
                  <w:tr>
                    <w:trPr>
                      <w:trHeight w:val="355" w:hRule="exact"/>
                    </w:trPr>
                    <w:tc>
                      <w:tcPr>
                        <w:tcW w:w="1063" w:type="dxa"/>
                        <w:vMerge/>
                        <w:tcBorders>
                          <w:left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5214" w:type="dxa"/>
                        <w:gridSpan w:val="5"/>
                        <w:vMerge/>
                        <w:tcBorders>
                          <w:left w:val="nil" w:sz="6" w:space="0" w:color="auto"/>
                          <w:right w:val="nil" w:sz="6" w:space="0" w:color="auto"/>
                        </w:tcBorders>
                      </w:tcPr>
                      <w:p>
                        <w:pPr/>
                      </w:p>
                    </w:tc>
                  </w:tr>
                  <w:tr>
                    <w:trPr>
                      <w:trHeight w:val="312" w:hRule="exact"/>
                    </w:trPr>
                    <w:tc>
                      <w:tcPr>
                        <w:tcW w:w="1063" w:type="dxa"/>
                        <w:vMerge/>
                        <w:tcBorders>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5214" w:type="dxa"/>
                        <w:gridSpan w:val="5"/>
                        <w:vMerge/>
                        <w:tcBorders>
                          <w:left w:val="nil" w:sz="6" w:space="0" w:color="auto"/>
                          <w:bottom w:val="nil" w:sz="6" w:space="0" w:color="auto"/>
                          <w:right w:val="nil" w:sz="6" w:space="0" w:color="auto"/>
                        </w:tcBorders>
                      </w:tcPr>
                      <w:p>
                        <w:pPr/>
                      </w:p>
                    </w:tc>
                  </w:tr>
                  <w:tr>
                    <w:trPr>
                      <w:trHeight w:val="624"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132"/>
                          <w:jc w:val="left"/>
                          <w:rPr>
                            <w:rFonts w:ascii="宋体" w:hAnsi="宋体" w:cs="宋体" w:eastAsia="宋体" w:hint="default"/>
                            <w:sz w:val="18"/>
                            <w:szCs w:val="18"/>
                          </w:rPr>
                        </w:pPr>
                        <w:r>
                          <w:rPr>
                            <w:rFonts w:ascii="宋体" w:hAnsi="宋体" w:cs="宋体" w:eastAsia="宋体" w:hint="default"/>
                            <w:sz w:val="18"/>
                            <w:szCs w:val="18"/>
                          </w:rPr>
                          <w:t>资等地方性 扶持政策而</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r>
                    <w:trPr>
                      <w:trHeight w:val="355" w:hRule="exact"/>
                    </w:trPr>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r>
                    <w:trPr>
                      <w:trHeight w:val="312" w:hRule="exact"/>
                    </w:trPr>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r>
                    <w:trPr>
                      <w:trHeight w:val="624"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132"/>
                          <w:jc w:val="left"/>
                          <w:rPr>
                            <w:rFonts w:ascii="宋体" w:hAnsi="宋体" w:cs="宋体" w:eastAsia="宋体" w:hint="default"/>
                            <w:sz w:val="18"/>
                            <w:szCs w:val="18"/>
                          </w:rPr>
                        </w:pPr>
                        <w:r>
                          <w:rPr>
                            <w:rFonts w:ascii="宋体" w:hAnsi="宋体" w:cs="宋体" w:eastAsia="宋体" w:hint="default"/>
                            <w:sz w:val="18"/>
                            <w:szCs w:val="18"/>
                          </w:rPr>
                          <w:t>资等地方性 扶持政策而</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6" w:hRule="exact"/>
                    </w:trPr>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吴江经济技 术开发区</w:t>
      </w:r>
    </w:p>
    <w:p>
      <w:pPr>
        <w:spacing w:after="0" w:line="316" w:lineRule="auto"/>
        <w:jc w:val="left"/>
        <w:sectPr>
          <w:type w:val="continuous"/>
          <w:pgSz w:w="11910" w:h="16840"/>
          <w:pgMar w:top="1060" w:bottom="1180" w:left="980" w:right="980"/>
          <w:cols w:num="2" w:equalWidth="0">
            <w:col w:w="1082" w:space="40"/>
            <w:col w:w="882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80" w:left="980" w:right="980"/>
        </w:sectPr>
      </w:pPr>
    </w:p>
    <w:p>
      <w:pPr>
        <w:spacing w:line="240" w:lineRule="auto" w:before="12"/>
        <w:rPr>
          <w:rFonts w:ascii="宋体" w:hAnsi="宋体" w:cs="宋体" w:eastAsia="宋体" w:hint="default"/>
          <w:sz w:val="15"/>
          <w:szCs w:val="15"/>
        </w:rPr>
      </w:pPr>
    </w:p>
    <w:p>
      <w:pPr>
        <w:pStyle w:val="BodyText"/>
        <w:spacing w:line="316" w:lineRule="auto"/>
        <w:ind w:left="181" w:right="0"/>
        <w:jc w:val="both"/>
      </w:pPr>
      <w:r>
        <w:rPr/>
        <w:t>吴江开发区 高新技术企 业奖励</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8"/>
        <w:ind w:left="125" w:right="7779"/>
        <w:jc w:val="left"/>
      </w:pPr>
      <w:r>
        <w:rPr/>
        <w:t>吴江开发区 财政局</w:t>
      </w:r>
    </w:p>
    <w:p>
      <w:pPr>
        <w:spacing w:after="0" w:line="316" w:lineRule="auto"/>
        <w:jc w:val="left"/>
        <w:sectPr>
          <w:type w:val="continuous"/>
          <w:pgSz w:w="11910" w:h="16840"/>
          <w:pgMar w:top="1060" w:bottom="1180" w:left="980" w:right="980"/>
          <w:cols w:num="2" w:equalWidth="0">
            <w:col w:w="1082" w:space="40"/>
            <w:col w:w="8828"/>
          </w:cols>
        </w:sectPr>
      </w:pP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深圳市市场 监督管理局 专利资助费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深圳市市场</w:t>
      </w:r>
    </w:p>
    <w:p>
      <w:pPr>
        <w:pStyle w:val="BodyText"/>
        <w:spacing w:line="156" w:lineRule="exact"/>
        <w:ind w:left="0" w:right="0"/>
        <w:jc w:val="right"/>
      </w:pPr>
      <w:r>
        <w:rPr/>
        <w:t>补助</w:t>
      </w:r>
    </w:p>
    <w:p>
      <w:pPr>
        <w:pStyle w:val="BodyText"/>
        <w:spacing w:line="196" w:lineRule="exact"/>
        <w:ind w:left="125" w:right="-20"/>
        <w:jc w:val="left"/>
      </w:pPr>
      <w:r>
        <w:rPr/>
        <w:t>监督管理局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745"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rPr>
        <w:t>4,000.00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81" w:right="-20"/>
        <w:jc w:val="left"/>
      </w:pPr>
      <w:r>
        <w:rPr/>
        <w:t>税局退税款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125" w:right="-20"/>
        <w:jc w:val="left"/>
      </w:pPr>
      <w:r>
        <w:rPr/>
        <w:t>深圳市财政 </w:t>
      </w:r>
      <w:r>
        <w:rPr>
          <w:spacing w:val="-12"/>
        </w:rPr>
        <w:t>局、东莞市财</w:t>
      </w:r>
      <w:r>
        <w:rPr>
          <w:spacing w:val="-35"/>
        </w:rPr>
        <w:t> </w:t>
      </w:r>
      <w:r>
        <w:rPr/>
        <w:t>补助</w:t>
      </w:r>
      <w:r>
        <w:rPr/>
        <w:t> 政局</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443" w:val="left" w:leader="none"/>
          <w:tab w:pos="4373" w:val="left" w:leader="none"/>
        </w:tabs>
        <w:spacing w:line="240" w:lineRule="auto"/>
        <w:ind w:left="123" w:right="0"/>
        <w:jc w:val="left"/>
      </w:pPr>
      <w:r>
        <w:rPr/>
        <w:t>否</w:t>
        <w:tab/>
        <w:t>否</w:t>
        <w:tab/>
      </w:r>
      <w:r>
        <w:rPr>
          <w:rFonts w:ascii="Times New Roman" w:hAnsi="Times New Roman" w:cs="Times New Roman" w:eastAsia="Times New Roman" w:hint="default"/>
          <w:spacing w:val="-1"/>
        </w:rPr>
        <w:t>341,529.28</w:t>
        <w:tab/>
      </w:r>
      <w:r>
        <w:rPr/>
        <w:t>与收益相关</w:t>
      </w:r>
    </w:p>
    <w:p>
      <w:pPr>
        <w:spacing w:after="0" w:line="240" w:lineRule="auto"/>
        <w:jc w:val="left"/>
        <w:sectPr>
          <w:type w:val="continuous"/>
          <w:pgSz w:w="11910" w:h="16840"/>
          <w:pgMar w:top="1060" w:bottom="1180" w:left="980" w:right="980"/>
          <w:cols w:num="4" w:equalWidth="0">
            <w:col w:w="1082" w:space="40"/>
            <w:col w:w="1549" w:space="521"/>
            <w:col w:w="1082" w:space="40"/>
            <w:col w:w="5636"/>
          </w:cols>
        </w:sectPr>
      </w:pPr>
    </w:p>
    <w:p>
      <w:pPr>
        <w:spacing w:line="240" w:lineRule="auto" w:before="4"/>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年第二 批专利资助 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77" w:right="0"/>
        <w:jc w:val="left"/>
      </w:pPr>
      <w:r>
        <w:rPr/>
        <w:t>深圳市场监</w:t>
      </w:r>
    </w:p>
    <w:p>
      <w:pPr>
        <w:pStyle w:val="BodyText"/>
        <w:spacing w:line="156" w:lineRule="exact"/>
        <w:ind w:left="0" w:right="0"/>
        <w:jc w:val="right"/>
      </w:pPr>
      <w:r>
        <w:rPr/>
        <w:t>补助</w:t>
      </w:r>
    </w:p>
    <w:p>
      <w:pPr>
        <w:pStyle w:val="BodyText"/>
        <w:spacing w:line="196" w:lineRule="exact"/>
        <w:ind w:left="77" w:right="0"/>
        <w:jc w:val="left"/>
      </w:pPr>
      <w:r>
        <w:rPr/>
        <w:t>督管理局</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3656"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spacing w:val="-1"/>
        </w:rPr>
        <w:t>36,000.00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2" w:lineRule="auto" w:before="44"/>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年第二 批经济发展 专项资金资 助款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光明新区发</w:t>
      </w:r>
    </w:p>
    <w:p>
      <w:pPr>
        <w:pStyle w:val="BodyText"/>
        <w:spacing w:line="156" w:lineRule="exact"/>
        <w:ind w:left="0" w:right="0"/>
        <w:jc w:val="right"/>
      </w:pPr>
      <w:r>
        <w:rPr/>
        <w:t>补助</w:t>
      </w:r>
    </w:p>
    <w:p>
      <w:pPr>
        <w:pStyle w:val="BodyText"/>
        <w:spacing w:line="196" w:lineRule="exact"/>
        <w:ind w:left="77" w:right="0"/>
        <w:jc w:val="left"/>
      </w:pPr>
      <w:r>
        <w:rPr/>
        <w:t>展和财政局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spacing w:val="-1"/>
        </w:rPr>
        <w:t>350,000.00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8"/>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年度新 区质量奖奖 励资金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pStyle w:val="BodyText"/>
        <w:spacing w:line="196" w:lineRule="exact"/>
        <w:ind w:left="77" w:right="0"/>
        <w:jc w:val="left"/>
      </w:pPr>
      <w:r>
        <w:rPr/>
        <w:t>光明新区发</w:t>
      </w:r>
    </w:p>
    <w:p>
      <w:pPr>
        <w:pStyle w:val="BodyText"/>
        <w:spacing w:line="156" w:lineRule="exact"/>
        <w:ind w:left="0" w:right="0"/>
        <w:jc w:val="right"/>
      </w:pPr>
      <w:r>
        <w:rPr/>
        <w:t>奖励</w:t>
      </w:r>
    </w:p>
    <w:p>
      <w:pPr>
        <w:pStyle w:val="BodyText"/>
        <w:spacing w:line="196" w:lineRule="exact"/>
        <w:ind w:left="77" w:right="0"/>
        <w:jc w:val="left"/>
      </w:pPr>
      <w:r>
        <w:rPr/>
        <w:t>展和财政局</w:t>
      </w:r>
    </w:p>
    <w:p>
      <w:pPr>
        <w:pStyle w:val="BodyText"/>
        <w:spacing w:line="310" w:lineRule="atLeast" w:before="39"/>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spacing w:val="-1"/>
        </w:rPr>
        <w:t>500,000.00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短期出口信 用保险保费 资助（市）</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20"/>
        <w:jc w:val="left"/>
      </w:pPr>
      <w:r>
        <w:rPr/>
        <w:t>深圳市经济 贸易和信息</w:t>
      </w:r>
      <w:r>
        <w:rPr>
          <w:spacing w:val="73"/>
        </w:rPr>
        <w:t> </w:t>
      </w:r>
      <w:r>
        <w:rPr/>
        <w:t>补助</w:t>
      </w:r>
      <w:r>
        <w:rPr/>
        <w:t> 化委员会</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656"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spacing w:val="-1"/>
        </w:rPr>
        <w:t>43,920.00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年度新 区知识产权 资助资金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0"/>
        <w:jc w:val="left"/>
      </w:pPr>
      <w:r>
        <w:rPr/>
        <w:t>光明新区发</w:t>
      </w:r>
    </w:p>
    <w:p>
      <w:pPr>
        <w:pStyle w:val="BodyText"/>
        <w:spacing w:line="156" w:lineRule="exact"/>
        <w:ind w:left="0" w:right="0"/>
        <w:jc w:val="right"/>
      </w:pPr>
      <w:r>
        <w:rPr/>
        <w:t>补助</w:t>
      </w:r>
    </w:p>
    <w:p>
      <w:pPr>
        <w:pStyle w:val="BodyText"/>
        <w:spacing w:line="196" w:lineRule="exact"/>
        <w:ind w:left="77" w:right="0"/>
        <w:jc w:val="left"/>
      </w:pPr>
      <w:r>
        <w:rPr/>
        <w:t>展和财政局</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745"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rPr>
        <w:t>4,000.00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130" w:space="40"/>
            <w:col w:w="1501" w:space="521"/>
            <w:col w:w="6758"/>
          </w:cols>
        </w:sectPr>
      </w:pPr>
    </w:p>
    <w:p>
      <w:pPr>
        <w:spacing w:line="240" w:lineRule="auto" w:before="3"/>
        <w:rPr>
          <w:rFonts w:ascii="宋体" w:hAnsi="宋体" w:cs="宋体" w:eastAsia="宋体" w:hint="default"/>
          <w:sz w:val="9"/>
          <w:szCs w:val="9"/>
        </w:rPr>
      </w:pPr>
      <w:r>
        <w:rPr/>
        <w:pict>
          <v:group style="position:absolute;margin-left:56.400002pt;margin-top:71.758484pt;width:478.95pt;height:688.1pt;mso-position-horizontal-relative:page;mso-position-vertical-relative:page;z-index:-944176" coordorigin="1128,1435" coordsize="9579,13762">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1138;top:1807;width:1056;height:2" coordorigin="1138,1807" coordsize="1056,2">
              <v:shape style="position:absolute;left:1138;top:1807;width:1056;height:2" coordorigin="1138,1807" coordsize="1056,0" path="m1138,1807l2194,1807e" filled="false" stroked="true" strokeweight=".48pt" strokecolor="#000000">
                <v:path arrowok="t"/>
              </v:shape>
            </v:group>
            <v:group style="position:absolute;left:2203;top:1807;width:1054;height:2" coordorigin="2203,1807" coordsize="1054,2">
              <v:shape style="position:absolute;left:2203;top:1807;width:1054;height:2" coordorigin="2203,1807" coordsize="1054,0" path="m2203,1807l3257,1807e" filled="false" stroked="true" strokeweight=".48pt" strokecolor="#000000">
                <v:path arrowok="t"/>
              </v:shape>
            </v:group>
            <v:group style="position:absolute;left:3266;top:1807;width:1054;height:2" coordorigin="3266,1807" coordsize="1054,2">
              <v:shape style="position:absolute;left:3266;top:1807;width:1054;height:2" coordorigin="3266,1807" coordsize="1054,0" path="m3266,1807l4320,1807e" filled="false" stroked="true" strokeweight=".48pt" strokecolor="#000000">
                <v:path arrowok="t"/>
              </v:shape>
            </v:group>
            <v:group style="position:absolute;left:4330;top:1807;width:1054;height:2" coordorigin="4330,1807" coordsize="1054,2">
              <v:shape style="position:absolute;left:4330;top:1807;width:1054;height:2" coordorigin="4330,1807" coordsize="1054,0" path="m4330,1807l5383,1807e" filled="false" stroked="true" strokeweight=".48pt" strokecolor="#000000">
                <v:path arrowok="t"/>
              </v:shape>
            </v:group>
            <v:group style="position:absolute;left:5393;top:1807;width:1052;height:2" coordorigin="5393,1807" coordsize="1052,2">
              <v:shape style="position:absolute;left:5393;top:1807;width:1052;height:2" coordorigin="5393,1807" coordsize="1052,0" path="m5393,1807l6444,1807e" filled="false" stroked="true" strokeweight=".48pt" strokecolor="#000000">
                <v:path arrowok="t"/>
              </v:shape>
            </v:group>
            <v:group style="position:absolute;left:6454;top:1807;width:1054;height:2" coordorigin="6454,1807" coordsize="1054,2">
              <v:shape style="position:absolute;left:6454;top:1807;width:1054;height:2" coordorigin="6454,1807" coordsize="1054,0" path="m6454,1807l7507,1807e" filled="false" stroked="true" strokeweight=".48pt" strokecolor="#000000">
                <v:path arrowok="t"/>
              </v:shape>
            </v:group>
            <v:group style="position:absolute;left:7517;top:1807;width:1054;height:2" coordorigin="7517,1807" coordsize="1054,2">
              <v:shape style="position:absolute;left:7517;top:1807;width:1054;height:2" coordorigin="7517,1807" coordsize="1054,0" path="m7517,1807l8570,1807e" filled="false" stroked="true" strokeweight=".48pt" strokecolor="#000000">
                <v:path arrowok="t"/>
              </v:shape>
            </v:group>
            <v:group style="position:absolute;left:8580;top:1807;width:1054;height:2" coordorigin="8580,1807" coordsize="1054,2">
              <v:shape style="position:absolute;left:8580;top:1807;width:1054;height:2" coordorigin="8580,1807" coordsize="1054,0" path="m8580,1807l9634,1807e" filled="false" stroked="true" strokeweight=".48pt" strokecolor="#000000">
                <v:path arrowok="t"/>
              </v:shape>
            </v:group>
            <v:group style="position:absolute;left:9643;top:1807;width:1054;height:2" coordorigin="9643,1807" coordsize="1054,2">
              <v:shape style="position:absolute;left:9643;top:1807;width:1054;height:2" coordorigin="9643,1807" coordsize="1054,0" path="m9643,1807l10697,1807e" filled="false" stroked="true" strokeweight=".48pt" strokecolor="#000000">
                <v:path arrowok="t"/>
              </v:shape>
            </v:group>
            <v:group style="position:absolute;left:1138;top:3456;width:1056;height:2" coordorigin="1138,3456" coordsize="1056,2">
              <v:shape style="position:absolute;left:1138;top:3456;width:1056;height:2" coordorigin="1138,3456" coordsize="1056,0" path="m1138,3456l2194,3456e" filled="false" stroked="true" strokeweight=".48pt" strokecolor="#000000">
                <v:path arrowok="t"/>
              </v:shape>
            </v:group>
            <v:group style="position:absolute;left:2203;top:3456;width:1054;height:2" coordorigin="2203,3456" coordsize="1054,2">
              <v:shape style="position:absolute;left:2203;top:3456;width:1054;height:2" coordorigin="2203,3456" coordsize="1054,0" path="m2203,3456l3257,3456e" filled="false" stroked="true" strokeweight=".48pt" strokecolor="#000000">
                <v:path arrowok="t"/>
              </v:shape>
            </v:group>
            <v:group style="position:absolute;left:3266;top:3456;width:1054;height:2" coordorigin="3266,3456" coordsize="1054,2">
              <v:shape style="position:absolute;left:3266;top:3456;width:1054;height:2" coordorigin="3266,3456" coordsize="1054,0" path="m3266,3456l4320,3456e" filled="false" stroked="true" strokeweight=".48pt" strokecolor="#000000">
                <v:path arrowok="t"/>
              </v:shape>
            </v:group>
            <v:group style="position:absolute;left:4330;top:3456;width:1054;height:2" coordorigin="4330,3456" coordsize="1054,2">
              <v:shape style="position:absolute;left:4330;top:3456;width:1054;height:2" coordorigin="4330,3456" coordsize="1054,0" path="m4330,3456l5383,3456e" filled="false" stroked="true" strokeweight=".48pt" strokecolor="#000000">
                <v:path arrowok="t"/>
              </v:shape>
            </v:group>
            <v:group style="position:absolute;left:5393;top:3456;width:1052;height:2" coordorigin="5393,3456" coordsize="1052,2">
              <v:shape style="position:absolute;left:5393;top:3456;width:1052;height:2" coordorigin="5393,3456" coordsize="1052,0" path="m5393,3456l6444,3456e" filled="false" stroked="true" strokeweight=".48pt" strokecolor="#000000">
                <v:path arrowok="t"/>
              </v:shape>
            </v:group>
            <v:group style="position:absolute;left:6454;top:3456;width:1054;height:2" coordorigin="6454,3456" coordsize="1054,2">
              <v:shape style="position:absolute;left:6454;top:3456;width:1054;height:2" coordorigin="6454,3456" coordsize="1054,0" path="m6454,3456l7507,3456e" filled="false" stroked="true" strokeweight=".48pt" strokecolor="#000000">
                <v:path arrowok="t"/>
              </v:shape>
            </v:group>
            <v:group style="position:absolute;left:7517;top:3456;width:1054;height:2" coordorigin="7517,3456" coordsize="1054,2">
              <v:shape style="position:absolute;left:7517;top:3456;width:1054;height:2" coordorigin="7517,3456" coordsize="1054,0" path="m7517,3456l8570,3456e" filled="false" stroked="true" strokeweight=".48pt" strokecolor="#000000">
                <v:path arrowok="t"/>
              </v:shape>
            </v:group>
            <v:group style="position:absolute;left:8580;top:3456;width:1054;height:2" coordorigin="8580,3456" coordsize="1054,2">
              <v:shape style="position:absolute;left:8580;top:3456;width:1054;height:2" coordorigin="8580,3456" coordsize="1054,0" path="m8580,3456l9634,3456e" filled="false" stroked="true" strokeweight=".48pt" strokecolor="#000000">
                <v:path arrowok="t"/>
              </v:shape>
            </v:group>
            <v:group style="position:absolute;left:9643;top:3456;width:1054;height:2" coordorigin="9643,3456" coordsize="1054,2">
              <v:shape style="position:absolute;left:9643;top:3456;width:1054;height:2" coordorigin="9643,3456" coordsize="1054,0" path="m9643,3456l10697,3456e" filled="false" stroked="true" strokeweight=".48pt" strokecolor="#000000">
                <v:path arrowok="t"/>
              </v:shape>
            </v:group>
            <v:group style="position:absolute;left:5393;top:5112;width:1054;height:468" coordorigin="5393,5112" coordsize="1054,468">
              <v:shape style="position:absolute;left:5393;top:5112;width:1054;height:468" coordorigin="5393,5112" coordsize="1054,468" path="m5393,5580l6446,5580,6446,5112,5393,5112,5393,5580xe" filled="true" fillcolor="#ffffff" stroked="false">
                <v:path arrowok="t"/>
                <v:fill type="solid"/>
              </v:shape>
            </v:group>
            <v:group style="position:absolute;left:1138;top:5107;width:1056;height:2" coordorigin="1138,5107" coordsize="1056,2">
              <v:shape style="position:absolute;left:1138;top:5107;width:1056;height:2" coordorigin="1138,5107" coordsize="1056,0" path="m1138,5107l2194,5107e" filled="false" stroked="true" strokeweight=".48pt" strokecolor="#000000">
                <v:path arrowok="t"/>
              </v:shape>
            </v:group>
            <v:group style="position:absolute;left:2203;top:5107;width:1054;height:2" coordorigin="2203,5107" coordsize="1054,2">
              <v:shape style="position:absolute;left:2203;top:5107;width:1054;height:2" coordorigin="2203,5107" coordsize="1054,0" path="m2203,5107l3257,5107e" filled="false" stroked="true" strokeweight=".48pt" strokecolor="#000000">
                <v:path arrowok="t"/>
              </v:shape>
            </v:group>
            <v:group style="position:absolute;left:3266;top:5107;width:1054;height:2" coordorigin="3266,5107" coordsize="1054,2">
              <v:shape style="position:absolute;left:3266;top:5107;width:1054;height:2" coordorigin="3266,5107" coordsize="1054,0" path="m3266,5107l4320,5107e" filled="false" stroked="true" strokeweight=".48pt" strokecolor="#000000">
                <v:path arrowok="t"/>
              </v:shape>
            </v:group>
            <v:group style="position:absolute;left:4330;top:5107;width:1054;height:2" coordorigin="4330,5107" coordsize="1054,2">
              <v:shape style="position:absolute;left:4330;top:5107;width:1054;height:2" coordorigin="4330,5107" coordsize="1054,0" path="m4330,5107l5383,5107e" filled="false" stroked="true" strokeweight=".48pt" strokecolor="#000000">
                <v:path arrowok="t"/>
              </v:shape>
            </v:group>
            <v:group style="position:absolute;left:5393;top:5107;width:1052;height:2" coordorigin="5393,5107" coordsize="1052,2">
              <v:shape style="position:absolute;left:5393;top:5107;width:1052;height:2" coordorigin="5393,5107" coordsize="1052,0" path="m5393,5107l6444,5107e" filled="false" stroked="true" strokeweight=".48pt" strokecolor="#000000">
                <v:path arrowok="t"/>
              </v:shape>
            </v:group>
            <v:group style="position:absolute;left:6454;top:5107;width:1054;height:2" coordorigin="6454,5107" coordsize="1054,2">
              <v:shape style="position:absolute;left:6454;top:5107;width:1054;height:2" coordorigin="6454,5107" coordsize="1054,0" path="m6454,5107l7507,5107e" filled="false" stroked="true" strokeweight=".48pt" strokecolor="#000000">
                <v:path arrowok="t"/>
              </v:shape>
            </v:group>
            <v:group style="position:absolute;left:7517;top:5107;width:1054;height:2" coordorigin="7517,5107" coordsize="1054,2">
              <v:shape style="position:absolute;left:7517;top:5107;width:1054;height:2" coordorigin="7517,5107" coordsize="1054,0" path="m7517,5107l8570,5107e" filled="false" stroked="true" strokeweight=".48pt" strokecolor="#000000">
                <v:path arrowok="t"/>
              </v:shape>
            </v:group>
            <v:group style="position:absolute;left:8580;top:5107;width:1054;height:2" coordorigin="8580,5107" coordsize="1054,2">
              <v:shape style="position:absolute;left:8580;top:5107;width:1054;height:2" coordorigin="8580,5107" coordsize="1054,0" path="m8580,5107l9634,5107e" filled="false" stroked="true" strokeweight=".48pt" strokecolor="#000000">
                <v:path arrowok="t"/>
              </v:shape>
            </v:group>
            <v:group style="position:absolute;left:9643;top:5107;width:1054;height:2" coordorigin="9643,5107" coordsize="1054,2">
              <v:shape style="position:absolute;left:9643;top:5107;width:1054;height:2" coordorigin="9643,5107" coordsize="1054,0" path="m9643,5107l10697,5107e" filled="false" stroked="true" strokeweight=".48pt" strokecolor="#000000">
                <v:path arrowok="t"/>
              </v:shape>
            </v:group>
            <v:group style="position:absolute;left:1138;top:6444;width:1056;height:2" coordorigin="1138,6444" coordsize="1056,2">
              <v:shape style="position:absolute;left:1138;top:6444;width:1056;height:2" coordorigin="1138,6444" coordsize="1056,0" path="m1138,6444l2194,6444e" filled="false" stroked="true" strokeweight=".48pt" strokecolor="#000000">
                <v:path arrowok="t"/>
              </v:shape>
            </v:group>
            <v:group style="position:absolute;left:2203;top:6444;width:1054;height:2" coordorigin="2203,6444" coordsize="1054,2">
              <v:shape style="position:absolute;left:2203;top:6444;width:1054;height:2" coordorigin="2203,6444" coordsize="1054,0" path="m2203,6444l3257,6444e" filled="false" stroked="true" strokeweight=".48pt" strokecolor="#000000">
                <v:path arrowok="t"/>
              </v:shape>
            </v:group>
            <v:group style="position:absolute;left:3266;top:6444;width:1054;height:2" coordorigin="3266,6444" coordsize="1054,2">
              <v:shape style="position:absolute;left:3266;top:6444;width:1054;height:2" coordorigin="3266,6444" coordsize="1054,0" path="m3266,6444l4320,6444e" filled="false" stroked="true" strokeweight=".48pt" strokecolor="#000000">
                <v:path arrowok="t"/>
              </v:shape>
            </v:group>
            <v:group style="position:absolute;left:4330;top:6444;width:1054;height:2" coordorigin="4330,6444" coordsize="1054,2">
              <v:shape style="position:absolute;left:4330;top:6444;width:1054;height:2" coordorigin="4330,6444" coordsize="1054,0" path="m4330,6444l5383,6444e" filled="false" stroked="true" strokeweight=".48pt" strokecolor="#000000">
                <v:path arrowok="t"/>
              </v:shape>
            </v:group>
            <v:group style="position:absolute;left:5393;top:6444;width:1052;height:2" coordorigin="5393,6444" coordsize="1052,2">
              <v:shape style="position:absolute;left:5393;top:6444;width:1052;height:2" coordorigin="5393,6444" coordsize="1052,0" path="m5393,6444l6444,6444e" filled="false" stroked="true" strokeweight=".48pt" strokecolor="#000000">
                <v:path arrowok="t"/>
              </v:shape>
            </v:group>
            <v:group style="position:absolute;left:6454;top:6444;width:1054;height:2" coordorigin="6454,6444" coordsize="1054,2">
              <v:shape style="position:absolute;left:6454;top:6444;width:1054;height:2" coordorigin="6454,6444" coordsize="1054,0" path="m6454,6444l7507,6444e" filled="false" stroked="true" strokeweight=".48pt" strokecolor="#000000">
                <v:path arrowok="t"/>
              </v:shape>
            </v:group>
            <v:group style="position:absolute;left:7517;top:6444;width:1054;height:2" coordorigin="7517,6444" coordsize="1054,2">
              <v:shape style="position:absolute;left:7517;top:6444;width:1054;height:2" coordorigin="7517,6444" coordsize="1054,0" path="m7517,6444l8570,6444e" filled="false" stroked="true" strokeweight=".48pt" strokecolor="#000000">
                <v:path arrowok="t"/>
              </v:shape>
            </v:group>
            <v:group style="position:absolute;left:8580;top:6444;width:1054;height:2" coordorigin="8580,6444" coordsize="1054,2">
              <v:shape style="position:absolute;left:8580;top:6444;width:1054;height:2" coordorigin="8580,6444" coordsize="1054,0" path="m8580,6444l9634,6444e" filled="false" stroked="true" strokeweight=".48pt" strokecolor="#000000">
                <v:path arrowok="t"/>
              </v:shape>
            </v:group>
            <v:group style="position:absolute;left:9643;top:6444;width:1054;height:2" coordorigin="9643,6444" coordsize="1054,2">
              <v:shape style="position:absolute;left:9643;top:6444;width:1054;height:2" coordorigin="9643,6444" coordsize="1054,0" path="m9643,6444l10697,6444e" filled="false" stroked="true" strokeweight=".48pt" strokecolor="#000000">
                <v:path arrowok="t"/>
              </v:shape>
            </v:group>
            <v:group style="position:absolute;left:5393;top:8100;width:1054;height:468" coordorigin="5393,8100" coordsize="1054,468">
              <v:shape style="position:absolute;left:5393;top:8100;width:1054;height:468" coordorigin="5393,8100" coordsize="1054,468" path="m5393,8568l6446,8568,6446,8100,5393,8100,5393,8568xe" filled="true" fillcolor="#ffffff" stroked="false">
                <v:path arrowok="t"/>
                <v:fill type="solid"/>
              </v:shape>
            </v:group>
            <v:group style="position:absolute;left:1138;top:8095;width:1056;height:2" coordorigin="1138,8095" coordsize="1056,2">
              <v:shape style="position:absolute;left:1138;top:8095;width:1056;height:2" coordorigin="1138,8095" coordsize="1056,0" path="m1138,8095l2194,8095e" filled="false" stroked="true" strokeweight=".48pt" strokecolor="#000000">
                <v:path arrowok="t"/>
              </v:shape>
            </v:group>
            <v:group style="position:absolute;left:2203;top:8095;width:1054;height:2" coordorigin="2203,8095" coordsize="1054,2">
              <v:shape style="position:absolute;left:2203;top:8095;width:1054;height:2" coordorigin="2203,8095" coordsize="1054,0" path="m2203,8095l3257,8095e" filled="false" stroked="true" strokeweight=".48pt" strokecolor="#000000">
                <v:path arrowok="t"/>
              </v:shape>
            </v:group>
            <v:group style="position:absolute;left:3266;top:8095;width:1054;height:2" coordorigin="3266,8095" coordsize="1054,2">
              <v:shape style="position:absolute;left:3266;top:8095;width:1054;height:2" coordorigin="3266,8095" coordsize="1054,0" path="m3266,8095l4320,8095e" filled="false" stroked="true" strokeweight=".48pt" strokecolor="#000000">
                <v:path arrowok="t"/>
              </v:shape>
            </v:group>
            <v:group style="position:absolute;left:4330;top:8095;width:1054;height:2" coordorigin="4330,8095" coordsize="1054,2">
              <v:shape style="position:absolute;left:4330;top:8095;width:1054;height:2" coordorigin="4330,8095" coordsize="1054,0" path="m4330,8095l5383,8095e" filled="false" stroked="true" strokeweight=".48pt" strokecolor="#000000">
                <v:path arrowok="t"/>
              </v:shape>
            </v:group>
            <v:group style="position:absolute;left:5393;top:8095;width:1052;height:2" coordorigin="5393,8095" coordsize="1052,2">
              <v:shape style="position:absolute;left:5393;top:8095;width:1052;height:2" coordorigin="5393,8095" coordsize="1052,0" path="m5393,8095l6444,8095e" filled="false" stroked="true" strokeweight=".48pt" strokecolor="#000000">
                <v:path arrowok="t"/>
              </v:shape>
            </v:group>
            <v:group style="position:absolute;left:6454;top:8095;width:1054;height:2" coordorigin="6454,8095" coordsize="1054,2">
              <v:shape style="position:absolute;left:6454;top:8095;width:1054;height:2" coordorigin="6454,8095" coordsize="1054,0" path="m6454,8095l7507,8095e" filled="false" stroked="true" strokeweight=".48pt" strokecolor="#000000">
                <v:path arrowok="t"/>
              </v:shape>
            </v:group>
            <v:group style="position:absolute;left:7517;top:8095;width:1054;height:2" coordorigin="7517,8095" coordsize="1054,2">
              <v:shape style="position:absolute;left:7517;top:8095;width:1054;height:2" coordorigin="7517,8095" coordsize="1054,0" path="m7517,8095l8570,8095e" filled="false" stroked="true" strokeweight=".48pt" strokecolor="#000000">
                <v:path arrowok="t"/>
              </v:shape>
            </v:group>
            <v:group style="position:absolute;left:8580;top:8095;width:1054;height:2" coordorigin="8580,8095" coordsize="1054,2">
              <v:shape style="position:absolute;left:8580;top:8095;width:1054;height:2" coordorigin="8580,8095" coordsize="1054,0" path="m8580,8095l9634,8095e" filled="false" stroked="true" strokeweight=".48pt" strokecolor="#000000">
                <v:path arrowok="t"/>
              </v:shape>
            </v:group>
            <v:group style="position:absolute;left:9643;top:8095;width:1054;height:2" coordorigin="9643,8095" coordsize="1054,2">
              <v:shape style="position:absolute;left:9643;top:8095;width:1054;height:2" coordorigin="9643,8095" coordsize="1054,0" path="m9643,8095l10697,8095e" filled="false" stroked="true" strokeweight=".48pt" strokecolor="#000000">
                <v:path arrowok="t"/>
              </v:shape>
            </v:group>
            <v:group style="position:absolute;left:5393;top:9437;width:1054;height:468" coordorigin="5393,9437" coordsize="1054,468">
              <v:shape style="position:absolute;left:5393;top:9437;width:1054;height:468" coordorigin="5393,9437" coordsize="1054,468" path="m5393,9905l6446,9905,6446,9437,5393,9437,5393,9905xe" filled="true" fillcolor="#ffffff" stroked="false">
                <v:path arrowok="t"/>
                <v:fill type="solid"/>
              </v:shape>
            </v:group>
            <v:group style="position:absolute;left:1138;top:9432;width:1056;height:2" coordorigin="1138,9432" coordsize="1056,2">
              <v:shape style="position:absolute;left:1138;top:9432;width:1056;height:2" coordorigin="1138,9432" coordsize="1056,0" path="m1138,9432l2194,9432e" filled="false" stroked="true" strokeweight=".48pt" strokecolor="#000000">
                <v:path arrowok="t"/>
              </v:shape>
            </v:group>
            <v:group style="position:absolute;left:2203;top:9432;width:1054;height:2" coordorigin="2203,9432" coordsize="1054,2">
              <v:shape style="position:absolute;left:2203;top:9432;width:1054;height:2" coordorigin="2203,9432" coordsize="1054,0" path="m2203,9432l3257,9432e" filled="false" stroked="true" strokeweight=".48pt" strokecolor="#000000">
                <v:path arrowok="t"/>
              </v:shape>
            </v:group>
            <v:group style="position:absolute;left:3266;top:9432;width:1054;height:2" coordorigin="3266,9432" coordsize="1054,2">
              <v:shape style="position:absolute;left:3266;top:9432;width:1054;height:2" coordorigin="3266,9432" coordsize="1054,0" path="m3266,9432l4320,9432e" filled="false" stroked="true" strokeweight=".48pt" strokecolor="#000000">
                <v:path arrowok="t"/>
              </v:shape>
            </v:group>
            <v:group style="position:absolute;left:4330;top:9432;width:1054;height:2" coordorigin="4330,9432" coordsize="1054,2">
              <v:shape style="position:absolute;left:4330;top:9432;width:1054;height:2" coordorigin="4330,9432" coordsize="1054,0" path="m4330,9432l5383,9432e" filled="false" stroked="true" strokeweight=".48pt" strokecolor="#000000">
                <v:path arrowok="t"/>
              </v:shape>
            </v:group>
            <v:group style="position:absolute;left:5393;top:9432;width:1052;height:2" coordorigin="5393,9432" coordsize="1052,2">
              <v:shape style="position:absolute;left:5393;top:9432;width:1052;height:2" coordorigin="5393,9432" coordsize="1052,0" path="m5393,9432l6444,9432e" filled="false" stroked="true" strokeweight=".48pt" strokecolor="#000000">
                <v:path arrowok="t"/>
              </v:shape>
            </v:group>
            <v:group style="position:absolute;left:6454;top:9432;width:1054;height:2" coordorigin="6454,9432" coordsize="1054,2">
              <v:shape style="position:absolute;left:6454;top:9432;width:1054;height:2" coordorigin="6454,9432" coordsize="1054,0" path="m6454,9432l7507,9432e" filled="false" stroked="true" strokeweight=".48pt" strokecolor="#000000">
                <v:path arrowok="t"/>
              </v:shape>
            </v:group>
            <v:group style="position:absolute;left:7517;top:9432;width:1054;height:2" coordorigin="7517,9432" coordsize="1054,2">
              <v:shape style="position:absolute;left:7517;top:9432;width:1054;height:2" coordorigin="7517,9432" coordsize="1054,0" path="m7517,9432l8570,9432e" filled="false" stroked="true" strokeweight=".48pt" strokecolor="#000000">
                <v:path arrowok="t"/>
              </v:shape>
            </v:group>
            <v:group style="position:absolute;left:8580;top:9432;width:1054;height:2" coordorigin="8580,9432" coordsize="1054,2">
              <v:shape style="position:absolute;left:8580;top:9432;width:1054;height:2" coordorigin="8580,9432" coordsize="1054,0" path="m8580,9432l9634,9432e" filled="false" stroked="true" strokeweight=".48pt" strokecolor="#000000">
                <v:path arrowok="t"/>
              </v:shape>
            </v:group>
            <v:group style="position:absolute;left:9643;top:9432;width:1054;height:2" coordorigin="9643,9432" coordsize="1054,2">
              <v:shape style="position:absolute;left:9643;top:9432;width:1054;height:2" coordorigin="9643,9432" coordsize="1054,0" path="m9643,9432l10697,9432e" filled="false" stroked="true" strokeweight=".48pt" strokecolor="#000000">
                <v:path arrowok="t"/>
              </v:shape>
            </v:group>
            <v:group style="position:absolute;left:5393;top:10776;width:1054;height:468" coordorigin="5393,10776" coordsize="1054,468">
              <v:shape style="position:absolute;left:5393;top:10776;width:1054;height:468" coordorigin="5393,10776" coordsize="1054,468" path="m5393,11244l6446,11244,6446,10776,5393,10776,5393,11244xe" filled="true" fillcolor="#ffffff" stroked="false">
                <v:path arrowok="t"/>
                <v:fill type="solid"/>
              </v:shape>
            </v:group>
            <v:group style="position:absolute;left:1138;top:10771;width:1056;height:2" coordorigin="1138,10771" coordsize="1056,2">
              <v:shape style="position:absolute;left:1138;top:10771;width:1056;height:2" coordorigin="1138,10771" coordsize="1056,0" path="m1138,10771l2194,10771e" filled="false" stroked="true" strokeweight=".48pt" strokecolor="#000000">
                <v:path arrowok="t"/>
              </v:shape>
            </v:group>
            <v:group style="position:absolute;left:2203;top:10771;width:1054;height:2" coordorigin="2203,10771" coordsize="1054,2">
              <v:shape style="position:absolute;left:2203;top:10771;width:1054;height:2" coordorigin="2203,10771" coordsize="1054,0" path="m2203,10771l3257,10771e" filled="false" stroked="true" strokeweight=".48pt" strokecolor="#000000">
                <v:path arrowok="t"/>
              </v:shape>
            </v:group>
            <v:group style="position:absolute;left:3266;top:10771;width:1054;height:2" coordorigin="3266,10771" coordsize="1054,2">
              <v:shape style="position:absolute;left:3266;top:10771;width:1054;height:2" coordorigin="3266,10771" coordsize="1054,0" path="m3266,10771l4320,10771e" filled="false" stroked="true" strokeweight=".48pt" strokecolor="#000000">
                <v:path arrowok="t"/>
              </v:shape>
            </v:group>
            <v:group style="position:absolute;left:4330;top:10771;width:1054;height:2" coordorigin="4330,10771" coordsize="1054,2">
              <v:shape style="position:absolute;left:4330;top:10771;width:1054;height:2" coordorigin="4330,10771" coordsize="1054,0" path="m4330,10771l5383,10771e" filled="false" stroked="true" strokeweight=".48pt" strokecolor="#000000">
                <v:path arrowok="t"/>
              </v:shape>
            </v:group>
            <v:group style="position:absolute;left:5393;top:10771;width:1052;height:2" coordorigin="5393,10771" coordsize="1052,2">
              <v:shape style="position:absolute;left:5393;top:10771;width:1052;height:2" coordorigin="5393,10771" coordsize="1052,0" path="m5393,10771l6444,10771e" filled="false" stroked="true" strokeweight=".48pt" strokecolor="#000000">
                <v:path arrowok="t"/>
              </v:shape>
            </v:group>
            <v:group style="position:absolute;left:6454;top:10771;width:1054;height:2" coordorigin="6454,10771" coordsize="1054,2">
              <v:shape style="position:absolute;left:6454;top:10771;width:1054;height:2" coordorigin="6454,10771" coordsize="1054,0" path="m6454,10771l7507,10771e" filled="false" stroked="true" strokeweight=".48pt" strokecolor="#000000">
                <v:path arrowok="t"/>
              </v:shape>
            </v:group>
            <v:group style="position:absolute;left:7517;top:10771;width:1054;height:2" coordorigin="7517,10771" coordsize="1054,2">
              <v:shape style="position:absolute;left:7517;top:10771;width:1054;height:2" coordorigin="7517,10771" coordsize="1054,0" path="m7517,10771l8570,10771e" filled="false" stroked="true" strokeweight=".48pt" strokecolor="#000000">
                <v:path arrowok="t"/>
              </v:shape>
            </v:group>
            <v:group style="position:absolute;left:8580;top:10771;width:1054;height:2" coordorigin="8580,10771" coordsize="1054,2">
              <v:shape style="position:absolute;left:8580;top:10771;width:1054;height:2" coordorigin="8580,10771" coordsize="1054,0" path="m8580,10771l9634,10771e" filled="false" stroked="true" strokeweight=".48pt" strokecolor="#000000">
                <v:path arrowok="t"/>
              </v:shape>
            </v:group>
            <v:group style="position:absolute;left:9643;top:10771;width:1054;height:2" coordorigin="9643,10771" coordsize="1054,2">
              <v:shape style="position:absolute;left:9643;top:10771;width:1054;height:2" coordorigin="9643,10771" coordsize="1054,0" path="m9643,10771l10697,10771e" filled="false" stroked="true" strokeweight=".48pt" strokecolor="#000000">
                <v:path arrowok="t"/>
              </v:shape>
            </v:group>
            <v:group style="position:absolute;left:5393;top:12113;width:1054;height:468" coordorigin="5393,12113" coordsize="1054,468">
              <v:shape style="position:absolute;left:5393;top:12113;width:1054;height:468" coordorigin="5393,12113" coordsize="1054,468" path="m5393,12581l6446,12581,6446,12113,5393,12113,5393,12581xe" filled="true" fillcolor="#ffffff" stroked="false">
                <v:path arrowok="t"/>
                <v:fill type="solid"/>
              </v:shape>
            </v:group>
            <v:group style="position:absolute;left:1138;top:12108;width:1056;height:2" coordorigin="1138,12108" coordsize="1056,2">
              <v:shape style="position:absolute;left:1138;top:12108;width:1056;height:2" coordorigin="1138,12108" coordsize="1056,0" path="m1138,12108l2194,12108e" filled="false" stroked="true" strokeweight=".481pt" strokecolor="#000000">
                <v:path arrowok="t"/>
              </v:shape>
            </v:group>
            <v:group style="position:absolute;left:2203;top:12108;width:1054;height:2" coordorigin="2203,12108" coordsize="1054,2">
              <v:shape style="position:absolute;left:2203;top:12108;width:1054;height:2" coordorigin="2203,12108" coordsize="1054,0" path="m2203,12108l3257,12108e" filled="false" stroked="true" strokeweight=".481pt" strokecolor="#000000">
                <v:path arrowok="t"/>
              </v:shape>
            </v:group>
            <v:group style="position:absolute;left:3266;top:12108;width:1054;height:2" coordorigin="3266,12108" coordsize="1054,2">
              <v:shape style="position:absolute;left:3266;top:12108;width:1054;height:2" coordorigin="3266,12108" coordsize="1054,0" path="m3266,12108l4320,12108e" filled="false" stroked="true" strokeweight=".481pt" strokecolor="#000000">
                <v:path arrowok="t"/>
              </v:shape>
            </v:group>
            <v:group style="position:absolute;left:4330;top:12108;width:1054;height:2" coordorigin="4330,12108" coordsize="1054,2">
              <v:shape style="position:absolute;left:4330;top:12108;width:1054;height:2" coordorigin="4330,12108" coordsize="1054,0" path="m4330,12108l5383,12108e" filled="false" stroked="true" strokeweight=".481pt" strokecolor="#000000">
                <v:path arrowok="t"/>
              </v:shape>
            </v:group>
            <v:group style="position:absolute;left:5393;top:12108;width:1052;height:2" coordorigin="5393,12108" coordsize="1052,2">
              <v:shape style="position:absolute;left:5393;top:12108;width:1052;height:2" coordorigin="5393,12108" coordsize="1052,0" path="m5393,12108l6444,12108e" filled="false" stroked="true" strokeweight=".481pt" strokecolor="#000000">
                <v:path arrowok="t"/>
              </v:shape>
            </v:group>
            <v:group style="position:absolute;left:6454;top:12108;width:1054;height:2" coordorigin="6454,12108" coordsize="1054,2">
              <v:shape style="position:absolute;left:6454;top:12108;width:1054;height:2" coordorigin="6454,12108" coordsize="1054,0" path="m6454,12108l7507,12108e" filled="false" stroked="true" strokeweight=".481pt" strokecolor="#000000">
                <v:path arrowok="t"/>
              </v:shape>
            </v:group>
            <v:group style="position:absolute;left:7517;top:12108;width:1054;height:2" coordorigin="7517,12108" coordsize="1054,2">
              <v:shape style="position:absolute;left:7517;top:12108;width:1054;height:2" coordorigin="7517,12108" coordsize="1054,0" path="m7517,12108l8570,12108e" filled="false" stroked="true" strokeweight=".481pt" strokecolor="#000000">
                <v:path arrowok="t"/>
              </v:shape>
            </v:group>
            <v:group style="position:absolute;left:8580;top:12108;width:1054;height:2" coordorigin="8580,12108" coordsize="1054,2">
              <v:shape style="position:absolute;left:8580;top:12108;width:1054;height:2" coordorigin="8580,12108" coordsize="1054,0" path="m8580,12108l9634,12108e" filled="false" stroked="true" strokeweight=".481pt" strokecolor="#000000">
                <v:path arrowok="t"/>
              </v:shape>
            </v:group>
            <v:group style="position:absolute;left:9643;top:12108;width:1054;height:2" coordorigin="9643,12108" coordsize="1054,2">
              <v:shape style="position:absolute;left:9643;top:12108;width:1054;height:2" coordorigin="9643,12108" coordsize="1054,0" path="m9643,12108l10697,12108e" filled="false" stroked="true" strokeweight=".481pt" strokecolor="#000000">
                <v:path arrowok="t"/>
              </v:shape>
            </v:group>
            <v:group style="position:absolute;left:5393;top:13452;width:1054;height:468" coordorigin="5393,13452" coordsize="1054,468">
              <v:shape style="position:absolute;left:5393;top:13452;width:1054;height:468" coordorigin="5393,13452" coordsize="1054,468" path="m5393,13920l6446,13920,6446,13452,5393,13452,5393,13920xe" filled="true" fillcolor="#ffffff" stroked="false">
                <v:path arrowok="t"/>
                <v:fill type="solid"/>
              </v:shape>
            </v:group>
            <v:group style="position:absolute;left:1138;top:13447;width:1056;height:2" coordorigin="1138,13447" coordsize="1056,2">
              <v:shape style="position:absolute;left:1138;top:13447;width:1056;height:2" coordorigin="1138,13447" coordsize="1056,0" path="m1138,13447l2194,13447e" filled="false" stroked="true" strokeweight=".481pt" strokecolor="#000000">
                <v:path arrowok="t"/>
              </v:shape>
            </v:group>
            <v:group style="position:absolute;left:2203;top:13447;width:1054;height:2" coordorigin="2203,13447" coordsize="1054,2">
              <v:shape style="position:absolute;left:2203;top:13447;width:1054;height:2" coordorigin="2203,13447" coordsize="1054,0" path="m2203,13447l3257,13447e" filled="false" stroked="true" strokeweight=".481pt" strokecolor="#000000">
                <v:path arrowok="t"/>
              </v:shape>
            </v:group>
            <v:group style="position:absolute;left:3266;top:13447;width:1054;height:2" coordorigin="3266,13447" coordsize="1054,2">
              <v:shape style="position:absolute;left:3266;top:13447;width:1054;height:2" coordorigin="3266,13447" coordsize="1054,0" path="m3266,13447l4320,13447e" filled="false" stroked="true" strokeweight=".481pt" strokecolor="#000000">
                <v:path arrowok="t"/>
              </v:shape>
            </v:group>
            <v:group style="position:absolute;left:4330;top:13447;width:1054;height:2" coordorigin="4330,13447" coordsize="1054,2">
              <v:shape style="position:absolute;left:4330;top:13447;width:1054;height:2" coordorigin="4330,13447" coordsize="1054,0" path="m4330,13447l5383,13447e" filled="false" stroked="true" strokeweight=".481pt" strokecolor="#000000">
                <v:path arrowok="t"/>
              </v:shape>
            </v:group>
            <v:group style="position:absolute;left:5393;top:13447;width:1052;height:2" coordorigin="5393,13447" coordsize="1052,2">
              <v:shape style="position:absolute;left:5393;top:13447;width:1052;height:2" coordorigin="5393,13447" coordsize="1052,0" path="m5393,13447l6444,13447e" filled="false" stroked="true" strokeweight=".481pt" strokecolor="#000000">
                <v:path arrowok="t"/>
              </v:shape>
            </v:group>
            <v:group style="position:absolute;left:6454;top:13447;width:1054;height:2" coordorigin="6454,13447" coordsize="1054,2">
              <v:shape style="position:absolute;left:6454;top:13447;width:1054;height:2" coordorigin="6454,13447" coordsize="1054,0" path="m6454,13447l7507,13447e" filled="false" stroked="true" strokeweight=".481pt" strokecolor="#000000">
                <v:path arrowok="t"/>
              </v:shape>
            </v:group>
            <v:group style="position:absolute;left:7517;top:13447;width:1054;height:2" coordorigin="7517,13447" coordsize="1054,2">
              <v:shape style="position:absolute;left:7517;top:13447;width:1054;height:2" coordorigin="7517,13447" coordsize="1054,0" path="m7517,13447l8570,13447e" filled="false" stroked="true" strokeweight=".481pt" strokecolor="#000000">
                <v:path arrowok="t"/>
              </v:shape>
            </v:group>
            <v:group style="position:absolute;left:8580;top:13447;width:1054;height:2" coordorigin="8580,13447" coordsize="1054,2">
              <v:shape style="position:absolute;left:8580;top:13447;width:1054;height:2" coordorigin="8580,13447" coordsize="1054,0" path="m8580,13447l9634,13447e" filled="false" stroked="true" strokeweight=".481pt" strokecolor="#000000">
                <v:path arrowok="t"/>
              </v:shape>
            </v:group>
            <v:group style="position:absolute;left:9643;top:13447;width:1054;height:2" coordorigin="9643,13447" coordsize="1054,2">
              <v:shape style="position:absolute;left:9643;top:13447;width:1054;height:2" coordorigin="9643,13447" coordsize="1054,0" path="m9643,13447l10697,13447e" filled="false" stroked="true" strokeweight=".481pt" strokecolor="#000000">
                <v:path arrowok="t"/>
              </v:shape>
            </v:group>
            <v:group style="position:absolute;left:5405;top:14789;width:2;height:394" coordorigin="5405,14789" coordsize="2,394">
              <v:shape style="position:absolute;left:5405;top:14789;width:2;height:394" coordorigin="5405,14789" coordsize="0,394" path="m5405,14789l5405,15182e" filled="false" stroked="true" strokeweight="1.2pt" strokecolor="#ffffff">
                <v:path arrowok="t"/>
              </v:shape>
            </v:group>
            <v:group style="position:absolute;left:1138;top:14784;width:1056;height:2" coordorigin="1138,14784" coordsize="1056,2">
              <v:shape style="position:absolute;left:1138;top:14784;width:1056;height:2" coordorigin="1138,14784" coordsize="1056,0" path="m1138,14784l2194,14784e" filled="false" stroked="true" strokeweight=".48pt" strokecolor="#000000">
                <v:path arrowok="t"/>
              </v:shape>
            </v:group>
            <v:group style="position:absolute;left:2203;top:14784;width:1054;height:2" coordorigin="2203,14784" coordsize="1054,2">
              <v:shape style="position:absolute;left:2203;top:14784;width:1054;height:2" coordorigin="2203,14784" coordsize="1054,0" path="m2203,14784l3257,14784e" filled="false" stroked="true" strokeweight=".48pt" strokecolor="#000000">
                <v:path arrowok="t"/>
              </v:shape>
            </v:group>
            <v:group style="position:absolute;left:3266;top:14784;width:1054;height:2" coordorigin="3266,14784" coordsize="1054,2">
              <v:shape style="position:absolute;left:3266;top:14784;width:1054;height:2" coordorigin="3266,14784" coordsize="1054,0" path="m3266,14784l4320,14784e" filled="false" stroked="true" strokeweight=".48pt" strokecolor="#000000">
                <v:path arrowok="t"/>
              </v:shape>
            </v:group>
            <v:group style="position:absolute;left:4330;top:14784;width:1054;height:2" coordorigin="4330,14784" coordsize="1054,2">
              <v:shape style="position:absolute;left:4330;top:14784;width:1054;height:2" coordorigin="4330,14784" coordsize="1054,0" path="m4330,14784l5383,14784e" filled="false" stroked="true" strokeweight=".48pt" strokecolor="#000000">
                <v:path arrowok="t"/>
              </v:shape>
            </v:group>
            <v:group style="position:absolute;left:5393;top:14784;width:1052;height:2" coordorigin="5393,14784" coordsize="1052,2">
              <v:shape style="position:absolute;left:5393;top:14784;width:1052;height:2" coordorigin="5393,14784" coordsize="1052,0" path="m5393,14784l6444,14784e" filled="false" stroked="true" strokeweight=".48pt" strokecolor="#000000">
                <v:path arrowok="t"/>
              </v:shape>
            </v:group>
            <v:group style="position:absolute;left:6454;top:14784;width:1054;height:2" coordorigin="6454,14784" coordsize="1054,2">
              <v:shape style="position:absolute;left:6454;top:14784;width:1054;height:2" coordorigin="6454,14784" coordsize="1054,0" path="m6454,14784l7507,14784e" filled="false" stroked="true" strokeweight=".48pt" strokecolor="#000000">
                <v:path arrowok="t"/>
              </v:shape>
            </v:group>
            <v:group style="position:absolute;left:7517;top:14784;width:1054;height:2" coordorigin="7517,14784" coordsize="1054,2">
              <v:shape style="position:absolute;left:7517;top:14784;width:1054;height:2" coordorigin="7517,14784" coordsize="1054,0" path="m7517,14784l8570,14784e" filled="false" stroked="true" strokeweight=".48pt" strokecolor="#000000">
                <v:path arrowok="t"/>
              </v:shape>
            </v:group>
            <v:group style="position:absolute;left:8580;top:14784;width:1054;height:2" coordorigin="8580,14784" coordsize="1054,2">
              <v:shape style="position:absolute;left:8580;top:14784;width:1054;height:2" coordorigin="8580,14784" coordsize="1054,0" path="m8580,14784l9634,14784e" filled="false" stroked="true" strokeweight=".48pt" strokecolor="#000000">
                <v:path arrowok="t"/>
              </v:shape>
            </v:group>
            <v:group style="position:absolute;left:9643;top:14784;width:1054;height:2" coordorigin="9643,14784" coordsize="1054,2">
              <v:shape style="position:absolute;left:9643;top:14784;width:1054;height:2" coordorigin="9643,14784" coordsize="1054,0" path="m9643,14784l10697,14784e" filled="false" stroked="true" strokeweight=".48pt" strokecolor="#000000">
                <v:path arrowok="t"/>
              </v:shape>
            </v:group>
            <v:group style="position:absolute;left:1133;top:1440;width:2;height:13753" coordorigin="1133,1440" coordsize="2,13753">
              <v:shape style="position:absolute;left:1133;top:1440;width:2;height:13753" coordorigin="1133,1440" coordsize="0,13753" path="m1133,1440l1133,15192e" filled="false" stroked="true" strokeweight=".48pt" strokecolor="#000000">
                <v:path arrowok="t"/>
              </v:shape>
            </v:group>
            <v:group style="position:absolute;left:1138;top:15187;width:1056;height:2" coordorigin="1138,15187" coordsize="1056,2">
              <v:shape style="position:absolute;left:1138;top:15187;width:1056;height:2" coordorigin="1138,15187" coordsize="1056,0" path="m1138,15187l2194,15187e" filled="false" stroked="true" strokeweight=".48pt" strokecolor="#000000">
                <v:path arrowok="t"/>
              </v:shape>
            </v:group>
            <v:group style="position:absolute;left:2198;top:1440;width:2;height:13753" coordorigin="2198,1440" coordsize="2,13753">
              <v:shape style="position:absolute;left:2198;top:1440;width:2;height:13753" coordorigin="2198,1440" coordsize="0,13753" path="m2198,1440l2198,15192e" filled="false" stroked="true" strokeweight=".48pt" strokecolor="#000000">
                <v:path arrowok="t"/>
              </v:shape>
            </v:group>
            <v:group style="position:absolute;left:2203;top:15187;width:1054;height:2" coordorigin="2203,15187" coordsize="1054,2">
              <v:shape style="position:absolute;left:2203;top:15187;width:1054;height:2" coordorigin="2203,15187" coordsize="1054,0" path="m2203,15187l3257,15187e" filled="false" stroked="true" strokeweight=".48pt" strokecolor="#000000">
                <v:path arrowok="t"/>
              </v:shape>
            </v:group>
            <v:group style="position:absolute;left:3262;top:1440;width:2;height:13753" coordorigin="3262,1440" coordsize="2,13753">
              <v:shape style="position:absolute;left:3262;top:1440;width:2;height:13753" coordorigin="3262,1440" coordsize="0,13753" path="m3262,1440l3262,15192e" filled="false" stroked="true" strokeweight=".481pt" strokecolor="#000000">
                <v:path arrowok="t"/>
              </v:shape>
            </v:group>
            <v:group style="position:absolute;left:3266;top:15187;width:1054;height:2" coordorigin="3266,15187" coordsize="1054,2">
              <v:shape style="position:absolute;left:3266;top:15187;width:1054;height:2" coordorigin="3266,15187" coordsize="1054,0" path="m3266,15187l4320,15187e" filled="false" stroked="true" strokeweight=".48pt" strokecolor="#000000">
                <v:path arrowok="t"/>
              </v:shape>
            </v:group>
            <v:group style="position:absolute;left:4325;top:1440;width:2;height:13753" coordorigin="4325,1440" coordsize="2,13753">
              <v:shape style="position:absolute;left:4325;top:1440;width:2;height:13753" coordorigin="4325,1440" coordsize="0,13753" path="m4325,1440l4325,15192e" filled="false" stroked="true" strokeweight=".48pt" strokecolor="#000000">
                <v:path arrowok="t"/>
              </v:shape>
            </v:group>
            <v:group style="position:absolute;left:4330;top:15187;width:1054;height:2" coordorigin="4330,15187" coordsize="1054,2">
              <v:shape style="position:absolute;left:4330;top:15187;width:1054;height:2" coordorigin="4330,15187" coordsize="1054,0" path="m4330,15187l5383,15187e" filled="false" stroked="true" strokeweight=".48pt" strokecolor="#000000">
                <v:path arrowok="t"/>
              </v:shape>
            </v:group>
            <v:group style="position:absolute;left:5388;top:1440;width:2;height:13753" coordorigin="5388,1440" coordsize="2,13753">
              <v:shape style="position:absolute;left:5388;top:1440;width:2;height:13753" coordorigin="5388,1440" coordsize="0,13753" path="m5388,1440l5388,15192e" filled="false" stroked="true" strokeweight=".48pt" strokecolor="#000000">
                <v:path arrowok="t"/>
              </v:shape>
            </v:group>
            <v:group style="position:absolute;left:5393;top:15187;width:1052;height:2" coordorigin="5393,15187" coordsize="1052,2">
              <v:shape style="position:absolute;left:5393;top:15187;width:1052;height:2" coordorigin="5393,15187" coordsize="1052,0" path="m5393,15187l6444,15187e" filled="false" stroked="true" strokeweight=".48pt" strokecolor="#000000">
                <v:path arrowok="t"/>
              </v:shape>
            </v:group>
            <v:group style="position:absolute;left:6449;top:1440;width:2;height:13753" coordorigin="6449,1440" coordsize="2,13753">
              <v:shape style="position:absolute;left:6449;top:1440;width:2;height:13753" coordorigin="6449,1440" coordsize="0,13753" path="m6449,1440l6449,15192e" filled="false" stroked="true" strokeweight=".48pt" strokecolor="#000000">
                <v:path arrowok="t"/>
              </v:shape>
            </v:group>
            <v:group style="position:absolute;left:6454;top:15187;width:1054;height:2" coordorigin="6454,15187" coordsize="1054,2">
              <v:shape style="position:absolute;left:6454;top:15187;width:1054;height:2" coordorigin="6454,15187" coordsize="1054,0" path="m6454,15187l7507,15187e" filled="false" stroked="true" strokeweight=".48pt" strokecolor="#000000">
                <v:path arrowok="t"/>
              </v:shape>
            </v:group>
            <v:group style="position:absolute;left:7512;top:1440;width:2;height:13753" coordorigin="7512,1440" coordsize="2,13753">
              <v:shape style="position:absolute;left:7512;top:1440;width:2;height:13753" coordorigin="7512,1440" coordsize="0,13753" path="m7512,1440l7512,15192e" filled="false" stroked="true" strokeweight=".48pt" strokecolor="#000000">
                <v:path arrowok="t"/>
              </v:shape>
            </v:group>
            <v:group style="position:absolute;left:7517;top:15187;width:1054;height:2" coordorigin="7517,15187" coordsize="1054,2">
              <v:shape style="position:absolute;left:7517;top:15187;width:1054;height:2" coordorigin="7517,15187" coordsize="1054,0" path="m7517,15187l8570,15187e" filled="false" stroked="true" strokeweight=".48pt" strokecolor="#000000">
                <v:path arrowok="t"/>
              </v:shape>
            </v:group>
            <v:group style="position:absolute;left:8575;top:1440;width:2;height:13753" coordorigin="8575,1440" coordsize="2,13753">
              <v:shape style="position:absolute;left:8575;top:1440;width:2;height:13753" coordorigin="8575,1440" coordsize="0,13753" path="m8575,1440l8575,15192e" filled="false" stroked="true" strokeweight=".481pt" strokecolor="#000000">
                <v:path arrowok="t"/>
              </v:shape>
            </v:group>
            <v:group style="position:absolute;left:8580;top:15187;width:1054;height:2" coordorigin="8580,15187" coordsize="1054,2">
              <v:shape style="position:absolute;left:8580;top:15187;width:1054;height:2" coordorigin="8580,15187" coordsize="1054,0" path="m8580,15187l9634,15187e" filled="false" stroked="true" strokeweight=".48pt" strokecolor="#000000">
                <v:path arrowok="t"/>
              </v:shape>
            </v:group>
            <v:group style="position:absolute;left:9638;top:1440;width:2;height:13753" coordorigin="9638,1440" coordsize="2,13753">
              <v:shape style="position:absolute;left:9638;top:1440;width:2;height:13753" coordorigin="9638,1440" coordsize="0,13753" path="m9638,1440l9638,15192e" filled="false" stroked="true" strokeweight=".48pt" strokecolor="#000000">
                <v:path arrowok="t"/>
              </v:shape>
            </v:group>
            <v:group style="position:absolute;left:9643;top:15187;width:1054;height:2" coordorigin="9643,15187" coordsize="1054,2">
              <v:shape style="position:absolute;left:9643;top:15187;width:1054;height:2" coordorigin="9643,15187" coordsize="1054,0" path="m9643,15187l10697,15187e" filled="false" stroked="true" strokeweight=".48pt" strokecolor="#000000">
                <v:path arrowok="t"/>
              </v:shape>
            </v:group>
            <v:group style="position:absolute;left:10702;top:1440;width:2;height:13753" coordorigin="10702,1440" coordsize="2,13753">
              <v:shape style="position:absolute;left:10702;top:1440;width:2;height:13753" coordorigin="10702,1440" coordsize="0,13753" path="m10702,1440l10702,15192e" filled="false" stroked="true" strokeweight=".48pt" strokecolor="#000000">
                <v:path arrowok="t"/>
              </v:shape>
            </v:group>
            <w10:wrap type="none"/>
          </v:group>
        </w:pict>
      </w:r>
    </w:p>
    <w:p>
      <w:pPr>
        <w:pStyle w:val="BodyText"/>
        <w:tabs>
          <w:tab w:pos="3373" w:val="left" w:leader="none"/>
          <w:tab w:pos="5499" w:val="left" w:leader="none"/>
          <w:tab w:pos="6848" w:val="left" w:leader="none"/>
          <w:tab w:pos="8687" w:val="left" w:leader="none"/>
        </w:tabs>
        <w:spacing w:line="240" w:lineRule="auto" w:before="44"/>
        <w:ind w:left="181" w:right="0"/>
        <w:jc w:val="left"/>
      </w:pPr>
      <w:r>
        <w:rPr/>
        <w:t>研发专利款  </w:t>
      </w:r>
      <w:r>
        <w:rPr>
          <w:position w:val="-1"/>
        </w:rPr>
        <w:t>东莞市财政</w:t>
      </w:r>
      <w:r>
        <w:rPr>
          <w:spacing w:val="58"/>
          <w:position w:val="-1"/>
        </w:rPr>
        <w:t> </w:t>
      </w:r>
      <w:r>
        <w:rPr/>
        <w:t>补助</w:t>
        <w:tab/>
      </w:r>
      <w:r>
        <w:rPr>
          <w:spacing w:val="-3"/>
          <w:position w:val="-1"/>
        </w:rPr>
        <w:t>因研究开发、</w:t>
      </w:r>
      <w:r>
        <w:rPr>
          <w:spacing w:val="-3"/>
        </w:rPr>
        <w:t>否</w:t>
        <w:tab/>
      </w:r>
      <w:r>
        <w:rPr/>
        <w:t>否</w:t>
        <w:tab/>
      </w:r>
      <w:r>
        <w:rPr>
          <w:rFonts w:ascii="Times New Roman" w:hAnsi="Times New Roman" w:cs="Times New Roman" w:eastAsia="Times New Roman" w:hint="default"/>
          <w:spacing w:val="-1"/>
        </w:rPr>
        <w:t>27,500.00</w:t>
        <w:tab/>
      </w:r>
      <w:r>
        <w:rPr/>
        <w:t>与收益相关</w:t>
      </w:r>
    </w:p>
    <w:p>
      <w:pPr>
        <w:spacing w:after="0" w:line="240" w:lineRule="auto"/>
        <w:jc w:val="left"/>
        <w:sectPr>
          <w:type w:val="continuous"/>
          <w:pgSz w:w="11910" w:h="16840"/>
          <w:pgMar w:top="1060" w:bottom="1180" w:left="980" w:right="980"/>
        </w:sectPr>
      </w:pPr>
    </w:p>
    <w:p>
      <w:pPr>
        <w:spacing w:line="240" w:lineRule="auto" w:before="6"/>
        <w:rPr>
          <w:rFonts w:ascii="宋体" w:hAnsi="宋体" w:cs="宋体" w:eastAsia="宋体" w:hint="default"/>
          <w:sz w:val="26"/>
          <w:szCs w:val="26"/>
        </w:rPr>
      </w:pPr>
    </w:p>
    <w:p>
      <w:pPr>
        <w:pStyle w:val="BodyText"/>
        <w:tabs>
          <w:tab w:pos="3373" w:val="left" w:leader="none"/>
        </w:tabs>
        <w:spacing w:line="240" w:lineRule="auto" w:before="44"/>
        <w:ind w:left="1247" w:right="0"/>
        <w:jc w:val="left"/>
      </w:pPr>
      <w:r>
        <w:rPr/>
        <w:t>局</w:t>
        <w:tab/>
        <w:t>技术更新及</w:t>
      </w:r>
    </w:p>
    <w:p>
      <w:pPr>
        <w:pStyle w:val="BodyText"/>
        <w:spacing w:line="316" w:lineRule="auto" w:before="76"/>
        <w:ind w:left="3373" w:right="5653"/>
        <w:jc w:val="left"/>
      </w:pPr>
      <w:r>
        <w:rPr/>
        <w:t>改造等获得 的补助</w:t>
      </w:r>
    </w:p>
    <w:p>
      <w:pPr>
        <w:spacing w:after="0" w:line="316" w:lineRule="auto"/>
        <w:jc w:val="left"/>
        <w:sectPr>
          <w:pgSz w:w="11910" w:h="16840"/>
          <w:pgMar w:header="745" w:footer="982" w:top="1060" w:bottom="1180" w:left="980" w:right="980"/>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资助科技创 新平台专项 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196" w:lineRule="exact"/>
        <w:ind w:left="125" w:right="-20"/>
        <w:jc w:val="left"/>
      </w:pPr>
      <w:r>
        <w:rPr/>
        <w:t>东莞市财政</w:t>
      </w:r>
    </w:p>
    <w:p>
      <w:pPr>
        <w:pStyle w:val="BodyText"/>
        <w:spacing w:line="156" w:lineRule="exact"/>
        <w:ind w:left="0" w:right="0"/>
        <w:jc w:val="right"/>
      </w:pPr>
      <w:r>
        <w:rPr/>
        <w:t>补助</w:t>
      </w:r>
    </w:p>
    <w:p>
      <w:pPr>
        <w:pStyle w:val="BodyText"/>
        <w:spacing w:line="196" w:lineRule="exact"/>
        <w:ind w:left="125" w:right="-20"/>
        <w:jc w:val="left"/>
      </w:pPr>
      <w:r>
        <w:rPr/>
        <w:t>局</w:t>
      </w:r>
    </w:p>
    <w:p>
      <w:pPr>
        <w:pStyle w:val="BodyText"/>
        <w:spacing w:line="310" w:lineRule="atLeast" w:before="35"/>
        <w:ind w:left="181" w:right="5473"/>
        <w:jc w:val="left"/>
      </w:pPr>
      <w:r>
        <w:rPr/>
        <w:br w:type="column"/>
      </w:r>
      <w:r>
        <w:rPr/>
        <w:t>因研究开发、 技术更新及</w:t>
      </w:r>
    </w:p>
    <w:p>
      <w:pPr>
        <w:pStyle w:val="BodyText"/>
        <w:tabs>
          <w:tab w:pos="2307" w:val="left" w:leader="none"/>
          <w:tab w:pos="3431"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spacing w:val="-1"/>
        </w:rPr>
        <w:t>1,009,000.00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中小企业推 广基金</w:t>
      </w:r>
    </w:p>
    <w:p>
      <w:pPr>
        <w:pStyle w:val="BodyText"/>
        <w:spacing w:line="312" w:lineRule="exact" w:before="5"/>
        <w:ind w:left="1244" w:right="5473"/>
        <w:jc w:val="left"/>
      </w:pPr>
      <w:r>
        <w:rPr/>
        <w:br w:type="column"/>
      </w:r>
      <w:r>
        <w:rPr/>
        <w:t>因研究开发、 技术更新及</w:t>
      </w:r>
    </w:p>
    <w:p>
      <w:pPr>
        <w:pStyle w:val="BodyText"/>
        <w:tabs>
          <w:tab w:pos="2307" w:val="left" w:leader="none"/>
          <w:tab w:pos="3371" w:val="left" w:leader="none"/>
          <w:tab w:pos="4719" w:val="left" w:leader="none"/>
          <w:tab w:pos="6558" w:val="left" w:leader="none"/>
        </w:tabs>
        <w:spacing w:line="86" w:lineRule="exact"/>
        <w:ind w:left="181" w:right="0"/>
        <w:jc w:val="left"/>
      </w:pPr>
      <w:r>
        <w:rPr/>
        <w:t>补助</w:t>
        <w:tab/>
        <w:t>否</w:t>
        <w:tab/>
        <w:t>否</w:t>
        <w:tab/>
      </w:r>
      <w:r>
        <w:rPr>
          <w:rFonts w:ascii="Times New Roman" w:hAnsi="Times New Roman" w:cs="Times New Roman" w:eastAsia="Times New Roman" w:hint="default"/>
          <w:spacing w:val="-1"/>
        </w:rPr>
        <w:t>13,007.64</w:t>
        <w:tab/>
      </w:r>
      <w:r>
        <w:rPr/>
        <w:t>与资产相关</w:t>
      </w:r>
    </w:p>
    <w:p>
      <w:pPr>
        <w:pStyle w:val="BodyText"/>
        <w:spacing w:line="189" w:lineRule="exact"/>
        <w:ind w:left="1244" w:right="5473"/>
        <w:jc w:val="left"/>
      </w:pPr>
      <w:r>
        <w:rPr/>
        <w:t>改造等获得</w:t>
      </w:r>
    </w:p>
    <w:p>
      <w:pPr>
        <w:pStyle w:val="BodyText"/>
        <w:spacing w:line="240" w:lineRule="auto" w:before="76"/>
        <w:ind w:left="1244" w:right="5473"/>
        <w:jc w:val="left"/>
      </w:pPr>
      <w:r>
        <w:rPr/>
        <w:t>的补助</w:t>
      </w:r>
    </w:p>
    <w:p>
      <w:pPr>
        <w:spacing w:after="0" w:line="240" w:lineRule="auto"/>
        <w:jc w:val="left"/>
        <w:sectPr>
          <w:type w:val="continuous"/>
          <w:pgSz w:w="11910" w:h="16840"/>
          <w:pgMar w:top="1060" w:bottom="1180" w:left="980" w:right="980"/>
          <w:cols w:num="2" w:equalWidth="0">
            <w:col w:w="1082" w:space="1047"/>
            <w:col w:w="7821"/>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pStyle w:val="BodyText"/>
        <w:spacing w:line="316" w:lineRule="auto" w:before="44"/>
        <w:ind w:left="181" w:right="0"/>
        <w:jc w:val="both"/>
      </w:pPr>
      <w:r>
        <w:rPr/>
        <w:t>实现自动一 体化包装生 产线的工艺 创新项目</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20"/>
        <w:jc w:val="left"/>
      </w:pPr>
      <w:r>
        <w:rPr/>
        <w:t>深圳市科技</w:t>
      </w:r>
    </w:p>
    <w:p>
      <w:pPr>
        <w:pStyle w:val="BodyText"/>
        <w:spacing w:line="156" w:lineRule="exact"/>
        <w:ind w:left="0" w:right="0"/>
        <w:jc w:val="right"/>
      </w:pPr>
      <w:r>
        <w:rPr/>
        <w:t>补助</w:t>
      </w:r>
    </w:p>
    <w:p>
      <w:pPr>
        <w:pStyle w:val="BodyText"/>
        <w:spacing w:line="196" w:lineRule="exact"/>
        <w:ind w:left="125" w:right="-20"/>
        <w:jc w:val="left"/>
      </w:pPr>
      <w:r>
        <w:rPr/>
        <w:t>创新委员会</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565"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spacing w:val="-1"/>
        </w:rPr>
        <w:t>450,000.00</w:t>
        <w:tab/>
      </w:r>
      <w:r>
        <w:rPr/>
        <w:t>与资产相关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pStyle w:val="BodyText"/>
        <w:spacing w:line="240" w:lineRule="auto" w:before="107"/>
        <w:ind w:left="181" w:right="-17"/>
        <w:jc w:val="left"/>
      </w:pPr>
      <w:r>
        <w:rPr/>
        <w:t>废纸循环纸</w:t>
      </w:r>
    </w:p>
    <w:p>
      <w:pPr>
        <w:pStyle w:val="BodyText"/>
        <w:spacing w:line="240" w:lineRule="auto" w:before="76"/>
        <w:ind w:left="181" w:right="-17"/>
        <w:jc w:val="left"/>
      </w:pPr>
      <w:r>
        <w:rPr/>
        <w:t>浮雕</w:t>
      </w:r>
      <w:r>
        <w:rPr>
          <w:spacing w:val="-57"/>
        </w:rPr>
        <w:t> </w:t>
      </w:r>
      <w:r>
        <w:rPr>
          <w:rFonts w:ascii="Times New Roman" w:hAnsi="Times New Roman" w:cs="Times New Roman" w:eastAsia="Times New Roman" w:hint="default"/>
        </w:rPr>
        <w:t>3D</w:t>
      </w:r>
      <w:r>
        <w:rPr>
          <w:rFonts w:ascii="Times New Roman" w:hAnsi="Times New Roman" w:cs="Times New Roman" w:eastAsia="Times New Roman" w:hint="default"/>
          <w:spacing w:val="-12"/>
        </w:rPr>
        <w:t> </w:t>
      </w:r>
      <w:r>
        <w:rPr/>
        <w:t>印刷</w:t>
      </w:r>
      <w:r>
        <w:rPr>
          <w:spacing w:val="-33"/>
        </w:rPr>
        <w:t> </w:t>
      </w:r>
      <w:r>
        <w:rPr/>
        <w:t>深圳市龙华</w:t>
      </w:r>
    </w:p>
    <w:p>
      <w:pPr>
        <w:spacing w:line="240" w:lineRule="auto" w:before="6"/>
        <w:rPr>
          <w:rFonts w:ascii="宋体" w:hAnsi="宋体" w:cs="宋体" w:eastAsia="宋体" w:hint="default"/>
          <w:sz w:val="14"/>
          <w:szCs w:val="14"/>
        </w:rPr>
      </w:pPr>
      <w:r>
        <w:rPr/>
        <w:br w:type="column"/>
      </w:r>
      <w:r>
        <w:rPr>
          <w:rFonts w:ascii="宋体"/>
          <w:sz w:val="14"/>
        </w:rPr>
      </w:r>
    </w:p>
    <w:p>
      <w:pPr>
        <w:pStyle w:val="BodyText"/>
        <w:spacing w:line="310" w:lineRule="atLeast"/>
        <w:ind w:left="181" w:right="5473"/>
        <w:jc w:val="left"/>
      </w:pPr>
      <w:r>
        <w:rPr/>
        <w:t>因研究开发、 技术更新及</w:t>
      </w:r>
    </w:p>
    <w:p>
      <w:pPr>
        <w:spacing w:after="0" w:line="310" w:lineRule="atLeast"/>
        <w:jc w:val="left"/>
        <w:sectPr>
          <w:type w:val="continuous"/>
          <w:pgSz w:w="11910" w:h="16840"/>
          <w:pgMar w:top="1060" w:bottom="1180" w:left="980" w:right="980"/>
          <w:cols w:num="2" w:equalWidth="0">
            <w:col w:w="2148" w:space="1044"/>
            <w:col w:w="6758"/>
          </w:cols>
        </w:sectPr>
      </w:pPr>
    </w:p>
    <w:p>
      <w:pPr>
        <w:pStyle w:val="BodyText"/>
        <w:spacing w:line="156" w:lineRule="exact"/>
        <w:ind w:left="181" w:right="-20"/>
        <w:jc w:val="left"/>
      </w:pPr>
      <w:r>
        <w:rPr/>
        <w:t>产品产业化</w:t>
      </w:r>
    </w:p>
    <w:p>
      <w:pPr>
        <w:pStyle w:val="BodyText"/>
        <w:spacing w:line="316" w:lineRule="auto" w:before="76"/>
        <w:ind w:left="181" w:right="-20"/>
        <w:jc w:val="left"/>
      </w:pPr>
      <w:r>
        <w:rPr/>
        <w:t>及市场推广 项目</w:t>
      </w:r>
    </w:p>
    <w:p>
      <w:pPr>
        <w:pStyle w:val="BodyText"/>
        <w:spacing w:line="156" w:lineRule="exact"/>
        <w:ind w:left="125" w:right="-20"/>
        <w:jc w:val="left"/>
      </w:pPr>
      <w:r>
        <w:rPr/>
        <w:br w:type="column"/>
      </w:r>
      <w:r>
        <w:rPr/>
        <w:t>新区文化产</w:t>
      </w:r>
      <w:r>
        <w:rPr>
          <w:spacing w:val="73"/>
        </w:rPr>
        <w:t> </w:t>
      </w:r>
      <w:r>
        <w:rPr/>
        <w:t>补助</w:t>
      </w:r>
    </w:p>
    <w:p>
      <w:pPr>
        <w:pStyle w:val="BodyText"/>
        <w:spacing w:line="240" w:lineRule="auto" w:before="76"/>
        <w:ind w:left="125" w:right="-20"/>
        <w:jc w:val="left"/>
      </w:pPr>
      <w:r>
        <w:rPr/>
        <w:t>业发展办</w:t>
      </w:r>
    </w:p>
    <w:p>
      <w:pPr>
        <w:pStyle w:val="BodyText"/>
        <w:spacing w:line="316" w:lineRule="auto" w:before="76"/>
        <w:ind w:left="181" w:right="-20"/>
        <w:jc w:val="left"/>
      </w:pPr>
      <w:r>
        <w:rPr/>
        <w:br w:type="column"/>
      </w:r>
      <w:r>
        <w:rPr/>
        <w:t>改造等获得 的补助</w:t>
      </w:r>
    </w:p>
    <w:p>
      <w:pPr>
        <w:pStyle w:val="BodyText"/>
        <w:tabs>
          <w:tab w:pos="1186" w:val="left" w:leader="none"/>
          <w:tab w:pos="2535" w:val="left" w:leader="none"/>
          <w:tab w:pos="4373" w:val="left" w:leader="none"/>
        </w:tabs>
        <w:spacing w:line="170" w:lineRule="exact"/>
        <w:ind w:left="123" w:right="0"/>
        <w:jc w:val="left"/>
      </w:pPr>
      <w:r>
        <w:rPr/>
        <w:br w:type="column"/>
      </w:r>
      <w:r>
        <w:rPr/>
        <w:t>否</w:t>
        <w:tab/>
        <w:t>否</w:t>
        <w:tab/>
      </w:r>
      <w:r>
        <w:rPr>
          <w:rFonts w:ascii="Times New Roman" w:hAnsi="Times New Roman" w:cs="Times New Roman" w:eastAsia="Times New Roman" w:hint="default"/>
          <w:spacing w:val="-1"/>
        </w:rPr>
        <w:t>50,000.00</w:t>
        <w:tab/>
      </w:r>
      <w:r>
        <w:rPr/>
        <w:t>与资产相关</w:t>
      </w:r>
    </w:p>
    <w:p>
      <w:pPr>
        <w:spacing w:after="0" w:line="170" w:lineRule="exact"/>
        <w:jc w:val="left"/>
        <w:sectPr>
          <w:type w:val="continuous"/>
          <w:pgSz w:w="11910" w:h="16840"/>
          <w:pgMar w:top="1060" w:bottom="1180" w:left="980" w:right="980"/>
          <w:cols w:num="4" w:equalWidth="0">
            <w:col w:w="1082" w:space="40"/>
            <w:col w:w="1549" w:space="521"/>
            <w:col w:w="1082" w:space="40"/>
            <w:col w:w="5636"/>
          </w:cols>
        </w:sectPr>
      </w:pPr>
    </w:p>
    <w:p>
      <w:pPr>
        <w:pStyle w:val="BodyText"/>
        <w:spacing w:line="240" w:lineRule="auto" w:before="110"/>
        <w:ind w:left="181" w:right="-17"/>
        <w:jc w:val="left"/>
        <w:rPr>
          <w:rFonts w:ascii="Times New Roman" w:hAnsi="Times New Roman" w:cs="Times New Roman" w:eastAsia="Times New Roman" w:hint="default"/>
        </w:rPr>
      </w:pPr>
      <w:r>
        <w:rPr/>
        <w:t>粤</w:t>
      </w:r>
      <w:r>
        <w:rPr>
          <w:spacing w:val="-46"/>
        </w:rPr>
        <w:t> </w:t>
      </w:r>
      <w:r>
        <w:rPr>
          <w:rFonts w:ascii="Times New Roman" w:hAnsi="Times New Roman" w:cs="Times New Roman" w:eastAsia="Times New Roman" w:hint="default"/>
        </w:rPr>
        <w:t>BBS502</w:t>
      </w:r>
    </w:p>
    <w:p>
      <w:pPr>
        <w:pStyle w:val="BodyText"/>
        <w:spacing w:line="309" w:lineRule="auto" w:before="63"/>
        <w:ind w:left="181" w:right="-17"/>
        <w:jc w:val="left"/>
      </w:pPr>
      <w:r>
        <w:rPr/>
        <w:t>第</w:t>
      </w:r>
      <w:r>
        <w:rPr>
          <w:spacing w:val="-45"/>
        </w:rPr>
        <w:t> </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批黄标 车提前淘汰 奖励补贴</w:t>
      </w:r>
    </w:p>
    <w:p>
      <w:pPr>
        <w:pStyle w:val="BodyText"/>
        <w:spacing w:line="310" w:lineRule="atLeast" w:before="35"/>
        <w:ind w:left="1244" w:right="5473"/>
        <w:jc w:val="left"/>
      </w:pPr>
      <w:r>
        <w:rPr/>
        <w:br w:type="column"/>
      </w:r>
      <w:r>
        <w:rPr/>
        <w:t>因研究开发、 技术更新及</w:t>
      </w:r>
    </w:p>
    <w:p>
      <w:pPr>
        <w:pStyle w:val="BodyText"/>
        <w:tabs>
          <w:tab w:pos="2307" w:val="left" w:leader="none"/>
          <w:tab w:pos="3371" w:val="left" w:leader="none"/>
          <w:tab w:pos="4808" w:val="left" w:leader="none"/>
          <w:tab w:pos="6558" w:val="left" w:leader="none"/>
        </w:tabs>
        <w:spacing w:line="151" w:lineRule="auto"/>
        <w:ind w:left="1244" w:right="357" w:hanging="1064"/>
        <w:jc w:val="left"/>
      </w:pPr>
      <w:r>
        <w:rPr/>
        <w:t>奖励</w:t>
        <w:tab/>
        <w:tab/>
        <w:t>否</w:t>
        <w:tab/>
        <w:t>否</w:t>
        <w:tab/>
      </w:r>
      <w:r>
        <w:rPr>
          <w:rFonts w:ascii="Times New Roman" w:hAnsi="Times New Roman" w:cs="Times New Roman" w:eastAsia="Times New Roman" w:hint="default"/>
        </w:rPr>
        <w:t>8,400.00</w:t>
        <w:tab/>
        <w:t> </w:t>
      </w:r>
      <w:r>
        <w:rPr/>
        <w:t>与收益相关 改造等获得</w:t>
      </w:r>
    </w:p>
    <w:p>
      <w:pPr>
        <w:pStyle w:val="BodyText"/>
        <w:spacing w:line="240" w:lineRule="auto" w:before="86"/>
        <w:ind w:left="1244" w:right="5473"/>
        <w:jc w:val="left"/>
      </w:pPr>
      <w:r>
        <w:rPr/>
        <w:t>的补助</w:t>
      </w:r>
    </w:p>
    <w:p>
      <w:pPr>
        <w:spacing w:after="0" w:line="240" w:lineRule="auto"/>
        <w:jc w:val="left"/>
        <w:sectPr>
          <w:type w:val="continuous"/>
          <w:pgSz w:w="11910" w:h="16840"/>
          <w:pgMar w:top="1060" w:bottom="1180" w:left="980" w:right="980"/>
          <w:cols w:num="2" w:equalWidth="0">
            <w:col w:w="1176" w:space="953"/>
            <w:col w:w="7821"/>
          </w:cols>
        </w:sect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316" w:lineRule="auto"/>
        <w:ind w:left="181" w:right="-20"/>
        <w:jc w:val="left"/>
      </w:pPr>
      <w:r>
        <w:rPr/>
        <w:t>专利申请资 助经费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6"/>
          <w:szCs w:val="26"/>
        </w:rPr>
      </w:pPr>
    </w:p>
    <w:p>
      <w:pPr>
        <w:pStyle w:val="BodyText"/>
        <w:spacing w:line="240" w:lineRule="auto"/>
        <w:ind w:left="125" w:right="-20"/>
        <w:jc w:val="left"/>
      </w:pPr>
      <w:r>
        <w:rPr/>
        <w:t>深圳财政局</w:t>
      </w:r>
      <w:r>
        <w:rPr>
          <w:spacing w:val="73"/>
        </w:rPr>
        <w:t> </w:t>
      </w:r>
      <w:r>
        <w:rPr/>
        <w:t>补助</w:t>
      </w:r>
    </w:p>
    <w:p>
      <w:pPr>
        <w:pStyle w:val="BodyText"/>
        <w:spacing w:line="310" w:lineRule="atLeast" w:before="38"/>
        <w:ind w:left="181" w:right="5473"/>
        <w:jc w:val="left"/>
      </w:pPr>
      <w:r>
        <w:rPr/>
        <w:br w:type="column"/>
      </w:r>
      <w:r>
        <w:rPr/>
        <w:t>因研究开发、 技术更新及</w:t>
      </w:r>
    </w:p>
    <w:p>
      <w:pPr>
        <w:pStyle w:val="BodyText"/>
        <w:tabs>
          <w:tab w:pos="2307" w:val="left" w:leader="none"/>
          <w:tab w:pos="3656" w:val="left" w:leader="none"/>
          <w:tab w:pos="5495" w:val="left" w:leader="none"/>
        </w:tabs>
        <w:spacing w:line="123" w:lineRule="exact"/>
        <w:ind w:left="1244" w:right="0"/>
        <w:jc w:val="left"/>
      </w:pPr>
      <w:r>
        <w:rPr/>
        <w:t>否</w:t>
        <w:tab/>
        <w:t>否</w:t>
        <w:tab/>
      </w:r>
      <w:r>
        <w:rPr>
          <w:rFonts w:ascii="Times New Roman" w:hAnsi="Times New Roman" w:cs="Times New Roman" w:eastAsia="Times New Roman" w:hint="default"/>
          <w:spacing w:val="-1"/>
        </w:rPr>
        <w:t>10,000.00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省级专利资 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left="125" w:right="-20"/>
        <w:jc w:val="left"/>
      </w:pPr>
      <w:r>
        <w:rPr/>
        <w:t>深圳财政局</w:t>
      </w:r>
      <w:r>
        <w:rPr>
          <w:spacing w:val="73"/>
        </w:rPr>
        <w:t> </w:t>
      </w:r>
      <w:r>
        <w:rPr/>
        <w:t>补助</w:t>
      </w:r>
    </w:p>
    <w:p>
      <w:pPr>
        <w:pStyle w:val="BodyText"/>
        <w:spacing w:line="312" w:lineRule="exact" w:before="5"/>
        <w:ind w:left="181" w:right="5473"/>
        <w:jc w:val="left"/>
      </w:pPr>
      <w:r>
        <w:rPr/>
        <w:br w:type="column"/>
      </w:r>
      <w:r>
        <w:rPr/>
        <w:t>因研究开发、 技术更新及</w:t>
      </w:r>
    </w:p>
    <w:p>
      <w:pPr>
        <w:pStyle w:val="BodyText"/>
        <w:tabs>
          <w:tab w:pos="2307" w:val="left" w:leader="none"/>
          <w:tab w:pos="3745" w:val="left" w:leader="none"/>
          <w:tab w:pos="5495" w:val="left" w:leader="none"/>
        </w:tabs>
        <w:spacing w:line="86" w:lineRule="exact"/>
        <w:ind w:left="1244" w:right="0"/>
        <w:jc w:val="left"/>
      </w:pPr>
      <w:r>
        <w:rPr/>
        <w:t>否</w:t>
        <w:tab/>
        <w:t>否</w:t>
        <w:tab/>
      </w:r>
      <w:r>
        <w:rPr>
          <w:rFonts w:ascii="Times New Roman" w:hAnsi="Times New Roman" w:cs="Times New Roman" w:eastAsia="Times New Roman" w:hint="default"/>
        </w:rPr>
        <w:t>4,000.00</w:t>
        <w:tab/>
      </w:r>
      <w:r>
        <w:rPr/>
        <w:t>与收益相关</w:t>
      </w:r>
    </w:p>
    <w:p>
      <w:pPr>
        <w:pStyle w:val="BodyText"/>
        <w:spacing w:line="189" w:lineRule="exact"/>
        <w:ind w:left="181" w:right="5473"/>
        <w:jc w:val="left"/>
      </w:pPr>
      <w:r>
        <w:rPr/>
        <w:t>改造等获得</w:t>
      </w:r>
    </w:p>
    <w:p>
      <w:pPr>
        <w:pStyle w:val="BodyText"/>
        <w:spacing w:line="240" w:lineRule="auto" w:before="76"/>
        <w:ind w:left="181" w:right="5473"/>
        <w:jc w:val="left"/>
      </w:pPr>
      <w:r>
        <w:rPr/>
        <w:t>的补助</w:t>
      </w:r>
    </w:p>
    <w:p>
      <w:pPr>
        <w:spacing w:after="0" w:line="240" w:lineRule="auto"/>
        <w:jc w:val="left"/>
        <w:sectPr>
          <w:type w:val="continuous"/>
          <w:pgSz w:w="11910" w:h="16840"/>
          <w:pgMar w:top="1060" w:bottom="1180" w:left="980" w:right="980"/>
          <w:cols w:num="3" w:equalWidth="0">
            <w:col w:w="1082" w:space="40"/>
            <w:col w:w="1549" w:space="521"/>
            <w:col w:w="675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40" w:lineRule="auto"/>
        <w:ind w:left="181" w:right="-19"/>
        <w:jc w:val="left"/>
      </w:pPr>
      <w:r>
        <w:rPr/>
        <w:t>税局退税款  四川财政局</w:t>
      </w:r>
      <w:r>
        <w:rPr>
          <w:spacing w:val="58"/>
        </w:rPr>
        <w:t> </w:t>
      </w:r>
      <w:r>
        <w:rPr/>
        <w:t>补助</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2309" w:val="left" w:leader="none"/>
          <w:tab w:pos="4373" w:val="left" w:leader="none"/>
        </w:tabs>
        <w:spacing w:line="240" w:lineRule="auto"/>
        <w:ind w:left="123" w:right="0"/>
        <w:jc w:val="left"/>
      </w:pPr>
      <w:r>
        <w:rPr/>
        <w:t>否</w:t>
        <w:tab/>
        <w:t>否</w:t>
        <w:tab/>
      </w:r>
      <w:r>
        <w:rPr>
          <w:rFonts w:ascii="Times New Roman" w:hAnsi="Times New Roman" w:cs="Times New Roman" w:eastAsia="Times New Roman" w:hint="default"/>
          <w:spacing w:val="-1"/>
        </w:rPr>
        <w:t>2,239,815.94</w:t>
        <w:tab/>
      </w:r>
      <w:r>
        <w:rPr/>
        <w:t>与收益相关</w:t>
      </w:r>
    </w:p>
    <w:p>
      <w:pPr>
        <w:spacing w:after="0" w:line="240" w:lineRule="auto"/>
        <w:jc w:val="left"/>
        <w:sectPr>
          <w:type w:val="continuous"/>
          <w:pgSz w:w="11910" w:h="16840"/>
          <w:pgMar w:top="1060" w:bottom="1180" w:left="980" w:right="980"/>
          <w:cols w:num="3" w:equalWidth="0">
            <w:col w:w="2671" w:space="521"/>
            <w:col w:w="1082" w:space="40"/>
            <w:col w:w="5636"/>
          </w:cols>
        </w:sectPr>
      </w:pPr>
    </w:p>
    <w:p>
      <w:pPr>
        <w:spacing w:line="240" w:lineRule="auto" w:before="4"/>
        <w:rPr>
          <w:rFonts w:ascii="宋体" w:hAnsi="宋体" w:cs="宋体" w:eastAsia="宋体" w:hint="default"/>
          <w:sz w:val="20"/>
          <w:szCs w:val="20"/>
        </w:rPr>
      </w:pPr>
    </w:p>
    <w:p>
      <w:pPr>
        <w:pStyle w:val="BodyText"/>
        <w:tabs>
          <w:tab w:pos="1691" w:val="left" w:leader="none"/>
          <w:tab w:pos="2754" w:val="left" w:leader="none"/>
          <w:tab w:pos="3817" w:val="left" w:leader="none"/>
          <w:tab w:pos="4880" w:val="left" w:leader="none"/>
          <w:tab w:pos="5943" w:val="left" w:leader="none"/>
          <w:tab w:pos="6623" w:val="left" w:leader="none"/>
        </w:tabs>
        <w:spacing w:line="240" w:lineRule="auto"/>
        <w:ind w:left="181" w:right="-17"/>
        <w:jc w:val="left"/>
        <w:rPr>
          <w:rFonts w:ascii="Times New Roman" w:hAnsi="Times New Roman" w:cs="Times New Roman" w:eastAsia="Times New Roman" w:hint="default"/>
        </w:rPr>
      </w:pPr>
      <w:r>
        <w:rPr/>
        <w:t>合计</w:t>
        <w:tab/>
      </w:r>
      <w:r>
        <w:rPr>
          <w:rFonts w:ascii="Times New Roman" w:hAnsi="Times New Roman" w:cs="Times New Roman" w:eastAsia="Times New Roman" w:hint="default"/>
        </w:rPr>
        <w:t>--</w:t>
        <w:tab/>
        <w:t>--</w:t>
        <w:tab/>
        <w:t>--</w:t>
        <w:tab/>
        <w:t>--</w:t>
        <w:tab/>
        <w:t>--</w:t>
        <w:tab/>
        <w:t>8,493,645.87</w:t>
      </w:r>
    </w:p>
    <w:p>
      <w:pPr>
        <w:pStyle w:val="BodyText"/>
        <w:spacing w:line="181" w:lineRule="exact" w:before="152"/>
        <w:ind w:left="74" w:right="0"/>
        <w:jc w:val="left"/>
        <w:rPr>
          <w:rFonts w:ascii="Times New Roman" w:hAnsi="Times New Roman" w:cs="Times New Roman" w:eastAsia="Times New Roman" w:hint="default"/>
        </w:rPr>
      </w:pPr>
      <w:r>
        <w:rPr/>
        <w:br w:type="column"/>
      </w:r>
      <w:r>
        <w:rPr>
          <w:rFonts w:ascii="Times New Roman"/>
        </w:rPr>
        <w:t>17,398,325.4</w:t>
      </w:r>
    </w:p>
    <w:p>
      <w:pPr>
        <w:pStyle w:val="BodyText"/>
        <w:spacing w:line="156" w:lineRule="exact"/>
        <w:ind w:left="1519" w:right="0"/>
        <w:jc w:val="left"/>
        <w:rPr>
          <w:rFonts w:ascii="Times New Roman" w:hAnsi="Times New Roman" w:cs="Times New Roman" w:eastAsia="Times New Roman" w:hint="default"/>
        </w:rPr>
      </w:pPr>
      <w:r>
        <w:rPr>
          <w:rFonts w:ascii="Times New Roman"/>
        </w:rPr>
        <w:t>--</w:t>
      </w:r>
    </w:p>
    <w:p>
      <w:pPr>
        <w:pStyle w:val="BodyText"/>
        <w:spacing w:line="181" w:lineRule="exact"/>
        <w:ind w:left="910" w:right="1294"/>
        <w:jc w:val="center"/>
        <w:rPr>
          <w:rFonts w:ascii="Times New Roman" w:hAnsi="Times New Roman" w:cs="Times New Roman" w:eastAsia="Times New Roman" w:hint="default"/>
        </w:rPr>
      </w:pPr>
      <w:r>
        <w:rPr>
          <w:rFonts w:ascii="Times New Roman"/>
        </w:rPr>
        <w:t>8</w:t>
      </w:r>
    </w:p>
    <w:p>
      <w:pPr>
        <w:spacing w:after="0" w:line="181" w:lineRule="exact"/>
        <w:jc w:val="center"/>
        <w:rPr>
          <w:rFonts w:ascii="Times New Roman" w:hAnsi="Times New Roman" w:cs="Times New Roman" w:eastAsia="Times New Roman" w:hint="default"/>
        </w:rPr>
        <w:sectPr>
          <w:type w:val="continuous"/>
          <w:pgSz w:w="11910" w:h="16840"/>
          <w:pgMar w:top="1060" w:bottom="1180" w:left="980" w:right="980"/>
          <w:cols w:num="2" w:equalWidth="0">
            <w:col w:w="7572" w:space="40"/>
            <w:col w:w="2338"/>
          </w:cols>
        </w:sectPr>
      </w:pPr>
    </w:p>
    <w:p>
      <w:pPr>
        <w:spacing w:line="240" w:lineRule="auto" w:before="4"/>
        <w:rPr>
          <w:rFonts w:ascii="Times New Roman" w:hAnsi="Times New Roman" w:cs="Times New Roman" w:eastAsia="Times New Roman" w:hint="default"/>
          <w:sz w:val="9"/>
          <w:szCs w:val="9"/>
        </w:rPr>
      </w:pPr>
      <w:r>
        <w:rPr/>
        <w:pict>
          <v:group style="position:absolute;margin-left:56.400002pt;margin-top:71.758484pt;width:478.95pt;height:652.35pt;mso-position-horizontal-relative:page;mso-position-vertical-relative:page;z-index:-944128" coordorigin="1128,1435" coordsize="9579,13047">
            <v:group style="position:absolute;left:1138;top:1445;width:1056;height:2" coordorigin="1138,1445" coordsize="1056,2">
              <v:shape style="position:absolute;left:1138;top:1445;width:1056;height:2" coordorigin="1138,1445" coordsize="1056,0" path="m1138,1445l2194,1445e" filled="false" stroked="true" strokeweight=".481pt" strokecolor="#000000">
                <v:path arrowok="t"/>
              </v:shape>
            </v:group>
            <v:group style="position:absolute;left:2203;top:1445;width:1054;height:2" coordorigin="2203,1445" coordsize="1054,2">
              <v:shape style="position:absolute;left:2203;top:1445;width:1054;height:2" coordorigin="2203,1445" coordsize="1054,0" path="m2203,1445l3257,1445e" filled="false" stroked="true" strokeweight=".481pt" strokecolor="#000000">
                <v:path arrowok="t"/>
              </v:shape>
            </v:group>
            <v:group style="position:absolute;left:3266;top:1445;width:1054;height:2" coordorigin="3266,1445" coordsize="1054,2">
              <v:shape style="position:absolute;left:3266;top:1445;width:1054;height:2" coordorigin="3266,1445" coordsize="1054,0" path="m3266,1445l4320,1445e" filled="false" stroked="true" strokeweight=".481pt" strokecolor="#000000">
                <v:path arrowok="t"/>
              </v:shape>
            </v:group>
            <v:group style="position:absolute;left:4330;top:1445;width:1054;height:2" coordorigin="4330,1445" coordsize="1054,2">
              <v:shape style="position:absolute;left:4330;top:1445;width:1054;height:2" coordorigin="4330,1445" coordsize="1054,0" path="m4330,1445l5383,1445e" filled="false" stroked="true" strokeweight=".481pt" strokecolor="#000000">
                <v:path arrowok="t"/>
              </v:shape>
            </v:group>
            <v:group style="position:absolute;left:5393;top:1445;width:1052;height:2" coordorigin="5393,1445" coordsize="1052,2">
              <v:shape style="position:absolute;left:5393;top:1445;width:1052;height:2" coordorigin="5393,1445" coordsize="1052,0" path="m5393,1445l6444,1445e" filled="false" stroked="true" strokeweight=".481pt" strokecolor="#000000">
                <v:path arrowok="t"/>
              </v:shape>
            </v:group>
            <v:group style="position:absolute;left:6454;top:1445;width:1054;height:2" coordorigin="6454,1445" coordsize="1054,2">
              <v:shape style="position:absolute;left:6454;top:1445;width:1054;height:2" coordorigin="6454,1445" coordsize="1054,0" path="m6454,1445l7507,1445e" filled="false" stroked="true" strokeweight=".481pt" strokecolor="#000000">
                <v:path arrowok="t"/>
              </v:shape>
            </v:group>
            <v:group style="position:absolute;left:7517;top:1445;width:1054;height:2" coordorigin="7517,1445" coordsize="1054,2">
              <v:shape style="position:absolute;left:7517;top:1445;width:1054;height:2" coordorigin="7517,1445" coordsize="1054,0" path="m7517,1445l8570,1445e" filled="false" stroked="true" strokeweight=".481pt" strokecolor="#000000">
                <v:path arrowok="t"/>
              </v:shape>
            </v:group>
            <v:group style="position:absolute;left:8580;top:1445;width:1054;height:2" coordorigin="8580,1445" coordsize="1054,2">
              <v:shape style="position:absolute;left:8580;top:1445;width:1054;height:2" coordorigin="8580,1445" coordsize="1054,0" path="m8580,1445l9634,1445e" filled="false" stroked="true" strokeweight=".481pt" strokecolor="#000000">
                <v:path arrowok="t"/>
              </v:shape>
            </v:group>
            <v:group style="position:absolute;left:9643;top:1445;width:1054;height:2" coordorigin="9643,1445" coordsize="1054,2">
              <v:shape style="position:absolute;left:9643;top:1445;width:1054;height:2" coordorigin="9643,1445" coordsize="1054,0" path="m9643,1445l10697,1445e" filled="false" stroked="true" strokeweight=".481pt" strokecolor="#000000">
                <v:path arrowok="t"/>
              </v:shape>
            </v:group>
            <v:group style="position:absolute;left:5393;top:2436;width:1054;height:468" coordorigin="5393,2436" coordsize="1054,468">
              <v:shape style="position:absolute;left:5393;top:2436;width:1054;height:468" coordorigin="5393,2436" coordsize="1054,468" path="m5393,2904l6446,2904,6446,2436,5393,2436,5393,2904xe" filled="true" fillcolor="#ffffff" stroked="false">
                <v:path arrowok="t"/>
                <v:fill type="solid"/>
              </v:shape>
            </v:group>
            <v:group style="position:absolute;left:1138;top:2431;width:1056;height:2" coordorigin="1138,2431" coordsize="1056,2">
              <v:shape style="position:absolute;left:1138;top:2431;width:1056;height:2" coordorigin="1138,2431" coordsize="1056,0" path="m1138,2431l2194,2431e" filled="false" stroked="true" strokeweight=".481pt" strokecolor="#000000">
                <v:path arrowok="t"/>
              </v:shape>
            </v:group>
            <v:group style="position:absolute;left:2203;top:2431;width:1054;height:2" coordorigin="2203,2431" coordsize="1054,2">
              <v:shape style="position:absolute;left:2203;top:2431;width:1054;height:2" coordorigin="2203,2431" coordsize="1054,0" path="m2203,2431l3257,2431e" filled="false" stroked="true" strokeweight=".481pt" strokecolor="#000000">
                <v:path arrowok="t"/>
              </v:shape>
            </v:group>
            <v:group style="position:absolute;left:3266;top:2431;width:1054;height:2" coordorigin="3266,2431" coordsize="1054,2">
              <v:shape style="position:absolute;left:3266;top:2431;width:1054;height:2" coordorigin="3266,2431" coordsize="1054,0" path="m3266,2431l4320,2431e" filled="false" stroked="true" strokeweight=".481pt" strokecolor="#000000">
                <v:path arrowok="t"/>
              </v:shape>
            </v:group>
            <v:group style="position:absolute;left:4330;top:2431;width:1054;height:2" coordorigin="4330,2431" coordsize="1054,2">
              <v:shape style="position:absolute;left:4330;top:2431;width:1054;height:2" coordorigin="4330,2431" coordsize="1054,0" path="m4330,2431l5383,2431e" filled="false" stroked="true" strokeweight=".481pt" strokecolor="#000000">
                <v:path arrowok="t"/>
              </v:shape>
            </v:group>
            <v:group style="position:absolute;left:5393;top:2431;width:1052;height:2" coordorigin="5393,2431" coordsize="1052,2">
              <v:shape style="position:absolute;left:5393;top:2431;width:1052;height:2" coordorigin="5393,2431" coordsize="1052,0" path="m5393,2431l6444,2431e" filled="false" stroked="true" strokeweight=".481pt" strokecolor="#000000">
                <v:path arrowok="t"/>
              </v:shape>
            </v:group>
            <v:group style="position:absolute;left:6454;top:2431;width:1054;height:2" coordorigin="6454,2431" coordsize="1054,2">
              <v:shape style="position:absolute;left:6454;top:2431;width:1054;height:2" coordorigin="6454,2431" coordsize="1054,0" path="m6454,2431l7507,2431e" filled="false" stroked="true" strokeweight=".481pt" strokecolor="#000000">
                <v:path arrowok="t"/>
              </v:shape>
            </v:group>
            <v:group style="position:absolute;left:7517;top:2431;width:1054;height:2" coordorigin="7517,2431" coordsize="1054,2">
              <v:shape style="position:absolute;left:7517;top:2431;width:1054;height:2" coordorigin="7517,2431" coordsize="1054,0" path="m7517,2431l8570,2431e" filled="false" stroked="true" strokeweight=".481pt" strokecolor="#000000">
                <v:path arrowok="t"/>
              </v:shape>
            </v:group>
            <v:group style="position:absolute;left:8580;top:2431;width:1054;height:2" coordorigin="8580,2431" coordsize="1054,2">
              <v:shape style="position:absolute;left:8580;top:2431;width:1054;height:2" coordorigin="8580,2431" coordsize="1054,0" path="m8580,2431l9634,2431e" filled="false" stroked="true" strokeweight=".481pt" strokecolor="#000000">
                <v:path arrowok="t"/>
              </v:shape>
            </v:group>
            <v:group style="position:absolute;left:9643;top:2431;width:1054;height:2" coordorigin="9643,2431" coordsize="1054,2">
              <v:shape style="position:absolute;left:9643;top:2431;width:1054;height:2" coordorigin="9643,2431" coordsize="1054,0" path="m9643,2431l10697,2431e" filled="false" stroked="true" strokeweight=".481pt" strokecolor="#000000">
                <v:path arrowok="t"/>
              </v:shape>
            </v:group>
            <v:group style="position:absolute;left:5393;top:3773;width:1054;height:468" coordorigin="5393,3773" coordsize="1054,468">
              <v:shape style="position:absolute;left:5393;top:3773;width:1054;height:468" coordorigin="5393,3773" coordsize="1054,468" path="m5393,4241l6446,4241,6446,3773,5393,3773,5393,4241xe" filled="true" fillcolor="#ffffff" stroked="false">
                <v:path arrowok="t"/>
                <v:fill type="solid"/>
              </v:shape>
            </v:group>
            <v:group style="position:absolute;left:1138;top:3768;width:1056;height:2" coordorigin="1138,3768" coordsize="1056,2">
              <v:shape style="position:absolute;left:1138;top:3768;width:1056;height:2" coordorigin="1138,3768" coordsize="1056,0" path="m1138,3768l2194,3768e" filled="false" stroked="true" strokeweight=".48pt" strokecolor="#000000">
                <v:path arrowok="t"/>
              </v:shape>
            </v:group>
            <v:group style="position:absolute;left:2203;top:3768;width:1054;height:2" coordorigin="2203,3768" coordsize="1054,2">
              <v:shape style="position:absolute;left:2203;top:3768;width:1054;height:2" coordorigin="2203,3768" coordsize="1054,0" path="m2203,3768l3257,3768e" filled="false" stroked="true" strokeweight=".48pt" strokecolor="#000000">
                <v:path arrowok="t"/>
              </v:shape>
            </v:group>
            <v:group style="position:absolute;left:3266;top:3768;width:1054;height:2" coordorigin="3266,3768" coordsize="1054,2">
              <v:shape style="position:absolute;left:3266;top:3768;width:1054;height:2" coordorigin="3266,3768" coordsize="1054,0" path="m3266,3768l4320,3768e" filled="false" stroked="true" strokeweight=".48pt" strokecolor="#000000">
                <v:path arrowok="t"/>
              </v:shape>
            </v:group>
            <v:group style="position:absolute;left:4330;top:3768;width:1054;height:2" coordorigin="4330,3768" coordsize="1054,2">
              <v:shape style="position:absolute;left:4330;top:3768;width:1054;height:2" coordorigin="4330,3768" coordsize="1054,0" path="m4330,3768l5383,3768e" filled="false" stroked="true" strokeweight=".48pt" strokecolor="#000000">
                <v:path arrowok="t"/>
              </v:shape>
            </v:group>
            <v:group style="position:absolute;left:5393;top:3768;width:1052;height:2" coordorigin="5393,3768" coordsize="1052,2">
              <v:shape style="position:absolute;left:5393;top:3768;width:1052;height:2" coordorigin="5393,3768" coordsize="1052,0" path="m5393,3768l6444,3768e" filled="false" stroked="true" strokeweight=".48pt" strokecolor="#000000">
                <v:path arrowok="t"/>
              </v:shape>
            </v:group>
            <v:group style="position:absolute;left:6454;top:3768;width:1054;height:2" coordorigin="6454,3768" coordsize="1054,2">
              <v:shape style="position:absolute;left:6454;top:3768;width:1054;height:2" coordorigin="6454,3768" coordsize="1054,0" path="m6454,3768l7507,3768e" filled="false" stroked="true" strokeweight=".48pt" strokecolor="#000000">
                <v:path arrowok="t"/>
              </v:shape>
            </v:group>
            <v:group style="position:absolute;left:7517;top:3768;width:1054;height:2" coordorigin="7517,3768" coordsize="1054,2">
              <v:shape style="position:absolute;left:7517;top:3768;width:1054;height:2" coordorigin="7517,3768" coordsize="1054,0" path="m7517,3768l8570,3768e" filled="false" stroked="true" strokeweight=".48pt" strokecolor="#000000">
                <v:path arrowok="t"/>
              </v:shape>
            </v:group>
            <v:group style="position:absolute;left:8580;top:3768;width:1054;height:2" coordorigin="8580,3768" coordsize="1054,2">
              <v:shape style="position:absolute;left:8580;top:3768;width:1054;height:2" coordorigin="8580,3768" coordsize="1054,0" path="m8580,3768l9634,3768e" filled="false" stroked="true" strokeweight=".48pt" strokecolor="#000000">
                <v:path arrowok="t"/>
              </v:shape>
            </v:group>
            <v:group style="position:absolute;left:9643;top:3768;width:1054;height:2" coordorigin="9643,3768" coordsize="1054,2">
              <v:shape style="position:absolute;left:9643;top:3768;width:1054;height:2" coordorigin="9643,3768" coordsize="1054,0" path="m9643,3768l10697,3768e" filled="false" stroked="true" strokeweight=".48pt" strokecolor="#000000">
                <v:path arrowok="t"/>
              </v:shape>
            </v:group>
            <v:group style="position:absolute;left:5393;top:5112;width:1054;height:468" coordorigin="5393,5112" coordsize="1054,468">
              <v:shape style="position:absolute;left:5393;top:5112;width:1054;height:468" coordorigin="5393,5112" coordsize="1054,468" path="m5393,5580l6446,5580,6446,5112,5393,5112,5393,5580xe" filled="true" fillcolor="#ffffff" stroked="false">
                <v:path arrowok="t"/>
                <v:fill type="solid"/>
              </v:shape>
            </v:group>
            <v:group style="position:absolute;left:1138;top:5107;width:1056;height:2" coordorigin="1138,5107" coordsize="1056,2">
              <v:shape style="position:absolute;left:1138;top:5107;width:1056;height:2" coordorigin="1138,5107" coordsize="1056,0" path="m1138,5107l2194,5107e" filled="false" stroked="true" strokeweight=".48pt" strokecolor="#000000">
                <v:path arrowok="t"/>
              </v:shape>
            </v:group>
            <v:group style="position:absolute;left:2203;top:5107;width:1054;height:2" coordorigin="2203,5107" coordsize="1054,2">
              <v:shape style="position:absolute;left:2203;top:5107;width:1054;height:2" coordorigin="2203,5107" coordsize="1054,0" path="m2203,5107l3257,5107e" filled="false" stroked="true" strokeweight=".48pt" strokecolor="#000000">
                <v:path arrowok="t"/>
              </v:shape>
            </v:group>
            <v:group style="position:absolute;left:3266;top:5107;width:1054;height:2" coordorigin="3266,5107" coordsize="1054,2">
              <v:shape style="position:absolute;left:3266;top:5107;width:1054;height:2" coordorigin="3266,5107" coordsize="1054,0" path="m3266,5107l4320,5107e" filled="false" stroked="true" strokeweight=".48pt" strokecolor="#000000">
                <v:path arrowok="t"/>
              </v:shape>
            </v:group>
            <v:group style="position:absolute;left:4330;top:5107;width:1054;height:2" coordorigin="4330,5107" coordsize="1054,2">
              <v:shape style="position:absolute;left:4330;top:5107;width:1054;height:2" coordorigin="4330,5107" coordsize="1054,0" path="m4330,5107l5383,5107e" filled="false" stroked="true" strokeweight=".48pt" strokecolor="#000000">
                <v:path arrowok="t"/>
              </v:shape>
            </v:group>
            <v:group style="position:absolute;left:5393;top:5107;width:1052;height:2" coordorigin="5393,5107" coordsize="1052,2">
              <v:shape style="position:absolute;left:5393;top:5107;width:1052;height:2" coordorigin="5393,5107" coordsize="1052,0" path="m5393,5107l6444,5107e" filled="false" stroked="true" strokeweight=".48pt" strokecolor="#000000">
                <v:path arrowok="t"/>
              </v:shape>
            </v:group>
            <v:group style="position:absolute;left:6454;top:5107;width:1054;height:2" coordorigin="6454,5107" coordsize="1054,2">
              <v:shape style="position:absolute;left:6454;top:5107;width:1054;height:2" coordorigin="6454,5107" coordsize="1054,0" path="m6454,5107l7507,5107e" filled="false" stroked="true" strokeweight=".48pt" strokecolor="#000000">
                <v:path arrowok="t"/>
              </v:shape>
            </v:group>
            <v:group style="position:absolute;left:7517;top:5107;width:1054;height:2" coordorigin="7517,5107" coordsize="1054,2">
              <v:shape style="position:absolute;left:7517;top:5107;width:1054;height:2" coordorigin="7517,5107" coordsize="1054,0" path="m7517,5107l8570,5107e" filled="false" stroked="true" strokeweight=".48pt" strokecolor="#000000">
                <v:path arrowok="t"/>
              </v:shape>
            </v:group>
            <v:group style="position:absolute;left:8580;top:5107;width:1054;height:2" coordorigin="8580,5107" coordsize="1054,2">
              <v:shape style="position:absolute;left:8580;top:5107;width:1054;height:2" coordorigin="8580,5107" coordsize="1054,0" path="m8580,5107l9634,5107e" filled="false" stroked="true" strokeweight=".48pt" strokecolor="#000000">
                <v:path arrowok="t"/>
              </v:shape>
            </v:group>
            <v:group style="position:absolute;left:9643;top:5107;width:1054;height:2" coordorigin="9643,5107" coordsize="1054,2">
              <v:shape style="position:absolute;left:9643;top:5107;width:1054;height:2" coordorigin="9643,5107" coordsize="1054,0" path="m9643,5107l10697,5107e" filled="false" stroked="true" strokeweight=".48pt" strokecolor="#000000">
                <v:path arrowok="t"/>
              </v:shape>
            </v:group>
            <v:group style="position:absolute;left:5393;top:6449;width:1054;height:624" coordorigin="5393,6449" coordsize="1054,624">
              <v:shape style="position:absolute;left:5393;top:6449;width:1054;height:624" coordorigin="5393,6449" coordsize="1054,624" path="m5393,7073l6446,7073,6446,6449,5393,6449,5393,7073xe" filled="true" fillcolor="#ffffff" stroked="false">
                <v:path arrowok="t"/>
                <v:fill type="solid"/>
              </v:shape>
            </v:group>
            <v:group style="position:absolute;left:1138;top:6444;width:1056;height:2" coordorigin="1138,6444" coordsize="1056,2">
              <v:shape style="position:absolute;left:1138;top:6444;width:1056;height:2" coordorigin="1138,6444" coordsize="1056,0" path="m1138,6444l2194,6444e" filled="false" stroked="true" strokeweight=".48pt" strokecolor="#000000">
                <v:path arrowok="t"/>
              </v:shape>
            </v:group>
            <v:group style="position:absolute;left:2203;top:6444;width:1054;height:2" coordorigin="2203,6444" coordsize="1054,2">
              <v:shape style="position:absolute;left:2203;top:6444;width:1054;height:2" coordorigin="2203,6444" coordsize="1054,0" path="m2203,6444l3257,6444e" filled="false" stroked="true" strokeweight=".48pt" strokecolor="#000000">
                <v:path arrowok="t"/>
              </v:shape>
            </v:group>
            <v:group style="position:absolute;left:3266;top:6444;width:1054;height:2" coordorigin="3266,6444" coordsize="1054,2">
              <v:shape style="position:absolute;left:3266;top:6444;width:1054;height:2" coordorigin="3266,6444" coordsize="1054,0" path="m3266,6444l4320,6444e" filled="false" stroked="true" strokeweight=".48pt" strokecolor="#000000">
                <v:path arrowok="t"/>
              </v:shape>
            </v:group>
            <v:group style="position:absolute;left:4330;top:6444;width:1054;height:2" coordorigin="4330,6444" coordsize="1054,2">
              <v:shape style="position:absolute;left:4330;top:6444;width:1054;height:2" coordorigin="4330,6444" coordsize="1054,0" path="m4330,6444l5383,6444e" filled="false" stroked="true" strokeweight=".48pt" strokecolor="#000000">
                <v:path arrowok="t"/>
              </v:shape>
            </v:group>
            <v:group style="position:absolute;left:5393;top:6444;width:1052;height:2" coordorigin="5393,6444" coordsize="1052,2">
              <v:shape style="position:absolute;left:5393;top:6444;width:1052;height:2" coordorigin="5393,6444" coordsize="1052,0" path="m5393,6444l6444,6444e" filled="false" stroked="true" strokeweight=".48pt" strokecolor="#000000">
                <v:path arrowok="t"/>
              </v:shape>
            </v:group>
            <v:group style="position:absolute;left:6454;top:6444;width:1054;height:2" coordorigin="6454,6444" coordsize="1054,2">
              <v:shape style="position:absolute;left:6454;top:6444;width:1054;height:2" coordorigin="6454,6444" coordsize="1054,0" path="m6454,6444l7507,6444e" filled="false" stroked="true" strokeweight=".48pt" strokecolor="#000000">
                <v:path arrowok="t"/>
              </v:shape>
            </v:group>
            <v:group style="position:absolute;left:7517;top:6444;width:1054;height:2" coordorigin="7517,6444" coordsize="1054,2">
              <v:shape style="position:absolute;left:7517;top:6444;width:1054;height:2" coordorigin="7517,6444" coordsize="1054,0" path="m7517,6444l8570,6444e" filled="false" stroked="true" strokeweight=".48pt" strokecolor="#000000">
                <v:path arrowok="t"/>
              </v:shape>
            </v:group>
            <v:group style="position:absolute;left:8580;top:6444;width:1054;height:2" coordorigin="8580,6444" coordsize="1054,2">
              <v:shape style="position:absolute;left:8580;top:6444;width:1054;height:2" coordorigin="8580,6444" coordsize="1054,0" path="m8580,6444l9634,6444e" filled="false" stroked="true" strokeweight=".48pt" strokecolor="#000000">
                <v:path arrowok="t"/>
              </v:shape>
            </v:group>
            <v:group style="position:absolute;left:9643;top:6444;width:1054;height:2" coordorigin="9643,6444" coordsize="1054,2">
              <v:shape style="position:absolute;left:9643;top:6444;width:1054;height:2" coordorigin="9643,6444" coordsize="1054,0" path="m9643,6444l10697,6444e" filled="false" stroked="true" strokeweight=".48pt" strokecolor="#000000">
                <v:path arrowok="t"/>
              </v:shape>
            </v:group>
            <v:group style="position:absolute;left:5393;top:8100;width:1054;height:468" coordorigin="5393,8100" coordsize="1054,468">
              <v:shape style="position:absolute;left:5393;top:8100;width:1054;height:468" coordorigin="5393,8100" coordsize="1054,468" path="m5393,8568l6446,8568,6446,8100,5393,8100,5393,8568xe" filled="true" fillcolor="#ffffff" stroked="false">
                <v:path arrowok="t"/>
                <v:fill type="solid"/>
              </v:shape>
            </v:group>
            <v:group style="position:absolute;left:1138;top:8095;width:1056;height:2" coordorigin="1138,8095" coordsize="1056,2">
              <v:shape style="position:absolute;left:1138;top:8095;width:1056;height:2" coordorigin="1138,8095" coordsize="1056,0" path="m1138,8095l2194,8095e" filled="false" stroked="true" strokeweight=".48pt" strokecolor="#000000">
                <v:path arrowok="t"/>
              </v:shape>
            </v:group>
            <v:group style="position:absolute;left:2203;top:8095;width:1054;height:2" coordorigin="2203,8095" coordsize="1054,2">
              <v:shape style="position:absolute;left:2203;top:8095;width:1054;height:2" coordorigin="2203,8095" coordsize="1054,0" path="m2203,8095l3257,8095e" filled="false" stroked="true" strokeweight=".48pt" strokecolor="#000000">
                <v:path arrowok="t"/>
              </v:shape>
            </v:group>
            <v:group style="position:absolute;left:3266;top:8095;width:1054;height:2" coordorigin="3266,8095" coordsize="1054,2">
              <v:shape style="position:absolute;left:3266;top:8095;width:1054;height:2" coordorigin="3266,8095" coordsize="1054,0" path="m3266,8095l4320,8095e" filled="false" stroked="true" strokeweight=".48pt" strokecolor="#000000">
                <v:path arrowok="t"/>
              </v:shape>
            </v:group>
            <v:group style="position:absolute;left:4330;top:8095;width:1054;height:2" coordorigin="4330,8095" coordsize="1054,2">
              <v:shape style="position:absolute;left:4330;top:8095;width:1054;height:2" coordorigin="4330,8095" coordsize="1054,0" path="m4330,8095l5383,8095e" filled="false" stroked="true" strokeweight=".48pt" strokecolor="#000000">
                <v:path arrowok="t"/>
              </v:shape>
            </v:group>
            <v:group style="position:absolute;left:5393;top:8095;width:1052;height:2" coordorigin="5393,8095" coordsize="1052,2">
              <v:shape style="position:absolute;left:5393;top:8095;width:1052;height:2" coordorigin="5393,8095" coordsize="1052,0" path="m5393,8095l6444,8095e" filled="false" stroked="true" strokeweight=".48pt" strokecolor="#000000">
                <v:path arrowok="t"/>
              </v:shape>
            </v:group>
            <v:group style="position:absolute;left:6454;top:8095;width:1054;height:2" coordorigin="6454,8095" coordsize="1054,2">
              <v:shape style="position:absolute;left:6454;top:8095;width:1054;height:2" coordorigin="6454,8095" coordsize="1054,0" path="m6454,8095l7507,8095e" filled="false" stroked="true" strokeweight=".48pt" strokecolor="#000000">
                <v:path arrowok="t"/>
              </v:shape>
            </v:group>
            <v:group style="position:absolute;left:7517;top:8095;width:1054;height:2" coordorigin="7517,8095" coordsize="1054,2">
              <v:shape style="position:absolute;left:7517;top:8095;width:1054;height:2" coordorigin="7517,8095" coordsize="1054,0" path="m7517,8095l8570,8095e" filled="false" stroked="true" strokeweight=".48pt" strokecolor="#000000">
                <v:path arrowok="t"/>
              </v:shape>
            </v:group>
            <v:group style="position:absolute;left:8580;top:8095;width:1054;height:2" coordorigin="8580,8095" coordsize="1054,2">
              <v:shape style="position:absolute;left:8580;top:8095;width:1054;height:2" coordorigin="8580,8095" coordsize="1054,0" path="m8580,8095l9634,8095e" filled="false" stroked="true" strokeweight=".48pt" strokecolor="#000000">
                <v:path arrowok="t"/>
              </v:shape>
            </v:group>
            <v:group style="position:absolute;left:9643;top:8095;width:1054;height:2" coordorigin="9643,8095" coordsize="1054,2">
              <v:shape style="position:absolute;left:9643;top:8095;width:1054;height:2" coordorigin="9643,8095" coordsize="1054,0" path="m9643,8095l10697,8095e" filled="false" stroked="true" strokeweight=".48pt" strokecolor="#000000">
                <v:path arrowok="t"/>
              </v:shape>
            </v:group>
            <v:group style="position:absolute;left:5393;top:9437;width:1054;height:468" coordorigin="5393,9437" coordsize="1054,468">
              <v:shape style="position:absolute;left:5393;top:9437;width:1054;height:468" coordorigin="5393,9437" coordsize="1054,468" path="m5393,9905l6446,9905,6446,9437,5393,9437,5393,9905xe" filled="true" fillcolor="#ffffff" stroked="false">
                <v:path arrowok="t"/>
                <v:fill type="solid"/>
              </v:shape>
            </v:group>
            <v:group style="position:absolute;left:1138;top:9432;width:1056;height:2" coordorigin="1138,9432" coordsize="1056,2">
              <v:shape style="position:absolute;left:1138;top:9432;width:1056;height:2" coordorigin="1138,9432" coordsize="1056,0" path="m1138,9432l2194,9432e" filled="false" stroked="true" strokeweight=".48pt" strokecolor="#000000">
                <v:path arrowok="t"/>
              </v:shape>
            </v:group>
            <v:group style="position:absolute;left:2203;top:9432;width:1054;height:2" coordorigin="2203,9432" coordsize="1054,2">
              <v:shape style="position:absolute;left:2203;top:9432;width:1054;height:2" coordorigin="2203,9432" coordsize="1054,0" path="m2203,9432l3257,9432e" filled="false" stroked="true" strokeweight=".48pt" strokecolor="#000000">
                <v:path arrowok="t"/>
              </v:shape>
            </v:group>
            <v:group style="position:absolute;left:3266;top:9432;width:1054;height:2" coordorigin="3266,9432" coordsize="1054,2">
              <v:shape style="position:absolute;left:3266;top:9432;width:1054;height:2" coordorigin="3266,9432" coordsize="1054,0" path="m3266,9432l4320,9432e" filled="false" stroked="true" strokeweight=".48pt" strokecolor="#000000">
                <v:path arrowok="t"/>
              </v:shape>
            </v:group>
            <v:group style="position:absolute;left:4330;top:9432;width:1054;height:2" coordorigin="4330,9432" coordsize="1054,2">
              <v:shape style="position:absolute;left:4330;top:9432;width:1054;height:2" coordorigin="4330,9432" coordsize="1054,0" path="m4330,9432l5383,9432e" filled="false" stroked="true" strokeweight=".48pt" strokecolor="#000000">
                <v:path arrowok="t"/>
              </v:shape>
            </v:group>
            <v:group style="position:absolute;left:5393;top:9432;width:1052;height:2" coordorigin="5393,9432" coordsize="1052,2">
              <v:shape style="position:absolute;left:5393;top:9432;width:1052;height:2" coordorigin="5393,9432" coordsize="1052,0" path="m5393,9432l6444,9432e" filled="false" stroked="true" strokeweight=".48pt" strokecolor="#000000">
                <v:path arrowok="t"/>
              </v:shape>
            </v:group>
            <v:group style="position:absolute;left:6454;top:9432;width:1054;height:2" coordorigin="6454,9432" coordsize="1054,2">
              <v:shape style="position:absolute;left:6454;top:9432;width:1054;height:2" coordorigin="6454,9432" coordsize="1054,0" path="m6454,9432l7507,9432e" filled="false" stroked="true" strokeweight=".48pt" strokecolor="#000000">
                <v:path arrowok="t"/>
              </v:shape>
            </v:group>
            <v:group style="position:absolute;left:7517;top:9432;width:1054;height:2" coordorigin="7517,9432" coordsize="1054,2">
              <v:shape style="position:absolute;left:7517;top:9432;width:1054;height:2" coordorigin="7517,9432" coordsize="1054,0" path="m7517,9432l8570,9432e" filled="false" stroked="true" strokeweight=".48pt" strokecolor="#000000">
                <v:path arrowok="t"/>
              </v:shape>
            </v:group>
            <v:group style="position:absolute;left:8580;top:9432;width:1054;height:2" coordorigin="8580,9432" coordsize="1054,2">
              <v:shape style="position:absolute;left:8580;top:9432;width:1054;height:2" coordorigin="8580,9432" coordsize="1054,0" path="m8580,9432l9634,9432e" filled="false" stroked="true" strokeweight=".48pt" strokecolor="#000000">
                <v:path arrowok="t"/>
              </v:shape>
            </v:group>
            <v:group style="position:absolute;left:9643;top:9432;width:1054;height:2" coordorigin="9643,9432" coordsize="1054,2">
              <v:shape style="position:absolute;left:9643;top:9432;width:1054;height:2" coordorigin="9643,9432" coordsize="1054,0" path="m9643,9432l10697,9432e" filled="false" stroked="true" strokeweight=".48pt" strokecolor="#000000">
                <v:path arrowok="t"/>
              </v:shape>
            </v:group>
            <v:group style="position:absolute;left:5393;top:10776;width:1054;height:468" coordorigin="5393,10776" coordsize="1054,468">
              <v:shape style="position:absolute;left:5393;top:10776;width:1054;height:468" coordorigin="5393,10776" coordsize="1054,468" path="m5393,11244l6446,11244,6446,10776,5393,10776,5393,11244xe" filled="true" fillcolor="#ffffff" stroked="false">
                <v:path arrowok="t"/>
                <v:fill type="solid"/>
              </v:shape>
            </v:group>
            <v:group style="position:absolute;left:1138;top:10771;width:1056;height:2" coordorigin="1138,10771" coordsize="1056,2">
              <v:shape style="position:absolute;left:1138;top:10771;width:1056;height:2" coordorigin="1138,10771" coordsize="1056,0" path="m1138,10771l2194,10771e" filled="false" stroked="true" strokeweight=".48pt" strokecolor="#000000">
                <v:path arrowok="t"/>
              </v:shape>
            </v:group>
            <v:group style="position:absolute;left:2203;top:10771;width:1054;height:2" coordorigin="2203,10771" coordsize="1054,2">
              <v:shape style="position:absolute;left:2203;top:10771;width:1054;height:2" coordorigin="2203,10771" coordsize="1054,0" path="m2203,10771l3257,10771e" filled="false" stroked="true" strokeweight=".48pt" strokecolor="#000000">
                <v:path arrowok="t"/>
              </v:shape>
            </v:group>
            <v:group style="position:absolute;left:3266;top:10771;width:1054;height:2" coordorigin="3266,10771" coordsize="1054,2">
              <v:shape style="position:absolute;left:3266;top:10771;width:1054;height:2" coordorigin="3266,10771" coordsize="1054,0" path="m3266,10771l4320,10771e" filled="false" stroked="true" strokeweight=".48pt" strokecolor="#000000">
                <v:path arrowok="t"/>
              </v:shape>
            </v:group>
            <v:group style="position:absolute;left:4330;top:10771;width:1054;height:2" coordorigin="4330,10771" coordsize="1054,2">
              <v:shape style="position:absolute;left:4330;top:10771;width:1054;height:2" coordorigin="4330,10771" coordsize="1054,0" path="m4330,10771l5383,10771e" filled="false" stroked="true" strokeweight=".48pt" strokecolor="#000000">
                <v:path arrowok="t"/>
              </v:shape>
            </v:group>
            <v:group style="position:absolute;left:5393;top:10771;width:1052;height:2" coordorigin="5393,10771" coordsize="1052,2">
              <v:shape style="position:absolute;left:5393;top:10771;width:1052;height:2" coordorigin="5393,10771" coordsize="1052,0" path="m5393,10771l6444,10771e" filled="false" stroked="true" strokeweight=".48pt" strokecolor="#000000">
                <v:path arrowok="t"/>
              </v:shape>
            </v:group>
            <v:group style="position:absolute;left:6454;top:10771;width:1054;height:2" coordorigin="6454,10771" coordsize="1054,2">
              <v:shape style="position:absolute;left:6454;top:10771;width:1054;height:2" coordorigin="6454,10771" coordsize="1054,0" path="m6454,10771l7507,10771e" filled="false" stroked="true" strokeweight=".48pt" strokecolor="#000000">
                <v:path arrowok="t"/>
              </v:shape>
            </v:group>
            <v:group style="position:absolute;left:7517;top:10771;width:1054;height:2" coordorigin="7517,10771" coordsize="1054,2">
              <v:shape style="position:absolute;left:7517;top:10771;width:1054;height:2" coordorigin="7517,10771" coordsize="1054,0" path="m7517,10771l8570,10771e" filled="false" stroked="true" strokeweight=".48pt" strokecolor="#000000">
                <v:path arrowok="t"/>
              </v:shape>
            </v:group>
            <v:group style="position:absolute;left:8580;top:10771;width:1054;height:2" coordorigin="8580,10771" coordsize="1054,2">
              <v:shape style="position:absolute;left:8580;top:10771;width:1054;height:2" coordorigin="8580,10771" coordsize="1054,0" path="m8580,10771l9634,10771e" filled="false" stroked="true" strokeweight=".48pt" strokecolor="#000000">
                <v:path arrowok="t"/>
              </v:shape>
            </v:group>
            <v:group style="position:absolute;left:9643;top:10771;width:1054;height:2" coordorigin="9643,10771" coordsize="1054,2">
              <v:shape style="position:absolute;left:9643;top:10771;width:1054;height:2" coordorigin="9643,10771" coordsize="1054,0" path="m9643,10771l10697,10771e" filled="false" stroked="true" strokeweight=".48pt" strokecolor="#000000">
                <v:path arrowok="t"/>
              </v:shape>
            </v:group>
            <v:group style="position:absolute;left:1138;top:12108;width:1056;height:2" coordorigin="1138,12108" coordsize="1056,2">
              <v:shape style="position:absolute;left:1138;top:12108;width:1056;height:2" coordorigin="1138,12108" coordsize="1056,0" path="m1138,12108l2194,12108e" filled="false" stroked="true" strokeweight=".481pt" strokecolor="#000000">
                <v:path arrowok="t"/>
              </v:shape>
            </v:group>
            <v:group style="position:absolute;left:2203;top:12108;width:1054;height:2" coordorigin="2203,12108" coordsize="1054,2">
              <v:shape style="position:absolute;left:2203;top:12108;width:1054;height:2" coordorigin="2203,12108" coordsize="1054,0" path="m2203,12108l3257,12108e" filled="false" stroked="true" strokeweight=".481pt" strokecolor="#000000">
                <v:path arrowok="t"/>
              </v:shape>
            </v:group>
            <v:group style="position:absolute;left:3266;top:12108;width:1054;height:2" coordorigin="3266,12108" coordsize="1054,2">
              <v:shape style="position:absolute;left:3266;top:12108;width:1054;height:2" coordorigin="3266,12108" coordsize="1054,0" path="m3266,12108l4320,12108e" filled="false" stroked="true" strokeweight=".481pt" strokecolor="#000000">
                <v:path arrowok="t"/>
              </v:shape>
            </v:group>
            <v:group style="position:absolute;left:4330;top:12108;width:1054;height:2" coordorigin="4330,12108" coordsize="1054,2">
              <v:shape style="position:absolute;left:4330;top:12108;width:1054;height:2" coordorigin="4330,12108" coordsize="1054,0" path="m4330,12108l5383,12108e" filled="false" stroked="true" strokeweight=".481pt" strokecolor="#000000">
                <v:path arrowok="t"/>
              </v:shape>
            </v:group>
            <v:group style="position:absolute;left:5393;top:12108;width:1052;height:2" coordorigin="5393,12108" coordsize="1052,2">
              <v:shape style="position:absolute;left:5393;top:12108;width:1052;height:2" coordorigin="5393,12108" coordsize="1052,0" path="m5393,12108l6444,12108e" filled="false" stroked="true" strokeweight=".481pt" strokecolor="#000000">
                <v:path arrowok="t"/>
              </v:shape>
            </v:group>
            <v:group style="position:absolute;left:6454;top:12108;width:1054;height:2" coordorigin="6454,12108" coordsize="1054,2">
              <v:shape style="position:absolute;left:6454;top:12108;width:1054;height:2" coordorigin="6454,12108" coordsize="1054,0" path="m6454,12108l7507,12108e" filled="false" stroked="true" strokeweight=".481pt" strokecolor="#000000">
                <v:path arrowok="t"/>
              </v:shape>
            </v:group>
            <v:group style="position:absolute;left:7517;top:12108;width:1054;height:2" coordorigin="7517,12108" coordsize="1054,2">
              <v:shape style="position:absolute;left:7517;top:12108;width:1054;height:2" coordorigin="7517,12108" coordsize="1054,0" path="m7517,12108l8570,12108e" filled="false" stroked="true" strokeweight=".481pt" strokecolor="#000000">
                <v:path arrowok="t"/>
              </v:shape>
            </v:group>
            <v:group style="position:absolute;left:8580;top:12108;width:1054;height:2" coordorigin="8580,12108" coordsize="1054,2">
              <v:shape style="position:absolute;left:8580;top:12108;width:1054;height:2" coordorigin="8580,12108" coordsize="1054,0" path="m8580,12108l9634,12108e" filled="false" stroked="true" strokeweight=".481pt" strokecolor="#000000">
                <v:path arrowok="t"/>
              </v:shape>
            </v:group>
            <v:group style="position:absolute;left:9643;top:12108;width:1054;height:2" coordorigin="9643,12108" coordsize="1054,2">
              <v:shape style="position:absolute;left:9643;top:12108;width:1054;height:2" coordorigin="9643,12108" coordsize="1054,0" path="m9643,12108l10697,12108e" filled="false" stroked="true" strokeweight=".481pt" strokecolor="#000000">
                <v:path arrowok="t"/>
              </v:shape>
            </v:group>
            <v:group style="position:absolute;left:1140;top:13764;width:1054;height:156" coordorigin="1140,13764" coordsize="1054,156">
              <v:shape style="position:absolute;left:1140;top:13764;width:1054;height:156" coordorigin="1140,13764" coordsize="1054,156" path="m1140,13920l2194,13920,2194,13764,1140,13764,1140,13920xe" filled="true" fillcolor="#d4d4d4" stroked="false">
                <v:path arrowok="t"/>
                <v:fill type="solid"/>
              </v:shape>
            </v:group>
            <v:group style="position:absolute;left:1151;top:13920;width:2;height:392" coordorigin="1151,13920" coordsize="2,392">
              <v:shape style="position:absolute;left:1151;top:13920;width:2;height:392" coordorigin="1151,13920" coordsize="0,392" path="m1151,13920l1151,14311e" filled="false" stroked="true" strokeweight="1.08pt" strokecolor="#d4d4d4">
                <v:path arrowok="t"/>
              </v:shape>
            </v:group>
            <v:group style="position:absolute;left:2183;top:13920;width:2;height:392" coordorigin="2183,13920" coordsize="2,392">
              <v:shape style="position:absolute;left:2183;top:13920;width:2;height:392" coordorigin="2183,13920" coordsize="0,392" path="m2183,13920l2183,14311e" filled="false" stroked="true" strokeweight="1.08pt" strokecolor="#d4d4d4">
                <v:path arrowok="t"/>
              </v:shape>
            </v:group>
            <v:group style="position:absolute;left:1140;top:14311;width:1054;height:156" coordorigin="1140,14311" coordsize="1054,156">
              <v:shape style="position:absolute;left:1140;top:14311;width:1054;height:156" coordorigin="1140,14311" coordsize="1054,156" path="m1140,14467l2194,14467,2194,14311,1140,14311,1140,14467xe" filled="true" fillcolor="#d4d4d4" stroked="false">
                <v:path arrowok="t"/>
                <v:fill type="solid"/>
              </v:shape>
            </v:group>
            <v:group style="position:absolute;left:1162;top:13920;width:1011;height:392" coordorigin="1162,13920" coordsize="1011,392">
              <v:shape style="position:absolute;left:1162;top:13920;width:1011;height:392" coordorigin="1162,13920" coordsize="1011,392" path="m1162,14311l2172,14311,2172,13920,1162,13920,1162,14311xe" filled="true" fillcolor="#d4d4d4" stroked="false">
                <v:path arrowok="t"/>
                <v:fill type="solid"/>
              </v:shape>
            </v:group>
            <v:group style="position:absolute;left:2203;top:13764;width:1054;height:156" coordorigin="2203,13764" coordsize="1054,156">
              <v:shape style="position:absolute;left:2203;top:13764;width:1054;height:156" coordorigin="2203,13764" coordsize="1054,156" path="m2203,13920l3257,13920,3257,13764,2203,13764,2203,13920xe" filled="true" fillcolor="#d4d4d4" stroked="false">
                <v:path arrowok="t"/>
                <v:fill type="solid"/>
              </v:shape>
            </v:group>
            <v:group style="position:absolute;left:2215;top:13920;width:2;height:392" coordorigin="2215,13920" coordsize="2,392">
              <v:shape style="position:absolute;left:2215;top:13920;width:2;height:392" coordorigin="2215,13920" coordsize="0,392" path="m2215,13920l2215,14311e" filled="false" stroked="true" strokeweight="1.2pt" strokecolor="#d4d4d4">
                <v:path arrowok="t"/>
              </v:shape>
            </v:group>
            <v:group style="position:absolute;left:3245;top:13920;width:2;height:392" coordorigin="3245,13920" coordsize="2,392">
              <v:shape style="position:absolute;left:3245;top:13920;width:2;height:392" coordorigin="3245,13920" coordsize="0,392" path="m3245,13920l3245,14311e" filled="false" stroked="true" strokeweight="1.2pt" strokecolor="#d4d4d4">
                <v:path arrowok="t"/>
              </v:shape>
            </v:group>
            <v:group style="position:absolute;left:2203;top:14311;width:1054;height:156" coordorigin="2203,14311" coordsize="1054,156">
              <v:shape style="position:absolute;left:2203;top:14311;width:1054;height:156" coordorigin="2203,14311" coordsize="1054,156" path="m2203,14467l3257,14467,3257,14311,2203,14311,2203,14467xe" filled="true" fillcolor="#d4d4d4" stroked="false">
                <v:path arrowok="t"/>
                <v:fill type="solid"/>
              </v:shape>
            </v:group>
            <v:group style="position:absolute;left:2227;top:13920;width:1006;height:392" coordorigin="2227,13920" coordsize="1006,392">
              <v:shape style="position:absolute;left:2227;top:13920;width:1006;height:392" coordorigin="2227,13920" coordsize="1006,392" path="m2227,14311l3233,14311,3233,13920,2227,13920,2227,14311xe" filled="true" fillcolor="#d4d4d4" stroked="false">
                <v:path arrowok="t"/>
                <v:fill type="solid"/>
              </v:shape>
            </v:group>
            <v:group style="position:absolute;left:3266;top:13764;width:1054;height:156" coordorigin="3266,13764" coordsize="1054,156">
              <v:shape style="position:absolute;left:3266;top:13764;width:1054;height:156" coordorigin="3266,13764" coordsize="1054,156" path="m3266,13920l4320,13920,4320,13764,3266,13764,3266,13920xe" filled="true" fillcolor="#d4d4d4" stroked="false">
                <v:path arrowok="t"/>
                <v:fill type="solid"/>
              </v:shape>
            </v:group>
            <v:group style="position:absolute;left:3278;top:13920;width:2;height:392" coordorigin="3278,13920" coordsize="2,392">
              <v:shape style="position:absolute;left:3278;top:13920;width:2;height:392" coordorigin="3278,13920" coordsize="0,392" path="m3278,13920l3278,14311e" filled="false" stroked="true" strokeweight="1.2pt" strokecolor="#d4d4d4">
                <v:path arrowok="t"/>
              </v:shape>
            </v:group>
            <v:group style="position:absolute;left:4308;top:13920;width:2;height:392" coordorigin="4308,13920" coordsize="2,392">
              <v:shape style="position:absolute;left:4308;top:13920;width:2;height:392" coordorigin="4308,13920" coordsize="0,392" path="m4308,13920l4308,14311e" filled="false" stroked="true" strokeweight="1.2pt" strokecolor="#d4d4d4">
                <v:path arrowok="t"/>
              </v:shape>
            </v:group>
            <v:group style="position:absolute;left:3266;top:14311;width:1054;height:156" coordorigin="3266,14311" coordsize="1054,156">
              <v:shape style="position:absolute;left:3266;top:14311;width:1054;height:156" coordorigin="3266,14311" coordsize="1054,156" path="m3266,14467l4320,14467,4320,14311,3266,14311,3266,14467xe" filled="true" fillcolor="#d4d4d4" stroked="false">
                <v:path arrowok="t"/>
                <v:fill type="solid"/>
              </v:shape>
            </v:group>
            <v:group style="position:absolute;left:3290;top:13920;width:1006;height:392" coordorigin="3290,13920" coordsize="1006,392">
              <v:shape style="position:absolute;left:3290;top:13920;width:1006;height:392" coordorigin="3290,13920" coordsize="1006,392" path="m3290,14311l4296,14311,4296,13920,3290,13920,3290,14311xe" filled="true" fillcolor="#d4d4d4" stroked="false">
                <v:path arrowok="t"/>
                <v:fill type="solid"/>
              </v:shape>
            </v:group>
            <v:group style="position:absolute;left:4330;top:13764;width:1054;height:156" coordorigin="4330,13764" coordsize="1054,156">
              <v:shape style="position:absolute;left:4330;top:13764;width:1054;height:156" coordorigin="4330,13764" coordsize="1054,156" path="m4330,13920l5383,13920,5383,13764,4330,13764,4330,13920xe" filled="true" fillcolor="#d4d4d4" stroked="false">
                <v:path arrowok="t"/>
                <v:fill type="solid"/>
              </v:shape>
            </v:group>
            <v:group style="position:absolute;left:4342;top:13920;width:2;height:392" coordorigin="4342,13920" coordsize="2,392">
              <v:shape style="position:absolute;left:4342;top:13920;width:2;height:392" coordorigin="4342,13920" coordsize="0,392" path="m4342,13920l4342,14311e" filled="false" stroked="true" strokeweight="1.2pt" strokecolor="#d4d4d4">
                <v:path arrowok="t"/>
              </v:shape>
            </v:group>
            <v:group style="position:absolute;left:5371;top:13920;width:2;height:392" coordorigin="5371,13920" coordsize="2,392">
              <v:shape style="position:absolute;left:5371;top:13920;width:2;height:392" coordorigin="5371,13920" coordsize="0,392" path="m5371,13920l5371,14311e" filled="false" stroked="true" strokeweight="1.2pt" strokecolor="#d4d4d4">
                <v:path arrowok="t"/>
              </v:shape>
            </v:group>
            <v:group style="position:absolute;left:4330;top:14311;width:1054;height:156" coordorigin="4330,14311" coordsize="1054,156">
              <v:shape style="position:absolute;left:4330;top:14311;width:1054;height:156" coordorigin="4330,14311" coordsize="1054,156" path="m4330,14467l5383,14467,5383,14311,4330,14311,4330,14467xe" filled="true" fillcolor="#d4d4d4" stroked="false">
                <v:path arrowok="t"/>
                <v:fill type="solid"/>
              </v:shape>
            </v:group>
            <v:group style="position:absolute;left:4354;top:13920;width:1006;height:392" coordorigin="4354,13920" coordsize="1006,392">
              <v:shape style="position:absolute;left:4354;top:13920;width:1006;height:392" coordorigin="4354,13920" coordsize="1006,392" path="m4354,14311l5359,14311,5359,13920,4354,13920,4354,14311xe" filled="true" fillcolor="#d4d4d4" stroked="false">
                <v:path arrowok="t"/>
                <v:fill type="solid"/>
              </v:shape>
            </v:group>
            <v:group style="position:absolute;left:5393;top:13764;width:1054;height:156" coordorigin="5393,13764" coordsize="1054,156">
              <v:shape style="position:absolute;left:5393;top:13764;width:1054;height:156" coordorigin="5393,13764" coordsize="1054,156" path="m5393,13920l6446,13920,6446,13764,5393,13764,5393,13920xe" filled="true" fillcolor="#d4d4d4" stroked="false">
                <v:path arrowok="t"/>
                <v:fill type="solid"/>
              </v:shape>
            </v:group>
            <v:group style="position:absolute;left:5405;top:13920;width:2;height:392" coordorigin="5405,13920" coordsize="2,392">
              <v:shape style="position:absolute;left:5405;top:13920;width:2;height:392" coordorigin="5405,13920" coordsize="0,392" path="m5405,13920l5405,14311e" filled="false" stroked="true" strokeweight="1.2pt" strokecolor="#d4d4d4">
                <v:path arrowok="t"/>
              </v:shape>
            </v:group>
            <v:group style="position:absolute;left:6434;top:13920;width:2;height:392" coordorigin="6434,13920" coordsize="2,392">
              <v:shape style="position:absolute;left:6434;top:13920;width:2;height:392" coordorigin="6434,13920" coordsize="0,392" path="m6434,13920l6434,14311e" filled="false" stroked="true" strokeweight="1.2pt" strokecolor="#d4d4d4">
                <v:path arrowok="t"/>
              </v:shape>
            </v:group>
            <v:group style="position:absolute;left:5393;top:14311;width:1054;height:156" coordorigin="5393,14311" coordsize="1054,156">
              <v:shape style="position:absolute;left:5393;top:14311;width:1054;height:156" coordorigin="5393,14311" coordsize="1054,156" path="m5393,14467l6446,14467,6446,14311,5393,14311,5393,14467xe" filled="true" fillcolor="#d4d4d4" stroked="false">
                <v:path arrowok="t"/>
                <v:fill type="solid"/>
              </v:shape>
            </v:group>
            <v:group style="position:absolute;left:5417;top:13920;width:1006;height:392" coordorigin="5417,13920" coordsize="1006,392">
              <v:shape style="position:absolute;left:5417;top:13920;width:1006;height:392" coordorigin="5417,13920" coordsize="1006,392" path="m5417,14311l6422,14311,6422,13920,5417,13920,5417,14311xe" filled="true" fillcolor="#d4d4d4" stroked="false">
                <v:path arrowok="t"/>
                <v:fill type="solid"/>
              </v:shape>
            </v:group>
            <v:group style="position:absolute;left:6456;top:13764;width:1054;height:156" coordorigin="6456,13764" coordsize="1054,156">
              <v:shape style="position:absolute;left:6456;top:13764;width:1054;height:156" coordorigin="6456,13764" coordsize="1054,156" path="m6456,13920l7510,13920,7510,13764,6456,13764,6456,13920xe" filled="true" fillcolor="#d4d4d4" stroked="false">
                <v:path arrowok="t"/>
                <v:fill type="solid"/>
              </v:shape>
            </v:group>
            <v:group style="position:absolute;left:6468;top:13920;width:2;height:392" coordorigin="6468,13920" coordsize="2,392">
              <v:shape style="position:absolute;left:6468;top:13920;width:2;height:392" coordorigin="6468,13920" coordsize="0,392" path="m6468,13920l6468,14311e" filled="false" stroked="true" strokeweight="1.2pt" strokecolor="#d4d4d4">
                <v:path arrowok="t"/>
              </v:shape>
            </v:group>
            <v:group style="position:absolute;left:7498;top:13920;width:2;height:392" coordorigin="7498,13920" coordsize="2,392">
              <v:shape style="position:absolute;left:7498;top:13920;width:2;height:392" coordorigin="7498,13920" coordsize="0,392" path="m7498,13920l7498,14311e" filled="false" stroked="true" strokeweight="1.2pt" strokecolor="#d4d4d4">
                <v:path arrowok="t"/>
              </v:shape>
            </v:group>
            <v:group style="position:absolute;left:6456;top:14311;width:1054;height:156" coordorigin="6456,14311" coordsize="1054,156">
              <v:shape style="position:absolute;left:6456;top:14311;width:1054;height:156" coordorigin="6456,14311" coordsize="1054,156" path="m6456,14467l7510,14467,7510,14311,6456,14311,6456,14467xe" filled="true" fillcolor="#d4d4d4" stroked="false">
                <v:path arrowok="t"/>
                <v:fill type="solid"/>
              </v:shape>
            </v:group>
            <v:group style="position:absolute;left:6480;top:13920;width:1006;height:392" coordorigin="6480,13920" coordsize="1006,392">
              <v:shape style="position:absolute;left:6480;top:13920;width:1006;height:392" coordorigin="6480,13920" coordsize="1006,392" path="m6480,14311l7486,14311,7486,13920,6480,13920,6480,14311xe" filled="true" fillcolor="#d4d4d4" stroked="false">
                <v:path arrowok="t"/>
                <v:fill type="solid"/>
              </v:shape>
            </v:group>
            <v:group style="position:absolute;left:1138;top:13759;width:1056;height:2" coordorigin="1138,13759" coordsize="1056,2">
              <v:shape style="position:absolute;left:1138;top:13759;width:1056;height:2" coordorigin="1138,13759" coordsize="1056,0" path="m1138,13759l2194,13759e" filled="false" stroked="true" strokeweight=".48pt" strokecolor="#000000">
                <v:path arrowok="t"/>
              </v:shape>
            </v:group>
            <v:group style="position:absolute;left:2203;top:13759;width:1054;height:2" coordorigin="2203,13759" coordsize="1054,2">
              <v:shape style="position:absolute;left:2203;top:13759;width:1054;height:2" coordorigin="2203,13759" coordsize="1054,0" path="m2203,13759l3257,13759e" filled="false" stroked="true" strokeweight=".48pt" strokecolor="#000000">
                <v:path arrowok="t"/>
              </v:shape>
            </v:group>
            <v:group style="position:absolute;left:3266;top:13759;width:1054;height:2" coordorigin="3266,13759" coordsize="1054,2">
              <v:shape style="position:absolute;left:3266;top:13759;width:1054;height:2" coordorigin="3266,13759" coordsize="1054,0" path="m3266,13759l4320,13759e" filled="false" stroked="true" strokeweight=".48pt" strokecolor="#000000">
                <v:path arrowok="t"/>
              </v:shape>
            </v:group>
            <v:group style="position:absolute;left:4330;top:13759;width:1054;height:2" coordorigin="4330,13759" coordsize="1054,2">
              <v:shape style="position:absolute;left:4330;top:13759;width:1054;height:2" coordorigin="4330,13759" coordsize="1054,0" path="m4330,13759l5383,13759e" filled="false" stroked="true" strokeweight=".48pt" strokecolor="#000000">
                <v:path arrowok="t"/>
              </v:shape>
            </v:group>
            <v:group style="position:absolute;left:5393;top:13759;width:1052;height:2" coordorigin="5393,13759" coordsize="1052,2">
              <v:shape style="position:absolute;left:5393;top:13759;width:1052;height:2" coordorigin="5393,13759" coordsize="1052,0" path="m5393,13759l6444,13759e" filled="false" stroked="true" strokeweight=".48pt" strokecolor="#000000">
                <v:path arrowok="t"/>
              </v:shape>
            </v:group>
            <v:group style="position:absolute;left:6454;top:13759;width:1054;height:2" coordorigin="6454,13759" coordsize="1054,2">
              <v:shape style="position:absolute;left:6454;top:13759;width:1054;height:2" coordorigin="6454,13759" coordsize="1054,0" path="m6454,13759l7507,13759e" filled="false" stroked="true" strokeweight=".48pt" strokecolor="#000000">
                <v:path arrowok="t"/>
              </v:shape>
            </v:group>
            <v:group style="position:absolute;left:7517;top:13759;width:1054;height:2" coordorigin="7517,13759" coordsize="1054,2">
              <v:shape style="position:absolute;left:7517;top:13759;width:1054;height:2" coordorigin="7517,13759" coordsize="1054,0" path="m7517,13759l8570,13759e" filled="false" stroked="true" strokeweight=".48pt" strokecolor="#000000">
                <v:path arrowok="t"/>
              </v:shape>
            </v:group>
            <v:group style="position:absolute;left:9646;top:13764;width:1052;height:156" coordorigin="9646,13764" coordsize="1052,156">
              <v:shape style="position:absolute;left:9646;top:13764;width:1052;height:156" coordorigin="9646,13764" coordsize="1052,156" path="m9646,13920l10697,13920,10697,13764,9646,13764,9646,13920xe" filled="true" fillcolor="#d4d4d4" stroked="false">
                <v:path arrowok="t"/>
                <v:fill type="solid"/>
              </v:shape>
            </v:group>
            <v:group style="position:absolute;left:9656;top:13920;width:2;height:392" coordorigin="9656,13920" coordsize="2,392">
              <v:shape style="position:absolute;left:9656;top:13920;width:2;height:392" coordorigin="9656,13920" coordsize="0,392" path="m9656,13920l9656,14311e" filled="false" stroked="true" strokeweight="1.08pt" strokecolor="#d4d4d4">
                <v:path arrowok="t"/>
              </v:shape>
            </v:group>
            <v:group style="position:absolute;left:10686;top:13920;width:2;height:392" coordorigin="10686,13920" coordsize="2,392">
              <v:shape style="position:absolute;left:10686;top:13920;width:2;height:392" coordorigin="10686,13920" coordsize="0,392" path="m10686,13920l10686,14311e" filled="false" stroked="true" strokeweight="1.08pt" strokecolor="#d4d4d4">
                <v:path arrowok="t"/>
              </v:shape>
            </v:group>
            <v:group style="position:absolute;left:9646;top:14311;width:1052;height:156" coordorigin="9646,14311" coordsize="1052,156">
              <v:shape style="position:absolute;left:9646;top:14311;width:1052;height:156" coordorigin="9646,14311" coordsize="1052,156" path="m9646,14467l10697,14467,10697,14311,9646,14311,9646,14467xe" filled="true" fillcolor="#d4d4d4" stroked="false">
                <v:path arrowok="t"/>
                <v:fill type="solid"/>
              </v:shape>
            </v:group>
            <v:group style="position:absolute;left:9667;top:13920;width:1008;height:392" coordorigin="9667,13920" coordsize="1008,392">
              <v:shape style="position:absolute;left:9667;top:13920;width:1008;height:392" coordorigin="9667,13920" coordsize="1008,392" path="m9667,14311l10675,14311,10675,13920,9667,13920,9667,14311xe" filled="true" fillcolor="#d4d4d4" stroked="false">
                <v:path arrowok="t"/>
                <v:fill type="solid"/>
              </v:shape>
            </v:group>
            <v:group style="position:absolute;left:8580;top:13759;width:1054;height:2" coordorigin="8580,13759" coordsize="1054,2">
              <v:shape style="position:absolute;left:8580;top:13759;width:1054;height:2" coordorigin="8580,13759" coordsize="1054,0" path="m8580,13759l9634,13759e" filled="false" stroked="true" strokeweight=".48pt" strokecolor="#000000">
                <v:path arrowok="t"/>
              </v:shape>
            </v:group>
            <v:group style="position:absolute;left:9643;top:13759;width:1054;height:2" coordorigin="9643,13759" coordsize="1054,2">
              <v:shape style="position:absolute;left:9643;top:13759;width:1054;height:2" coordorigin="9643,13759" coordsize="1054,0" path="m9643,13759l10697,13759e" filled="false" stroked="true" strokeweight=".48pt" strokecolor="#000000">
                <v:path arrowok="t"/>
              </v:shape>
            </v:group>
            <v:group style="position:absolute;left:1133;top:1440;width:2;height:13037" coordorigin="1133,1440" coordsize="2,13037">
              <v:shape style="position:absolute;left:1133;top:1440;width:2;height:13037" coordorigin="1133,1440" coordsize="0,13037" path="m1133,1440l1133,14477e" filled="false" stroked="true" strokeweight=".48pt" strokecolor="#000000">
                <v:path arrowok="t"/>
              </v:shape>
            </v:group>
            <v:group style="position:absolute;left:1138;top:14472;width:1056;height:2" coordorigin="1138,14472" coordsize="1056,2">
              <v:shape style="position:absolute;left:1138;top:14472;width:1056;height:2" coordorigin="1138,14472" coordsize="1056,0" path="m1138,14472l2194,14472e" filled="false" stroked="true" strokeweight=".48pt" strokecolor="#000000">
                <v:path arrowok="t"/>
              </v:shape>
            </v:group>
            <v:group style="position:absolute;left:2198;top:1440;width:2;height:13037" coordorigin="2198,1440" coordsize="2,13037">
              <v:shape style="position:absolute;left:2198;top:1440;width:2;height:13037" coordorigin="2198,1440" coordsize="0,13037" path="m2198,1440l2198,14477e" filled="false" stroked="true" strokeweight=".48pt" strokecolor="#000000">
                <v:path arrowok="t"/>
              </v:shape>
            </v:group>
            <v:group style="position:absolute;left:2203;top:14472;width:1054;height:2" coordorigin="2203,14472" coordsize="1054,2">
              <v:shape style="position:absolute;left:2203;top:14472;width:1054;height:2" coordorigin="2203,14472" coordsize="1054,0" path="m2203,14472l3257,14472e" filled="false" stroked="true" strokeweight=".48pt" strokecolor="#000000">
                <v:path arrowok="t"/>
              </v:shape>
            </v:group>
            <v:group style="position:absolute;left:3262;top:1440;width:2;height:13037" coordorigin="3262,1440" coordsize="2,13037">
              <v:shape style="position:absolute;left:3262;top:1440;width:2;height:13037" coordorigin="3262,1440" coordsize="0,13037" path="m3262,1440l3262,14477e" filled="false" stroked="true" strokeweight=".481pt" strokecolor="#000000">
                <v:path arrowok="t"/>
              </v:shape>
            </v:group>
            <v:group style="position:absolute;left:3266;top:14472;width:1054;height:2" coordorigin="3266,14472" coordsize="1054,2">
              <v:shape style="position:absolute;left:3266;top:14472;width:1054;height:2" coordorigin="3266,14472" coordsize="1054,0" path="m3266,14472l4320,14472e" filled="false" stroked="true" strokeweight=".48pt" strokecolor="#000000">
                <v:path arrowok="t"/>
              </v:shape>
            </v:group>
            <v:group style="position:absolute;left:4325;top:1440;width:2;height:13037" coordorigin="4325,1440" coordsize="2,13037">
              <v:shape style="position:absolute;left:4325;top:1440;width:2;height:13037" coordorigin="4325,1440" coordsize="0,13037" path="m4325,1440l4325,14477e" filled="false" stroked="true" strokeweight=".48pt" strokecolor="#000000">
                <v:path arrowok="t"/>
              </v:shape>
            </v:group>
            <v:group style="position:absolute;left:4330;top:14472;width:1054;height:2" coordorigin="4330,14472" coordsize="1054,2">
              <v:shape style="position:absolute;left:4330;top:14472;width:1054;height:2" coordorigin="4330,14472" coordsize="1054,0" path="m4330,14472l5383,14472e" filled="false" stroked="true" strokeweight=".48pt" strokecolor="#000000">
                <v:path arrowok="t"/>
              </v:shape>
            </v:group>
            <v:group style="position:absolute;left:5388;top:1440;width:2;height:13037" coordorigin="5388,1440" coordsize="2,13037">
              <v:shape style="position:absolute;left:5388;top:1440;width:2;height:13037" coordorigin="5388,1440" coordsize="0,13037" path="m5388,1440l5388,14477e" filled="false" stroked="true" strokeweight=".48pt" strokecolor="#000000">
                <v:path arrowok="t"/>
              </v:shape>
            </v:group>
            <v:group style="position:absolute;left:5393;top:14472;width:1052;height:2" coordorigin="5393,14472" coordsize="1052,2">
              <v:shape style="position:absolute;left:5393;top:14472;width:1052;height:2" coordorigin="5393,14472" coordsize="1052,0" path="m5393,14472l6444,14472e" filled="false" stroked="true" strokeweight=".48pt" strokecolor="#000000">
                <v:path arrowok="t"/>
              </v:shape>
            </v:group>
            <v:group style="position:absolute;left:6449;top:1440;width:2;height:13037" coordorigin="6449,1440" coordsize="2,13037">
              <v:shape style="position:absolute;left:6449;top:1440;width:2;height:13037" coordorigin="6449,1440" coordsize="0,13037" path="m6449,1440l6449,14477e" filled="false" stroked="true" strokeweight=".48pt" strokecolor="#000000">
                <v:path arrowok="t"/>
              </v:shape>
            </v:group>
            <v:group style="position:absolute;left:6454;top:14472;width:1054;height:2" coordorigin="6454,14472" coordsize="1054,2">
              <v:shape style="position:absolute;left:6454;top:14472;width:1054;height:2" coordorigin="6454,14472" coordsize="1054,0" path="m6454,14472l7507,14472e" filled="false" stroked="true" strokeweight=".48pt" strokecolor="#000000">
                <v:path arrowok="t"/>
              </v:shape>
            </v:group>
            <v:group style="position:absolute;left:7512;top:1440;width:2;height:13037" coordorigin="7512,1440" coordsize="2,13037">
              <v:shape style="position:absolute;left:7512;top:1440;width:2;height:13037" coordorigin="7512,1440" coordsize="0,13037" path="m7512,1440l7512,14477e" filled="false" stroked="true" strokeweight=".48pt" strokecolor="#000000">
                <v:path arrowok="t"/>
              </v:shape>
            </v:group>
            <v:group style="position:absolute;left:7517;top:14472;width:1054;height:2" coordorigin="7517,14472" coordsize="1054,2">
              <v:shape style="position:absolute;left:7517;top:14472;width:1054;height:2" coordorigin="7517,14472" coordsize="1054,0" path="m7517,14472l8570,14472e" filled="false" stroked="true" strokeweight=".48pt" strokecolor="#000000">
                <v:path arrowok="t"/>
              </v:shape>
            </v:group>
            <v:group style="position:absolute;left:8575;top:1440;width:2;height:13037" coordorigin="8575,1440" coordsize="2,13037">
              <v:shape style="position:absolute;left:8575;top:1440;width:2;height:13037" coordorigin="8575,1440" coordsize="0,13037" path="m8575,1440l8575,14477e" filled="false" stroked="true" strokeweight=".481pt" strokecolor="#000000">
                <v:path arrowok="t"/>
              </v:shape>
            </v:group>
            <v:group style="position:absolute;left:8580;top:14472;width:1054;height:2" coordorigin="8580,14472" coordsize="1054,2">
              <v:shape style="position:absolute;left:8580;top:14472;width:1054;height:2" coordorigin="8580,14472" coordsize="1054,0" path="m8580,14472l9634,14472e" filled="false" stroked="true" strokeweight=".48pt" strokecolor="#000000">
                <v:path arrowok="t"/>
              </v:shape>
            </v:group>
            <v:group style="position:absolute;left:9638;top:1440;width:2;height:13037" coordorigin="9638,1440" coordsize="2,13037">
              <v:shape style="position:absolute;left:9638;top:1440;width:2;height:13037" coordorigin="9638,1440" coordsize="0,13037" path="m9638,1440l9638,14477e" filled="false" stroked="true" strokeweight=".48pt" strokecolor="#000000">
                <v:path arrowok="t"/>
              </v:shape>
            </v:group>
            <v:group style="position:absolute;left:9643;top:14472;width:1054;height:2" coordorigin="9643,14472" coordsize="1054,2">
              <v:shape style="position:absolute;left:9643;top:14472;width:1054;height:2" coordorigin="9643,14472" coordsize="1054,0" path="m9643,14472l10697,14472e" filled="false" stroked="true" strokeweight=".48pt" strokecolor="#000000">
                <v:path arrowok="t"/>
              </v:shape>
            </v:group>
            <v:group style="position:absolute;left:10702;top:1440;width:2;height:13037" coordorigin="10702,1440" coordsize="2,13037">
              <v:shape style="position:absolute;left:10702;top:1440;width:2;height:13037" coordorigin="10702,1440" coordsize="0,13037" path="m10702,1440l10702,14477e" filled="false" stroked="true" strokeweight=".48pt" strokecolor="#000000">
                <v:path arrowok="t"/>
              </v:shape>
            </v:group>
            <w10:wrap type="none"/>
          </v:group>
        </w:pict>
      </w:r>
    </w:p>
    <w:p>
      <w:pPr>
        <w:pStyle w:val="BodyText"/>
        <w:spacing w:line="360" w:lineRule="auto" w:before="44"/>
        <w:ind w:right="8874"/>
        <w:jc w:val="left"/>
      </w:pPr>
      <w:r>
        <w:rPr/>
        <w:t>其他说明： 无</w:t>
      </w:r>
    </w:p>
    <w:p>
      <w:pPr>
        <w:spacing w:after="0" w:line="36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44、营业外支出" w:id="327"/>
      <w:bookmarkEnd w:id="327"/>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5"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4D4D4"/>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5"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534,958.50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534,958.50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534,958.50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534,958.50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728,007.77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288,730.96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728,007.77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1,475,966.27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423,730.96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1,475,966.27</w:t>
            </w:r>
            <w:r>
              <w:rPr>
                <w:rFonts w:ascii="Times New Roman"/>
                <w:sz w:val="18"/>
              </w:rPr>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5、所得税费用" w:id="328"/>
      <w:bookmarkEnd w:id="328"/>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9"/>
      <w:bookmarkEnd w:id="32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30,751,583.64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45,555,269.15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4,347,256.17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349,057.19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35,098,839.81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45,904,326.34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30"/>
      <w:bookmarkEnd w:id="33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251,178,857.83</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37,676,828.68</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1,155,208.45</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-98,127.54</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-12,521,293.29</w:t>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11,336,968.75</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-1,451,433.29</w:t>
            </w:r>
            <w:r>
              <w:rPr>
                <w:rFonts w:ascii="Times New Roman"/>
                <w:sz w:val="18"/>
              </w:rPr>
            </w:r>
          </w:p>
        </w:tc>
      </w:tr>
      <w:tr>
        <w:trPr>
          <w:trHeight w:val="713"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2,376,824.06</w:t>
            </w:r>
            <w:r>
              <w:rPr>
                <w:rFonts w:ascii="Times New Roman"/>
                <w:sz w:val="18"/>
              </w:rPr>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-3,376,136.01</w:t>
            </w:r>
            <w:r>
              <w:rPr>
                <w:rFonts w:ascii="Times New Roman"/>
                <w:sz w:val="18"/>
              </w:rPr>
            </w: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35,098,839.81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9054"/>
        <w:jc w:val="left"/>
      </w:pPr>
      <w:r>
        <w:rPr/>
        <w:t>其他说明 无</w:t>
      </w:r>
    </w:p>
    <w:p>
      <w:pPr>
        <w:spacing w:line="240" w:lineRule="auto" w:before="4"/>
        <w:rPr>
          <w:rFonts w:ascii="宋体" w:hAnsi="宋体" w:cs="宋体" w:eastAsia="宋体" w:hint="default"/>
          <w:sz w:val="20"/>
          <w:szCs w:val="20"/>
        </w:rPr>
      </w:pPr>
    </w:p>
    <w:p>
      <w:pPr>
        <w:spacing w:line="544" w:lineRule="auto" w:before="0"/>
        <w:ind w:left="152" w:right="6446" w:firstLine="0"/>
        <w:jc w:val="left"/>
        <w:rPr>
          <w:rFonts w:ascii="宋体" w:hAnsi="宋体" w:cs="宋体" w:eastAsia="宋体" w:hint="default"/>
          <w:sz w:val="21"/>
          <w:szCs w:val="21"/>
        </w:rPr>
      </w:pPr>
      <w:bookmarkStart w:name="46、其他综合收益" w:id="331"/>
      <w:bookmarkEnd w:id="331"/>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详见附注七、合并财务报表项目注释</w:t>
      </w:r>
      <w:r>
        <w:rPr>
          <w:rFonts w:ascii="宋体" w:hAnsi="宋体" w:cs="宋体" w:eastAsia="宋体" w:hint="default"/>
          <w:spacing w:val="2"/>
          <w:sz w:val="18"/>
          <w:szCs w:val="18"/>
        </w:rPr>
        <w:t> </w:t>
      </w:r>
      <w:r>
        <w:rPr>
          <w:rFonts w:ascii="Times New Roman" w:hAnsi="Times New Roman" w:cs="Times New Roman" w:eastAsia="Times New Roman" w:hint="default"/>
          <w:spacing w:val="-46"/>
          <w:sz w:val="18"/>
          <w:szCs w:val="18"/>
        </w:rPr>
        <w:t>32</w:t>
      </w:r>
      <w:r>
        <w:rPr>
          <w:rFonts w:ascii="宋体" w:hAnsi="宋体" w:cs="宋体" w:eastAsia="宋体" w:hint="default"/>
          <w:spacing w:val="-46"/>
          <w:sz w:val="18"/>
          <w:szCs w:val="18"/>
        </w:rPr>
        <w:t>。。</w:t>
      </w:r>
      <w:r>
        <w:rPr>
          <w:rFonts w:ascii="宋体" w:hAnsi="宋体" w:cs="宋体" w:eastAsia="宋体" w:hint="default"/>
          <w:spacing w:val="-92"/>
          <w:sz w:val="18"/>
          <w:szCs w:val="18"/>
        </w:rPr>
        <w:t> </w:t>
      </w:r>
      <w:bookmarkStart w:name="47、现金流量表项目" w:id="332"/>
      <w:bookmarkEnd w:id="332"/>
      <w:r>
        <w:rPr>
          <w:rFonts w:ascii="宋体" w:hAnsi="宋体" w:cs="宋体" w:eastAsia="宋体" w:hint="default"/>
          <w:spacing w:val="-92"/>
          <w:sz w:val="18"/>
          <w:szCs w:val="18"/>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33"/>
      <w:bookmarkEnd w:id="33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10,996,668.86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10,913,552.45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12,942,845.31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13,240,330.57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3,319,583.94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1,849,292.72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押金、定金及保证金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3,055,685.83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2,172,210.44</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11,328,804.38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16,466,980.20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41,643,588.32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44,642,366.38</w:t>
            </w:r>
          </w:p>
        </w:tc>
      </w:tr>
    </w:tbl>
    <w:p>
      <w:pPr>
        <w:pStyle w:val="BodyText"/>
        <w:spacing w:line="357" w:lineRule="auto" w:before="49"/>
        <w:ind w:right="653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34"/>
      <w:bookmarkEnd w:id="33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招待费差旅费办公费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11,208,375.97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9,404,280.43</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4,809,918.80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3,792,244.42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1,170,128.18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731,365.35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1,455,135.30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1,190,941.44</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3,353,425.04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1,855,169.06</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1,223,130.89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1,077,235.96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经营租赁及仓储管理等支出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12,806,030.90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19,450,202.53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咨询及会务等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5,759,748.77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1,846,093.22</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22,790,696.00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20,745,004.63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1,127,239.50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1,109,062.06</w:t>
            </w:r>
            <w:r>
              <w:rPr>
                <w:rFonts w:ascii="Times New Roman"/>
                <w:sz w:val="18"/>
              </w:rPr>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公司内部员工借支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6,768,162.89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3,334,171.80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6,985,519.75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1,807,682.61</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79,457,511.99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66,343,453.51</w:t>
            </w:r>
          </w:p>
        </w:tc>
      </w:tr>
    </w:tbl>
    <w:p>
      <w:pPr>
        <w:pStyle w:val="BodyText"/>
        <w:spacing w:line="357" w:lineRule="auto" w:before="49"/>
        <w:ind w:right="653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收到的其他与投资活动有关的现金" w:id="335"/>
      <w:bookmarkEnd w:id="33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534"/>
        <w:jc w:val="left"/>
      </w:pPr>
      <w:r>
        <w:rPr/>
        <w:t>收到的其他与投资活动有关的现金说明：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36"/>
      <w:bookmarkEnd w:id="33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534"/>
        <w:jc w:val="left"/>
      </w:pPr>
      <w:r>
        <w:rPr/>
        <w:t>支付的其他与投资活动有关的现金说明：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5）收到的其他与筹资活动有关的现金" w:id="337"/>
      <w:bookmarkEnd w:id="33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534"/>
        <w:jc w:val="left"/>
      </w:pPr>
      <w:r>
        <w:rPr/>
        <w:t>收到的其他与筹资活动有关的现金说明：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6）支付的其他与筹资活动有关的现金" w:id="338"/>
      <w:bookmarkEnd w:id="33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53,462.41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27,897.68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股票登记费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521,520.00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357,600.00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还股东借款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2,900,000.00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3,474,982.41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2,385,497.68</w:t>
            </w:r>
            <w:r>
              <w:rPr>
                <w:rFonts w:ascii="Times New Roman"/>
                <w:sz w:val="18"/>
              </w:rPr>
            </w:r>
          </w:p>
        </w:tc>
      </w:tr>
    </w:tbl>
    <w:p>
      <w:pPr>
        <w:pStyle w:val="BodyText"/>
        <w:spacing w:line="357" w:lineRule="auto" w:before="49"/>
        <w:ind w:right="6534"/>
        <w:jc w:val="left"/>
      </w:pPr>
      <w:r>
        <w:rPr/>
        <w:t>支付的其他与筹资活动有关的现金说明：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r>
        <w:rPr/>
        <w:pict>
          <v:group style="position:absolute;margin-left:223.320007pt;margin-top:403.139984pt;width:151.2pt;height:40.8pt;mso-position-horizontal-relative:page;mso-position-vertical-relative:page;z-index:-944056" coordorigin="4466,8063" coordsize="3024,816">
            <v:group style="position:absolute;left:4477;top:8074;width:2;height:394" coordorigin="4477,8074" coordsize="2,394">
              <v:shape style="position:absolute;left:4477;top:8074;width:2;height:394" coordorigin="4477,8074" coordsize="0,394" path="m4477,8074l4477,8467e" filled="false" stroked="true" strokeweight="1.08pt" strokecolor="#ffffff">
                <v:path arrowok="t"/>
              </v:shape>
            </v:group>
            <v:group style="position:absolute;left:4488;top:8074;width:3003;height:394" coordorigin="4488,8074" coordsize="3003,394">
              <v:shape style="position:absolute;left:4488;top:8074;width:3003;height:394" coordorigin="4488,8074" coordsize="3003,394" path="m4488,8467l7490,8467,7490,8074,4488,8074,4488,8467xe" filled="true" fillcolor="#ffffff" stroked="false">
                <v:path arrowok="t"/>
                <v:fill type="solid"/>
              </v:shape>
            </v:group>
            <v:group style="position:absolute;left:4477;top:8477;width:2;height:392" coordorigin="4477,8477" coordsize="2,392">
              <v:shape style="position:absolute;left:4477;top:8477;width:2;height:392" coordorigin="4477,8477" coordsize="0,392" path="m4477,8477l4477,8868e" filled="false" stroked="true" strokeweight="1.08pt" strokecolor="#ffffff">
                <v:path arrowok="t"/>
              </v:shape>
            </v:group>
            <v:group style="position:absolute;left:4488;top:8477;width:3003;height:392" coordorigin="4488,8477" coordsize="3003,392">
              <v:shape style="position:absolute;left:4488;top:8477;width:3003;height:392" coordorigin="4488,8477" coordsize="3003,392" path="m4488,8868l7490,8868,7490,8477,4488,8477,4488,8868xe" filled="true" fillcolor="#ffffff" stroked="false">
                <v:path arrowok="t"/>
                <v:fill type="solid"/>
              </v:shape>
            </v:group>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8、现金流量表补充资料" w:id="339"/>
      <w:bookmarkEnd w:id="339"/>
      <w:r>
        <w:rPr>
          <w:b w:val="0"/>
          <w:bCs w:val="0"/>
        </w:rPr>
      </w:r>
      <w:bookmarkStart w:name="（1）现金流量表补充资料" w:id="340"/>
      <w:bookmarkEnd w:id="34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1057"/>
        <w:gridCol w:w="2015"/>
        <w:gridCol w:w="3185"/>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216,080,018.02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268,878,033.93</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102,330,717.62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1,327,647.72</w:t>
            </w:r>
            <w:r>
              <w:rPr>
                <w:rFonts w:ascii="Times New Roman"/>
                <w:sz w:val="18"/>
              </w:rPr>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57,754,492.64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55,098,521.28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5,855,194.32</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5,150,888.43</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3,583,503.63</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2,581,255.09</w:t>
            </w:r>
            <w:r>
              <w:rPr>
                <w:rFonts w:ascii="Times New Roman"/>
                <w:sz w:val="18"/>
              </w:rPr>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-605.11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-57,147,863.03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-1,201,280.96</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-15,306,273.96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-293,219.98</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025" w:right="0"/>
              <w:jc w:val="left"/>
              <w:rPr>
                <w:rFonts w:ascii="Times New Roman" w:hAnsi="Times New Roman" w:cs="Times New Roman" w:eastAsia="Times New Roman" w:hint="default"/>
                <w:sz w:val="18"/>
                <w:szCs w:val="18"/>
              </w:rPr>
            </w:pPr>
            <w:r>
              <w:rPr>
                <w:rFonts w:ascii="Times New Roman"/>
                <w:sz w:val="18"/>
              </w:rPr>
              <w:t>-1,504,303.79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-875,381.01</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-4,173,224.17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102,711.68</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8,724,823.89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230,887.00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36" w:right="0"/>
              <w:jc w:val="left"/>
              <w:rPr>
                <w:rFonts w:ascii="Times New Roman" w:hAnsi="Times New Roman" w:cs="Times New Roman" w:eastAsia="Times New Roman" w:hint="default"/>
                <w:sz w:val="18"/>
                <w:szCs w:val="18"/>
              </w:rPr>
            </w:pPr>
            <w:r>
              <w:rPr>
                <w:rFonts w:ascii="Times New Roman"/>
                <w:sz w:val="18"/>
              </w:rPr>
              <w:t>-68,634,577.72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-48,109,705.16</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6" w:right="0"/>
              <w:jc w:val="left"/>
              <w:rPr>
                <w:rFonts w:ascii="Times New Roman" w:hAnsi="Times New Roman" w:cs="Times New Roman" w:eastAsia="Times New Roman" w:hint="default"/>
                <w:sz w:val="18"/>
                <w:szCs w:val="18"/>
              </w:rPr>
            </w:pPr>
            <w:r>
              <w:rPr>
                <w:rFonts w:ascii="Times New Roman"/>
                <w:sz w:val="18"/>
              </w:rPr>
              <w:t>-85,334,018.67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-19,186,244.88</w:t>
            </w: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46,662,485.47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28,914,338.70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208,890,369.14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292,618,451.84</w:t>
            </w:r>
            <w:r>
              <w:rPr>
                <w:rFonts w:ascii="Times New Roman"/>
                <w:sz w:val="18"/>
              </w:rPr>
            </w:r>
          </w:p>
        </w:tc>
      </w:tr>
      <w:tr>
        <w:trPr>
          <w:trHeight w:val="161" w:hRule="exact"/>
        </w:trPr>
        <w:tc>
          <w:tcPr>
            <w:tcW w:w="3300" w:type="dxa"/>
            <w:vMerge w:val="restart"/>
            <w:tcBorders>
              <w:top w:val="single" w:sz="4" w:space="0" w:color="000000"/>
              <w:left w:val="single" w:sz="4" w:space="0" w:color="000000"/>
              <w:right w:val="single" w:sz="4" w:space="0" w:color="000000"/>
            </w:tcBorders>
            <w:shd w:val="clear" w:color="auto" w:fill="D4D4D4"/>
          </w:tcPr>
          <w:p>
            <w:pPr>
              <w:pStyle w:val="TableParagraph"/>
              <w:spacing w:line="300" w:lineRule="auto" w:before="49"/>
              <w:ind w:left="1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18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4" w:hRule="exact"/>
        </w:trPr>
        <w:tc>
          <w:tcPr>
            <w:tcW w:w="3300" w:type="dxa"/>
            <w:vMerge/>
            <w:tcBorders>
              <w:left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0" w:type="dxa"/>
            <w:vMerge/>
            <w:tcBorders>
              <w:left w:val="single" w:sz="4" w:space="0" w:color="000000"/>
              <w:bottom w:val="single" w:sz="4" w:space="0" w:color="000000"/>
              <w:right w:val="single" w:sz="4" w:space="0" w:color="000000"/>
            </w:tcBorders>
            <w:shd w:val="clear" w:color="auto" w:fill="D4D4D4"/>
          </w:tcPr>
          <w:p>
            <w:pPr/>
          </w:p>
        </w:tc>
        <w:tc>
          <w:tcPr>
            <w:tcW w:w="307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18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823,790,669.41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953,702,887.72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730,197,241.95</w:t>
            </w:r>
            <w:r>
              <w:rPr>
                <w:rFonts w:ascii="Times New Roman"/>
                <w:sz w:val="18"/>
              </w:rPr>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-129,912,218.31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223,505,645.77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41"/>
      <w:bookmarkEnd w:id="34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978;top:14;width:2;height:394" coordorigin="4978,14" coordsize="2,394">
              <v:shape style="position:absolute;left:4978;top:14;width:2;height:394" coordorigin="4978,14" coordsize="0,394" path="m4978,14l4978,408e" filled="false" stroked="true" strokeweight="1.2pt" strokecolor="#d4d4d4">
                <v:path arrowok="t"/>
              </v:shape>
            </v:group>
            <v:group style="position:absolute;left:34;top:14;width:4932;height:394" coordorigin="34,14" coordsize="4932,394">
              <v:shape style="position:absolute;left:34;top:14;width:4932;height:394" coordorigin="34,14" coordsize="4932,394" path="m34,408l4966,408,4966,14,34,14,34,408xe" filled="true" fillcolor="#d4d4d4" stroked="false">
                <v:path arrowok="t"/>
                <v:fill type="solid"/>
              </v:shape>
            </v:group>
            <v:group style="position:absolute;left:5010;top:14;width:2;height:394" coordorigin="5010,14" coordsize="2,394">
              <v:shape style="position:absolute;left:5010;top:14;width:2;height:394" coordorigin="5010,14" coordsize="0,394" path="m5010,14l5010,408e" filled="false" stroked="true" strokeweight="1.08pt" strokecolor="#d4d4d4">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d4d4d4">
                <v:path arrowok="t"/>
              </v:shape>
            </v:group>
            <v:group style="position:absolute;left:5021;top:14;width:4524;height:394" coordorigin="5021,14" coordsize="4524,394">
              <v:shape style="position:absolute;left:5021;top:14;width:4524;height:394" coordorigin="5021,14" coordsize="4524,394" path="m5021,408l9545,408,9545,14,5021,14,5021,408xe" filled="true" fillcolor="#d4d4d4" stroked="false">
                <v:path arrowok="t"/>
                <v:fill type="solid"/>
              </v:shape>
            </v:group>
            <v:group style="position:absolute;left:10;top:10;width:4978;height:2" coordorigin="10,10" coordsize="4978,2">
              <v:shape style="position:absolute;left:10;top:10;width:4978;height:2" coordorigin="10,10" coordsize="4978,0" path="m10,10l4987,10e" filled="false" stroked="true" strokeweight=".48pt" strokecolor="#000000">
                <v:path arrowok="t"/>
              </v:shape>
            </v:group>
            <v:group style="position:absolute;left:4997;top:10;width:4572;height:2" coordorigin="4997,10" coordsize="4572,2">
              <v:shape style="position:absolute;left:4997;top:10;width:4572;height:2" coordorigin="4997,10" coordsize="4572,0" path="m4997,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8;height:2" coordorigin="10,413" coordsize="4978,2">
              <v:shape style="position:absolute;left:10;top:413;width:4978;height:2" coordorigin="10,413" coordsize="4978,0" path="m10,413l4987,413e" filled="false" stroked="true" strokeweight=".48pt" strokecolor="#000000">
                <v:path arrowok="t"/>
              </v:shape>
            </v:group>
            <v:group style="position:absolute;left:4992;top:5;width:2;height:413" coordorigin="4992,5" coordsize="2,413">
              <v:shape style="position:absolute;left:4992;top:5;width:2;height:413" coordorigin="4992,5" coordsize="0,413" path="m4992,5l4992,418e" filled="false" stroked="true" strokeweight=".481pt" strokecolor="#000000">
                <v:path arrowok="t"/>
              </v:shape>
            </v:group>
            <v:group style="position:absolute;left:4997;top:413;width:4572;height:2" coordorigin="4997,413" coordsize="4572,2">
              <v:shape style="position:absolute;left:4997;top:413;width:4572;height:2" coordorigin="4997,413" coordsize="4572,0" path="m4997,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71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32,640,000.00</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7,958,213.90</w:t>
            </w:r>
            <w:r>
              <w:rPr>
                <w:rFonts w:ascii="Times New Roman"/>
                <w:sz w:val="18"/>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7,958,213.90</w:t>
            </w:r>
            <w:r>
              <w:rPr>
                <w:rFonts w:ascii="Times New Roman"/>
                <w:sz w:val="18"/>
              </w:rPr>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24,681,786.10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本期收到的处置子公司的现金净额" w:id="342"/>
      <w:bookmarkEnd w:id="34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6"/>
        <w:gridCol w:w="4582"/>
      </w:tblGrid>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现金和现金等价物的构成" w:id="343"/>
      <w:bookmarkEnd w:id="34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823,790,669.41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1,043,981.40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1,425,074.63</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818,380,382.41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952,277,813.09</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4,366,305.60</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823,790,669.41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953,702,887.72</w:t>
            </w:r>
            <w:r>
              <w:rPr>
                <w:rFonts w:ascii="Times New Roman"/>
                <w:sz w:val="18"/>
              </w:rPr>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9、所有者权益变动表项目注释" w:id="344"/>
      <w:bookmarkEnd w:id="344"/>
      <w:r>
        <w:rPr>
          <w:b w:val="0"/>
          <w:bCs w:val="0"/>
        </w:rPr>
      </w:r>
      <w:r>
        <w:rPr>
          <w:rFonts w:ascii="Times New Roman" w:hAnsi="Times New Roman" w:cs="Times New Roman" w:eastAsia="Times New Roman" w:hint="default"/>
        </w:rPr>
        <w:t>49</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439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after="0" w:line="338"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
        <w:jc w:val="left"/>
        <w:rPr>
          <w:b w:val="0"/>
          <w:bCs w:val="0"/>
        </w:rPr>
      </w:pPr>
      <w:bookmarkStart w:name="50、外币货币性项目" w:id="345"/>
      <w:bookmarkEnd w:id="345"/>
      <w:r>
        <w:rPr>
          <w:b w:val="0"/>
          <w:bCs w:val="0"/>
        </w:rPr>
      </w:r>
      <w:bookmarkStart w:name="（1）外币货币性项目" w:id="346"/>
      <w:bookmarkEnd w:id="346"/>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2"/>
        <w:gridCol w:w="2390"/>
        <w:gridCol w:w="2390"/>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207,303,190.38</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30,163,547.88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195,864,173.64</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0.41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11,819,038.04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9,901,753.69</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7,671,716.00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1,537,260.14</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231,949,058.13</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21,535,023.82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139,838,895.71</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12,378.99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7.0952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87,831.41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105,550,864.64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88,428,403.18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17,935,541.86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3,593,927.83</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6,886,086.20</w:t>
            </w:r>
            <w:r>
              <w:rPr>
                <w:rFonts w:ascii="Times New Roman"/>
                <w:sz w:val="18"/>
              </w:rPr>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8,219,444.49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6,886,086.20</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80,459,452.76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2,410,516.16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15,652,311.59</w:t>
            </w:r>
            <w:r>
              <w:rPr>
                <w:rFonts w:ascii="Times New Roman"/>
                <w:sz w:val="18"/>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73,685,618.60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61,732,337.55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15,344,846.00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3,074,803.62</w:t>
            </w:r>
            <w:r>
              <w:rPr>
                <w:rFonts w:ascii="Times New Roman"/>
                <w:sz w:val="18"/>
              </w:rPr>
            </w:r>
          </w:p>
        </w:tc>
      </w:tr>
    </w:tbl>
    <w:p>
      <w:pPr>
        <w:pStyle w:val="BodyText"/>
        <w:spacing w:line="360" w:lineRule="auto" w:before="49"/>
        <w:ind w:right="8914"/>
        <w:jc w:val="left"/>
      </w:pPr>
      <w:r>
        <w:rPr/>
        <w:t>其他说明： 无</w:t>
      </w:r>
    </w:p>
    <w:p>
      <w:pPr>
        <w:spacing w:line="240" w:lineRule="auto" w:before="4"/>
        <w:rPr>
          <w:rFonts w:ascii="宋体" w:hAnsi="宋体" w:cs="宋体" w:eastAsia="宋体" w:hint="default"/>
          <w:sz w:val="20"/>
          <w:szCs w:val="20"/>
        </w:rPr>
      </w:pPr>
    </w:p>
    <w:p>
      <w:pPr>
        <w:pStyle w:val="Heading3"/>
        <w:spacing w:line="256" w:lineRule="auto"/>
        <w:ind w:right="104"/>
        <w:jc w:val="left"/>
        <w:rPr>
          <w:b w:val="0"/>
          <w:bCs w:val="0"/>
        </w:rPr>
      </w:pPr>
      <w:bookmarkStart w:name="（2）境外经营实体说明，包括对于重要的境外经营实体，应披露其境外主要经营地、记账" w:id="347"/>
      <w:bookmarkEnd w:id="347"/>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324" w:lineRule="auto"/>
        <w:ind w:right="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本公司下属有五家境外实体，一家为全资子公司香港美盈森，注册地香港，记账本位币为港币。两家为香港美盈森子公司， </w:t>
      </w:r>
      <w:r>
        <w:rPr>
          <w:spacing w:val="-2"/>
        </w:rPr>
        <w:t>其中：一家为全资子公司台湾美盈森，注册地台湾，记账本位币为新台币；一家为控股子公司汇天云网，注册地香港，记账</w:t>
      </w:r>
      <w:r>
        <w:rPr>
          <w:spacing w:val="-68"/>
        </w:rPr>
        <w:t> </w:t>
      </w:r>
      <w:r>
        <w:rPr>
          <w:spacing w:val="-68"/>
        </w:rPr>
      </w:r>
      <w:r>
        <w:rPr/>
        <w:t>本位币为港币。另外两家为汇天云网全资子公司，注册地香港，记账本位币为港币。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04"/>
        <w:jc w:val="left"/>
        <w:rPr>
          <w:b w:val="0"/>
          <w:bCs w:val="0"/>
        </w:rPr>
      </w:pPr>
      <w:bookmarkStart w:name="51、套期" w:id="348"/>
      <w:bookmarkEnd w:id="348"/>
      <w:r>
        <w:rPr>
          <w:b w:val="0"/>
          <w:bCs w:val="0"/>
        </w:rPr>
      </w:r>
      <w:r>
        <w:rPr>
          <w:rFonts w:ascii="Times New Roman" w:hAnsi="Times New Roman" w:cs="Times New Roman" w:eastAsia="Times New Roman" w:hint="default"/>
        </w:rPr>
        <w:t>51</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3694"/>
        <w:jc w:val="left"/>
      </w:pPr>
      <w:r>
        <w:rPr/>
        <w:t>按照套期类别披露套期项目及相关套期工具、被套期风险的定性和定量信息： 无</w:t>
      </w:r>
    </w:p>
    <w:p>
      <w:pPr>
        <w:spacing w:after="0" w:line="36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52</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52、其他" w:id="349"/>
      <w:bookmarkEnd w:id="349"/>
      <w:r>
        <w:rPr/>
      </w: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50"/>
      <w:bookmarkEnd w:id="350"/>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51"/>
      <w:bookmarkEnd w:id="351"/>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52"/>
      <w:bookmarkEnd w:id="35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汇天云网集 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完成工商登 记变更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126,552,302.</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68,261.25</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合并成本及商誉" w:id="353"/>
      <w:bookmarkEnd w:id="35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6" w:type="dxa"/>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32,640,000.00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32,640,000.00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11,901,892.50</w:t>
            </w:r>
            <w:r>
              <w:rPr>
                <w:rFonts w:ascii="Times New Roman"/>
                <w:sz w:val="18"/>
              </w:rPr>
            </w:r>
          </w:p>
        </w:tc>
      </w:tr>
      <w:tr>
        <w:trPr>
          <w:trHeight w:val="71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20,738,107.50</w:t>
            </w:r>
          </w:p>
        </w:tc>
      </w:tr>
    </w:tbl>
    <w:p>
      <w:pPr>
        <w:pStyle w:val="BodyText"/>
        <w:spacing w:line="360" w:lineRule="auto" w:before="49"/>
        <w:ind w:right="5094"/>
        <w:jc w:val="left"/>
      </w:pPr>
      <w:r>
        <w:rPr/>
        <w:t>合并成本公允价值的确定方法、或有对价及其变动的说明： 无</w:t>
      </w:r>
    </w:p>
    <w:p>
      <w:pPr>
        <w:pStyle w:val="BodyText"/>
        <w:spacing w:line="357" w:lineRule="auto" w:before="27"/>
        <w:ind w:right="7614"/>
        <w:jc w:val="left"/>
      </w:pPr>
      <w:r>
        <w:rPr/>
        <w:t>大额商誉形成的主要原因： 无</w:t>
      </w:r>
    </w:p>
    <w:p>
      <w:pPr>
        <w:pStyle w:val="BodyText"/>
        <w:spacing w:line="357" w:lineRule="auto" w:before="2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54"/>
      <w:bookmarkEnd w:id="35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380" w:type="dxa"/>
            <w:gridSpan w:val="2"/>
            <w:tcBorders>
              <w:top w:val="single" w:sz="4" w:space="0" w:color="000000"/>
              <w:left w:val="single" w:sz="10" w:space="0" w:color="D4D4D4"/>
              <w:bottom w:val="single" w:sz="4" w:space="0" w:color="000000"/>
              <w:right w:val="single" w:sz="4" w:space="0" w:color="000000"/>
            </w:tcBorders>
            <w:shd w:val="clear" w:color="auto" w:fill="E1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2"/>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7,958,213.90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7,958,213.90</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35,653,277.30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35,653,277.30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10,952,353.59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10,151,116.45</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25,261,946.67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23,712,434.40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3,513,191.94</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3,513,191.94</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9,167,658.23</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9,167,658.23</w:t>
            </w:r>
            <w:r>
              <w:rPr>
                <w:rFonts w:ascii="Times New Roman"/>
                <w:sz w:val="18"/>
              </w:rPr>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53,051,173.52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53,051,173.52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23,337,044.12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20,986,294.71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23,337,044.12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20,986,294.71</w:t>
            </w:r>
          </w:p>
        </w:tc>
      </w:tr>
    </w:tbl>
    <w:p>
      <w:pPr>
        <w:pStyle w:val="BodyText"/>
        <w:spacing w:line="357" w:lineRule="auto" w:before="49"/>
        <w:ind w:right="6534"/>
        <w:jc w:val="left"/>
      </w:pPr>
      <w:r>
        <w:rPr/>
        <w:t>可辨认资产、负债公允价值的确定方法： 无 企业合并中承担的被购买方的或有负债：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355"/>
      <w:bookmarkEnd w:id="355"/>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5）购买日或合并当期期末无法合理确定合并对价或被购买方可辨认资产、负债公允价值" w:id="356"/>
      <w:bookmarkEnd w:id="35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其他说明" w:id="357"/>
      <w:bookmarkEnd w:id="35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同一控制下企业合并" w:id="358"/>
      <w:bookmarkEnd w:id="35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359"/>
      <w:bookmarkEnd w:id="35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3"/>
        <w:gridCol w:w="1066"/>
        <w:gridCol w:w="1064"/>
        <w:gridCol w:w="1062"/>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60" w:lineRule="auto" w:before="49"/>
        <w:ind w:right="8874"/>
        <w:jc w:val="left"/>
      </w:pPr>
      <w:r>
        <w:rPr/>
        <w:t>其他说明： 无</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bookmarkStart w:name="（2）合并成本" w:id="360"/>
      <w:bookmarkEnd w:id="360"/>
      <w:r>
        <w:rPr/>
      </w: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774;top:14;width:2;height:394" coordorigin="4774,14" coordsize="2,394">
              <v:shape style="position:absolute;left:4774;top:14;width:2;height:394" coordorigin="4774,14" coordsize="0,394" path="m4774,14l4774,408e" filled="false" stroked="true" strokeweight="1.2pt" strokecolor="#d4d4d4">
                <v:path arrowok="t"/>
              </v:shape>
            </v:group>
            <v:group style="position:absolute;left:34;top:14;width:4728;height:394" coordorigin="34,14" coordsize="4728,394">
              <v:shape style="position:absolute;left:34;top:14;width:4728;height:394" coordorigin="34,14" coordsize="4728,394" path="m34,408l4762,408,4762,14,34,14,34,408xe" filled="true" fillcolor="#d4d4d4" stroked="false">
                <v:path arrowok="t"/>
                <v:fill type="solid"/>
              </v:shape>
            </v:group>
            <v:group style="position:absolute;left:4806;top:14;width:2;height:394" coordorigin="4806,14" coordsize="2,394">
              <v:shape style="position:absolute;left:4806;top:14;width:2;height:394" coordorigin="4806,14" coordsize="0,394" path="m4806,14l4806,408e" filled="false" stroked="true" strokeweight="1.08pt" strokecolor="#e1ffff">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e1ffff">
                <v:path arrowok="t"/>
              </v:shape>
            </v:group>
            <v:group style="position:absolute;left:4817;top:14;width:4728;height:394" coordorigin="4817,14" coordsize="4728,394">
              <v:shape style="position:absolute;left:4817;top:14;width:4728;height:394" coordorigin="4817,14" coordsize="4728,394" path="m4817,408l9545,408,9545,14,4817,14,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1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6;top:10;width:47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7654"/>
        <w:jc w:val="left"/>
      </w:pPr>
      <w:r>
        <w:rPr/>
        <w:t>或有对价及其变动的说明： 无</w:t>
      </w:r>
    </w:p>
    <w:p>
      <w:pPr>
        <w:pStyle w:val="BodyText"/>
        <w:spacing w:line="360" w:lineRule="auto" w:before="29"/>
        <w:ind w:right="891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04"/>
        <w:jc w:val="left"/>
        <w:rPr>
          <w:b w:val="0"/>
          <w:bCs w:val="0"/>
        </w:rPr>
      </w:pPr>
      <w:bookmarkStart w:name="（3）合并日被合并方资产、负债的账面价值" w:id="361"/>
      <w:bookmarkEnd w:id="36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3;top:14;width:2;height:392" coordorigin="23,14" coordsize="2,392">
              <v:shape style="position:absolute;left:23;top:14;width:2;height:392" coordorigin="23,14" coordsize="0,392" path="m23,14l23,406e" filled="false" stroked="true" strokeweight="1.08pt" strokecolor="#d4d4d4">
                <v:path arrowok="t"/>
              </v:shape>
            </v:group>
            <v:group style="position:absolute;left:3180;top:14;width:2;height:392" coordorigin="3180,14" coordsize="2,392">
              <v:shape style="position:absolute;left:3180;top:14;width:2;height:392" coordorigin="3180,14" coordsize="0,392" path="m3180,14l3180,406e" filled="false" stroked="true" strokeweight="1.2pt" strokecolor="#d4d4d4">
                <v:path arrowok="t"/>
              </v:shape>
            </v:group>
            <v:group style="position:absolute;left:34;top:14;width:3135;height:392" coordorigin="34,14" coordsize="3135,392">
              <v:shape style="position:absolute;left:34;top:14;width:3135;height:392" coordorigin="34,14" coordsize="3135,392" path="m34,406l3168,406,3168,14,34,14,34,406xe" filled="true" fillcolor="#d4d4d4" stroked="false">
                <v:path arrowok="t"/>
                <v:fill type="solid"/>
              </v:shape>
            </v:group>
            <v:group style="position:absolute;left:3212;top:14;width:2;height:392" coordorigin="3212,14" coordsize="2,392">
              <v:shape style="position:absolute;left:3212;top:14;width:2;height:392" coordorigin="3212,14" coordsize="0,392" path="m3212,14l3212,406e" filled="false" stroked="true" strokeweight="1.08pt" strokecolor="#e1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1ffff">
                <v:path arrowok="t"/>
              </v:shape>
            </v:group>
            <v:group style="position:absolute;left:3223;top:14;width:6324;height:392" coordorigin="3223,14" coordsize="6324,392">
              <v:shape style="position:absolute;left:3223;top:14;width:6324;height:392" coordorigin="3223,14" coordsize="6324,392" path="m3223,406l9547,406,9547,14,3223,14,3223,406xe" filled="true" fillcolor="#e1ffff" stroked="false">
                <v:path arrowok="t"/>
                <v:fill type="solid"/>
              </v:shape>
            </v:group>
            <v:group style="position:absolute;left:10;top:10;width:3180;height:2" coordorigin="10,10" coordsize="3180,2">
              <v:shape style="position:absolute;left:10;top:10;width:3180;height:2" coordorigin="10,10" coordsize="3180,0" path="m10,10l3190,10e" filled="false" stroked="true" strokeweight=".48pt" strokecolor="#000000">
                <v:path arrowok="t"/>
              </v:shape>
            </v:group>
            <v:group style="position:absolute;left:3199;top:10;width:6372;height:2" coordorigin="3199,10" coordsize="6372,2">
              <v:shape style="position:absolute;left:3199;top:10;width:6372;height:2" coordorigin="3199,10" coordsize="6372,0" path="m3199,10l9571,10e" filled="false" stroked="true" strokeweight=".48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4d4d4">
                <v:path arrowok="t"/>
              </v:shape>
            </v:group>
            <v:group style="position:absolute;left:3180;top:415;width:2;height:394" coordorigin="3180,415" coordsize="2,394">
              <v:shape style="position:absolute;left:3180;top:415;width:2;height:394" coordorigin="3180,415" coordsize="0,394" path="m3180,415l3180,809e" filled="false" stroked="true" strokeweight="1.2pt" strokecolor="#d4d4d4">
                <v:path arrowok="t"/>
              </v:shape>
            </v:group>
            <v:group style="position:absolute;left:34;top:415;width:3135;height:394" coordorigin="34,415" coordsize="3135,394">
              <v:shape style="position:absolute;left:34;top:415;width:3135;height:394" coordorigin="34,415" coordsize="3135,394" path="m34,809l3168,809,3168,415,34,415,34,809xe" filled="true" fillcolor="#d4d4d4" stroked="false">
                <v:path arrowok="t"/>
                <v:fill type="solid"/>
              </v:shape>
            </v:group>
            <v:group style="position:absolute;left:3212;top:415;width:2;height:394" coordorigin="3212,415" coordsize="2,394">
              <v:shape style="position:absolute;left:3212;top:415;width:2;height:394" coordorigin="3212,415" coordsize="0,394" path="m3212,415l3212,809e" filled="false" stroked="true" strokeweight="1.08pt" strokecolor="#d4d4d4">
                <v:path arrowok="t"/>
              </v:shape>
            </v:group>
            <v:group style="position:absolute;left:6370;top:415;width:2;height:394" coordorigin="6370,415" coordsize="2,394">
              <v:shape style="position:absolute;left:6370;top:415;width:2;height:394" coordorigin="6370,415" coordsize="0,394" path="m6370,415l6370,809e" filled="false" stroked="true" strokeweight="1.2pt" strokecolor="#d4d4d4">
                <v:path arrowok="t"/>
              </v:shape>
            </v:group>
            <v:group style="position:absolute;left:3223;top:415;width:3135;height:394" coordorigin="3223,415" coordsize="3135,394">
              <v:shape style="position:absolute;left:3223;top:415;width:3135;height:394" coordorigin="3223,415" coordsize="3135,394" path="m3223,809l6358,809,6358,415,3223,415,3223,809xe" filled="true" fillcolor="#d4d4d4" stroked="false">
                <v:path arrowok="t"/>
                <v:fill type="solid"/>
              </v:shape>
            </v:group>
            <v:group style="position:absolute;left:6402;top:415;width:2;height:394" coordorigin="6402,415" coordsize="2,394">
              <v:shape style="position:absolute;left:6402;top:415;width:2;height:394" coordorigin="6402,415" coordsize="0,394" path="m6402,415l6402,809e" filled="false" stroked="true" strokeweight="1.08pt" strokecolor="#d4d4d4">
                <v:path arrowok="t"/>
              </v:shape>
            </v:group>
            <v:group style="position:absolute;left:9559;top:415;width:2;height:394" coordorigin="9559,415" coordsize="2,394">
              <v:shape style="position:absolute;left:9559;top:415;width:2;height:394" coordorigin="9559,415" coordsize="0,394" path="m9559,415l9559,809e" filled="false" stroked="true" strokeweight="1.2pt" strokecolor="#d4d4d4">
                <v:path arrowok="t"/>
              </v:shape>
            </v:group>
            <v:group style="position:absolute;left:6413;top:415;width:3135;height:394" coordorigin="6413,415" coordsize="3135,394">
              <v:shape style="position:absolute;left:6413;top:415;width:3135;height:394" coordorigin="6413,415" coordsize="3135,394" path="m6413,809l9547,809,9547,415,6413,415,6413,809xe" filled="true" fillcolor="#d4d4d4" stroked="false">
                <v:path arrowok="t"/>
                <v:fill type="solid"/>
              </v:shape>
            </v:group>
            <v:group style="position:absolute;left:10;top:410;width:3180;height:2" coordorigin="10,410" coordsize="3180,2">
              <v:shape style="position:absolute;left:10;top:410;width:3180;height:2" coordorigin="10,410" coordsize="3180,0" path="m10,410l3190,410e" filled="false" stroked="true" strokeweight=".48pt" strokecolor="#000000">
                <v:path arrowok="t"/>
              </v:shape>
            </v:group>
            <v:group style="position:absolute;left:3199;top:410;width:3180;height:2" coordorigin="3199,410" coordsize="3180,2">
              <v:shape style="position:absolute;left:3199;top:410;width:3180;height:2" coordorigin="3199,410" coordsize="3180,0" path="m3199,410l6379,410e" filled="false" stroked="true" strokeweight=".48pt" strokecolor="#000000">
                <v:path arrowok="t"/>
              </v:shape>
            </v:group>
            <v:group style="position:absolute;left:6389;top:410;width:3183;height:2" coordorigin="6389,410" coordsize="3183,2">
              <v:shape style="position:absolute;left:6389;top:410;width:3183;height:2" coordorigin="6389,410" coordsize="3183,0" path="m6389,410l9571,410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0;height:2" coordorigin="10,814" coordsize="3180,2">
              <v:shape style="position:absolute;left:10;top:814;width:3180;height:2" coordorigin="10,814" coordsize="3180,0" path="m10,814l3190,814e" filled="false" stroked="true" strokeweight=".48pt" strokecolor="#000000">
                <v:path arrowok="t"/>
              </v:shape>
            </v:group>
            <v:group style="position:absolute;left:3194;top:5;width:2;height:814" coordorigin="3194,5" coordsize="2,814">
              <v:shape style="position:absolute;left:3194;top:5;width:2;height:814" coordorigin="3194,5" coordsize="0,814" path="m3194,5l3194,818e" filled="false" stroked="true" strokeweight=".48pt" strokecolor="#000000">
                <v:path arrowok="t"/>
              </v:shape>
            </v:group>
            <v:group style="position:absolute;left:3199;top:814;width:3180;height:2" coordorigin="3199,814" coordsize="3180,2">
              <v:shape style="position:absolute;left:3199;top:814;width:3180;height:2" coordorigin="3199,814" coordsize="3180,0" path="m3199,814l6379,814e" filled="false" stroked="true" strokeweight=".48pt" strokecolor="#000000">
                <v:path arrowok="t"/>
              </v:shape>
            </v:group>
            <v:group style="position:absolute;left:6384;top:406;width:2;height:413" coordorigin="6384,406" coordsize="2,413">
              <v:shape style="position:absolute;left:6384;top:406;width:2;height:413" coordorigin="6384,406" coordsize="0,413" path="m6384,406l6384,818e" filled="false" stroked="true" strokeweight=".48pt" strokecolor="#000000">
                <v:path arrowok="t"/>
              </v:shape>
            </v:group>
            <v:group style="position:absolute;left:6389;top:814;width:3183;height:2" coordorigin="6389,814" coordsize="3183,2">
              <v:shape style="position:absolute;left:6389;top:814;width:3183;height:2" coordorigin="6389,814" coordsize="3183,0" path="m6389,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4;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79;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74"/>
        <w:jc w:val="left"/>
      </w:pPr>
      <w:r>
        <w:rPr/>
        <w:t>企业合并中承担的被合并方的或有负债： 无</w:t>
      </w:r>
    </w:p>
    <w:p>
      <w:pPr>
        <w:pStyle w:val="BodyText"/>
        <w:spacing w:line="360" w:lineRule="auto" w:before="29"/>
        <w:ind w:right="891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04"/>
        <w:jc w:val="left"/>
        <w:rPr>
          <w:b w:val="0"/>
          <w:bCs w:val="0"/>
        </w:rPr>
      </w:pPr>
      <w:bookmarkStart w:name="3、反向购买" w:id="362"/>
      <w:bookmarkEnd w:id="36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9"/>
        <w:ind w:right="1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bookmarkStart w:name="4、处置子公司" w:id="363"/>
      <w:bookmarkEnd w:id="36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4"/>
        <w:jc w:val="left"/>
      </w:pPr>
      <w:r>
        <w:rPr/>
        <w:t>是否存在单次处置对子公司投资即丧失控制权的情形</w:t>
      </w:r>
    </w:p>
    <w:p>
      <w:pPr>
        <w:pStyle w:val="BodyText"/>
        <w:spacing w:line="340" w:lineRule="auto" w:before="117"/>
        <w:ind w:right="4054"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39"/>
        <w:ind w:right="10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04"/>
        <w:jc w:val="left"/>
        <w:rPr>
          <w:b w:val="0"/>
          <w:bCs w:val="0"/>
        </w:rPr>
      </w:pPr>
      <w:bookmarkStart w:name="5、其他原因的合并范围变动" w:id="364"/>
      <w:bookmarkEnd w:id="36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4"/>
        <w:jc w:val="left"/>
      </w:pPr>
      <w:r>
        <w:rPr/>
        <w:t>说明其他原因导致的合并范围变动（如，新设子公司、清算子公司等）及其相关情况：</w:t>
      </w:r>
    </w:p>
    <w:p>
      <w:pPr>
        <w:pStyle w:val="BodyText"/>
        <w:spacing w:line="300" w:lineRule="auto" w:before="117"/>
        <w:ind w:right="104"/>
        <w:jc w:val="left"/>
      </w:pPr>
      <w:r>
        <w:rPr>
          <w:spacing w:val="-2"/>
        </w:rPr>
        <w:t>本期公司设立美莲检测有限公司与小美集科技有限公司，分别于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日完成办理工商设立登记手续，并取</w:t>
      </w:r>
      <w:r>
        <w:rPr>
          <w:spacing w:val="-59"/>
        </w:rPr>
        <w:t> </w:t>
      </w:r>
      <w:r>
        <w:rPr>
          <w:spacing w:val="-59"/>
        </w:rPr>
      </w:r>
      <w:r>
        <w:rPr/>
        <w:t>得注册号为</w:t>
      </w:r>
      <w:r>
        <w:rPr>
          <w:rFonts w:ascii="Times New Roman" w:hAnsi="Times New Roman" w:cs="Times New Roman" w:eastAsia="Times New Roman" w:hint="default"/>
        </w:rPr>
        <w:t>441900002529323</w:t>
      </w:r>
      <w:r>
        <w:rPr/>
        <w:t>、</w:t>
      </w:r>
      <w:r>
        <w:rPr>
          <w:rFonts w:ascii="Times New Roman" w:hAnsi="Times New Roman" w:cs="Times New Roman" w:eastAsia="Times New Roman" w:hint="default"/>
        </w:rPr>
        <w:t>440301113173979</w:t>
      </w:r>
      <w:r>
        <w:rPr/>
        <w:t>的企业法人营业执照。</w:t>
      </w:r>
    </w:p>
    <w:p>
      <w:pPr>
        <w:pStyle w:val="BodyText"/>
        <w:spacing w:line="319" w:lineRule="auto" w:before="51"/>
        <w:ind w:right="94" w:hanging="1"/>
        <w:jc w:val="left"/>
      </w:pPr>
      <w:r>
        <w:rPr>
          <w:spacing w:val="-3"/>
        </w:rPr>
        <w:t>本期公司由控股子公司汇天云网全资设立深圳市汇天云网科技有限公司，于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日设立，注册号为</w:t>
      </w:r>
      <w:r>
        <w:rPr>
          <w:rFonts w:ascii="Times New Roman" w:hAnsi="Times New Roman" w:cs="Times New Roman" w:eastAsia="Times New Roman" w:hint="default"/>
          <w:spacing w:val="-3"/>
        </w:rPr>
        <w:t>440301503509178</w:t>
      </w:r>
      <w:r>
        <w:rPr>
          <w:spacing w:val="-3"/>
        </w:rPr>
        <w:t>，</w:t>
      </w:r>
      <w:r>
        <w:rPr>
          <w:spacing w:val="-74"/>
        </w:rPr>
        <w:t> </w:t>
      </w:r>
      <w:r>
        <w:rPr/>
        <w:t>该公司注册资本</w:t>
      </w:r>
      <w:r>
        <w:rPr>
          <w:rFonts w:ascii="Times New Roman" w:hAnsi="Times New Roman" w:cs="Times New Roman" w:eastAsia="Times New Roman" w:hint="default"/>
        </w:rPr>
        <w:t>1688</w:t>
      </w:r>
      <w:r>
        <w:rPr/>
        <w:t>万美元；按照相应的会计编制规则，公司本期将深圳市汇天云网科技有限公司纳入合并报表范围。 本期公司由全资子公司东莞美盈森合资设立东莞市美之兰环保科技有限公司，于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日完成办理工商设立登记手续，</w:t>
      </w:r>
    </w:p>
    <w:p>
      <w:pPr>
        <w:pStyle w:val="BodyText"/>
        <w:spacing w:line="300" w:lineRule="auto"/>
        <w:ind w:left="153" w:right="94"/>
        <w:jc w:val="left"/>
      </w:pPr>
      <w:r>
        <w:rPr>
          <w:spacing w:val="-3"/>
          <w:w w:val="99"/>
        </w:rPr>
        <w:t>并取得统一社会信用代码为</w:t>
      </w:r>
      <w:r>
        <w:rPr>
          <w:rFonts w:ascii="Times New Roman" w:hAnsi="Times New Roman" w:cs="Times New Roman" w:eastAsia="Times New Roman" w:hint="default"/>
          <w:spacing w:val="-3"/>
          <w:w w:val="99"/>
        </w:rPr>
        <w:t>91441900MA4UH46T0Q</w:t>
      </w:r>
      <w:r>
        <w:rPr>
          <w:spacing w:val="-3"/>
          <w:w w:val="99"/>
        </w:rPr>
        <w:t>的企业法人营业执照，东莞美盈森持股</w:t>
      </w:r>
      <w:r>
        <w:rPr>
          <w:rFonts w:ascii="Times New Roman" w:hAnsi="Times New Roman" w:cs="Times New Roman" w:eastAsia="Times New Roman" w:hint="default"/>
          <w:spacing w:val="-3"/>
          <w:w w:val="99"/>
        </w:rPr>
        <w:t>59.5%</w:t>
      </w:r>
      <w:r>
        <w:rPr>
          <w:spacing w:val="-3"/>
          <w:w w:val="99"/>
        </w:rPr>
        <w:t>；按照相应的会计编制规则，</w:t>
      </w:r>
      <w:r>
        <w:rPr>
          <w:spacing w:val="-70"/>
          <w:w w:val="99"/>
        </w:rPr>
        <w:t> </w:t>
      </w:r>
      <w:r>
        <w:rPr>
          <w:spacing w:val="-70"/>
          <w:w w:val="99"/>
        </w:rPr>
      </w:r>
      <w:r>
        <w:rPr/>
        <w:t>公司将美莲检测有限公司、小美集科技有限公司、东莞市美之兰环保科技有限公司纳入合并报表范围。</w:t>
      </w:r>
    </w:p>
    <w:p>
      <w:pPr>
        <w:spacing w:after="0" w:line="300" w:lineRule="auto"/>
        <w:jc w:val="left"/>
        <w:sectPr>
          <w:pgSz w:w="11910" w:h="16840"/>
          <w:pgMar w:header="745"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bookmarkStart w:name="6、其他" w:id="365"/>
      <w:bookmarkEnd w:id="365"/>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366"/>
      <w:bookmarkEnd w:id="366"/>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67"/>
      <w:bookmarkEnd w:id="36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68"/>
      <w:bookmarkEnd w:id="36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美盈森（香港） 国际控股有限公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台湾美盈森有限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小美集科技有限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包装印刷行业检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汇天云网集团有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49"/>
        <w:ind w:right="5994"/>
        <w:jc w:val="left"/>
      </w:pPr>
      <w:r>
        <w:rPr/>
        <w:t>在子公司的持股比例不同于表决权比例的说明： 无</w:t>
      </w:r>
    </w:p>
    <w:p>
      <w:pPr>
        <w:pStyle w:val="BodyText"/>
        <w:spacing w:line="360" w:lineRule="auto" w:before="29"/>
        <w:ind w:right="1854"/>
        <w:jc w:val="left"/>
      </w:pPr>
      <w:r>
        <w:rPr/>
        <w:t>持有半数或以下表决权但仍控制被投资单位、以及持有半数以上表决权但不控制被投资单位的依据： 无</w:t>
      </w:r>
    </w:p>
    <w:p>
      <w:pPr>
        <w:pStyle w:val="BodyText"/>
        <w:spacing w:line="357" w:lineRule="auto" w:before="27"/>
        <w:ind w:right="5454"/>
        <w:jc w:val="left"/>
      </w:pPr>
      <w:r>
        <w:rPr/>
        <w:t>对于纳入合并范围的重要的结构化主体，控制的依据： 无</w:t>
      </w:r>
    </w:p>
    <w:p>
      <w:pPr>
        <w:pStyle w:val="BodyText"/>
        <w:spacing w:line="357" w:lineRule="auto" w:before="29"/>
        <w:ind w:right="6714"/>
        <w:jc w:val="left"/>
      </w:pPr>
      <w:r>
        <w:rPr/>
        <w:t>确定公司是代理人还是委托人的依据：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重要的非全资子公司" w:id="369"/>
      <w:bookmarkEnd w:id="36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深圳市金之彩文化创意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-3,401,355.51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52,241,154.55</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四川泸美供应链管理有 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1,124.48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4,477,687.65</w:t>
            </w:r>
            <w:r>
              <w:rPr>
                <w:rFonts w:ascii="Times New Roman"/>
                <w:sz w:val="18"/>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-462,570.64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28,089,816.31</w:t>
            </w:r>
          </w:p>
        </w:tc>
      </w:tr>
    </w:tbl>
    <w:p>
      <w:pPr>
        <w:pStyle w:val="BodyText"/>
        <w:spacing w:line="357" w:lineRule="auto" w:before="49"/>
        <w:ind w:right="5454"/>
        <w:jc w:val="left"/>
      </w:pPr>
      <w:r>
        <w:rPr/>
        <w:t>子公司少数股东的持股比例不同于表决权比例的说明：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3）重要非全资子公司的主要财务信息" w:id="370"/>
      <w:bookmarkEnd w:id="37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2" w:right="161"/>
              <w:jc w:val="left"/>
              <w:rPr>
                <w:rFonts w:ascii="宋体" w:hAnsi="宋体" w:cs="宋体" w:eastAsia="宋体" w:hint="default"/>
                <w:sz w:val="18"/>
                <w:szCs w:val="18"/>
              </w:rPr>
            </w:pPr>
            <w:r>
              <w:rPr>
                <w:rFonts w:ascii="宋体" w:hAnsi="宋体" w:cs="宋体" w:eastAsia="宋体" w:hint="default"/>
                <w:sz w:val="18"/>
                <w:szCs w:val="18"/>
              </w:rPr>
              <w:t>深圳市 金之彩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146,096,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807.24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95,192,7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241,289,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538.16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60,485,1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3,620,00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64,105,1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15.96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156,750,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339.20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91,021,2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247,771,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57,926,0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50.80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2,470,00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60,396,0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50.80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98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文化创 意有限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四川泸 美供应 链管理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131,268,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279.53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1,088,59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132,356,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870.18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120,913,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890.64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120,913,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890.64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46,127,8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17,232.6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46,145,0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34,704,9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54.26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34,704,9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54.26</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汇天云 网集团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75,244,3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38,938,9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114,183,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287.51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49,246,4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7,436,67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56,683,1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08.33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205,856,919.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-10,191,155.7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7,676,993.33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187,418,350.</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23,492,533.8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40,236,222.8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四川泸美供 应链管理有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285,940,419.</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2,873.66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5,698,504.83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30,081,943.7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-59,894.12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3,037,442.42</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汇天云网集 团有限公司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126,552,302.</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68,261.25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4,634,651.10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使用企业集团资产和清偿企业集团债务的重大限制" w:id="371"/>
      <w:bookmarkEnd w:id="37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向纳入合并财务报表范围的结构化主体提供的财务支持或其他支持" w:id="372"/>
      <w:bookmarkEnd w:id="372"/>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373"/>
      <w:bookmarkEnd w:id="373"/>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74"/>
      <w:bookmarkEnd w:id="37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bookmarkStart w:name="（2）交易对于少数股东权益及归属于母公司所有者权益的影响" w:id="375"/>
      <w:bookmarkEnd w:id="375"/>
      <w:r>
        <w:rPr/>
      </w: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3;top:14;width:2;height:394" coordorigin="23,14" coordsize="2,394">
              <v:shape style="position:absolute;left:23;top:14;width:2;height:394" coordorigin="23,14" coordsize="0,394" path="m23,14l23,408e" filled="false" stroked="true" strokeweight="1.08pt" strokecolor="#d4d4d4">
                <v:path arrowok="t"/>
              </v:shape>
            </v:group>
            <v:group style="position:absolute;left:4774;top:14;width:2;height:394" coordorigin="4774,14" coordsize="2,394">
              <v:shape style="position:absolute;left:4774;top:14;width:2;height:394" coordorigin="4774,14" coordsize="0,394" path="m4774,14l4774,408e" filled="false" stroked="true" strokeweight="1.2pt" strokecolor="#d4d4d4">
                <v:path arrowok="t"/>
              </v:shape>
            </v:group>
            <v:group style="position:absolute;left:34;top:14;width:4728;height:394" coordorigin="34,14" coordsize="4728,394">
              <v:shape style="position:absolute;left:34;top:14;width:4728;height:394" coordorigin="34,14" coordsize="4728,394" path="m34,408l4762,408,4762,14,34,14,34,408xe" filled="true" fillcolor="#d4d4d4" stroked="false">
                <v:path arrowok="t"/>
                <v:fill type="solid"/>
              </v:shape>
            </v:group>
            <v:group style="position:absolute;left:4806;top:14;width:2;height:394" coordorigin="4806,14" coordsize="2,394">
              <v:shape style="position:absolute;left:4806;top:14;width:2;height:394" coordorigin="4806,14" coordsize="0,394" path="m4806,14l4806,408e" filled="false" stroked="true" strokeweight="1.08pt" strokecolor="#e1ffff">
                <v:path arrowok="t"/>
              </v:shape>
            </v:group>
            <v:group style="position:absolute;left:9557;top:14;width:2;height:394" coordorigin="9557,14" coordsize="2,394">
              <v:shape style="position:absolute;left:9557;top:14;width:2;height:394" coordorigin="9557,14" coordsize="0,394" path="m9557,14l9557,408e" filled="false" stroked="true" strokeweight="1.2pt" strokecolor="#e1ffff">
                <v:path arrowok="t"/>
              </v:shape>
            </v:group>
            <v:group style="position:absolute;left:4817;top:14;width:4728;height:394" coordorigin="4817,14" coordsize="4728,394">
              <v:shape style="position:absolute;left:4817;top:14;width:4728;height:394" coordorigin="4817,14" coordsize="4728,394" path="m4817,408l9545,408,9545,14,4817,14,4817,408xe" filled="true" fillcolor="#e1ffff"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1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1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1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357" w:lineRule="auto" w:before="44"/>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在合营安排或联营企业中的权益" w:id="376"/>
      <w:bookmarkEnd w:id="37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77"/>
      <w:bookmarkEnd w:id="37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6"/>
        <w:gridCol w:w="1368"/>
        <w:gridCol w:w="1368"/>
        <w:gridCol w:w="1366"/>
        <w:gridCol w:w="1355"/>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5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47" w:right="35"/>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55" w:type="dxa"/>
            <w:vMerge/>
            <w:tcBorders>
              <w:left w:val="single" w:sz="4" w:space="0" w:color="000000"/>
              <w:bottom w:val="single" w:sz="4" w:space="0" w:color="000000"/>
              <w:right w:val="single" w:sz="4" w:space="0" w:color="000000"/>
            </w:tcBorders>
            <w:shd w:val="clear" w:color="auto" w:fill="D4D4D4"/>
          </w:tcPr>
          <w:p>
            <w:pPr/>
          </w:p>
        </w:tc>
      </w:tr>
    </w:tbl>
    <w:p>
      <w:pPr>
        <w:pStyle w:val="BodyText"/>
        <w:spacing w:line="357" w:lineRule="auto" w:before="49"/>
        <w:ind w:right="4914"/>
        <w:jc w:val="left"/>
      </w:pPr>
      <w:r>
        <w:rPr/>
        <w:t>在合营企业或联营企业的持股比例不同于表决权比例的说明： 无</w:t>
      </w:r>
    </w:p>
    <w:p>
      <w:pPr>
        <w:pStyle w:val="BodyText"/>
        <w:spacing w:line="340" w:lineRule="auto" w:before="29"/>
        <w:ind w:right="237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8"/>
        </w:rPr>
        <w:t> </w:t>
      </w:r>
      <w:r>
        <w:rPr>
          <w:rFonts w:ascii="Times New Roman" w:hAnsi="Times New Roman" w:cs="Times New Roman" w:eastAsia="Times New Roman" w:hint="default"/>
        </w:rPr>
        <w:t>20%</w:t>
      </w:r>
      <w:r>
        <w:rPr/>
        <w:t>或以上表决权但不具有重大影响的依据： 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bookmarkStart w:name="（2）重要合营企业的主要财务信息" w:id="378"/>
      <w:bookmarkEnd w:id="37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88"/>
        <w:gridCol w:w="3192"/>
      </w:tblGrid>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88"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重要联营企业的主要财务信息" w:id="379"/>
      <w:bookmarkEnd w:id="37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2"/>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10" w:space="0" w:color="D4D4D4"/>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不重要的合营企业和联营企业的汇总财务信息" w:id="380"/>
      <w:bookmarkEnd w:id="38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7,820,300.81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6,315,997.02</w:t>
            </w:r>
            <w:r>
              <w:rPr>
                <w:rFonts w:ascii="Times New Roman"/>
                <w:sz w:val="18"/>
              </w:rPr>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1,504,303.79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875,381.01</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1,504,303.79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875,381.01</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5）合营企业或联营企业向本公司转移资金的能力存在重大限制的说明" w:id="381"/>
      <w:bookmarkEnd w:id="38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合营企业或联营企业发生的超额亏损" w:id="382"/>
      <w:bookmarkEnd w:id="38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3"/>
        <w:gridCol w:w="2390"/>
        <w:gridCol w:w="2395"/>
      </w:tblGrid>
      <w:tr>
        <w:trPr>
          <w:trHeight w:val="715"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50" w:right="19"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7）与合营企业投资相关的未确认承诺" w:id="383"/>
      <w:bookmarkEnd w:id="38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与合营企业或联营企业投资相关的或有负债" w:id="384"/>
      <w:bookmarkEnd w:id="38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重要的共同经营" w:id="385"/>
      <w:bookmarkEnd w:id="38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4"/>
        <w:gridCol w:w="1594"/>
        <w:gridCol w:w="1594"/>
        <w:gridCol w:w="1583"/>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54"/>
        <w:jc w:val="left"/>
      </w:pPr>
      <w:r>
        <w:rPr/>
        <w:t>在共同经营中的持股比例或享有的份额不同于表决权比例的说明： 无</w:t>
      </w:r>
    </w:p>
    <w:p>
      <w:pPr>
        <w:pStyle w:val="BodyText"/>
        <w:spacing w:line="360" w:lineRule="auto" w:before="29"/>
        <w:ind w:right="5814"/>
        <w:jc w:val="left"/>
      </w:pPr>
      <w:r>
        <w:rPr/>
        <w:t>共同经营为单独主体的，分类为共同经营的依据： 无</w:t>
      </w:r>
    </w:p>
    <w:p>
      <w:pPr>
        <w:pStyle w:val="BodyText"/>
        <w:spacing w:line="357" w:lineRule="auto" w:before="27"/>
        <w:ind w:right="9054"/>
        <w:jc w:val="left"/>
      </w:pPr>
      <w:r>
        <w:rPr/>
        <w:t>其他说明 无</w:t>
      </w:r>
    </w:p>
    <w:p>
      <w:pPr>
        <w:spacing w:after="0" w:line="357"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814"/>
        <w:jc w:val="left"/>
      </w:pPr>
      <w:bookmarkStart w:name="5、在未纳入合并财务报表范围的结构化主体中的权益" w:id="386"/>
      <w:bookmarkEnd w:id="386"/>
      <w:r>
        <w:rPr/>
      </w:r>
      <w:r>
        <w:rPr/>
        <w:t>未纳入合并财务报表范围的结构化主体的相关说明： 无</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6、其他" w:id="387"/>
      <w:bookmarkEnd w:id="387"/>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bookmarkStart w:name="十、与金融工具相关的风险" w:id="388"/>
      <w:bookmarkEnd w:id="388"/>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330"/>
        <w:jc w:val="both"/>
      </w:pPr>
      <w:r>
        <w:rPr>
          <w:spacing w:val="-2"/>
        </w:rPr>
        <w:t>本公司的主要金融工具包括股权投资、应收账款、应付账款等，各项金融工具的详细情况说明见本附注六相关项目。与这些</w:t>
      </w:r>
      <w:r>
        <w:rPr>
          <w:spacing w:val="-64"/>
        </w:rPr>
        <w:t> </w:t>
      </w:r>
      <w:r>
        <w:rPr>
          <w:spacing w:val="-64"/>
        </w:rPr>
      </w:r>
      <w:r>
        <w:rPr>
          <w:spacing w:val="-2"/>
        </w:rPr>
        <w:t>金融工具有关的风险，以及本公司为降低这些风险所采取的风险管理政策如下所述。本公司管理层对这些风险敞口进行管理</w:t>
      </w:r>
      <w:r>
        <w:rPr>
          <w:spacing w:val="-64"/>
        </w:rPr>
        <w:t> </w:t>
      </w:r>
      <w:r>
        <w:rPr>
          <w:spacing w:val="-64"/>
        </w:rPr>
      </w:r>
      <w:r>
        <w:rPr/>
        <w:t>和监控以确保将上述风险控制在限定的范围之内。</w:t>
      </w:r>
    </w:p>
    <w:p>
      <w:pPr>
        <w:pStyle w:val="BodyText"/>
        <w:spacing w:line="316" w:lineRule="auto" w:before="59"/>
        <w:ind w:right="333" w:firstLine="288"/>
        <w:jc w:val="both"/>
      </w:pPr>
      <w:r>
        <w:rPr>
          <w:spacing w:val="-1"/>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57" w:lineRule="auto" w:before="59"/>
        <w:ind w:left="512" w:right="344" w:hanging="72"/>
        <w:jc w:val="left"/>
      </w:pPr>
      <w:r>
        <w:rPr/>
        <w:t>（一）风险管理目标和政策 本公司从事风险管理的目标是在风险和收益之间取得适当的平衡，将风险对本公司经营业绩的负面影响降低到最低水</w:t>
      </w:r>
    </w:p>
    <w:p>
      <w:pPr>
        <w:pStyle w:val="BodyText"/>
        <w:spacing w:line="224" w:lineRule="exact"/>
        <w:ind w:right="0"/>
        <w:jc w:val="both"/>
      </w:pPr>
      <w:r>
        <w:rPr/>
        <w:t>平，使股东及其其他权益投资者的利益最大化。基于该风险管理目标，本公司风险管理的基本策略是确定和分析本公司所面</w:t>
      </w:r>
    </w:p>
    <w:p>
      <w:pPr>
        <w:pStyle w:val="BodyText"/>
        <w:spacing w:line="316" w:lineRule="auto" w:before="76"/>
        <w:ind w:right="330"/>
        <w:jc w:val="both"/>
      </w:pP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BodyText"/>
        <w:spacing w:line="240" w:lineRule="auto" w:before="59"/>
        <w:ind w:left="440" w:right="344"/>
        <w:jc w:val="left"/>
      </w:pPr>
      <w:r>
        <w:rPr>
          <w:rFonts w:ascii="Times New Roman" w:hAnsi="Times New Roman" w:cs="Times New Roman" w:eastAsia="Times New Roman" w:hint="default"/>
        </w:rPr>
        <w:t>1.</w:t>
      </w:r>
      <w:r>
        <w:rPr/>
        <w:t>市场风险</w:t>
      </w:r>
    </w:p>
    <w:p>
      <w:pPr>
        <w:pStyle w:val="BodyText"/>
        <w:spacing w:line="338" w:lineRule="auto" w:before="103"/>
        <w:ind w:left="440" w:right="166"/>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外汇风险指因汇率变动产生损失的风险。本公司承受外汇风险主要与港币、美元、台币及欧元有关，除本公司及几个下</w:t>
      </w:r>
    </w:p>
    <w:p>
      <w:pPr>
        <w:pStyle w:val="BodyText"/>
        <w:spacing w:line="309" w:lineRule="auto" w:before="2"/>
        <w:ind w:right="330"/>
        <w:jc w:val="both"/>
      </w:pPr>
      <w:r>
        <w:rPr>
          <w:spacing w:val="-2"/>
        </w:rPr>
        <w:t>属子公司以港币、台币、美元进行采购与销售外，本公司的其他主要业务活动以人民币计价结算。于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w:t>
      </w:r>
      <w:r>
        <w:rPr>
          <w:spacing w:val="-63"/>
        </w:rPr>
        <w:t> </w:t>
      </w:r>
      <w:r>
        <w:rPr>
          <w:spacing w:val="-63"/>
        </w:rPr>
      </w:r>
      <w:r>
        <w:rPr>
          <w:spacing w:val="-2"/>
        </w:rPr>
        <w:t>表所述资产或负债为美元、港币及欧元余额外，本公司的资产及负债均为人民币余额。该等外币余额的资产和负债产生的外</w:t>
      </w:r>
      <w:r>
        <w:rPr>
          <w:spacing w:val="-63"/>
        </w:rPr>
        <w:t> </w:t>
      </w:r>
      <w:r>
        <w:rPr>
          <w:spacing w:val="-63"/>
        </w:rPr>
      </w:r>
      <w:r>
        <w:rPr/>
        <w:t>汇风险可能对本公司的经营业绩产生影响。</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994"/>
        <w:gridCol w:w="3125"/>
        <w:gridCol w:w="2736"/>
      </w:tblGrid>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46"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207,303,190.39</w:t>
            </w:r>
            <w:r>
              <w:rPr>
                <w:rFonts w:ascii="Times New Roman"/>
                <w:sz w:val="20"/>
              </w:rPr>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180,292,936.30</w:t>
            </w:r>
            <w:r>
              <w:rPr>
                <w:rFonts w:ascii="Times New Roman"/>
                <w:sz w:val="20"/>
              </w:rPr>
            </w:r>
          </w:p>
        </w:tc>
      </w:tr>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231,949,058.14</w:t>
            </w:r>
            <w:r>
              <w:rPr>
                <w:rFonts w:ascii="Times New Roman"/>
                <w:sz w:val="20"/>
              </w:rPr>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122,396,281.15</w:t>
            </w:r>
            <w:r>
              <w:rPr>
                <w:rFonts w:ascii="Times New Roman"/>
                <w:sz w:val="20"/>
              </w:rPr>
            </w:r>
          </w:p>
        </w:tc>
      </w:tr>
      <w:tr>
        <w:trPr>
          <w:trHeight w:val="348" w:hRule="exact"/>
        </w:trPr>
        <w:tc>
          <w:tcPr>
            <w:tcW w:w="3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80,459,452.76</w:t>
            </w:r>
            <w:r>
              <w:rPr>
                <w:rFonts w:ascii="Times New Roman"/>
                <w:sz w:val="20"/>
              </w:rPr>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pacing w:val="-1"/>
                <w:sz w:val="20"/>
              </w:rPr>
              <w:t>19,176,319.16</w:t>
            </w:r>
            <w:r>
              <w:rPr>
                <w:rFonts w:ascii="Times New Roman"/>
                <w:sz w:val="20"/>
              </w:rPr>
            </w:r>
          </w:p>
        </w:tc>
      </w:tr>
    </w:tbl>
    <w:p>
      <w:pPr>
        <w:pStyle w:val="BodyText"/>
        <w:spacing w:line="357" w:lineRule="auto" w:before="49"/>
        <w:ind w:left="440" w:right="166"/>
        <w:jc w:val="left"/>
      </w:pPr>
      <w:r>
        <w:rPr/>
        <w:t>本公司密切关注汇率变动对本公司外汇风险的影响。本公司目前并未采取任何措施规避外汇风险。 外汇风险敏感性分析： </w:t>
      </w:r>
      <w:r>
        <w:rPr>
          <w:spacing w:val="-1"/>
        </w:rPr>
        <w:t>外汇风险敏感性分析假设：所有境外经营净投资套期及现金流量套期均高度有效。在上述假设的基础上，在其他变量不</w:t>
      </w:r>
    </w:p>
    <w:p>
      <w:pPr>
        <w:pStyle w:val="BodyText"/>
        <w:spacing w:line="224" w:lineRule="exact"/>
        <w:ind w:right="344"/>
        <w:jc w:val="left"/>
      </w:pPr>
      <w:r>
        <w:rPr/>
        <w:t>变的情况下，汇率可能发生的合理变动对当期损益和股东权益的税前影响如下：</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50"/>
        <w:gridCol w:w="1836"/>
        <w:gridCol w:w="1558"/>
        <w:gridCol w:w="1843"/>
        <w:gridCol w:w="1562"/>
        <w:gridCol w:w="1699"/>
      </w:tblGrid>
      <w:tr>
        <w:trPr>
          <w:trHeight w:val="348" w:hRule="exact"/>
        </w:trPr>
        <w:tc>
          <w:tcPr>
            <w:tcW w:w="1250" w:type="dxa"/>
            <w:vMerge w:val="restart"/>
            <w:tcBorders>
              <w:top w:val="single" w:sz="6" w:space="0" w:color="000000"/>
              <w:left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36" w:type="dxa"/>
            <w:vMerge w:val="restart"/>
            <w:tcBorders>
              <w:top w:val="single" w:sz="6" w:space="0" w:color="000000"/>
              <w:left w:val="single" w:sz="6" w:space="0" w:color="000000"/>
              <w:right w:val="single" w:sz="6" w:space="0" w:color="000000"/>
            </w:tcBorders>
          </w:tcPr>
          <w:p>
            <w:pPr>
              <w:pStyle w:val="TableParagraph"/>
              <w:spacing w:line="240" w:lineRule="auto" w:before="4"/>
              <w:ind w:left="513"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4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32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46" w:hRule="exact"/>
        </w:trPr>
        <w:tc>
          <w:tcPr>
            <w:tcW w:w="1250" w:type="dxa"/>
            <w:vMerge/>
            <w:tcBorders>
              <w:left w:val="single" w:sz="6" w:space="0" w:color="000000"/>
              <w:bottom w:val="single" w:sz="6" w:space="0" w:color="000000"/>
              <w:right w:val="single" w:sz="6" w:space="0" w:color="000000"/>
            </w:tcBorders>
          </w:tcPr>
          <w:p>
            <w:pPr/>
          </w:p>
        </w:tc>
        <w:tc>
          <w:tcPr>
            <w:tcW w:w="1836"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7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15"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77"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1"/>
              <w:jc w:val="right"/>
              <w:rPr>
                <w:rFonts w:ascii="宋体" w:hAnsi="宋体" w:cs="宋体" w:eastAsia="宋体" w:hint="default"/>
                <w:sz w:val="20"/>
                <w:szCs w:val="20"/>
              </w:rPr>
            </w:pPr>
            <w:r>
              <w:rPr>
                <w:rFonts w:ascii="宋体" w:hAnsi="宋体" w:cs="宋体" w:eastAsia="宋体" w:hint="default"/>
                <w:w w:val="95"/>
                <w:sz w:val="20"/>
                <w:szCs w:val="20"/>
              </w:rPr>
              <w:t>对股东权益的影响</w:t>
            </w:r>
            <w:r>
              <w:rPr>
                <w:rFonts w:ascii="宋体" w:hAnsi="宋体" w:cs="宋体" w:eastAsia="宋体" w:hint="default"/>
                <w:sz w:val="20"/>
                <w:szCs w:val="20"/>
              </w:rPr>
            </w:r>
          </w:p>
        </w:tc>
      </w:tr>
      <w:tr>
        <w:trPr>
          <w:trHeight w:val="348" w:hRule="exact"/>
        </w:trPr>
        <w:tc>
          <w:tcPr>
            <w:tcW w:w="1250" w:type="dxa"/>
            <w:vMerge w:val="restart"/>
            <w:tcBorders>
              <w:top w:val="single" w:sz="6" w:space="0" w:color="000000"/>
              <w:left w:val="single" w:sz="6" w:space="0" w:color="000000"/>
              <w:right w:val="single" w:sz="6" w:space="0" w:color="000000"/>
            </w:tcBorders>
          </w:tcPr>
          <w:p>
            <w:pPr>
              <w:pStyle w:val="TableParagraph"/>
              <w:spacing w:line="285" w:lineRule="auto" w:before="4"/>
              <w:ind w:left="419" w:right="17" w:hanging="401"/>
              <w:jc w:val="left"/>
              <w:rPr>
                <w:rFonts w:ascii="宋体" w:hAnsi="宋体" w:cs="宋体" w:eastAsia="宋体" w:hint="default"/>
                <w:sz w:val="20"/>
                <w:szCs w:val="20"/>
              </w:rPr>
            </w:pPr>
            <w:r>
              <w:rPr>
                <w:rFonts w:ascii="宋体" w:hAnsi="宋体" w:cs="宋体" w:eastAsia="宋体" w:hint="default"/>
                <w:sz w:val="20"/>
                <w:szCs w:val="20"/>
              </w:rPr>
              <w:t>现金及现金等</w:t>
            </w:r>
            <w:r>
              <w:rPr>
                <w:rFonts w:ascii="宋体" w:hAnsi="宋体" w:cs="宋体" w:eastAsia="宋体" w:hint="default"/>
                <w:w w:val="99"/>
                <w:sz w:val="20"/>
                <w:szCs w:val="20"/>
              </w:rPr>
              <w:t> </w:t>
            </w:r>
            <w:r>
              <w:rPr>
                <w:rFonts w:ascii="宋体" w:hAnsi="宋体" w:cs="宋体" w:eastAsia="宋体" w:hint="default"/>
                <w:sz w:val="20"/>
                <w:szCs w:val="20"/>
              </w:rPr>
              <w:t>价物</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-1,199,037.38</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-1,199,037.38</w:t>
            </w:r>
            <w:r>
              <w:rPr>
                <w:rFonts w:ascii="Times New Roman"/>
                <w:sz w:val="20"/>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-1,802,929.36</w:t>
            </w:r>
            <w:r>
              <w:rPr>
                <w:rFonts w:ascii="Times New Roman"/>
                <w:sz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-1,802,929.36</w:t>
            </w:r>
            <w:r>
              <w:rPr>
                <w:rFonts w:ascii="Times New Roman"/>
                <w:sz w:val="20"/>
              </w:rPr>
            </w:r>
          </w:p>
        </w:tc>
      </w:tr>
      <w:tr>
        <w:trPr>
          <w:trHeight w:val="348" w:hRule="exact"/>
        </w:trPr>
        <w:tc>
          <w:tcPr>
            <w:tcW w:w="1250" w:type="dxa"/>
            <w:vMerge/>
            <w:tcBorders>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1,199,037.38</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1,199,037.38</w:t>
            </w:r>
            <w:r>
              <w:rPr>
                <w:rFonts w:ascii="Times New Roman"/>
                <w:sz w:val="20"/>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1,802,929.36</w:t>
            </w:r>
            <w:r>
              <w:rPr>
                <w:rFonts w:ascii="Times New Roman"/>
                <w:sz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1,802,929.36</w:t>
            </w:r>
            <w:r>
              <w:rPr>
                <w:rFonts w:ascii="Times New Roman"/>
                <w:sz w:val="20"/>
              </w:rPr>
            </w:r>
          </w:p>
        </w:tc>
      </w:tr>
      <w:tr>
        <w:trPr>
          <w:trHeight w:val="346" w:hRule="exact"/>
        </w:trPr>
        <w:tc>
          <w:tcPr>
            <w:tcW w:w="1250" w:type="dxa"/>
            <w:vMerge w:val="restart"/>
            <w:tcBorders>
              <w:top w:val="single" w:sz="6" w:space="0" w:color="000000"/>
              <w:left w:val="single" w:sz="6" w:space="0" w:color="000000"/>
              <w:right w:val="single" w:sz="6" w:space="0" w:color="000000"/>
            </w:tcBorders>
          </w:tcPr>
          <w:p>
            <w:pPr>
              <w:pStyle w:val="TableParagraph"/>
              <w:spacing w:line="240" w:lineRule="auto" w:before="1"/>
              <w:ind w:left="22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-1,471,555.95</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-1,471,555.95</w:t>
            </w:r>
            <w:r>
              <w:rPr>
                <w:rFonts w:ascii="Times New Roman"/>
                <w:sz w:val="20"/>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pacing w:val="-1"/>
                <w:sz w:val="20"/>
              </w:rPr>
              <w:t>-1,223,962.81</w:t>
            </w:r>
            <w:r>
              <w:rPr>
                <w:rFonts w:ascii="Times New Roman"/>
                <w:sz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-1,223,962.81</w:t>
            </w:r>
            <w:r>
              <w:rPr>
                <w:rFonts w:ascii="Times New Roman"/>
                <w:sz w:val="20"/>
              </w:rPr>
            </w:r>
          </w:p>
        </w:tc>
      </w:tr>
      <w:tr>
        <w:trPr>
          <w:trHeight w:val="348" w:hRule="exact"/>
        </w:trPr>
        <w:tc>
          <w:tcPr>
            <w:tcW w:w="1250" w:type="dxa"/>
            <w:vMerge/>
            <w:tcBorders>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1,471,555.95</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1,471,555.95</w:t>
            </w:r>
            <w:r>
              <w:rPr>
                <w:rFonts w:ascii="Times New Roman"/>
                <w:sz w:val="20"/>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1,223,962.81</w:t>
            </w:r>
            <w:r>
              <w:rPr>
                <w:rFonts w:ascii="Times New Roman"/>
                <w:sz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1,223,962.81</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50"/>
        <w:gridCol w:w="1836"/>
        <w:gridCol w:w="1558"/>
        <w:gridCol w:w="1843"/>
        <w:gridCol w:w="1562"/>
        <w:gridCol w:w="1699"/>
      </w:tblGrid>
      <w:tr>
        <w:trPr>
          <w:trHeight w:val="348" w:hRule="exact"/>
        </w:trPr>
        <w:tc>
          <w:tcPr>
            <w:tcW w:w="1250" w:type="dxa"/>
            <w:vMerge w:val="restart"/>
            <w:tcBorders>
              <w:top w:val="single" w:sz="6" w:space="0" w:color="000000"/>
              <w:left w:val="single" w:sz="6" w:space="0" w:color="000000"/>
              <w:right w:val="single" w:sz="6" w:space="0" w:color="000000"/>
            </w:tcBorders>
          </w:tcPr>
          <w:p>
            <w:pPr>
              <w:pStyle w:val="TableParagraph"/>
              <w:spacing w:line="240" w:lineRule="auto" w:before="1"/>
              <w:ind w:left="22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804,594.53</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804,594.53</w:t>
            </w:r>
            <w:r>
              <w:rPr>
                <w:rFonts w:ascii="Times New Roman"/>
                <w:sz w:val="20"/>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191,763.19</w:t>
            </w:r>
            <w:r>
              <w:rPr>
                <w:rFonts w:ascii="Times New Roman"/>
                <w:sz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191,763.19</w:t>
            </w:r>
            <w:r>
              <w:rPr>
                <w:rFonts w:ascii="Times New Roman"/>
                <w:sz w:val="20"/>
              </w:rPr>
            </w:r>
          </w:p>
        </w:tc>
      </w:tr>
      <w:tr>
        <w:trPr>
          <w:trHeight w:val="346" w:hRule="exact"/>
        </w:trPr>
        <w:tc>
          <w:tcPr>
            <w:tcW w:w="1250" w:type="dxa"/>
            <w:vMerge/>
            <w:tcBorders>
              <w:left w:val="single" w:sz="6" w:space="0" w:color="000000"/>
              <w:bottom w:val="single" w:sz="6" w:space="0" w:color="000000"/>
              <w:right w:val="single" w:sz="6" w:space="0" w:color="000000"/>
            </w:tcBorders>
          </w:tcPr>
          <w:p>
            <w:pP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-804,594.53</w:t>
            </w:r>
            <w:r>
              <w:rPr>
                <w:rFonts w:ascii="Times New Roman"/>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-804,594.53</w:t>
            </w:r>
            <w:r>
              <w:rPr>
                <w:rFonts w:ascii="Times New Roman"/>
                <w:sz w:val="20"/>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-191,763.19</w:t>
            </w:r>
            <w:r>
              <w:rPr>
                <w:rFonts w:ascii="Times New Roman"/>
                <w:sz w:val="20"/>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-191,763.19</w:t>
            </w:r>
          </w:p>
        </w:tc>
      </w:tr>
    </w:tbl>
    <w:p>
      <w:pPr>
        <w:pStyle w:val="BodyText"/>
        <w:spacing w:line="340" w:lineRule="auto" w:before="49"/>
        <w:ind w:left="440" w:right="4086"/>
        <w:jc w:val="left"/>
      </w:pPr>
      <w:r>
        <w:rPr/>
        <w:t>（</w:t>
      </w:r>
      <w:r>
        <w:rPr>
          <w:rFonts w:ascii="Times New Roman" w:hAnsi="Times New Roman" w:cs="Times New Roman" w:eastAsia="Times New Roman" w:hint="default"/>
        </w:rPr>
        <w:t>2</w:t>
      </w:r>
      <w:r>
        <w:rPr/>
        <w:t>）利率风险 本公司期末无借款，无因利率变动引起金融工具现金流量变动的风险。</w:t>
      </w:r>
    </w:p>
    <w:p>
      <w:pPr>
        <w:pStyle w:val="BodyText"/>
        <w:spacing w:line="350" w:lineRule="auto" w:before="39"/>
        <w:ind w:left="440" w:right="7686"/>
        <w:jc w:val="left"/>
      </w:pPr>
      <w:r>
        <w:rPr/>
        <w:t>（</w:t>
      </w:r>
      <w:r>
        <w:rPr>
          <w:rFonts w:ascii="Times New Roman" w:hAnsi="Times New Roman" w:cs="Times New Roman" w:eastAsia="Times New Roman" w:hint="default"/>
        </w:rPr>
        <w:t>3</w:t>
      </w:r>
      <w:r>
        <w:rPr/>
        <w:t>）其他价格风险 本公司无其他价格风险。 </w:t>
      </w:r>
      <w:r>
        <w:rPr>
          <w:rFonts w:ascii="Times New Roman" w:hAnsi="Times New Roman" w:cs="Times New Roman" w:eastAsia="Times New Roman" w:hint="default"/>
        </w:rPr>
        <w:t>2.</w:t>
      </w:r>
      <w:r>
        <w:rPr/>
        <w:t>信用风险</w:t>
      </w:r>
    </w:p>
    <w:p>
      <w:pPr>
        <w:pStyle w:val="BodyText"/>
        <w:spacing w:line="300" w:lineRule="auto" w:before="9"/>
        <w:ind w:right="333" w:firstLine="36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6" w:lineRule="auto" w:before="72"/>
        <w:ind w:right="251"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59"/>
        <w:ind w:right="333" w:firstLine="288"/>
        <w:jc w:val="both"/>
      </w:pPr>
      <w:r>
        <w:rPr>
          <w:spacing w:val="-1"/>
        </w:rPr>
        <w:t>为降低信用风险，本公司设立专门岗位负责确定信用额度、进行信用审批，并执行其他监控程序以确保采取必要的措施</w:t>
      </w:r>
      <w:r>
        <w:rPr/>
        <w:t> </w:t>
      </w:r>
      <w:r>
        <w:rPr>
          <w:spacing w:val="-2"/>
        </w:rPr>
        <w:t>回收过期债权；此外，本公司于每个资产负债表日审核每一单项应收款的回收情况，以确保就无法回收的款项计提充分的坏</w:t>
      </w:r>
      <w:r>
        <w:rPr>
          <w:spacing w:val="-66"/>
        </w:rPr>
        <w:t> </w:t>
      </w:r>
      <w:r>
        <w:rPr>
          <w:spacing w:val="-66"/>
        </w:rPr>
      </w:r>
      <w:r>
        <w:rPr/>
        <w:t>账准备。因此，本公司管理层认为本公司所承担的信用风险已经大为降低。</w:t>
      </w:r>
    </w:p>
    <w:p>
      <w:pPr>
        <w:pStyle w:val="BodyText"/>
        <w:spacing w:line="240" w:lineRule="auto" w:before="57"/>
        <w:ind w:left="440" w:right="344"/>
        <w:jc w:val="left"/>
      </w:pPr>
      <w:r>
        <w:rPr/>
        <w:t>本公司的流动资金存放在信用评级较高的银行，故流动资金的信用风险较低。</w:t>
      </w:r>
    </w:p>
    <w:p>
      <w:pPr>
        <w:pStyle w:val="BodyText"/>
        <w:spacing w:line="340" w:lineRule="auto" w:before="117"/>
        <w:ind w:left="512" w:right="166" w:hanging="72"/>
        <w:jc w:val="left"/>
      </w:pPr>
      <w:r>
        <w:rPr>
          <w:rFonts w:ascii="Times New Roman" w:hAnsi="Times New Roman" w:cs="Times New Roman" w:eastAsia="Times New Roman" w:hint="default"/>
        </w:rPr>
        <w:t>3.</w:t>
      </w:r>
      <w:r>
        <w:rPr/>
        <w:t>流动风险 </w:t>
      </w:r>
      <w:r>
        <w:rPr>
          <w:spacing w:val="-2"/>
        </w:rPr>
        <w:t>管理流动风险时，本公司保持管理层认为充分的现金及现金等价物并对其进行监控，以满足本公司经营需要，并降低现</w:t>
      </w:r>
    </w:p>
    <w:p>
      <w:pPr>
        <w:pStyle w:val="BodyText"/>
        <w:spacing w:line="357" w:lineRule="auto"/>
        <w:ind w:left="512" w:right="166" w:hanging="360"/>
        <w:jc w:val="left"/>
      </w:pPr>
      <w:r>
        <w:rPr/>
        <w:t>金流量波动的影响。 </w:t>
      </w:r>
      <w:r>
        <w:rPr>
          <w:spacing w:val="-2"/>
        </w:rPr>
        <w:t>本公司的长期借款系子公司香港美盈森控股子公司汇天云网的银行借款，</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日，本公司尚未使用的银行借款</w:t>
      </w:r>
    </w:p>
    <w:p>
      <w:pPr>
        <w:pStyle w:val="BodyText"/>
        <w:spacing w:line="214" w:lineRule="exact"/>
        <w:ind w:right="344"/>
        <w:jc w:val="left"/>
      </w:pPr>
      <w:r>
        <w:rPr/>
        <w:t>为人民币</w:t>
      </w:r>
      <w:r>
        <w:rPr>
          <w:rFonts w:ascii="Times New Roman" w:hAnsi="Times New Roman" w:cs="Times New Roman" w:eastAsia="Times New Roman" w:hint="default"/>
        </w:rPr>
        <w:t>6,886,086.20</w:t>
      </w:r>
      <w:r>
        <w:rPr/>
        <w:t>元。</w:t>
      </w:r>
    </w:p>
    <w:p>
      <w:pPr>
        <w:pStyle w:val="BodyText"/>
        <w:spacing w:line="240" w:lineRule="auto" w:before="103"/>
        <w:ind w:left="512" w:right="344"/>
        <w:jc w:val="left"/>
      </w:pPr>
      <w:r>
        <w:rPr/>
        <w:t>于资产负债表日，本公司各项金融资产及金融负债以未折现的合同现金流量按到期日列示如下：</w:t>
      </w:r>
    </w:p>
    <w:p>
      <w:pPr>
        <w:spacing w:line="240" w:lineRule="auto" w:before="5"/>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26"/>
        <w:gridCol w:w="1615"/>
        <w:gridCol w:w="1522"/>
        <w:gridCol w:w="1464"/>
        <w:gridCol w:w="1464"/>
        <w:gridCol w:w="1764"/>
      </w:tblGrid>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7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非衍金融资产</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823,790,669.41</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823,790,669.41</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26,197,180.79</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26,197,180.79</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495,063,309.49</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18,656,231.74</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438,751.28</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1,485,639.77</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515,643,932.28</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8,326,048.41</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348,711.66</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31,586.50</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787,873.30</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9,494,219.87</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18,622,494.54</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8,476,536.44</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5,306,880.11</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4,204,479.28</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36,610,390.37</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1,371,999,702.64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27,481,479.84</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5,777,217.89</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6,477,992.35</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1,411,736,392.72</w:t>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非衍金融负债：</w:t>
            </w:r>
          </w:p>
        </w:tc>
        <w:tc>
          <w:tcPr>
            <w:tcW w:w="1615"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应付票据</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216,660,186.98</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216,660,186.98</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363,924,094.18</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14,391,244.18</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1,752,832.78</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22,978,716.23</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403,046,887.37</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预收账款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6,493,521.81</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88,345.32</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1,243,652.09</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z w:val="20"/>
              </w:rPr>
              <w:t>5,644.28</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7,831,163.50</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10,395,673.72</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5,166,496.07</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w w:val="95"/>
                <w:sz w:val="20"/>
              </w:rPr>
              <w:t>38,327,161.66</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496,743.00</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54,386,074.45</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597,473,476.69</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19,646,085.57</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41,323,646.53</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95"/>
                <w:sz w:val="20"/>
              </w:rPr>
              <w:t>23,481,103.51</w:t>
            </w:r>
            <w:r>
              <w:rPr>
                <w:rFonts w:ascii="Times New Roman"/>
                <w:sz w:val="20"/>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681,924,312.30</w:t>
            </w:r>
            <w:r>
              <w:rPr>
                <w:rFonts w:ascii="Times New Roman"/>
                <w:sz w:val="20"/>
              </w:rPr>
            </w:r>
          </w:p>
        </w:tc>
      </w:tr>
    </w:tbl>
    <w:p>
      <w:pPr>
        <w:spacing w:line="240" w:lineRule="auto" w:before="2"/>
        <w:rPr>
          <w:rFonts w:ascii="宋体" w:hAnsi="宋体" w:cs="宋体" w:eastAsia="宋体" w:hint="default"/>
          <w:sz w:val="27"/>
          <w:szCs w:val="27"/>
        </w:rPr>
      </w:pPr>
    </w:p>
    <w:p>
      <w:pPr>
        <w:pStyle w:val="BodyText"/>
        <w:spacing w:line="360" w:lineRule="auto" w:before="44"/>
        <w:ind w:left="440" w:right="5706"/>
        <w:jc w:val="left"/>
      </w:pPr>
      <w:r>
        <w:rPr/>
        <w:t>（二）金融资产转移 本公司本年度未发生与金融资产转移有关的事项。</w:t>
      </w:r>
    </w:p>
    <w:p>
      <w:pPr>
        <w:pStyle w:val="BodyText"/>
        <w:spacing w:line="240" w:lineRule="auto" w:before="27"/>
        <w:ind w:left="440" w:right="344"/>
        <w:jc w:val="left"/>
      </w:pPr>
      <w:r>
        <w:rPr/>
        <w:t>（三）金融资产与金融负债的抵销</w:t>
      </w:r>
    </w:p>
    <w:p>
      <w:pPr>
        <w:spacing w:after="0" w:line="240" w:lineRule="auto"/>
        <w:jc w:val="left"/>
        <w:sectPr>
          <w:pgSz w:w="11910" w:h="16840"/>
          <w:pgMar w:header="745" w:footer="982" w:top="1060" w:bottom="118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389"/>
      <w:bookmarkEnd w:id="389"/>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90"/>
      <w:bookmarkEnd w:id="39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5"/>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4D4D4"/>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83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4D4D4"/>
          </w:tcPr>
          <w:p>
            <w:pPr/>
          </w:p>
        </w:tc>
        <w:tc>
          <w:tcPr>
            <w:tcW w:w="1847" w:type="dxa"/>
            <w:vMerge/>
            <w:tcBorders>
              <w:left w:val="single" w:sz="4" w:space="0" w:color="000000"/>
              <w:right w:val="single" w:sz="4" w:space="0" w:color="000000"/>
            </w:tcBorders>
            <w:shd w:val="clear" w:color="auto" w:fill="D4D4D4"/>
          </w:tcPr>
          <w:p>
            <w:pPr/>
          </w:p>
        </w:tc>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4D4D4"/>
          </w:tcPr>
          <w:p>
            <w:pPr/>
          </w:p>
        </w:tc>
        <w:tc>
          <w:tcPr>
            <w:tcW w:w="1847" w:type="dxa"/>
            <w:vMerge/>
            <w:tcBorders>
              <w:left w:val="single" w:sz="4" w:space="0" w:color="000000"/>
              <w:right w:val="single" w:sz="4" w:space="0" w:color="000000"/>
            </w:tcBorders>
            <w:shd w:val="clear" w:color="auto" w:fill="D4D4D4"/>
          </w:tcPr>
          <w:p>
            <w:pPr/>
          </w:p>
        </w:tc>
        <w:tc>
          <w:tcPr>
            <w:tcW w:w="1913" w:type="dxa"/>
            <w:vMerge/>
            <w:tcBorders>
              <w:left w:val="single" w:sz="4" w:space="0" w:color="000000"/>
              <w:bottom w:val="nil" w:sz="6" w:space="0" w:color="auto"/>
              <w:right w:val="single" w:sz="4" w:space="0" w:color="000000"/>
            </w:tcBorders>
            <w:shd w:val="clear" w:color="auto" w:fill="D4D4D4"/>
          </w:tcPr>
          <w:p>
            <w:pPr/>
          </w:p>
        </w:tc>
        <w:tc>
          <w:tcPr>
            <w:tcW w:w="1913" w:type="dxa"/>
            <w:vMerge/>
            <w:tcBorders>
              <w:left w:val="single" w:sz="4" w:space="0" w:color="000000"/>
              <w:bottom w:val="nil" w:sz="6" w:space="0" w:color="auto"/>
              <w:right w:val="single" w:sz="4" w:space="0" w:color="000000"/>
            </w:tcBorders>
            <w:shd w:val="clear" w:color="auto" w:fill="D4D4D4"/>
          </w:tcPr>
          <w:p>
            <w:pPr/>
          </w:p>
        </w:tc>
        <w:tc>
          <w:tcPr>
            <w:tcW w:w="1915"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4D4D4"/>
          </w:tcPr>
          <w:p>
            <w:pPr/>
          </w:p>
        </w:tc>
        <w:tc>
          <w:tcPr>
            <w:tcW w:w="1847" w:type="dxa"/>
            <w:vMerge/>
            <w:tcBorders>
              <w:left w:val="single" w:sz="4" w:space="0" w:color="000000"/>
              <w:bottom w:val="single" w:sz="4" w:space="0" w:color="000000"/>
              <w:right w:val="single" w:sz="4" w:space="0" w:color="000000"/>
            </w:tcBorders>
            <w:shd w:val="clear" w:color="auto" w:fill="D4D4D4"/>
          </w:tcPr>
          <w:p>
            <w:pPr/>
          </w:p>
        </w:tc>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47" w:type="dxa"/>
            <w:tcBorders>
              <w:top w:val="single" w:sz="4" w:space="0" w:color="000000"/>
              <w:left w:val="single" w:sz="12"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248,999,117.68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248,999,117.68</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47" w:type="dxa"/>
            <w:tcBorders>
              <w:top w:val="single" w:sz="4" w:space="0" w:color="000000"/>
              <w:left w:val="single" w:sz="12"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248,999,117.68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248,999,117.68</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12"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248,999,117.68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248,999,117.68</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1972" w:type="dxa"/>
            <w:vMerge/>
            <w:tcBorders>
              <w:left w:val="single" w:sz="4" w:space="0" w:color="000000"/>
              <w:right w:val="single" w:sz="4" w:space="0" w:color="000000"/>
            </w:tcBorders>
            <w:shd w:val="clear" w:color="auto" w:fill="D4D4D4"/>
          </w:tcPr>
          <w:p>
            <w:pPr/>
          </w:p>
        </w:tc>
        <w:tc>
          <w:tcPr>
            <w:tcW w:w="184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4D4D4"/>
          </w:tcPr>
          <w:p>
            <w:pPr/>
          </w:p>
        </w:tc>
        <w:tc>
          <w:tcPr>
            <w:tcW w:w="1847"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tcBorders>
              <w:top w:val="nil" w:sz="6" w:space="0" w:color="auto"/>
              <w:left w:val="single" w:sz="4" w:space="0" w:color="000000"/>
              <w:bottom w:val="single" w:sz="4" w:space="0" w:color="000000"/>
              <w:right w:val="single" w:sz="4" w:space="0" w:color="000000"/>
            </w:tcBorders>
            <w:shd w:val="clear" w:color="auto" w:fill="D4D4D4"/>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391"/>
      <w:bookmarkEnd w:id="39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92"/>
      <w:bookmarkEnd w:id="39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jc w:val="both"/>
      </w:pPr>
      <w:r>
        <w:rPr>
          <w:spacing w:val="-2"/>
        </w:rPr>
        <w:t>公司已经出租的建筑物均位于经济活跃的城市，根据出租建筑物的实际情况，因所在区域附近交易市场活跃，且易找到类似</w:t>
      </w:r>
      <w:r>
        <w:rPr>
          <w:spacing w:val="-63"/>
        </w:rPr>
        <w:t> </w:t>
      </w:r>
      <w:r>
        <w:rPr>
          <w:spacing w:val="-63"/>
        </w:rPr>
      </w:r>
      <w:r>
        <w:rPr>
          <w:spacing w:val="-2"/>
        </w:rPr>
        <w:t>的案例，故采用市场法进行估值，以公司聘请的评估师出具的评估结果定性和定量。对不易找到交易案例的厂房等，因所在</w:t>
      </w:r>
      <w:r>
        <w:rPr>
          <w:spacing w:val="-65"/>
        </w:rPr>
        <w:t> </w:t>
      </w:r>
      <w:r>
        <w:rPr>
          <w:spacing w:val="-65"/>
        </w:rPr>
      </w:r>
      <w:r>
        <w:rPr/>
        <w:t>区域附近类似租赁市场较为活跃，故采用收益法进行估值，具体以公司聘请的评估师出具的评估结果定性和定量。</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4、持续和非持续第三层次公允价值计量项目，采用的估值技术和重要参数的定性及定量信" w:id="393"/>
      <w:bookmarkEnd w:id="39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394"/>
      <w:bookmarkEnd w:id="39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395"/>
      <w:bookmarkEnd w:id="395"/>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396"/>
      <w:bookmarkEnd w:id="396"/>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397"/>
      <w:bookmarkEnd w:id="39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bookmarkStart w:name="9、其他" w:id="398"/>
      <w:bookmarkEnd w:id="39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399"/>
      <w:bookmarkEnd w:id="399"/>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00"/>
      <w:bookmarkEnd w:id="4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8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43"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45.76%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45.76%</w:t>
            </w:r>
          </w:p>
        </w:tc>
      </w:tr>
    </w:tbl>
    <w:p>
      <w:pPr>
        <w:pStyle w:val="BodyText"/>
        <w:spacing w:line="240" w:lineRule="auto" w:before="49"/>
        <w:ind w:right="0"/>
        <w:jc w:val="both"/>
      </w:pPr>
      <w:r>
        <w:rPr/>
        <w:t>本企业的母公司情况的说明</w:t>
      </w:r>
    </w:p>
    <w:p>
      <w:pPr>
        <w:pStyle w:val="BodyText"/>
        <w:spacing w:line="314" w:lineRule="auto" w:before="115"/>
        <w:ind w:right="150"/>
        <w:jc w:val="both"/>
      </w:pPr>
      <w:r>
        <w:rPr>
          <w:spacing w:val="-2"/>
        </w:rPr>
        <w:t>王海鹏先生，男，</w:t>
      </w:r>
      <w:r>
        <w:rPr>
          <w:rFonts w:ascii="Times New Roman" w:hAnsi="Times New Roman" w:cs="Times New Roman" w:eastAsia="Times New Roman" w:hint="default"/>
          <w:spacing w:val="-2"/>
        </w:rPr>
        <w:t>1971</w:t>
      </w:r>
      <w:r>
        <w:rPr>
          <w:spacing w:val="-2"/>
        </w:rPr>
        <w:t>年生，中国国籍，无永久境外居留权，工商管理硕士。</w:t>
      </w:r>
      <w:r>
        <w:rPr>
          <w:rFonts w:ascii="Times New Roman" w:hAnsi="Times New Roman" w:cs="Times New Roman" w:eastAsia="Times New Roman" w:hint="default"/>
          <w:spacing w:val="-2"/>
        </w:rPr>
        <w:t>2000</w:t>
      </w:r>
      <w:r>
        <w:rPr>
          <w:spacing w:val="-2"/>
        </w:rPr>
        <w:t>年创办公司前身深圳市美盈森环保包装技</w:t>
      </w:r>
      <w:r>
        <w:rPr>
          <w:spacing w:val="-61"/>
        </w:rPr>
        <w:t> </w:t>
      </w:r>
      <w:r>
        <w:rPr>
          <w:spacing w:val="-61"/>
        </w:rPr>
      </w:r>
      <w:r>
        <w:rPr>
          <w:spacing w:val="-2"/>
        </w:rPr>
        <w:t>术有限公司并历任董事长。现任公司董事长兼总经理，中国包装联合会副会长、东莞市环保包装行业协会会长，并兼任东莞</w:t>
      </w:r>
      <w:r>
        <w:rPr>
          <w:spacing w:val="-65"/>
        </w:rPr>
        <w:t> </w:t>
      </w:r>
      <w:r>
        <w:rPr>
          <w:spacing w:val="-65"/>
        </w:rPr>
      </w:r>
      <w:r>
        <w:rPr>
          <w:spacing w:val="-2"/>
        </w:rPr>
        <w:t>市美盈森环保科技有限公司董事长、美盈森（香港）国际控股有限公司董事、中山市美盈森环保科技有限公司执行董事、苏</w:t>
      </w:r>
      <w:r>
        <w:rPr>
          <w:spacing w:val="-65"/>
        </w:rPr>
        <w:t> </w:t>
      </w:r>
      <w:r>
        <w:rPr>
          <w:spacing w:val="-65"/>
        </w:rPr>
      </w:r>
      <w:r>
        <w:rPr>
          <w:spacing w:val="-2"/>
        </w:rPr>
        <w:t>州美盈森环保科技有限公司执行董事、重庆市美盈森环保包装工程有限公司执行董事、武汉市美盈森环保科技有限公司执行</w:t>
      </w:r>
      <w:r>
        <w:rPr>
          <w:spacing w:val="-64"/>
        </w:rPr>
        <w:t> </w:t>
      </w:r>
      <w:r>
        <w:rPr>
          <w:spacing w:val="-64"/>
        </w:rPr>
      </w:r>
      <w:r>
        <w:rPr>
          <w:spacing w:val="-2"/>
        </w:rPr>
        <w:t>董事、成都市美盈森环保科技有限公司执行董事、广东佳宝隆科技有限公司董事、广州信联智通实业股份有限公司董事、深</w:t>
      </w:r>
      <w:r>
        <w:rPr>
          <w:spacing w:val="-64"/>
        </w:rPr>
        <w:t> </w:t>
      </w:r>
      <w:r>
        <w:rPr>
          <w:spacing w:val="-64"/>
        </w:rPr>
      </w:r>
      <w:r>
        <w:rPr/>
        <w:t>圳市金之彩文化创意有限公司董事。</w:t>
      </w:r>
    </w:p>
    <w:p>
      <w:pPr>
        <w:pStyle w:val="BodyText"/>
        <w:spacing w:line="357" w:lineRule="auto" w:before="61"/>
        <w:ind w:right="7434"/>
        <w:jc w:val="left"/>
      </w:pPr>
      <w:r>
        <w:rPr/>
        <w:t>本企业最终控制方是王海鹏。 其他说明：</w:t>
      </w:r>
    </w:p>
    <w:p>
      <w:pPr>
        <w:pStyle w:val="BodyText"/>
        <w:spacing w:line="240" w:lineRule="auto" w:before="29"/>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bookmarkStart w:name="2、本企业的子公司情况" w:id="401"/>
      <w:bookmarkEnd w:id="401"/>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本企业子公司的情况详见附注九、在子公司中的权益之说明。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3、本企业合营和联营企业情况" w:id="402"/>
      <w:bookmarkEnd w:id="402"/>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314"/>
        <w:jc w:val="left"/>
      </w:pPr>
      <w:r>
        <w:rPr/>
        <w:t>本企业重要的合营或联营企业详见附注九、在合营安排或联营企业中的权益之说明。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四川金剑包装制品有限公司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57" w:lineRule="auto" w:before="67"/>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其他关联方情况" w:id="403"/>
      <w:bookmarkEnd w:id="40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公司关联自然人王海鹏先生担任董事的关联企业</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404"/>
      <w:bookmarkEnd w:id="40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05"/>
      <w:bookmarkEnd w:id="40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5,705,062.66</w:t>
            </w:r>
            <w:r>
              <w:rPr>
                <w:rFonts w:ascii="Times New Roman"/>
                <w:sz w:val="18"/>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7,078,051.44</w:t>
            </w:r>
            <w:r>
              <w:rPr>
                <w:rFonts w:ascii="Times New Roman"/>
                <w:sz w:val="18"/>
              </w:rPr>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439,274.05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86,105.60</w:t>
            </w:r>
          </w:p>
        </w:tc>
      </w:tr>
    </w:tbl>
    <w:p>
      <w:pPr>
        <w:pStyle w:val="BodyText"/>
        <w:spacing w:line="357" w:lineRule="auto" w:before="49"/>
        <w:ind w:right="6354"/>
        <w:jc w:val="left"/>
      </w:pPr>
      <w:r>
        <w:rPr/>
        <w:t>购销商品、提供和接受劳务的关联交易说明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关联受托管理/承包及委托管理/出包情况" w:id="406"/>
      <w:bookmarkEnd w:id="40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2" w:right="3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82" w:top="1060" w:bottom="1180" w:left="980" w:right="98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9" w:right="23"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88"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92" w:right="3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338" w:lineRule="auto" w:before="49"/>
        <w:ind w:right="7924"/>
        <w:jc w:val="left"/>
      </w:pPr>
      <w:r>
        <w:rPr/>
        <w:t>关联管理</w:t>
      </w:r>
      <w:r>
        <w:rPr>
          <w:rFonts w:ascii="Times New Roman" w:hAnsi="Times New Roman" w:cs="Times New Roman" w:eastAsia="Times New Roman" w:hint="default"/>
        </w:rPr>
        <w:t>/</w:t>
      </w:r>
      <w:r>
        <w:rPr/>
        <w:t>出包情况说明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3）关联租赁情况" w:id="407"/>
      <w:bookmarkEnd w:id="40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334"/>
        <w:jc w:val="left"/>
      </w:pPr>
      <w:r>
        <w:rPr/>
        <w:t>关联租赁情况说明 无</w:t>
      </w:r>
    </w:p>
    <w:p>
      <w:pPr>
        <w:spacing w:after="0" w:line="36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bookmarkStart w:name="（4）关联担保情况" w:id="408"/>
      <w:bookmarkEnd w:id="408"/>
      <w:r>
        <w:rPr/>
      </w:r>
      <w:r>
        <w:rPr/>
        <w:t>本公司作为担保方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本公司作为被担保方</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334"/>
        <w:jc w:val="left"/>
      </w:pPr>
      <w:r>
        <w:rPr/>
        <w:t>关联担保情况说明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5）关联方资金拆借" w:id="409"/>
      <w:bookmarkEnd w:id="40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关联方资产转让、债务重组情况" w:id="410"/>
      <w:bookmarkEnd w:id="41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键管理人员报酬" w:id="411"/>
      <w:bookmarkEnd w:id="41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3,028,067.00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2,970,000.00</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12"/>
      <w:bookmarkEnd w:id="41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13"/>
      <w:bookmarkEnd w:id="413"/>
      <w:r>
        <w:rPr>
          <w:b w:val="0"/>
          <w:bCs w:val="0"/>
        </w:rPr>
      </w:r>
      <w:bookmarkStart w:name="（1）应收项目" w:id="414"/>
      <w:bookmarkEnd w:id="41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广东佳宝隆科技有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1,253,422.30</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999,938.40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49,996.92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东莞市海升科技有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111,456.77</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5,572.84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100,743.55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5,037.18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项目" w:id="415"/>
      <w:bookmarkEnd w:id="41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416"/>
      <w:bookmarkEnd w:id="41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其他" w:id="417"/>
      <w:bookmarkEnd w:id="417"/>
      <w:r>
        <w:rPr>
          <w:b w:val="0"/>
          <w:bCs w:val="0"/>
        </w:rPr>
      </w: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三、股份支付" w:id="418"/>
      <w:bookmarkEnd w:id="418"/>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419"/>
      <w:bookmarkEnd w:id="419"/>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20"/>
      <w:bookmarkEnd w:id="42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21"/>
      <w:bookmarkEnd w:id="42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422"/>
      <w:bookmarkEnd w:id="422"/>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5、其他" w:id="423"/>
      <w:bookmarkEnd w:id="423"/>
      <w:r>
        <w:rPr/>
      </w: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四、承诺及或有事项" w:id="424"/>
      <w:bookmarkEnd w:id="424"/>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425"/>
      <w:bookmarkEnd w:id="425"/>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资产负债表日存在的重要承诺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或有事项" w:id="426"/>
      <w:bookmarkEnd w:id="42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27"/>
      <w:bookmarkEnd w:id="427"/>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公司没有需要披露的重要或有事项，也应予以说明" w:id="428"/>
      <w:bookmarkEnd w:id="42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其他" w:id="429"/>
      <w:bookmarkEnd w:id="429"/>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430"/>
      <w:bookmarkEnd w:id="430"/>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31"/>
      <w:bookmarkEnd w:id="431"/>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利润分配情况" w:id="432"/>
      <w:bookmarkEnd w:id="43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0"/>
        <w:jc w:val="left"/>
        <w:rPr>
          <w:b w:val="0"/>
          <w:bCs w:val="0"/>
        </w:rPr>
      </w:pPr>
      <w:bookmarkStart w:name="3、销售退回" w:id="433"/>
      <w:bookmarkEnd w:id="433"/>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其他资产负债表日后事项说明" w:id="434"/>
      <w:bookmarkEnd w:id="434"/>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十六、其他重要事项" w:id="435"/>
      <w:bookmarkEnd w:id="435"/>
      <w:r>
        <w:rPr>
          <w:b w:val="0"/>
          <w:bCs w:val="0"/>
        </w:rPr>
      </w:r>
      <w:bookmarkStart w:name="1、前期会计差错更正" w:id="436"/>
      <w:bookmarkEnd w:id="43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追溯重述法" w:id="437"/>
      <w:bookmarkEnd w:id="43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来适用法" w:id="438"/>
      <w:bookmarkEnd w:id="43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债务重组" w:id="439"/>
      <w:bookmarkEnd w:id="43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资产置换" w:id="440"/>
      <w:bookmarkEnd w:id="44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41"/>
      <w:bookmarkEnd w:id="44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其他资产置换" w:id="442"/>
      <w:bookmarkEnd w:id="44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年金计划" w:id="443"/>
      <w:bookmarkEnd w:id="44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终止经营" w:id="444"/>
      <w:bookmarkEnd w:id="44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57"/>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8" w:right="3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054"/>
        <w:jc w:val="left"/>
      </w:pPr>
      <w:r>
        <w:rPr/>
        <w:t>其他说明 无</w:t>
      </w:r>
    </w:p>
    <w:p>
      <w:pPr>
        <w:spacing w:after="0" w:line="360" w:lineRule="auto"/>
        <w:jc w:val="left"/>
        <w:sectPr>
          <w:pgSz w:w="11910" w:h="16840"/>
          <w:pgMar w:header="745"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45"/>
      <w:bookmarkEnd w:id="445"/>
      <w:r>
        <w:rPr>
          <w:b w:val="0"/>
          <w:bCs w:val="0"/>
        </w:rPr>
      </w:r>
      <w:bookmarkStart w:name="（1）报告分部的确定依据与会计政策" w:id="446"/>
      <w:bookmarkEnd w:id="44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根据公司的销售特点，公司分为自制产品销售、第三方采购销售两部分，并执行统一会计政策。</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报告分部的财务信息" w:id="447"/>
      <w:bookmarkEnd w:id="44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2"/>
        <w:gridCol w:w="1925"/>
        <w:gridCol w:w="1915"/>
        <w:gridCol w:w="1913"/>
        <w:gridCol w:w="1915"/>
      </w:tblGrid>
      <w:tr>
        <w:trPr>
          <w:trHeight w:val="403" w:hRule="exact"/>
        </w:trPr>
        <w:tc>
          <w:tcPr>
            <w:tcW w:w="1902" w:type="dxa"/>
            <w:tcBorders>
              <w:top w:val="single" w:sz="4" w:space="0" w:color="000000"/>
              <w:left w:val="single" w:sz="4" w:space="0" w:color="000000"/>
              <w:bottom w:val="single" w:sz="4" w:space="0" w:color="000000"/>
              <w:right w:val="single" w:sz="13" w:space="0" w:color="E1FFFF"/>
            </w:tcBorders>
            <w:shd w:val="clear" w:color="auto" w:fill="D4D4D4"/>
          </w:tcPr>
          <w:p>
            <w:pPr>
              <w:pStyle w:val="TableParagraph"/>
              <w:spacing w:line="240" w:lineRule="auto" w:before="49"/>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10" w:space="0" w:color="D4D4D4"/>
              <w:bottom w:val="single" w:sz="4" w:space="0" w:color="000000"/>
              <w:right w:val="single" w:sz="4" w:space="0" w:color="000000"/>
            </w:tcBorders>
            <w:shd w:val="clear" w:color="auto" w:fill="E1FFFF"/>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自制品销售</w:t>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第三采购销售</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1,432,146,485.70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546,373,705.23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1,978,520,190.93</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1,000,132,521.23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478,484,738.80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1,478,617,260.03</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19,306,363.73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7,365,510.16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26,671,873.89</w:t>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80,005,777.69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80,005,777.69</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五、利润总额</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217,067,689.45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34,111,168.38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251,178,857.83</w:t>
            </w:r>
            <w:r>
              <w:rPr>
                <w:rFonts w:ascii="Times New Roman"/>
                <w:sz w:val="18"/>
              </w:rPr>
            </w:r>
          </w:p>
        </w:tc>
      </w:tr>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30,332,266.52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4,766,573.29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35,098,839.81</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七、净利润</w:t>
            </w:r>
          </w:p>
        </w:tc>
        <w:tc>
          <w:tcPr>
            <w:tcW w:w="1925"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186,735,422.93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29,344,595.09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216,080,018.02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公司无报告分部的，或者不能披露各报告分部的资产总额和负债总额的，应说明原因" w:id="448"/>
      <w:bookmarkEnd w:id="44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其他说明" w:id="449"/>
      <w:bookmarkEnd w:id="44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7、其他对投资者决策有影响的重要交易和事项" w:id="450"/>
      <w:bookmarkEnd w:id="45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其他" w:id="451"/>
      <w:bookmarkEnd w:id="451"/>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74"/>
        <w:jc w:val="left"/>
      </w:pPr>
      <w:r>
        <w:rPr/>
        <w:t>公司确认的营业外收入（金额）系根据金之彩公司</w:t>
      </w:r>
      <w:r>
        <w:rPr>
          <w:rFonts w:ascii="Times New Roman" w:hAnsi="Times New Roman" w:cs="Times New Roman" w:eastAsia="Times New Roman" w:hint="default"/>
        </w:rPr>
        <w:t>2013-2015</w:t>
      </w:r>
      <w:r>
        <w:rPr/>
        <w:t>年审计报告确定的净利润，参照美盈森集团股份有限公司与金 之彩原股东签署的《关于深圳市金之彩文化创意有限公司之股权收购协议》有关业绩承诺条款计算得出。</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七、母公司财务报表主要项目注释" w:id="452"/>
      <w:bookmarkEnd w:id="452"/>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453"/>
      <w:bookmarkEnd w:id="45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54"/>
      <w:bookmarkEnd w:id="45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3"/>
        <w:jc w:val="right"/>
      </w:pPr>
      <w:r>
        <w:rPr/>
        <w:t>单位：</w:t>
      </w:r>
      <w:r>
        <w:rPr>
          <w:spacing w:val="1"/>
        </w:rPr>
        <w:t> </w:t>
      </w:r>
      <w:r>
        <w:rPr/>
        <w:t>元</w:t>
      </w:r>
    </w:p>
    <w:p>
      <w:pPr>
        <w:spacing w:after="0" w:line="240" w:lineRule="auto"/>
        <w:jc w:val="right"/>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167,365,</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615.74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8,181,27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6.26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159,184,3</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39.48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164,831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,933.40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7,779,159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157,052,77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3.58</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167,365,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615.74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8,181,27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6.26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4.89%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159,184,3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39.48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164,831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,933.40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7,779,159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4.72%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157,052,77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3.58</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80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800"/>
          <w:cols w:num="2" w:equalWidth="0">
            <w:col w:w="4293" w:space="4534"/>
            <w:col w:w="130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4D4D4"/>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140,838,423.64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7,041,921.19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140,838,423.64</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7,041,921.19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11,393,550.72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1,139,355.07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152,231,974.36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8,181,276.26</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974"/>
        <w:jc w:val="left"/>
      </w:pPr>
      <w:r>
        <w:rPr/>
        <w:t>确定该组合依据的说明： 无</w:t>
      </w:r>
    </w:p>
    <w:p>
      <w:pPr>
        <w:pStyle w:val="BodyText"/>
        <w:spacing w:line="240" w:lineRule="auto" w:before="27"/>
        <w:ind w:right="344"/>
        <w:jc w:val="left"/>
      </w:pPr>
      <w:r>
        <w:rPr/>
        <w:t>组合中，采用余额百分比法计提坏账准备的应收账款：</w:t>
      </w:r>
    </w:p>
    <w:p>
      <w:pPr>
        <w:pStyle w:val="BodyText"/>
        <w:spacing w:line="340" w:lineRule="auto" w:before="115"/>
        <w:ind w:right="599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794"/>
        <w:gridCol w:w="2614"/>
        <w:gridCol w:w="2222"/>
        <w:gridCol w:w="2225"/>
      </w:tblGrid>
      <w:tr>
        <w:trPr>
          <w:trHeight w:val="389" w:hRule="exact"/>
        </w:trPr>
        <w:tc>
          <w:tcPr>
            <w:tcW w:w="27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794" w:type="dxa"/>
            <w:vMerge/>
            <w:tcBorders>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15,133,641.38</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tabs>
                <w:tab w:pos="395"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15,133,641.38</w:t>
            </w:r>
          </w:p>
        </w:tc>
        <w:tc>
          <w:tcPr>
            <w:tcW w:w="222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344"/>
        <w:jc w:val="left"/>
        <w:rPr>
          <w:b w:val="0"/>
          <w:bCs w:val="0"/>
        </w:rPr>
      </w:pPr>
      <w:bookmarkStart w:name="（2）本期计提、收回或转回的坏账准备情况" w:id="455"/>
      <w:bookmarkEnd w:id="4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800"/>
        </w:sectPr>
      </w:pPr>
    </w:p>
    <w:p>
      <w:pPr>
        <w:pStyle w:val="BodyText"/>
        <w:spacing w:line="340" w:lineRule="auto" w:before="44"/>
        <w:ind w:right="-8"/>
        <w:jc w:val="left"/>
      </w:pPr>
      <w:r>
        <w:rPr/>
        <w:t>本期计提坏账准备金额</w:t>
      </w:r>
      <w:r>
        <w:rPr>
          <w:spacing w:val="-49"/>
        </w:rPr>
        <w:t> </w:t>
      </w:r>
      <w:r>
        <w:rPr>
          <w:rFonts w:ascii="Times New Roman" w:hAnsi="Times New Roman" w:cs="Times New Roman" w:eastAsia="Times New Roman" w:hint="default"/>
        </w:rPr>
        <w:t>402,116.44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800"/>
          <w:cols w:num="2" w:equalWidth="0">
            <w:col w:w="6316" w:space="2511"/>
            <w:col w:w="1303"/>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6"/>
        <w:gridCol w:w="3101"/>
        <w:gridCol w:w="3089"/>
      </w:tblGrid>
      <w:tr>
        <w:trPr>
          <w:trHeight w:val="403" w:hRule="exact"/>
        </w:trPr>
        <w:tc>
          <w:tcPr>
            <w:tcW w:w="3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800"/>
        </w:sectPr>
      </w:pPr>
    </w:p>
    <w:p>
      <w:pPr>
        <w:spacing w:line="240" w:lineRule="auto" w:before="9"/>
        <w:rPr>
          <w:rFonts w:ascii="宋体" w:hAnsi="宋体" w:cs="宋体" w:eastAsia="宋体" w:hint="default"/>
          <w:sz w:val="25"/>
          <w:szCs w:val="25"/>
        </w:rPr>
      </w:pPr>
    </w:p>
    <w:p>
      <w:pPr>
        <w:pStyle w:val="BodyText"/>
        <w:spacing w:line="240" w:lineRule="auto" w:before="44"/>
        <w:ind w:right="34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344"/>
        <w:jc w:val="left"/>
        <w:rPr>
          <w:b w:val="0"/>
          <w:bCs w:val="0"/>
        </w:rPr>
      </w:pPr>
      <w:bookmarkStart w:name="（3）本期实际核销的应收账款情况" w:id="456"/>
      <w:bookmarkEnd w:id="45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344"/>
        <w:jc w:val="left"/>
      </w:pPr>
      <w:r>
        <w:rPr/>
        <w:t>其中重要的应收账款核销情况：</w:t>
      </w:r>
    </w:p>
    <w:p>
      <w:pPr>
        <w:pStyle w:val="BodyText"/>
        <w:spacing w:line="240" w:lineRule="auto" w:before="117"/>
        <w:ind w:left="0" w:right="33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334"/>
        <w:jc w:val="left"/>
      </w:pPr>
      <w:r>
        <w:rPr/>
        <w:t>应收账款核销说明： 无</w:t>
      </w:r>
    </w:p>
    <w:p>
      <w:pPr>
        <w:spacing w:line="240" w:lineRule="auto" w:before="6"/>
        <w:rPr>
          <w:rFonts w:ascii="宋体" w:hAnsi="宋体" w:cs="宋体" w:eastAsia="宋体" w:hint="default"/>
          <w:sz w:val="20"/>
          <w:szCs w:val="20"/>
        </w:rPr>
      </w:pPr>
    </w:p>
    <w:p>
      <w:pPr>
        <w:pStyle w:val="Heading3"/>
        <w:spacing w:line="240" w:lineRule="auto"/>
        <w:ind w:right="344"/>
        <w:jc w:val="left"/>
        <w:rPr>
          <w:b w:val="0"/>
          <w:bCs w:val="0"/>
        </w:rPr>
      </w:pPr>
      <w:bookmarkStart w:name="（4）按欠款方归集的期末余额前五名的应收账款情况" w:id="457"/>
      <w:bookmarkEnd w:id="45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668"/>
        <w:gridCol w:w="2551"/>
        <w:gridCol w:w="2693"/>
        <w:gridCol w:w="2942"/>
      </w:tblGrid>
      <w:tr>
        <w:trPr>
          <w:trHeight w:val="348" w:hRule="exact"/>
        </w:trPr>
        <w:tc>
          <w:tcPr>
            <w:tcW w:w="1668" w:type="dxa"/>
            <w:vMerge w:val="restart"/>
            <w:tcBorders>
              <w:top w:val="single" w:sz="6" w:space="0" w:color="000000"/>
              <w:left w:val="single" w:sz="6" w:space="0" w:color="000000"/>
              <w:right w:val="single" w:sz="6" w:space="0" w:color="000000"/>
            </w:tcBorders>
          </w:tcPr>
          <w:p>
            <w:pPr>
              <w:pStyle w:val="TableParagraph"/>
              <w:spacing w:line="240" w:lineRule="auto" w:before="4"/>
              <w:ind w:left="429"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81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48" w:hRule="exact"/>
        </w:trPr>
        <w:tc>
          <w:tcPr>
            <w:tcW w:w="1668" w:type="dxa"/>
            <w:vMerge/>
            <w:tcBorders>
              <w:left w:val="single" w:sz="6" w:space="0" w:color="000000"/>
              <w:bottom w:val="single" w:sz="6" w:space="0" w:color="000000"/>
              <w:right w:val="single" w:sz="6" w:space="0" w:color="000000"/>
            </w:tcBorders>
          </w:tcPr>
          <w:p>
            <w:pP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38" w:right="0"/>
              <w:jc w:val="left"/>
              <w:rPr>
                <w:rFonts w:ascii="宋体" w:hAnsi="宋体" w:cs="宋体" w:eastAsia="宋体" w:hint="default"/>
                <w:sz w:val="20"/>
                <w:szCs w:val="20"/>
              </w:rPr>
            </w:pPr>
            <w:r>
              <w:rPr>
                <w:rFonts w:ascii="宋体" w:hAnsi="宋体" w:cs="宋体" w:eastAsia="宋体" w:hint="default"/>
                <w:sz w:val="20"/>
                <w:szCs w:val="20"/>
              </w:rPr>
              <w:t>占应收账款总额的比例</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客户一</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16,956,105.46</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10.13%</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847,805.27</w:t>
            </w:r>
            <w:r>
              <w:rPr>
                <w:rFonts w:ascii="Times New Roman"/>
                <w:sz w:val="20"/>
              </w:rPr>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客户二</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13,429,925.62</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8.02%</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671,496.28</w:t>
            </w:r>
            <w:r>
              <w:rPr>
                <w:rFonts w:ascii="Times New Roman"/>
                <w:sz w:val="20"/>
              </w:rPr>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客户三</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12,180,458.04</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7.28%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609,022.90</w:t>
            </w:r>
            <w:r>
              <w:rPr>
                <w:rFonts w:ascii="Times New Roman"/>
                <w:sz w:val="20"/>
              </w:rPr>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客户四</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8,965,714.29</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5.36%</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448,285.71</w:t>
            </w:r>
            <w:r>
              <w:rPr>
                <w:rFonts w:ascii="Times New Roman"/>
                <w:sz w:val="20"/>
              </w:rPr>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客户五</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8,351,838.40</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4.99%</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right"/>
              <w:rPr>
                <w:rFonts w:ascii="Times New Roman" w:hAnsi="Times New Roman" w:cs="Times New Roman" w:eastAsia="Times New Roman" w:hint="default"/>
                <w:sz w:val="20"/>
                <w:szCs w:val="20"/>
              </w:rPr>
            </w:pPr>
            <w:r>
              <w:rPr>
                <w:rFonts w:ascii="Times New Roman"/>
                <w:w w:val="95"/>
                <w:sz w:val="20"/>
              </w:rPr>
              <w:t>417,591.92</w:t>
            </w:r>
            <w:r>
              <w:rPr>
                <w:rFonts w:ascii="Times New Roman"/>
                <w:sz w:val="20"/>
              </w:rPr>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tabs>
                <w:tab w:pos="952" w:val="left" w:leader="none"/>
              </w:tabs>
              <w:spacing w:line="240" w:lineRule="auto" w:before="4"/>
              <w:ind w:left="50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59,884,041.81</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35.78%</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95"/>
                <w:sz w:val="20"/>
              </w:rPr>
              <w:t>2,994,202.08</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344"/>
        <w:jc w:val="left"/>
        <w:rPr>
          <w:b w:val="0"/>
          <w:bCs w:val="0"/>
        </w:rPr>
      </w:pPr>
      <w:bookmarkStart w:name="（5）因金融资产转移而终止确认的应收账款" w:id="458"/>
      <w:bookmarkEnd w:id="45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4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344"/>
        <w:jc w:val="left"/>
        <w:rPr>
          <w:b w:val="0"/>
          <w:bCs w:val="0"/>
        </w:rPr>
      </w:pPr>
      <w:bookmarkStart w:name="（6）转移应收账款且继续涉入形成的资产、负债金额" w:id="459"/>
      <w:bookmarkEnd w:id="45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054"/>
        <w:jc w:val="left"/>
      </w:pPr>
      <w:r>
        <w:rPr/>
        <w:t>无 其他说明： 无</w:t>
      </w:r>
    </w:p>
    <w:p>
      <w:pPr>
        <w:spacing w:line="240" w:lineRule="auto" w:before="4"/>
        <w:rPr>
          <w:rFonts w:ascii="宋体" w:hAnsi="宋体" w:cs="宋体" w:eastAsia="宋体" w:hint="default"/>
          <w:sz w:val="20"/>
          <w:szCs w:val="20"/>
        </w:rPr>
      </w:pPr>
    </w:p>
    <w:p>
      <w:pPr>
        <w:pStyle w:val="Heading3"/>
        <w:spacing w:line="240" w:lineRule="auto"/>
        <w:ind w:right="344"/>
        <w:jc w:val="left"/>
        <w:rPr>
          <w:b w:val="0"/>
          <w:bCs w:val="0"/>
        </w:rPr>
      </w:pPr>
      <w:bookmarkStart w:name="2、其他应收款" w:id="460"/>
      <w:bookmarkEnd w:id="46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344"/>
        <w:jc w:val="left"/>
        <w:rPr>
          <w:b w:val="0"/>
          <w:bCs w:val="0"/>
        </w:rPr>
      </w:pPr>
      <w:bookmarkStart w:name="（1）其他应收款分类披露" w:id="461"/>
      <w:bookmarkEnd w:id="46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3"/>
        <w:jc w:val="right"/>
      </w:pPr>
      <w:r>
        <w:rPr/>
        <w:t>单位：</w:t>
      </w:r>
      <w:r>
        <w:rPr>
          <w:spacing w:val="1"/>
        </w:rPr>
        <w:t> </w:t>
      </w:r>
      <w:r>
        <w:rPr/>
        <w:t>元</w:t>
      </w:r>
    </w:p>
    <w:p>
      <w:pPr>
        <w:spacing w:after="0" w:line="240" w:lineRule="auto"/>
        <w:jc w:val="right"/>
        <w:sectPr>
          <w:pgSz w:w="11910" w:h="16840"/>
          <w:pgMar w:header="745"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5"/>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4D4D4"/>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4D4D4"/>
          </w:tcPr>
          <w:p>
            <w:pPr/>
          </w:p>
        </w:tc>
        <w:tc>
          <w:tcPr>
            <w:tcW w:w="15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4D4D4"/>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4D4D4"/>
          </w:tcPr>
          <w:p>
            <w:pPr/>
          </w:p>
        </w:tc>
        <w:tc>
          <w:tcPr>
            <w:tcW w:w="1526" w:type="dxa"/>
            <w:gridSpan w:val="2"/>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7" w:type="dxa"/>
            <w:gridSpan w:val="2"/>
            <w:vMerge/>
            <w:tcBorders>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4D4D4"/>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287"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1"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4D4D4"/>
          </w:tcPr>
          <w:p>
            <w:pPr/>
          </w:p>
        </w:tc>
        <w:tc>
          <w:tcPr>
            <w:tcW w:w="774"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4D4D4"/>
          </w:tcPr>
          <w:p>
            <w:pPr/>
          </w:p>
        </w:tc>
        <w:tc>
          <w:tcPr>
            <w:tcW w:w="787"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4D4D4"/>
          </w:tcPr>
          <w:p>
            <w:pPr/>
          </w:p>
        </w:tc>
      </w:tr>
      <w:tr>
        <w:trPr>
          <w:trHeight w:val="199" w:hRule="exact"/>
        </w:trPr>
        <w:tc>
          <w:tcPr>
            <w:tcW w:w="1612" w:type="dxa"/>
            <w:vMerge/>
            <w:tcBorders>
              <w:left w:val="single" w:sz="4" w:space="0" w:color="000000"/>
              <w:right w:val="single" w:sz="4" w:space="0" w:color="000000"/>
            </w:tcBorders>
            <w:shd w:val="clear" w:color="auto" w:fill="D4D4D4"/>
          </w:tcPr>
          <w:p>
            <w:pPr/>
          </w:p>
        </w:tc>
        <w:tc>
          <w:tcPr>
            <w:tcW w:w="774"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3" w:type="dxa"/>
            <w:vMerge/>
            <w:tcBorders>
              <w:left w:val="single" w:sz="4" w:space="0" w:color="000000"/>
              <w:right w:val="single" w:sz="4" w:space="0" w:color="000000"/>
            </w:tcBorders>
            <w:shd w:val="clear" w:color="auto" w:fill="D4D4D4"/>
          </w:tcPr>
          <w:p>
            <w:pPr/>
          </w:p>
        </w:tc>
        <w:tc>
          <w:tcPr>
            <w:tcW w:w="787"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1"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c>
          <w:tcPr>
            <w:tcW w:w="934" w:type="dxa"/>
            <w:vMerge/>
            <w:tcBorders>
              <w:left w:val="single" w:sz="4" w:space="0" w:color="000000"/>
              <w:bottom w:val="nil" w:sz="6" w:space="0" w:color="auto"/>
              <w:right w:val="single" w:sz="4" w:space="0" w:color="000000"/>
            </w:tcBorders>
            <w:shd w:val="clear" w:color="auto" w:fill="D4D4D4"/>
          </w:tcPr>
          <w:p>
            <w:pPr/>
          </w:p>
        </w:tc>
        <w:tc>
          <w:tcPr>
            <w:tcW w:w="931"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4D4D4"/>
          </w:tcPr>
          <w:p>
            <w:pPr/>
          </w:p>
        </w:tc>
        <w:tc>
          <w:tcPr>
            <w:tcW w:w="77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4" w:space="0" w:color="000000"/>
              <w:bottom w:val="single" w:sz="4" w:space="0" w:color="000000"/>
              <w:right w:val="single" w:sz="4" w:space="0" w:color="000000"/>
            </w:tcBorders>
            <w:shd w:val="clear" w:color="auto" w:fill="D4D4D4"/>
          </w:tcPr>
          <w:p>
            <w:pPr/>
          </w:p>
        </w:tc>
        <w:tc>
          <w:tcPr>
            <w:tcW w:w="787"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1"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31"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88,257,0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87.46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88,257,08</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7.46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85,123,</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986.50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85,123,986.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4D4D4"/>
          </w:tcPr>
          <w:p>
            <w:pPr/>
          </w:p>
        </w:tc>
        <w:tc>
          <w:tcPr>
            <w:tcW w:w="774" w:type="dxa"/>
            <w:vMerge w:val="restart"/>
            <w:tcBorders>
              <w:top w:val="single" w:sz="4" w:space="0" w:color="000000"/>
              <w:left w:val="single" w:sz="9" w:space="0" w:color="D4D4D4"/>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88,257,0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87.46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88,257,08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7.46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85,123,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986.50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85,123,986.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4D4D4"/>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4D4D4"/>
          </w:tcPr>
          <w:p>
            <w:pPr/>
          </w:p>
        </w:tc>
        <w:tc>
          <w:tcPr>
            <w:tcW w:w="774" w:type="dxa"/>
            <w:vMerge/>
            <w:tcBorders>
              <w:left w:val="single" w:sz="9" w:space="0" w:color="D4D4D4"/>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期末单项金额重大并单项计提坏账准备的其他应收款：</w:t>
      </w:r>
    </w:p>
    <w:p>
      <w:pPr>
        <w:pStyle w:val="BodyText"/>
        <w:spacing w:line="340" w:lineRule="auto" w:before="115"/>
        <w:ind w:right="563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40" w:lineRule="auto" w:before="39"/>
        <w:ind w:left="153" w:right="527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38" w:lineRule="auto" w:before="41"/>
        <w:ind w:left="153" w:right="5633"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462"/>
      <w:bookmarkEnd w:id="46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2" w:top="1060" w:bottom="1180" w:left="980" w:right="980"/>
        </w:sectPr>
      </w:pPr>
    </w:p>
    <w:p>
      <w:pPr>
        <w:pStyle w:val="BodyText"/>
        <w:spacing w:line="338" w:lineRule="auto" w:before="44"/>
        <w:ind w:right="-10"/>
        <w:jc w:val="left"/>
      </w:pPr>
      <w:r>
        <w:rPr/>
        <w:t>本期计提坏账准备金额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5827" w:space="3000"/>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其他应收款情况" w:id="463"/>
      <w:bookmarkEnd w:id="46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其中重要的其他应收款核销情况：</w:t>
      </w:r>
    </w:p>
    <w:p>
      <w:pPr>
        <w:pStyle w:val="BodyText"/>
        <w:spacing w:line="240" w:lineRule="auto" w:before="115"/>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0"/>
        <w:gridCol w:w="1553"/>
        <w:gridCol w:w="1550"/>
        <w:gridCol w:w="1615"/>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7974"/>
        <w:jc w:val="left"/>
      </w:pPr>
      <w:r>
        <w:rPr/>
        <w:t>其他应收款核销说明： 无</w:t>
      </w:r>
    </w:p>
    <w:p>
      <w:pPr>
        <w:spacing w:after="0" w:line="357"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04"/>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bookmarkStart w:name="（4）其他应收款按款项性质分类情况" w:id="464"/>
      <w:bookmarkEnd w:id="464"/>
      <w:r>
        <w:rPr/>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2,260,867.79</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2,120,835.50</w:t>
            </w:r>
            <w:r>
              <w:rPr>
                <w:rFonts w:ascii="Times New Roman"/>
                <w:sz w:val="18"/>
              </w:rPr>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2,504,523.34</w:t>
            </w:r>
            <w:r>
              <w:rPr>
                <w:rFonts w:ascii="Times New Roman"/>
                <w:sz w:val="18"/>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897,498.69</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634,354.85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174,390.23</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82,857,341.48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81,931,262.08</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88,257,087.46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85,123,986.50</w:t>
            </w:r>
          </w:p>
        </w:tc>
      </w:tr>
    </w:tbl>
    <w:p>
      <w:pPr>
        <w:spacing w:line="240" w:lineRule="auto" w:before="3"/>
        <w:rPr>
          <w:rFonts w:ascii="宋体" w:hAnsi="宋体" w:cs="宋体" w:eastAsia="宋体" w:hint="default"/>
          <w:sz w:val="19"/>
          <w:szCs w:val="19"/>
        </w:rPr>
      </w:pPr>
    </w:p>
    <w:p>
      <w:pPr>
        <w:pStyle w:val="Heading3"/>
        <w:spacing w:line="240" w:lineRule="auto" w:before="36"/>
        <w:ind w:right="104"/>
        <w:jc w:val="left"/>
        <w:rPr>
          <w:b w:val="0"/>
          <w:bCs w:val="0"/>
        </w:rPr>
      </w:pPr>
      <w:bookmarkStart w:name="（5）按欠款方归集的期末余额前五名的其他应收款情况" w:id="465"/>
      <w:bookmarkEnd w:id="46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美盈森（香港）国际 控股有限公司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58,759,582.93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66.58%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东莞市美芯龙物联网 科技有限公司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13,914,142.02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成都市美盈森环保科 技有限公司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5,311,815.76</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四川泸美供应链管理 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3,836,459.32</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83,822,000.03</w:t>
            </w:r>
          </w:p>
        </w:tc>
        <w:tc>
          <w:tcPr>
            <w:tcW w:w="1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94.99%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49"/>
        <w:ind w:right="104"/>
        <w:jc w:val="left"/>
      </w:pPr>
      <w:r>
        <w:rPr>
          <w:spacing w:val="-4"/>
        </w:rPr>
        <w:t>注：上表中前四家单位为公司子公司，第五家单位与公司董事、监事、高级管理人员以及持有公司百分之五以上股份的股东、</w:t>
      </w:r>
      <w:r>
        <w:rPr>
          <w:spacing w:val="-46"/>
        </w:rPr>
        <w:t> </w:t>
      </w:r>
      <w:r>
        <w:rPr>
          <w:spacing w:val="-46"/>
        </w:rPr>
      </w:r>
      <w:r>
        <w:rPr/>
        <w:t>实际控制人之间不存在关联关系。</w:t>
      </w:r>
    </w:p>
    <w:p>
      <w:pPr>
        <w:spacing w:line="240" w:lineRule="auto" w:before="10"/>
        <w:rPr>
          <w:rFonts w:ascii="宋体" w:hAnsi="宋体" w:cs="宋体" w:eastAsia="宋体" w:hint="default"/>
          <w:sz w:val="22"/>
          <w:szCs w:val="22"/>
        </w:rPr>
      </w:pPr>
    </w:p>
    <w:p>
      <w:pPr>
        <w:pStyle w:val="Heading3"/>
        <w:spacing w:line="240" w:lineRule="auto"/>
        <w:ind w:right="104"/>
        <w:jc w:val="left"/>
        <w:rPr>
          <w:b w:val="0"/>
          <w:bCs w:val="0"/>
        </w:rPr>
      </w:pPr>
      <w:bookmarkStart w:name="（6）涉及政府补助的应收款项" w:id="466"/>
      <w:bookmarkEnd w:id="46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1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104"/>
        <w:jc w:val="left"/>
        <w:rPr>
          <w:b w:val="0"/>
          <w:bCs w:val="0"/>
        </w:rPr>
      </w:pPr>
      <w:bookmarkStart w:name="（7）因金融资产转移而终止确认的其他应收款" w:id="467"/>
      <w:bookmarkEnd w:id="46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4"/>
        <w:jc w:val="left"/>
      </w:pPr>
      <w:r>
        <w:rPr/>
        <w:t>无</w:t>
      </w:r>
    </w:p>
    <w:p>
      <w:pPr>
        <w:spacing w:after="0" w:line="240" w:lineRule="auto"/>
        <w:jc w:val="left"/>
        <w:sectPr>
          <w:pgSz w:w="11910" w:h="16840"/>
          <w:pgMar w:header="745"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874"/>
        <w:jc w:val="left"/>
      </w:pPr>
      <w:bookmarkStart w:name="（8）转移其他应收款且继续涉入形成的资产、负债金额" w:id="468"/>
      <w:bookmarkEnd w:id="468"/>
      <w:r>
        <w:rPr/>
      </w:r>
      <w:r>
        <w:rPr/>
        <w:t>无 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3、长期股权投资" w:id="469"/>
      <w:bookmarkEnd w:id="46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6"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1,448,876,970.00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1,448,876,970.00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1,387,442,970.00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1,387,442,970.00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1,448,876,970.00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1,448,876,970.00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1,387,442,970.00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1,387,442,970.00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470"/>
      <w:bookmarkEnd w:id="47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280,000,000.00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425,002,500.00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425,002,500.00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298,311,400.00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298,311,400.00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美盈森（香港）国</w:t>
            </w:r>
            <w:r>
              <w:rPr>
                <w:rFonts w:ascii="宋体" w:hAnsi="宋体" w:cs="宋体" w:eastAsia="宋体" w:hint="default"/>
                <w:sz w:val="18"/>
                <w:szCs w:val="18"/>
              </w:rPr>
              <w:t> 际控股有限公司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20,129,070.00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61,434,000.00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81,563,070.00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287,000,000.00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7,000,000.00</w:t>
            </w:r>
            <w:r>
              <w:rPr>
                <w:rFonts w:ascii="Times New Roman"/>
                <w:sz w:val="18"/>
              </w:rPr>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1,387,442,970.00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61,434,000.00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1,448,876,970.00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471"/>
      <w:bookmarkEnd w:id="47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472"/>
      <w:bookmarkEnd w:id="47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营业收入和营业成本" w:id="473"/>
      <w:bookmarkEnd w:id="47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5"/>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4D4D4"/>
          </w:tcPr>
          <w:p>
            <w:pPr/>
          </w:p>
        </w:tc>
        <w:tc>
          <w:tcPr>
            <w:tcW w:w="183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835"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474,267,709.58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336,758,889.50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500,515,096.89</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305,804,685.58</w:t>
            </w:r>
            <w:r>
              <w:rPr>
                <w:rFonts w:ascii="Times New Roman"/>
                <w:sz w:val="18"/>
              </w:rPr>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6,751,778.51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255,572.85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572,548.24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59,213.36</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481,019,488.09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337,014,462.35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501,087,645.13</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305,863,898.94</w:t>
            </w:r>
            <w:r>
              <w:rPr>
                <w:rFonts w:ascii="Times New Roman"/>
                <w:sz w:val="18"/>
              </w:rPr>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5、投资收益" w:id="474"/>
      <w:bookmarkEnd w:id="47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3"/>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0"/>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w:id="475"/>
      <w:bookmarkEnd w:id="475"/>
      <w:r>
        <w:rPr>
          <w:b w:val="0"/>
          <w:bCs w:val="0"/>
        </w:rPr>
      </w: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十八、补充资料" w:id="476"/>
      <w:bookmarkEnd w:id="476"/>
      <w:r>
        <w:rPr>
          <w:b w:val="0"/>
          <w:bCs w:val="0"/>
        </w:rPr>
      </w:r>
      <w:bookmarkStart w:name="1、当期非经常性损益明细表" w:id="477"/>
      <w:bookmarkEnd w:id="47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-245,847.01</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2" w:right="3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8,493,645.87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37"/>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57,147,863.03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-624,958.14</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9,709,778.18</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9,976,585.47</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1,069,878.09</w:t>
            </w:r>
            <w:r>
              <w:rPr>
                <w:rFonts w:ascii="Times New Roman"/>
                <w:sz w:val="18"/>
              </w:rPr>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4D4D4"/>
              <w:bottom w:val="single" w:sz="4" w:space="0" w:color="000000"/>
              <w:right w:val="single" w:sz="10" w:space="0" w:color="D4D4D4"/>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63,434,018.37</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2"/>
        <w:ind w:right="14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27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商誉减值</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-75,658,843.72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本公司聘请专业评估机构对所收购公司 产生的商誉进行减值测试，经测试，深 圳市金之彩文化创意有限公司、汇天云 网集团有限公司经审计后净利润未达到 业绩承诺，本期商誉发生减值，减值金 额分别为：</w:t>
            </w:r>
            <w:r>
              <w:rPr>
                <w:rFonts w:ascii="Times New Roman" w:hAnsi="Times New Roman" w:cs="Times New Roman" w:eastAsia="Times New Roman" w:hint="default"/>
                <w:sz w:val="18"/>
                <w:szCs w:val="18"/>
              </w:rPr>
              <w:t>73,340,667.23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sz w:val="18"/>
                <w:szCs w:val="18"/>
              </w:rPr>
              <w:t>2,318,176.49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96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股权收购或有对价</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85,368,621.90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本公司收购深圳市金之彩文化创意有限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年度、</w:t>
            </w:r>
            <w:r>
              <w:rPr>
                <w:rFonts w:ascii="Times New Roman" w:hAnsi="Times New Roman" w:cs="Times New Roman" w:eastAsia="Times New Roman" w:hint="default"/>
                <w:spacing w:val="-11"/>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年度经审计后净利 润未达到业绩承诺，导致公司未来需支 付的或有对价减少，减少金额为 </w:t>
            </w:r>
            <w:r>
              <w:rPr>
                <w:rFonts w:ascii="Times New Roman" w:hAnsi="Times New Roman" w:cs="Times New Roman" w:eastAsia="Times New Roman" w:hint="default"/>
                <w:sz w:val="18"/>
                <w:szCs w:val="18"/>
              </w:rPr>
              <w:t>85,368,621.90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元，本期公司将该部分款 项计入营业外收入。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净资产收益率及每股收益" w:id="478"/>
      <w:bookmarkEnd w:id="47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0"/>
        <w:gridCol w:w="3082"/>
        <w:gridCol w:w="3826"/>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5"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3"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0.1541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0.1541</w:t>
            </w:r>
            <w:r>
              <w:rPr>
                <w:rFonts w:ascii="Times New Roman"/>
                <w:sz w:val="18"/>
              </w:rPr>
            </w:r>
          </w:p>
        </w:tc>
      </w:tr>
      <w:tr>
        <w:trPr>
          <w:trHeight w:val="715" w:hRule="exact"/>
        </w:trPr>
        <w:tc>
          <w:tcPr>
            <w:tcW w:w="26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9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0.1098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0.1098</w:t>
            </w:r>
            <w:r>
              <w:rPr>
                <w:rFonts w:ascii="Times New Roman"/>
                <w:sz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479"/>
      <w:bookmarkEnd w:id="47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0"/>
      <w:bookmarkEnd w:id="48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81"/>
      <w:bookmarkEnd w:id="48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82"/>
      <w:bookmarkEnd w:id="48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其他" w:id="483"/>
      <w:bookmarkEnd w:id="483"/>
      <w:r>
        <w:rPr>
          <w:b w:val="0"/>
          <w:bCs w:val="0"/>
        </w:rPr>
      </w:r>
      <w:r>
        <w:rPr>
          <w:rFonts w:ascii="Times New Roman" w:hAnsi="Times New Roman" w:cs="Times New Roman" w:eastAsia="Times New Roman" w:hint="default"/>
        </w:rPr>
        <w:t>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4" w:right="0"/>
        <w:jc w:val="left"/>
        <w:rPr>
          <w:b w:val="0"/>
          <w:bCs w:val="0"/>
        </w:rPr>
      </w:pPr>
      <w:bookmarkStart w:name="第十一节 备查文件目录" w:id="484"/>
      <w:bookmarkEnd w:id="484"/>
      <w:r>
        <w:rPr>
          <w:b w:val="0"/>
          <w:bCs w:val="0"/>
        </w:rPr>
      </w:r>
      <w:bookmarkStart w:name="_bookmark10" w:id="485"/>
      <w:bookmarkEnd w:id="485"/>
      <w:r>
        <w:rPr>
          <w:b w:val="0"/>
          <w:bCs w:val="0"/>
        </w:rPr>
      </w:r>
      <w:r>
        <w:rPr/>
        <w:t>第十一节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2034"/>
        <w:jc w:val="left"/>
      </w:pPr>
      <w:r>
        <w:rPr/>
        <w:t>一、载有公司法定代表人签名的</w:t>
      </w:r>
      <w:r>
        <w:rPr>
          <w:rFonts w:ascii="Times New Roman" w:hAnsi="Times New Roman" w:cs="Times New Roman" w:eastAsia="Times New Roman" w:hint="default"/>
        </w:rPr>
        <w:t>2015</w:t>
      </w:r>
      <w:r>
        <w:rPr/>
        <w:t>年年度报告文本。 二、载有公司负责人、主管会计工作负责人、会计机构负责人签名并盖章的财务报表。 三、载有会计师事务所盖章、注册会计师签名并盖章的审计报告原件。 四、报告期内在中国证监会指定信息披露载体上公开披露过的所有公司文件的正本及公告的原稿。 五、以上备查文件的备置地点：公司证券部。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240" w:lineRule="auto"/>
        <w:ind w:left="0" w:right="153"/>
        <w:jc w:val="right"/>
      </w:pPr>
      <w:r>
        <w:rPr/>
        <w:t>美盈森集团股份有限公司</w:t>
      </w:r>
    </w:p>
    <w:p>
      <w:pPr>
        <w:pStyle w:val="BodyText"/>
        <w:spacing w:line="240" w:lineRule="auto" w:before="76"/>
        <w:ind w:left="0" w:right="153"/>
        <w:jc w:val="right"/>
      </w:pPr>
      <w:r>
        <w:rPr/>
        <w:t>张珍义</w:t>
      </w:r>
    </w:p>
    <w:p>
      <w:pPr>
        <w:pStyle w:val="BodyText"/>
        <w:spacing w:line="240" w:lineRule="auto" w:before="76"/>
        <w:ind w:left="0" w:right="150"/>
        <w:jc w:val="righ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p>
    <w:sectPr>
      <w:pgSz w:w="11910" w:h="16840"/>
      <w:pgMar w:header="745"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17944pt;width:6.5pt;height:11pt;mso-position-horizontal-relative:page;mso-position-vertical-relative:page;z-index:-9446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837891pt;width:13.15pt;height:11pt;mso-position-horizontal-relative:page;mso-position-vertical-relative:page;z-index:-944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pt;margin-top:781.837891pt;width:15.7pt;height:11pt;mso-position-horizontal-relative:page;mso-position-vertical-relative:page;z-index:-9446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44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44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5.905579pt;width:47pt;height:11pt;mso-position-horizontal-relative:page;mso-position-vertical-relative:page;z-index:-944536" type="#_x0000_t202" filled="false" stroked="false">
          <v:textbox inset="0,0,0,0">
            <w:txbxContent>
              <w:p>
                <w:pPr>
                  <w:pStyle w:val="BodyText"/>
                  <w:spacing w:line="200" w:lineRule="exact"/>
                  <w:ind w:left="20" w:right="0"/>
                  <w:jc w:val="left"/>
                </w:pPr>
                <w:r>
                  <w:rPr/>
                  <w:t>其他说明：</w:t>
                </w:r>
              </w:p>
            </w:txbxContent>
          </v:textbox>
          <w10:wrap type="none"/>
        </v:shape>
      </w:pict>
    </w:r>
    <w:r>
      <w:rPr/>
      <w:pict>
        <v:shape style="position:absolute;margin-left:523.359985pt;margin-top:781.837891pt;width:17.3pt;height:11pt;mso-position-horizontal-relative:page;mso-position-vertical-relative:page;z-index:-944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59985pt;margin-top:781.837891pt;width:17.3pt;height:11pt;mso-position-horizontal-relative:page;mso-position-vertical-relative:page;z-index:-944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pt;margin-top:781.837891pt;width:17.7pt;height:11pt;mso-position-horizontal-relative:page;mso-position-vertical-relative:page;z-index:-944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pt;margin-top:36.265610pt;width:186.6pt;height:11.5pt;mso-position-horizontal-relative:page;mso-position-vertical-relative:page;z-index:-944680" type="#_x0000_t202" filled="false" stroked="false">
          <v:textbox inset="0,0,0,0">
            <w:txbxContent>
              <w:p>
                <w:pPr>
                  <w:pStyle w:val="BodyText"/>
                  <w:spacing w:line="214" w:lineRule="exact"/>
                  <w:ind w:left="20" w:right="0"/>
                  <w:jc w:val="left"/>
                </w:pPr>
                <w:r>
                  <w:rPr/>
                  <w:t>美盈森集团股份有限公司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5"/>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52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mys.com/" TargetMode="External"/><Relationship Id="rId10" Type="http://schemas.openxmlformats.org/officeDocument/2006/relationships/hyperlink" Target="mailto:mys.stock@szmys.com" TargetMode="External"/><Relationship Id="rId11" Type="http://schemas.openxmlformats.org/officeDocument/2006/relationships/hyperlink" Target="http://www.cninfo.com.cn/" TargetMode="External"/><Relationship Id="rId12" Type="http://schemas.openxmlformats.org/officeDocument/2006/relationships/hyperlink" Target="http://www.cninfo.co/"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美盈森集团股份有限公司</dc:creator>
  <dc:title>美盈森集团股份有限公司2015年年度报告全文</dc:title>
  <dcterms:created xsi:type="dcterms:W3CDTF">2020-05-04T13:10:33Z</dcterms:created>
  <dcterms:modified xsi:type="dcterms:W3CDTF">2020-05-04T13:10:33Z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Acrobat PDFMaker 11 Word 版</vt:lpwstr>
  </property>
  <property fmtid="{D5CDD505-2E9C-101B-9397-08002B2CF9AE}" pid="4" name="LastSaved">
    <vt:filetime>2020-05-04T00:00:00Z</vt:filetime>
  </property>
</Properties>
</file>