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2963" w:right="2966"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美盈森集团股份有限公司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963" w:right="29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963" w:right="2963" w:firstLine="0"/>
        <w:jc w:val="center"/>
        <w:rPr>
          <w:rFonts w:ascii="Times New Roman" w:hAnsi="Times New Roman" w:cs="Times New Roman" w:eastAsia="Times New Roman" w:hint="default"/>
          <w:sz w:val="22"/>
          <w:szCs w:val="22"/>
        </w:rPr>
      </w:pPr>
      <w:r>
        <w:rPr>
          <w:rFonts w:ascii="Times New Roman"/>
          <w:b/>
          <w:sz w:val="22"/>
        </w:rPr>
        <w:t>2018-009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963" w:right="29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2"/>
        <w:jc w:val="left"/>
        <w:rPr>
          <w:b w:val="0"/>
          <w:bCs w:val="0"/>
        </w:rPr>
      </w:pPr>
      <w:bookmarkStart w:name="_TOC_250011" w:id="1"/>
      <w:r>
        <w:rPr/>
        <w:t>第一节</w:t>
      </w:r>
      <w:r>
        <w:rPr>
          <w:spacing w:val="-5"/>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公司负责人张珍义、主管会计工作负责人袁宏贵及会计机构负责人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袁宏贵声明：保证年度报告中财务报告的真实、准确、完整。</w:t>
      </w:r>
      <w:r>
        <w:rPr>
          <w:rFonts w:ascii="宋体" w:hAnsi="宋体" w:cs="宋体" w:eastAsia="宋体" w:hint="default"/>
          <w:sz w:val="28"/>
          <w:szCs w:val="28"/>
        </w:rPr>
      </w:r>
    </w:p>
    <w:p>
      <w:pPr>
        <w:spacing w:before="148"/>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10"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line="408" w:lineRule="auto" w:before="14"/>
        <w:ind w:left="152" w:right="102" w:firstLine="562"/>
        <w:jc w:val="left"/>
        <w:rPr>
          <w:rFonts w:ascii="宋体" w:hAnsi="宋体" w:cs="宋体" w:eastAsia="宋体" w:hint="default"/>
          <w:sz w:val="28"/>
          <w:szCs w:val="28"/>
        </w:rPr>
      </w:pPr>
      <w:r>
        <w:rPr>
          <w:rFonts w:ascii="宋体" w:hAnsi="宋体" w:cs="宋体" w:eastAsia="宋体" w:hint="default"/>
          <w:b/>
          <w:bCs/>
          <w:spacing w:val="-2"/>
          <w:sz w:val="28"/>
          <w:szCs w:val="28"/>
        </w:rPr>
        <w:t>本年度报告涉及未来计划等前瞻性陈述，不构成公司对投资者的实质承诺，</w:t>
      </w:r>
      <w:r>
        <w:rPr>
          <w:rFonts w:ascii="宋体" w:hAnsi="宋体" w:cs="宋体" w:eastAsia="宋体" w:hint="default"/>
          <w:b/>
          <w:bCs/>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line="408" w:lineRule="auto" w:before="162"/>
        <w:ind w:left="152" w:right="106" w:firstLine="562"/>
        <w:jc w:val="left"/>
        <w:rPr>
          <w:rFonts w:ascii="宋体" w:hAnsi="宋体" w:cs="宋体" w:eastAsia="宋体" w:hint="default"/>
          <w:sz w:val="28"/>
          <w:szCs w:val="28"/>
        </w:rPr>
      </w:pPr>
      <w:r>
        <w:rPr>
          <w:rFonts w:ascii="宋体" w:hAnsi="宋体" w:cs="宋体" w:eastAsia="宋体" w:hint="default"/>
          <w:b/>
          <w:bCs/>
          <w:spacing w:val="2"/>
          <w:sz w:val="28"/>
          <w:szCs w:val="28"/>
        </w:rPr>
        <w:t>本公司不存在对公司生产经营状况、财务状况和持续盈利能力具有不利影</w:t>
      </w:r>
      <w:r>
        <w:rPr>
          <w:rFonts w:ascii="宋体" w:hAnsi="宋体" w:cs="宋体" w:eastAsia="宋体" w:hint="default"/>
          <w:b/>
          <w:bCs/>
          <w:w w:val="99"/>
          <w:sz w:val="28"/>
          <w:szCs w:val="28"/>
        </w:rPr>
        <w:t> </w:t>
      </w:r>
      <w:r>
        <w:rPr>
          <w:rFonts w:ascii="宋体" w:hAnsi="宋体" w:cs="宋体" w:eastAsia="宋体" w:hint="default"/>
          <w:b/>
          <w:bCs/>
          <w:spacing w:val="2"/>
          <w:sz w:val="28"/>
          <w:szCs w:val="28"/>
        </w:rPr>
        <w:t>响的重大风险因素。本公司请投资者认证阅读本年度报告全文，并特别注意公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司可能面临的包括行业竞争、市场等风险因素。详细内容见本报告第四节（九）</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发展面临挑战及其他可能存在的风险及应对措施分析。</w:t>
      </w:r>
      <w:r>
        <w:rPr>
          <w:rFonts w:ascii="宋体" w:hAnsi="宋体" w:cs="宋体" w:eastAsia="宋体" w:hint="default"/>
          <w:sz w:val="28"/>
          <w:szCs w:val="28"/>
        </w:rPr>
      </w:r>
    </w:p>
    <w:p>
      <w:pPr>
        <w:spacing w:before="160"/>
        <w:ind w:left="714" w:right="102"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9"/>
          <w:sz w:val="28"/>
          <w:szCs w:val="28"/>
        </w:rPr>
        <w:t> </w:t>
      </w:r>
      <w:r>
        <w:rPr>
          <w:rFonts w:ascii="Times New Roman" w:hAnsi="Times New Roman" w:cs="Times New Roman" w:eastAsia="Times New Roman" w:hint="default"/>
          <w:b/>
          <w:bCs/>
          <w:sz w:val="28"/>
          <w:szCs w:val="28"/>
        </w:rPr>
        <w:t>1542323685</w:t>
      </w:r>
      <w:r>
        <w:rPr>
          <w:rFonts w:ascii="Times New Roman" w:hAnsi="Times New Roman" w:cs="Times New Roman" w:eastAsia="Times New Roman" w:hint="default"/>
          <w:b/>
          <w:bCs/>
          <w:spacing w:val="-18"/>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102"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2" w:right="102"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980"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963" w:right="296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8"/>
              </w:rPr>
              <w:t> </w:t>
            </w:r>
            <w:r>
              <w:rPr/>
              <w:t>经营情况讨论与分析</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8"/>
              </w:rPr>
              <w:t> </w:t>
            </w:r>
            <w:r>
              <w:rPr/>
              <w:t>重要事项</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8"/>
              </w:rPr>
              <w:t> </w:t>
            </w:r>
            <w:r>
              <w:rPr/>
              <w:t>股份变动及股东情况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8"/>
              </w:rPr>
              <w:t> </w:t>
            </w:r>
            <w:r>
              <w:rPr/>
              <w:t>优先股相关情况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8"/>
              </w:rPr>
              <w:t> </w:t>
            </w:r>
            <w:r>
              <w:rPr/>
              <w:t>董事、监事、高级管理人员和员工情况</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8"/>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第十节</w:t>
            </w:r>
            <w:r>
              <w:rPr>
                <w:spacing w:val="-18"/>
              </w:rPr>
              <w:t> </w:t>
            </w:r>
            <w:r>
              <w:rPr/>
              <w:t>公司债券相关情况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7"/>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18"/>
              </w:rPr>
              <w:t> </w:t>
            </w:r>
            <w:r>
              <w:rPr/>
              <w:t>备查文件目录</w:t>
            </w:r>
            <w:r>
              <w:rPr>
                <w:rFonts w:ascii="Times New Roman" w:hAnsi="Times New Roman" w:cs="Times New Roman" w:eastAsia="Times New Roman" w:hint="default"/>
              </w:rPr>
              <w:tab/>
              <w:t>202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before="945"/>
        <w:ind w:left="2963" w:right="296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公司、本公司、美盈森、深圳美盈森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东莞美芯龙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小美集科技有限公司，系公司全资子公司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美莲检测有限公司，系公司全资子公司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泸美、泸美供应链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宜美、宜美供应链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四川宜美供应链管理有限公司，系泸美控股子公司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汇天云网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汇天云网集团有限公司，系公司控股子公司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深圳汇天云网</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深圳市汇天云网科技有限公司，系汇天云网全资子公司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中大绿谷实业股份有限公司，系公司控股子公司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Global Inc.</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系公司全资子公司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湖南美盈森实业有限公司，系公司控股子公司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安徽美盈森智谷科技有限公司，系公司控股子公司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苏州智谷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美盈森智谷（苏州）包装技术有限公司，系苏州美盈森控股子公司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美彩供应链</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江苏美彩供应链管理有限公司，系苏州美盈森控股子公司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越南美盈森</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MYS GROUP (VIETNAM)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，系香港美盈森全资</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西安美盈森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西安美盈森智谷科技有限公司，系公司全资子公司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台湾美盈森有限公司，系香港美盈森全资子公司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佳宝隆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广东佳宝隆科技有限公司，系公司关联方</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2.339996pt;margin-top:272.78598pt;width:361.55pt;height:19.6pt;mso-position-horizontal-relative:page;mso-position-vertical-relative:page;z-index:-1118872"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0"/>
        <w:jc w:val="left"/>
        <w:rPr>
          <w:b w:val="0"/>
          <w:bCs w:val="0"/>
        </w:rPr>
      </w:pPr>
      <w:bookmarkStart w:name="_TOC_250010" w:id="2"/>
      <w:r>
        <w:rPr/>
        <w:t>第二节</w:t>
      </w:r>
      <w:r>
        <w:rPr>
          <w:spacing w:val="-5"/>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3"/>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美盈森</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002303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美盈森</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MYS GROUP</w:t>
            </w:r>
            <w:r>
              <w:rPr>
                <w:rFonts w:ascii="Times New Roman"/>
                <w:spacing w:val="-6"/>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MYS</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张珍义</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518107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www.szmys.com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mys.stock@szmys.com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刘会丰</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深圳市光明新区光明新陂头村美盈森厂 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0755-29751666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0755-29751666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0755-28234302</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9">
              <w:r>
                <w:rPr>
                  <w:rFonts w:ascii="Times New Roman"/>
                  <w:sz w:val="18"/>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mys.stock@szmys.com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公司证券部、深交所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91440300723000100A</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北京市海淀区知春路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北京市西城区太平桥大街丰 盛胡同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号太平洋保险大厦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林琳、张学彦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6"/>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2,857,419,302.97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2,219,276,356.96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2,016,422,890.84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348,186,315.19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223,397,139.15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220,482,825.97</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333,505,198.25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151,520,188.96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120.11%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157,048,807.60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264,155,317.55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99,651,448.99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208,890,369.14</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0.1541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0.2258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0.1542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46.43%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0.1541</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6"/>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5,931,219,545.41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4,815,701,612.66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3,226,501,367.01</w:t>
            </w:r>
          </w:p>
        </w:tc>
      </w:tr>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4,329,719,804.16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3,959,887,942.95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2,376,536,975.06</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0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1"/>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559,554,772.29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682,710,455.67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762,508,570.18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852,645,504.83</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52,618,184.86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91,743,866.48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103,529,748.93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100,294,514.92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51,258,492.67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91,194,769.72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103,839,102.39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87,212,833.47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14,713,588.69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518,575.89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150,282,647.65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98,640,505.32</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年第四季度净利润波动</w:t>
      </w:r>
      <w:r>
        <w:rPr>
          <w:spacing w:val="-3"/>
        </w:rPr>
        <w:t>的</w:t>
      </w:r>
      <w:r>
        <w:rPr/>
        <w:t>主要原因主要系</w:t>
      </w:r>
      <w:r>
        <w:rPr>
          <w:spacing w:val="-92"/>
        </w:rPr>
        <w:t>：</w:t>
      </w:r>
      <w:r>
        <w:rPr/>
        <w:t>（</w:t>
      </w:r>
      <w:r>
        <w:rPr>
          <w:rFonts w:ascii="Times New Roman" w:hAnsi="Times New Roman" w:cs="Times New Roman" w:eastAsia="Times New Roman" w:hint="default"/>
          <w:spacing w:val="1"/>
        </w:rPr>
        <w:t>1</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3"/>
        </w:rPr>
        <w:t>年</w:t>
      </w:r>
      <w:r>
        <w:rPr/>
        <w:t>四季度应收账款增加较多，公司相应计提了坏账准备，并</w:t>
      </w:r>
    </w:p>
    <w:p>
      <w:pPr>
        <w:pStyle w:val="BodyText"/>
        <w:spacing w:line="240" w:lineRule="auto" w:before="63"/>
        <w:ind w:right="0"/>
        <w:jc w:val="left"/>
      </w:pPr>
      <w:r>
        <w:rPr/>
        <w:t>根据存货的情况计提了存货跌价准备合计</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万元</w:t>
      </w:r>
      <w:r>
        <w:rPr>
          <w:spacing w:val="-92"/>
        </w:rPr>
        <w:t>；</w:t>
      </w:r>
      <w:r>
        <w:rPr/>
        <w:t>（</w:t>
      </w:r>
      <w:r>
        <w:rPr>
          <w:rFonts w:ascii="Times New Roman" w:hAnsi="Times New Roman" w:cs="Times New Roman" w:eastAsia="Times New Roman" w:hint="default"/>
          <w:spacing w:val="-2"/>
        </w:rPr>
        <w:t>2</w:t>
      </w:r>
      <w:r>
        <w:rPr/>
        <w:t>）金之彩公司业绩未达预期，计提商誉减值准备</w:t>
      </w:r>
      <w:r>
        <w:rPr>
          <w:spacing w:val="-44"/>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万</w:t>
      </w:r>
      <w:r>
        <w:rPr>
          <w:spacing w:val="-3"/>
        </w:rPr>
        <w:t>元</w:t>
      </w:r>
      <w:r>
        <w:rPr/>
        <w:t>，</w:t>
      </w:r>
    </w:p>
    <w:p>
      <w:pPr>
        <w:pStyle w:val="BodyText"/>
        <w:spacing w:line="240" w:lineRule="auto" w:before="63"/>
        <w:ind w:right="0"/>
        <w:jc w:val="left"/>
      </w:pPr>
      <w:r>
        <w:rPr/>
        <w:t>另外，因本期汇天云网股权回购处置子公司确认投资收益</w:t>
      </w:r>
      <w:r>
        <w:rPr>
          <w:spacing w:val="-44"/>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万元</w:t>
      </w:r>
      <w:r>
        <w:rPr>
          <w:spacing w:val="-92"/>
        </w:rPr>
        <w:t>；</w:t>
      </w:r>
      <w:r>
        <w:rPr/>
        <w:t>（</w:t>
      </w:r>
      <w:r>
        <w:rPr>
          <w:rFonts w:ascii="Times New Roman" w:hAnsi="Times New Roman" w:cs="Times New Roman" w:eastAsia="Times New Roman" w:hint="default"/>
          <w:spacing w:val="1"/>
        </w:rPr>
        <w:t>3</w:t>
      </w:r>
      <w:r>
        <w:rPr/>
        <w:t>）公司四季度</w:t>
      </w:r>
      <w:r>
        <w:rPr>
          <w:spacing w:val="-3"/>
        </w:rPr>
        <w:t>净</w:t>
      </w:r>
      <w:r>
        <w:rPr/>
        <w:t>利润与扣除非经常性损益后的净</w:t>
      </w:r>
    </w:p>
    <w:p>
      <w:pPr>
        <w:pStyle w:val="BodyText"/>
        <w:spacing w:line="300" w:lineRule="auto" w:before="63"/>
        <w:ind w:right="151"/>
        <w:jc w:val="left"/>
      </w:pPr>
      <w:r>
        <w:rPr/>
        <w:t>利润相差较大主要公司投资性房地产公允价值变动损益</w:t>
      </w:r>
      <w:r>
        <w:rPr>
          <w:spacing w:val="-48"/>
        </w:rPr>
        <w:t> </w:t>
      </w:r>
      <w:r>
        <w:rPr>
          <w:rFonts w:ascii="Times New Roman" w:hAnsi="Times New Roman" w:cs="Times New Roman" w:eastAsia="Times New Roman" w:hint="default"/>
        </w:rPr>
        <w:t>509.44</w:t>
      </w:r>
      <w:r>
        <w:rPr>
          <w:rFonts w:ascii="Times New Roman" w:hAnsi="Times New Roman" w:cs="Times New Roman" w:eastAsia="Times New Roman" w:hint="default"/>
          <w:spacing w:val="-1"/>
        </w:rPr>
        <w:t> </w:t>
      </w:r>
      <w:r>
        <w:rPr/>
        <w:t>万元，汇天云网股权回购确认的投资收益</w:t>
      </w:r>
      <w:r>
        <w:rPr>
          <w:spacing w:val="-48"/>
        </w:rPr>
        <w:t> </w:t>
      </w:r>
      <w:r>
        <w:rPr>
          <w:rFonts w:ascii="Times New Roman" w:hAnsi="Times New Roman" w:cs="Times New Roman" w:eastAsia="Times New Roman" w:hint="default"/>
        </w:rPr>
        <w:t>774.02 </w:t>
      </w:r>
      <w:r>
        <w:rPr/>
        <w:t>万元，全部 计入非经常性损益。</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6,519,318.68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-193,465.65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-245,847.01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8,122,045.65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11,927,823.89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8,493,645.87</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2"/>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5,094,445.69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74,946,266.99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57,147,863.03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-2,722,539.07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-1,664,106.36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-624,958.14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9,709,778.18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2,616,551.84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12,876,494.36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9,976,585.47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-284,397.83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263,074.32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1,069,878.09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14,681,116.94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71,876,950.19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63,434,018.37</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TOC_250009" w:id="3"/>
      <w:r>
        <w:rPr/>
        <w:t>第三节</w:t>
      </w:r>
      <w:r>
        <w:rPr>
          <w:spacing w:val="-6"/>
        </w:rPr>
        <w:t> </w:t>
      </w:r>
      <w:r>
        <w:rPr/>
        <w:t>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300" w:lineRule="auto" w:before="25"/>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、公司主要业务、产品及用途</w:t>
      </w:r>
      <w:r>
        <w:rPr>
          <w:rFonts w:ascii="宋体" w:hAnsi="宋体" w:cs="宋体" w:eastAsia="宋体" w:hint="default"/>
          <w:b/>
          <w:bCs/>
          <w:w w:val="99"/>
          <w:sz w:val="18"/>
          <w:szCs w:val="18"/>
        </w:rPr>
        <w:t> </w:t>
      </w:r>
      <w:r>
        <w:rPr>
          <w:rFonts w:ascii="宋体" w:hAnsi="宋体" w:cs="宋体" w:eastAsia="宋体" w:hint="default"/>
          <w:spacing w:val="-2"/>
          <w:sz w:val="18"/>
          <w:szCs w:val="18"/>
        </w:rPr>
        <w:t>公司主要从事运输包装产品、精品包装产品、标签产品及电子功能材料模切产品的研发、生产与销售，并为客户提供包</w:t>
      </w:r>
    </w:p>
    <w:p>
      <w:pPr>
        <w:pStyle w:val="BodyText"/>
        <w:spacing w:line="316" w:lineRule="auto" w:before="31"/>
        <w:ind w:right="94"/>
        <w:jc w:val="left"/>
      </w:pPr>
      <w:r>
        <w:rPr>
          <w:spacing w:val="-2"/>
        </w:rPr>
        <w:t>装产品设计、包装方案优化、包装材料第三方采购与包装产品物流配送、供应商库存管理以及现场辅助包装作业等包装一体</w:t>
      </w:r>
      <w:r>
        <w:rPr>
          <w:spacing w:val="-65"/>
        </w:rPr>
        <w:t> </w:t>
      </w:r>
      <w:r>
        <w:rPr>
          <w:spacing w:val="-65"/>
        </w:rPr>
      </w:r>
      <w:r>
        <w:rPr/>
        <w:t>化深度服务。</w:t>
      </w:r>
    </w:p>
    <w:p>
      <w:pPr>
        <w:pStyle w:val="BodyText"/>
        <w:spacing w:line="319" w:lineRule="auto" w:before="19"/>
        <w:ind w:right="192" w:firstLine="360"/>
        <w:jc w:val="both"/>
      </w:pPr>
      <w:r>
        <w:rPr>
          <w:spacing w:val="-2"/>
        </w:rPr>
        <w:t>公司的主要产品为轻型包装产品、重型包装产品和电子功能材料模切产品，其中轻型包装产品为轻型瓦楞包装产品和彩</w:t>
      </w:r>
      <w:r>
        <w:rPr/>
        <w:t> </w:t>
      </w:r>
      <w:r>
        <w:rPr>
          <w:spacing w:val="-2"/>
        </w:rPr>
        <w:t>印产品，重型包装产品包括重型瓦楞包装产品和重型复合包装产品，电子功能材料模切产品是为高端消费类电子客户提供缓</w:t>
      </w:r>
      <w:r>
        <w:rPr>
          <w:spacing w:val="-64"/>
        </w:rPr>
        <w:t> </w:t>
      </w:r>
      <w:r>
        <w:rPr>
          <w:spacing w:val="-64"/>
        </w:rPr>
      </w:r>
      <w:r>
        <w:rPr>
          <w:spacing w:val="-2"/>
        </w:rPr>
        <w:t>冲垫片减震泡棉、粘贴胶带、保护膜、防尘网布、导电绝缘膜等电子功能材料模切产品。公司主要客户覆盖电子通讯、智能</w:t>
      </w:r>
      <w:r>
        <w:rPr>
          <w:spacing w:val="-68"/>
        </w:rPr>
        <w:t> </w:t>
      </w:r>
      <w:r>
        <w:rPr>
          <w:spacing w:val="-68"/>
        </w:rPr>
      </w:r>
      <w:r>
        <w:rPr/>
        <w:t>终端、食品饮料、保健品、家具家居、快递速运、新能源汽车产业链等多个行业。</w:t>
      </w:r>
    </w:p>
    <w:p>
      <w:pPr>
        <w:spacing w:line="240" w:lineRule="auto" w:before="2"/>
        <w:rPr>
          <w:rFonts w:ascii="宋体" w:hAnsi="宋体" w:cs="宋体" w:eastAsia="宋体" w:hint="default"/>
          <w:sz w:val="25"/>
          <w:szCs w:val="25"/>
        </w:rPr>
      </w:pPr>
    </w:p>
    <w:p>
      <w:pPr>
        <w:pStyle w:val="BodyText"/>
        <w:spacing w:line="300" w:lineRule="auto"/>
        <w:ind w:left="513" w:right="94"/>
        <w:jc w:val="left"/>
      </w:pPr>
      <w:r>
        <w:rPr>
          <w:rFonts w:ascii="Times New Roman" w:hAnsi="Times New Roman" w:cs="Times New Roman" w:eastAsia="Times New Roman" w:hint="default"/>
          <w:b/>
          <w:bCs/>
        </w:rPr>
        <w:t>2</w:t>
      </w:r>
      <w:r>
        <w:rPr>
          <w:rFonts w:ascii="宋体" w:hAnsi="宋体" w:cs="宋体" w:eastAsia="宋体" w:hint="default"/>
          <w:b/>
          <w:bCs/>
        </w:rPr>
        <w:t>、公司主要业务模式</w:t>
      </w:r>
      <w:r>
        <w:rPr>
          <w:rFonts w:ascii="宋体" w:hAnsi="宋体" w:cs="宋体" w:eastAsia="宋体" w:hint="default"/>
          <w:b/>
          <w:bCs/>
          <w:w w:val="99"/>
        </w:rPr>
        <w:t> </w:t>
      </w:r>
      <w:r>
        <w:rPr>
          <w:spacing w:val="-2"/>
        </w:rPr>
        <w:t>公司始终以市场为驱动、以顾客需求为导向，于业内率先提出并构建了包装一体化服务模式，并通过持续的创新、优化</w:t>
      </w:r>
    </w:p>
    <w:p>
      <w:pPr>
        <w:pStyle w:val="BodyText"/>
        <w:spacing w:line="316" w:lineRule="auto" w:before="31"/>
        <w:ind w:right="94"/>
        <w:jc w:val="left"/>
      </w:pPr>
      <w:r>
        <w:rPr>
          <w:spacing w:val="-4"/>
        </w:rPr>
        <w:t>和提升，不断夯实和完善了公司包装一体化服务模式。包装一体化服务是指由包装供应商完成客户产品包装相关的所有环节，</w:t>
      </w:r>
      <w:r>
        <w:rPr>
          <w:spacing w:val="-44"/>
        </w:rPr>
        <w:t> </w:t>
      </w:r>
      <w:r>
        <w:rPr>
          <w:spacing w:val="-44"/>
        </w:rPr>
      </w:r>
      <w:r>
        <w:rPr>
          <w:spacing w:val="-2"/>
        </w:rPr>
        <w:t>即除了提供包装产品，还提供包装产品设计、包装方案优化、包装材料第三方采购与包装产品物流配送、供应商库存管理以</w:t>
      </w:r>
      <w:r>
        <w:rPr>
          <w:spacing w:val="-65"/>
        </w:rPr>
        <w:t> </w:t>
      </w:r>
      <w:r>
        <w:rPr>
          <w:spacing w:val="-65"/>
        </w:rPr>
      </w:r>
      <w:r>
        <w:rPr>
          <w:spacing w:val="-2"/>
        </w:rPr>
        <w:t>及辅助包装作业等服务。作为包装一体化服务供应商，公司兼具传统包装产品生产商、设计服务提供商、采购服务商与物流</w:t>
      </w:r>
      <w:r>
        <w:rPr>
          <w:spacing w:val="-65"/>
        </w:rPr>
        <w:t> </w:t>
      </w:r>
      <w:r>
        <w:rPr>
          <w:spacing w:val="-65"/>
        </w:rPr>
      </w:r>
      <w:r>
        <w:rPr/>
        <w:t>服务商的特点，从降低成本、提高效率、增加价值三方面切入，为客户提供包装产品与服务。</w:t>
      </w:r>
    </w:p>
    <w:p>
      <w:pPr>
        <w:pStyle w:val="BodyText"/>
        <w:spacing w:line="319" w:lineRule="auto" w:before="19"/>
        <w:ind w:right="94" w:firstLine="360"/>
        <w:jc w:val="left"/>
      </w:pPr>
      <w:r>
        <w:rPr>
          <w:spacing w:val="-4"/>
        </w:rPr>
        <w:t>通过包装一体化服务模式，公司与众多世界知名企业和细分行业龙头企业建立了深度合作关系，相互依存关系不断增强，</w:t>
      </w:r>
      <w:r>
        <w:rPr/>
        <w:t> 形成了覆盖电子通讯、智能终端、食品饮料、保健品、家具家居、快递速运、新能源汽车产业链等多个行业的优质客户群， </w:t>
      </w:r>
      <w:r>
        <w:rPr>
          <w:spacing w:val="-2"/>
        </w:rPr>
        <w:t>既有利于公司现有包装业务规模的成长，同时也为公司深挖客户需求所开拓的新产品、新业务的快速发展，奠定了坚实的基</w:t>
      </w:r>
      <w:r>
        <w:rPr>
          <w:spacing w:val="-63"/>
        </w:rPr>
        <w:t> </w:t>
      </w:r>
      <w:r>
        <w:rPr>
          <w:spacing w:val="-63"/>
        </w:rPr>
      </w:r>
      <w:r>
        <w:rPr/>
        <w:t>础。</w:t>
      </w:r>
    </w:p>
    <w:p>
      <w:pPr>
        <w:spacing w:line="240" w:lineRule="auto" w:before="2"/>
        <w:rPr>
          <w:rFonts w:ascii="宋体" w:hAnsi="宋体" w:cs="宋体" w:eastAsia="宋体" w:hint="default"/>
          <w:sz w:val="25"/>
          <w:szCs w:val="25"/>
        </w:rPr>
      </w:pPr>
    </w:p>
    <w:p>
      <w:pPr>
        <w:spacing w:line="300" w:lineRule="auto" w:before="0"/>
        <w:ind w:left="51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、公司所属行业的发展阶段、周期性特点及公司所处的行业地位</w:t>
      </w:r>
      <w:r>
        <w:rPr>
          <w:rFonts w:ascii="宋体" w:hAnsi="宋体" w:cs="宋体" w:eastAsia="宋体" w:hint="default"/>
          <w:b/>
          <w:bCs/>
          <w:w w:val="99"/>
          <w:sz w:val="18"/>
          <w:szCs w:val="18"/>
        </w:rPr>
        <w:t> </w:t>
      </w:r>
      <w:r>
        <w:rPr>
          <w:rFonts w:ascii="宋体" w:hAnsi="宋体" w:cs="宋体" w:eastAsia="宋体" w:hint="default"/>
          <w:sz w:val="18"/>
          <w:szCs w:val="18"/>
        </w:rPr>
        <w:t>公司主营业务属于包装产业五大子行业之一的纸质包装行业。国内包装产业经过</w:t>
      </w:r>
      <w:r>
        <w:rPr>
          <w:rFonts w:ascii="Times New Roman" w:hAnsi="Times New Roman" w:cs="Times New Roman" w:eastAsia="Times New Roman" w:hint="default"/>
          <w:sz w:val="18"/>
          <w:szCs w:val="18"/>
        </w:rPr>
        <w:t>30</w:t>
      </w:r>
      <w:r>
        <w:rPr>
          <w:rFonts w:ascii="宋体" w:hAnsi="宋体" w:cs="宋体" w:eastAsia="宋体" w:hint="default"/>
          <w:sz w:val="18"/>
          <w:szCs w:val="18"/>
        </w:rPr>
        <w:t>多年的建设发展，已建成涵盖设计、</w:t>
      </w:r>
    </w:p>
    <w:p>
      <w:pPr>
        <w:pStyle w:val="BodyText"/>
        <w:spacing w:line="316" w:lineRule="auto" w:before="13"/>
        <w:ind w:right="106"/>
        <w:jc w:val="both"/>
      </w:pPr>
      <w:r>
        <w:rPr/>
        <w:t>生产、检测、流通、回收循环利用等产品全生命周期的较为完善的体系，分为纸质包装、塑料包装、金属包装、玻璃包装、 </w:t>
      </w:r>
      <w:r>
        <w:rPr>
          <w:spacing w:val="-7"/>
        </w:rPr>
        <w:t>竹木包装五大子行业。包装工业为中国制造体系的重要组成部分。根据中国包装联合会发布的《中国包装行业年度运行报告》，</w:t>
      </w:r>
      <w:r>
        <w:rPr>
          <w:spacing w:val="-54"/>
        </w:rPr>
        <w:t> </w:t>
      </w:r>
      <w:r>
        <w:rPr>
          <w:spacing w:val="-54"/>
        </w:rPr>
      </w:r>
      <w:r>
        <w:rPr>
          <w:rFonts w:ascii="Times New Roman" w:hAnsi="Times New Roman" w:cs="Times New Roman" w:eastAsia="Times New Roman" w:hint="default"/>
          <w:spacing w:val="-2"/>
        </w:rPr>
        <w:t>2016</w:t>
      </w:r>
      <w:r>
        <w:rPr>
          <w:spacing w:val="-2"/>
        </w:rPr>
        <w:t>年，全国包装行业规模以上企业（年主营业务收入</w:t>
      </w:r>
      <w:r>
        <w:rPr>
          <w:rFonts w:ascii="Times New Roman" w:hAnsi="Times New Roman" w:cs="Times New Roman" w:eastAsia="Times New Roman" w:hint="default"/>
          <w:spacing w:val="-2"/>
        </w:rPr>
        <w:t>2000</w:t>
      </w:r>
      <w:r>
        <w:rPr>
          <w:spacing w:val="-2"/>
        </w:rPr>
        <w:t>万元及以上全部工业法人企业）</w:t>
      </w:r>
      <w:r>
        <w:rPr>
          <w:rFonts w:ascii="Times New Roman" w:hAnsi="Times New Roman" w:cs="Times New Roman" w:eastAsia="Times New Roman" w:hint="default"/>
          <w:spacing w:val="-2"/>
        </w:rPr>
        <w:t>7582</w:t>
      </w:r>
      <w:r>
        <w:rPr>
          <w:spacing w:val="-2"/>
        </w:rPr>
        <w:t>家，累计完成主营业务收入</w:t>
      </w:r>
    </w:p>
    <w:p>
      <w:pPr>
        <w:pStyle w:val="BodyText"/>
        <w:spacing w:line="248" w:lineRule="exact"/>
        <w:ind w:right="94"/>
        <w:jc w:val="left"/>
        <w:rPr>
          <w:rFonts w:ascii="Times New Roman" w:hAnsi="Times New Roman" w:cs="Times New Roman" w:eastAsia="Times New Roman" w:hint="default"/>
        </w:rPr>
      </w:pPr>
      <w:r>
        <w:rPr>
          <w:rFonts w:ascii="Times New Roman" w:hAnsi="Times New Roman" w:cs="Times New Roman" w:eastAsia="Times New Roman" w:hint="default"/>
        </w:rPr>
        <w:t>11,743.79</w:t>
      </w:r>
      <w:r>
        <w:rPr/>
        <w:t>亿元。纸质包装行业作为包装产业的第一大子行业，</w:t>
      </w:r>
      <w:r>
        <w:rPr>
          <w:rFonts w:ascii="Times New Roman" w:hAnsi="Times New Roman" w:cs="Times New Roman" w:eastAsia="Times New Roman" w:hint="default"/>
        </w:rPr>
        <w:t>2016</w:t>
      </w:r>
      <w:r>
        <w:rPr/>
        <w:t>年纸和纸板行业规模以上企业累计主营业务收入</w:t>
      </w:r>
      <w:r>
        <w:rPr>
          <w:rFonts w:ascii="Times New Roman" w:hAnsi="Times New Roman" w:cs="Times New Roman" w:eastAsia="Times New Roman" w:hint="default"/>
        </w:rPr>
        <w:t>3376.05</w:t>
      </w:r>
    </w:p>
    <w:p>
      <w:pPr>
        <w:pStyle w:val="BodyText"/>
        <w:spacing w:line="319" w:lineRule="auto" w:before="63"/>
        <w:ind w:right="94"/>
        <w:jc w:val="left"/>
      </w:pPr>
      <w:r>
        <w:rPr/>
        <w:t>亿元，同比增长</w:t>
      </w:r>
      <w:r>
        <w:rPr>
          <w:rFonts w:ascii="Times New Roman" w:hAnsi="Times New Roman" w:cs="Times New Roman" w:eastAsia="Times New Roman" w:hint="default"/>
        </w:rPr>
        <w:t>4.94%</w:t>
      </w:r>
      <w:r>
        <w:rPr/>
        <w:t>。市场规模空间巨大。 </w:t>
      </w:r>
      <w:r>
        <w:rPr>
          <w:spacing w:val="-2"/>
        </w:rPr>
        <w:t>同时，我国包装印刷市场发展起步较晚，与发达国家成熟包装印刷市场产业高度集中的情况相比，呈现出</w:t>
      </w:r>
      <w:r>
        <w:rPr>
          <w:rFonts w:ascii="Times New Roman" w:hAnsi="Times New Roman" w:cs="Times New Roman" w:eastAsia="Times New Roman" w:hint="default"/>
          <w:spacing w:val="-2"/>
        </w:rPr>
        <w:t>“</w:t>
      </w:r>
      <w:r>
        <w:rPr>
          <w:spacing w:val="-2"/>
        </w:rPr>
        <w:t>大市场、小份额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的特点。报告期内，纸包装行业主要原材料瓦楞原纸国内价格存在较大的波动，部分竞争力较弱的中小包装印刷企业面临较</w:t>
      </w:r>
      <w:r>
        <w:rPr>
          <w:spacing w:val="-66"/>
        </w:rPr>
        <w:t> </w:t>
      </w:r>
      <w:r>
        <w:rPr>
          <w:spacing w:val="-66"/>
        </w:rPr>
      </w:r>
      <w:r>
        <w:rPr>
          <w:spacing w:val="-2"/>
        </w:rPr>
        <w:t>大的经营压力，具有竞争优势的包装企业获得优质订单的能力凸显，行业集中度加速提升。公司目前已经发展成为行业内的</w:t>
      </w:r>
      <w:r>
        <w:rPr>
          <w:spacing w:val="-63"/>
        </w:rPr>
        <w:t> </w:t>
      </w:r>
      <w:r>
        <w:rPr>
          <w:spacing w:val="-63"/>
        </w:rPr>
      </w:r>
      <w:r>
        <w:rPr>
          <w:spacing w:val="-2"/>
        </w:rPr>
        <w:t>领先企业，在服务模式、研发设计、制造平台、经营管理及产品品牌等方面已形成自身突出的竞争优势，具有众多优质的世</w:t>
      </w:r>
      <w:r>
        <w:rPr>
          <w:spacing w:val="-67"/>
        </w:rPr>
        <w:t> </w:t>
      </w:r>
      <w:r>
        <w:rPr>
          <w:spacing w:val="-67"/>
        </w:rPr>
      </w:r>
      <w:r>
        <w:rPr>
          <w:spacing w:val="-2"/>
        </w:rPr>
        <w:t>界级知名品牌企业或国内细分行业领先企业客户资源，客户群广泛分布于电子通讯、智能终端、食品饮料、保健品、家具家</w:t>
      </w:r>
      <w:r>
        <w:rPr>
          <w:spacing w:val="-65"/>
        </w:rPr>
        <w:t> </w:t>
      </w:r>
      <w:r>
        <w:rPr>
          <w:spacing w:val="-65"/>
        </w:rPr>
      </w:r>
      <w:r>
        <w:rPr>
          <w:spacing w:val="-2"/>
        </w:rPr>
        <w:t>居、快递速运、新能源汽车产业链等优势产业，公司主要客户自身业务稳定，使得公司业务稳定，受商业周期的变化影响较</w:t>
      </w:r>
      <w:r>
        <w:rPr>
          <w:spacing w:val="-66"/>
        </w:rPr>
        <w:t> </w:t>
      </w:r>
      <w:r>
        <w:rPr>
          <w:spacing w:val="-66"/>
        </w:rPr>
      </w:r>
      <w:r>
        <w:rPr/>
        <w:t>小。</w:t>
      </w:r>
    </w:p>
    <w:p>
      <w:pPr>
        <w:spacing w:after="0" w:line="319"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before="44"/>
        <w:ind w:left="0" w:right="208"/>
        <w:jc w:val="right"/>
      </w:pPr>
      <w:r>
        <w:rPr/>
        <w:pict>
          <v:shape style="position:absolute;margin-left:56.400002pt;margin-top:-110.408272pt;width:479.3pt;height:268.6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固定资产较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7,050.73 </w:t>
                        </w:r>
                        <w:r>
                          <w:rPr>
                            <w:rFonts w:ascii="宋体" w:hAnsi="宋体" w:cs="宋体" w:eastAsia="宋体" w:hint="default"/>
                            <w:sz w:val="18"/>
                            <w:szCs w:val="18"/>
                          </w:rPr>
                          <w:t>万元，增长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8.83%</w:t>
                        </w:r>
                        <w:r>
                          <w:rPr>
                            <w:rFonts w:ascii="宋体" w:hAnsi="宋体" w:cs="宋体" w:eastAsia="宋体" w:hint="default"/>
                            <w:sz w:val="18"/>
                            <w:szCs w:val="18"/>
                          </w:rPr>
                          <w:t>，主要系本期包装印刷工业</w:t>
                        </w:r>
                      </w:p>
                      <w:p>
                        <w:pPr>
                          <w:pStyle w:val="TableParagraph"/>
                          <w:spacing w:line="300" w:lineRule="auto" w:before="63"/>
                          <w:ind w:left="16" w:right="92"/>
                          <w:jc w:val="left"/>
                          <w:rPr>
                            <w:rFonts w:ascii="宋体" w:hAnsi="宋体" w:cs="宋体" w:eastAsia="宋体" w:hint="default"/>
                            <w:sz w:val="18"/>
                            <w:szCs w:val="18"/>
                          </w:rPr>
                        </w:pP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智慧型工厂（东莞）项目中部分已达到预定可使用状态的房屋建筑物转入固定 资产所致。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10"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122"/>
                          <w:jc w:val="left"/>
                          <w:rPr>
                            <w:rFonts w:ascii="宋体" w:hAnsi="宋体" w:cs="宋体" w:eastAsia="宋体" w:hint="default"/>
                            <w:sz w:val="18"/>
                            <w:szCs w:val="18"/>
                          </w:rPr>
                        </w:pPr>
                        <w:r>
                          <w:rPr>
                            <w:rFonts w:ascii="宋体" w:hAnsi="宋体" w:cs="宋体" w:eastAsia="宋体" w:hint="default"/>
                            <w:sz w:val="18"/>
                            <w:szCs w:val="18"/>
                          </w:rPr>
                          <w:t>无形资产较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14,852.05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60.73%</w:t>
                        </w:r>
                        <w:r>
                          <w:rPr>
                            <w:rFonts w:ascii="宋体" w:hAnsi="宋体" w:cs="宋体" w:eastAsia="宋体" w:hint="default"/>
                            <w:sz w:val="18"/>
                            <w:szCs w:val="18"/>
                          </w:rPr>
                          <w:t>，主要系本期苏州美盈森 苏州智谷、长沙美盈森、湖南美盈森、安徽美盈森取得土地使用权所致。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在建工程较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16,055.67 </w:t>
                        </w:r>
                        <w:r>
                          <w:rPr>
                            <w:rFonts w:ascii="宋体" w:hAnsi="宋体" w:cs="宋体" w:eastAsia="宋体" w:hint="default"/>
                            <w:sz w:val="18"/>
                            <w:szCs w:val="18"/>
                          </w:rPr>
                          <w:t>万元，增长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204.31%</w:t>
                        </w:r>
                        <w:r>
                          <w:rPr>
                            <w:rFonts w:ascii="宋体" w:hAnsi="宋体" w:cs="宋体" w:eastAsia="宋体" w:hint="default"/>
                            <w:sz w:val="18"/>
                            <w:szCs w:val="18"/>
                          </w:rPr>
                          <w:t>，主要系本期低碳环保包</w:t>
                        </w:r>
                      </w:p>
                      <w:p>
                        <w:pPr>
                          <w:pStyle w:val="TableParagraph"/>
                          <w:spacing w:line="300" w:lineRule="auto" w:before="63"/>
                          <w:ind w:left="16" w:right="48"/>
                          <w:jc w:val="left"/>
                          <w:rPr>
                            <w:rFonts w:ascii="宋体" w:hAnsi="宋体" w:cs="宋体" w:eastAsia="宋体" w:hint="default"/>
                            <w:sz w:val="18"/>
                            <w:szCs w:val="18"/>
                          </w:rPr>
                        </w:pPr>
                        <w:r>
                          <w:rPr>
                            <w:rFonts w:ascii="宋体" w:hAnsi="宋体" w:cs="宋体" w:eastAsia="宋体" w:hint="default"/>
                            <w:sz w:val="18"/>
                            <w:szCs w:val="18"/>
                          </w:rPr>
                          <w:t>装研发总部基地项目、包装印刷工业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智慧型工厂（成都）项目工程投入增加所 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投资性房地产较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11,900.57</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36.66%</w:t>
                        </w:r>
                        <w:r>
                          <w:rPr>
                            <w:rFonts w:ascii="宋体" w:hAnsi="宋体" w:cs="宋体" w:eastAsia="宋体" w:hint="default"/>
                            <w:spacing w:val="-3"/>
                            <w:sz w:val="18"/>
                            <w:szCs w:val="18"/>
                          </w:rPr>
                          <w:t>，主要系本期公司及子</w:t>
                        </w:r>
                        <w:r>
                          <w:rPr>
                            <w:rFonts w:ascii="宋体" w:hAnsi="宋体" w:cs="宋体" w:eastAsia="宋体" w:hint="default"/>
                            <w:sz w:val="18"/>
                            <w:szCs w:val="18"/>
                          </w:rPr>
                          <w:t> 公司重庆美盈森房产出租增加所致。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商誉较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2,157.10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41.84%</w:t>
                        </w:r>
                        <w:r>
                          <w:rPr>
                            <w:rFonts w:ascii="宋体" w:hAnsi="宋体" w:cs="宋体" w:eastAsia="宋体" w:hint="default"/>
                            <w:sz w:val="18"/>
                            <w:szCs w:val="18"/>
                          </w:rPr>
                          <w:t>，主要系本期汇天云网股权回购 及计提金之彩商誉减值准备所致。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6"/>
        <w:gridCol w:w="1063"/>
        <w:gridCol w:w="1064"/>
        <w:gridCol w:w="1066"/>
        <w:gridCol w:w="1061"/>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5"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美国美盈森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7,724,766.51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美国加州森 尼韦尔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left"/>
              <w:rPr>
                <w:rFonts w:ascii="宋体" w:hAnsi="宋体" w:cs="宋体" w:eastAsia="宋体" w:hint="default"/>
                <w:sz w:val="18"/>
                <w:szCs w:val="18"/>
              </w:rPr>
            </w:pPr>
            <w:r>
              <w:rPr>
                <w:rFonts w:ascii="宋体" w:hAnsi="宋体" w:cs="宋体" w:eastAsia="宋体" w:hint="default"/>
                <w:sz w:val="18"/>
                <w:szCs w:val="18"/>
              </w:rPr>
              <w:t>目前尚未开 始经营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5"/>
              <w:jc w:val="center"/>
              <w:rPr>
                <w:rFonts w:ascii="宋体" w:hAnsi="宋体" w:cs="宋体" w:eastAsia="宋体" w:hint="default"/>
                <w:sz w:val="18"/>
                <w:szCs w:val="18"/>
              </w:rPr>
            </w:pPr>
            <w:r>
              <w:rPr>
                <w:rFonts w:ascii="宋体" w:hAnsi="宋体" w:cs="宋体" w:eastAsia="宋体" w:hint="default"/>
                <w:sz w:val="18"/>
                <w:szCs w:val="18"/>
              </w:rPr>
              <w:t>越南美盈森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自主投资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23,528,988.2</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1"/>
              <w:jc w:val="both"/>
              <w:rPr>
                <w:rFonts w:ascii="宋体" w:hAnsi="宋体" w:cs="宋体" w:eastAsia="宋体" w:hint="default"/>
                <w:sz w:val="18"/>
                <w:szCs w:val="18"/>
              </w:rPr>
            </w:pPr>
            <w:r>
              <w:rPr>
                <w:rFonts w:ascii="宋体" w:hAnsi="宋体" w:cs="宋体" w:eastAsia="宋体" w:hint="default"/>
                <w:sz w:val="18"/>
                <w:szCs w:val="18"/>
              </w:rPr>
              <w:t>北宁省北宁 市南山社桂 武工业区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全资控股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-1,546,350.00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0" w:lineRule="auto" w:before="25"/>
        <w:ind w:left="513" w:right="9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价值增值共享</w:t>
      </w:r>
      <w:r>
        <w:rPr>
          <w:rFonts w:ascii="Times New Roman" w:hAnsi="Times New Roman" w:cs="Times New Roman" w:eastAsia="Times New Roman" w:hint="default"/>
        </w:rPr>
        <w:t>”</w:t>
      </w:r>
      <w:r>
        <w:rPr/>
        <w:t>服务模式优势 </w:t>
      </w:r>
      <w:r>
        <w:rPr>
          <w:spacing w:val="-2"/>
        </w:rPr>
        <w:t>公司以市场为驱动、以顾客需求为导向，于行业内率先采用</w:t>
      </w:r>
      <w:r>
        <w:rPr>
          <w:rFonts w:ascii="Times New Roman" w:hAnsi="Times New Roman" w:cs="Times New Roman" w:eastAsia="Times New Roman" w:hint="default"/>
          <w:spacing w:val="-2"/>
        </w:rPr>
        <w:t>“</w:t>
      </w:r>
      <w:r>
        <w:rPr>
          <w:spacing w:val="-2"/>
        </w:rPr>
        <w:t>包装一体化</w:t>
      </w:r>
      <w:r>
        <w:rPr>
          <w:rFonts w:ascii="Times New Roman" w:hAnsi="Times New Roman" w:cs="Times New Roman" w:eastAsia="Times New Roman" w:hint="default"/>
          <w:spacing w:val="-2"/>
        </w:rPr>
        <w:t>”</w:t>
      </w:r>
      <w:r>
        <w:rPr>
          <w:spacing w:val="-2"/>
        </w:rPr>
        <w:t>的服务模式。作为包装一体化服务供应商，公</w:t>
      </w:r>
    </w:p>
    <w:p>
      <w:pPr>
        <w:pStyle w:val="BodyText"/>
        <w:spacing w:line="316" w:lineRule="auto" w:before="13"/>
        <w:ind w:right="94"/>
        <w:jc w:val="left"/>
      </w:pPr>
      <w:r>
        <w:rPr>
          <w:spacing w:val="-2"/>
        </w:rPr>
        <w:t>司兼具生产商、设计服务提供商、采购服务商与物流服务商的特点，从降低成本、提高效率、增加价值三方面，为客户提供</w:t>
      </w:r>
      <w:r>
        <w:rPr>
          <w:spacing w:val="-68"/>
        </w:rPr>
        <w:t> </w:t>
      </w:r>
      <w:r>
        <w:rPr>
          <w:spacing w:val="-68"/>
        </w:rPr>
      </w:r>
      <w:r>
        <w:rPr/>
        <w:t>包装产品与服务。公司包装一体化的服务模式能够提升客户产品品牌、提升客户供应链管理效率、降低客户综合采购成本， </w:t>
      </w:r>
      <w:r>
        <w:rPr>
          <w:spacing w:val="-2"/>
        </w:rPr>
        <w:t>因能够实现客户价值增值而备受众多客户赞誉；公司借助于</w:t>
      </w:r>
      <w:r>
        <w:rPr>
          <w:rFonts w:ascii="Times New Roman" w:hAnsi="Times New Roman" w:cs="Times New Roman" w:eastAsia="Times New Roman" w:hint="default"/>
          <w:spacing w:val="-2"/>
        </w:rPr>
        <w:t>“</w:t>
      </w:r>
      <w:r>
        <w:rPr>
          <w:spacing w:val="-2"/>
        </w:rPr>
        <w:t>包装一体化</w:t>
      </w:r>
      <w:r>
        <w:rPr>
          <w:rFonts w:ascii="Times New Roman" w:hAnsi="Times New Roman" w:cs="Times New Roman" w:eastAsia="Times New Roman" w:hint="default"/>
          <w:spacing w:val="-2"/>
        </w:rPr>
        <w:t>”</w:t>
      </w:r>
      <w:r>
        <w:rPr>
          <w:spacing w:val="-2"/>
        </w:rPr>
        <w:t>的服务模式，避开了低技术含量、低附加值的激烈</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竞争，在为客户服务过程中获得了较好的经济效益。</w:t>
      </w:r>
    </w:p>
    <w:p>
      <w:pPr>
        <w:pStyle w:val="BodyText"/>
        <w:spacing w:line="300" w:lineRule="auto" w:before="77"/>
        <w:ind w:left="513" w:right="94"/>
        <w:jc w:val="left"/>
      </w:pPr>
      <w:r>
        <w:rPr>
          <w:rFonts w:ascii="Times New Roman" w:hAnsi="Times New Roman" w:cs="Times New Roman" w:eastAsia="Times New Roman" w:hint="default"/>
        </w:rPr>
        <w:t>2</w:t>
      </w:r>
      <w:r>
        <w:rPr/>
        <w:t>、持续创新技术研发优势 </w:t>
      </w:r>
      <w:r>
        <w:rPr>
          <w:spacing w:val="-2"/>
        </w:rPr>
        <w:t>公司在深圳、东莞、苏州、重庆、台湾、美国等地设立了专门的研发中心，中心聚集了包装领域资深专家领衔的数百人</w:t>
      </w:r>
    </w:p>
    <w:p>
      <w:pPr>
        <w:pStyle w:val="BodyText"/>
        <w:spacing w:line="309" w:lineRule="auto" w:before="31"/>
        <w:ind w:right="94"/>
        <w:jc w:val="left"/>
      </w:pPr>
      <w:r>
        <w:rPr>
          <w:spacing w:val="-2"/>
        </w:rPr>
        <w:t>的研发技术队伍，同时与高校建立了长期技术合作关系。公司、苏州美盈森、东莞美盈森、东莞美芯龙等为国家级高新技术</w:t>
      </w:r>
      <w:r>
        <w:rPr>
          <w:spacing w:val="-67"/>
        </w:rPr>
        <w:t> </w:t>
      </w:r>
      <w:r>
        <w:rPr>
          <w:spacing w:val="-67"/>
        </w:rPr>
      </w:r>
      <w:r>
        <w:rPr/>
        <w:t>企业。截至目前，公司及下属子公司共拥有国家专利</w:t>
      </w:r>
      <w:r>
        <w:rPr>
          <w:rFonts w:ascii="Times New Roman" w:hAnsi="Times New Roman" w:cs="Times New Roman" w:eastAsia="Times New Roman" w:hint="default"/>
        </w:rPr>
        <w:t>275</w:t>
      </w:r>
      <w:r>
        <w:rPr/>
        <w:t>项，其中包括</w:t>
      </w:r>
      <w:r>
        <w:rPr>
          <w:rFonts w:ascii="Times New Roman" w:hAnsi="Times New Roman" w:cs="Times New Roman" w:eastAsia="Times New Roman" w:hint="default"/>
        </w:rPr>
        <w:t>79</w:t>
      </w:r>
      <w:r>
        <w:rPr/>
        <w:t>项发明专利、</w:t>
      </w:r>
      <w:r>
        <w:rPr>
          <w:rFonts w:ascii="Times New Roman" w:hAnsi="Times New Roman" w:cs="Times New Roman" w:eastAsia="Times New Roman" w:hint="default"/>
        </w:rPr>
        <w:t>189</w:t>
      </w:r>
      <w:r>
        <w:rPr/>
        <w:t>项实用新型专利和</w:t>
      </w:r>
      <w:r>
        <w:rPr>
          <w:rFonts w:ascii="Times New Roman" w:hAnsi="Times New Roman" w:cs="Times New Roman" w:eastAsia="Times New Roman" w:hint="default"/>
        </w:rPr>
        <w:t>7</w:t>
      </w:r>
      <w:r>
        <w:rPr/>
        <w:t>项外观专利， </w:t>
      </w:r>
      <w:r>
        <w:rPr>
          <w:spacing w:val="-2"/>
        </w:rPr>
        <w:t>是</w:t>
      </w:r>
      <w:r>
        <w:rPr>
          <w:rFonts w:ascii="Times New Roman" w:hAnsi="Times New Roman" w:cs="Times New Roman" w:eastAsia="Times New Roman" w:hint="default"/>
          <w:spacing w:val="-2"/>
        </w:rPr>
        <w:t>27</w:t>
      </w:r>
      <w:r>
        <w:rPr>
          <w:spacing w:val="-2"/>
        </w:rPr>
        <w:t>项国家包装标准的主要起草或参与起草单位，专利和标准数量业内排名前列。通过产品外观设计、缓冲设计、一体化设</w:t>
      </w:r>
      <w:r>
        <w:rPr>
          <w:spacing w:val="-63"/>
        </w:rPr>
        <w:t> </w:t>
      </w:r>
      <w:r>
        <w:rPr>
          <w:spacing w:val="-63"/>
        </w:rPr>
      </w:r>
      <w:r>
        <w:rPr>
          <w:spacing w:val="-4"/>
        </w:rPr>
        <w:t>计等措施，在实现客户对于包装基础功能诉求的同时提升了产品的视觉表达效果和艺术水平，并降低了客户的综合包装成本，</w:t>
      </w:r>
      <w:r>
        <w:rPr>
          <w:spacing w:val="-42"/>
        </w:rPr>
        <w:t> </w:t>
      </w:r>
      <w:r>
        <w:rPr>
          <w:spacing w:val="-42"/>
        </w:rPr>
      </w:r>
      <w:r>
        <w:rPr/>
        <w:t>在为客户创造价值的过程中形成了独特的竞争优势。</w:t>
      </w:r>
    </w:p>
    <w:p>
      <w:pPr>
        <w:pStyle w:val="BodyText"/>
        <w:spacing w:line="300" w:lineRule="auto" w:before="24"/>
        <w:ind w:right="188" w:firstLine="360"/>
        <w:jc w:val="both"/>
      </w:pPr>
      <w:r>
        <w:rPr>
          <w:rFonts w:ascii="Times New Roman" w:hAnsi="Times New Roman" w:cs="Times New Roman" w:eastAsia="Times New Roman" w:hint="default"/>
          <w:spacing w:val="-2"/>
        </w:rPr>
        <w:t>2010</w:t>
      </w:r>
      <w:r>
        <w:rPr>
          <w:spacing w:val="-2"/>
        </w:rPr>
        <w:t>年，公司作为国内唯一企业代表中国参加中、日、韩三国亚洲运输包装标准技术专家委员会会议，会上代表中国发</w:t>
      </w:r>
      <w:r>
        <w:rPr/>
        <w:t> 表对包装标准的见解，并对《运输包装标准》等发表修改意见。</w:t>
      </w:r>
      <w:r>
        <w:rPr>
          <w:rFonts w:ascii="Times New Roman" w:hAnsi="Times New Roman" w:cs="Times New Roman" w:eastAsia="Times New Roman" w:hint="default"/>
        </w:rPr>
        <w:t>2011</w:t>
      </w:r>
      <w:r>
        <w:rPr/>
        <w:t>年，公司深圳研发中心被深圳市人民政府认定为</w:t>
      </w:r>
      <w:r>
        <w:rPr>
          <w:rFonts w:ascii="Times New Roman" w:hAnsi="Times New Roman" w:cs="Times New Roman" w:eastAsia="Times New Roman" w:hint="default"/>
        </w:rPr>
        <w:t>“</w:t>
      </w:r>
      <w:r>
        <w:rPr/>
        <w:t>市级</w:t>
      </w:r>
      <w:r>
        <w:rPr>
          <w:spacing w:val="-73"/>
        </w:rPr>
        <w:t> </w:t>
      </w:r>
      <w:r>
        <w:rPr/>
        <w:t>技术中心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年，公司作为主办方，筹备组织了中、日、韩三国亚洲运输包装标准技术专家委员会会议。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spacing w:val="-79"/>
        </w:rPr>
        <w:t> </w:t>
      </w:r>
      <w:r>
        <w:rPr>
          <w:spacing w:val="-2"/>
        </w:rPr>
        <w:t>东莞美盈森被认定为第十五批广东省省级企业技术中心之一。</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月，东莞美盈森检测中心获得了中国合格评定国家认</w:t>
      </w:r>
      <w:r>
        <w:rPr>
          <w:spacing w:val="-60"/>
        </w:rPr>
        <w:t> </w:t>
      </w:r>
      <w:r>
        <w:rPr>
          <w:spacing w:val="-60"/>
        </w:rPr>
      </w:r>
      <w:r>
        <w:rPr/>
        <w:t>可委员会（</w:t>
      </w:r>
      <w:r>
        <w:rPr>
          <w:rFonts w:ascii="Times New Roman" w:hAnsi="Times New Roman" w:cs="Times New Roman" w:eastAsia="Times New Roman" w:hint="default"/>
        </w:rPr>
        <w:t>CNAS</w:t>
      </w:r>
      <w:r>
        <w:rPr/>
        <w:t>）实验室认可证书。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月，公司实验室获得国际安全运输协会（</w:t>
      </w:r>
      <w:r>
        <w:rPr>
          <w:rFonts w:ascii="Times New Roman" w:hAnsi="Times New Roman" w:cs="Times New Roman" w:eastAsia="Times New Roman" w:hint="default"/>
        </w:rPr>
        <w:t>ISTA</w:t>
      </w:r>
      <w:r>
        <w:rPr/>
        <w:t>）实验室认可证书。</w:t>
      </w:r>
    </w:p>
    <w:p>
      <w:pPr>
        <w:spacing w:line="240" w:lineRule="auto" w:before="12"/>
        <w:rPr>
          <w:rFonts w:ascii="宋体" w:hAnsi="宋体" w:cs="宋体" w:eastAsia="宋体" w:hint="default"/>
          <w:sz w:val="24"/>
          <w:szCs w:val="24"/>
        </w:rPr>
      </w:pPr>
    </w:p>
    <w:p>
      <w:pPr>
        <w:pStyle w:val="BodyText"/>
        <w:spacing w:line="300" w:lineRule="auto"/>
        <w:ind w:left="513" w:right="94"/>
        <w:jc w:val="left"/>
      </w:pPr>
      <w:r>
        <w:rPr>
          <w:rFonts w:ascii="Times New Roman" w:hAnsi="Times New Roman" w:cs="Times New Roman" w:eastAsia="Times New Roman" w:hint="default"/>
        </w:rPr>
        <w:t>3</w:t>
      </w:r>
      <w:r>
        <w:rPr/>
        <w:t>、高端制造平台优势 </w:t>
      </w:r>
      <w:r>
        <w:rPr>
          <w:spacing w:val="-2"/>
        </w:rPr>
        <w:t>公司东莞、苏州、重庆三个高端包装研发、生产基地处于国内甚至国际领先水平，公司布局于成都、长沙、六安等地高</w:t>
      </w:r>
    </w:p>
    <w:p>
      <w:pPr>
        <w:pStyle w:val="BodyText"/>
        <w:spacing w:line="316" w:lineRule="auto" w:before="31"/>
        <w:ind w:right="191"/>
        <w:jc w:val="both"/>
      </w:pPr>
      <w:r>
        <w:rPr>
          <w:spacing w:val="-2"/>
        </w:rPr>
        <w:t>端制造平台正处于建设之中。一方面，公司的产品线相对完善，除包装产品外，还包括精品包装、标签及电子功能材料模切</w:t>
      </w:r>
      <w:r>
        <w:rPr>
          <w:spacing w:val="-67"/>
        </w:rPr>
        <w:t> </w:t>
      </w:r>
      <w:r>
        <w:rPr>
          <w:spacing w:val="-67"/>
        </w:rPr>
      </w:r>
      <w:r>
        <w:rPr>
          <w:spacing w:val="-2"/>
        </w:rPr>
        <w:t>产品；另一方面，公司已形成能够服务各类高端客户的高端制造平台，既为公司新一轮发展提供坚实的产能保障，又是公司</w:t>
      </w:r>
      <w:r>
        <w:rPr>
          <w:spacing w:val="-64"/>
        </w:rPr>
        <w:t> </w:t>
      </w:r>
      <w:r>
        <w:rPr>
          <w:spacing w:val="-64"/>
        </w:rPr>
      </w:r>
      <w:r>
        <w:rPr>
          <w:spacing w:val="-2"/>
        </w:rPr>
        <w:t>客户开发过程中的一项重要优势。通过十数年在技术、管理、制造等方面的积累，公司在软硬件方面均形成了成熟、完善且</w:t>
      </w:r>
      <w:r>
        <w:rPr>
          <w:spacing w:val="-67"/>
        </w:rPr>
        <w:t> </w:t>
      </w:r>
      <w:r>
        <w:rPr>
          <w:spacing w:val="-67"/>
        </w:rPr>
      </w:r>
      <w:r>
        <w:rPr/>
        <w:t>高效的体系，竞争优势明显。</w:t>
      </w:r>
    </w:p>
    <w:p>
      <w:pPr>
        <w:pStyle w:val="BodyText"/>
        <w:spacing w:line="300" w:lineRule="auto" w:before="19"/>
        <w:ind w:left="513" w:right="94"/>
        <w:jc w:val="left"/>
      </w:pPr>
      <w:r>
        <w:rPr>
          <w:rFonts w:ascii="Times New Roman" w:hAnsi="Times New Roman" w:cs="Times New Roman" w:eastAsia="Times New Roman" w:hint="default"/>
        </w:rPr>
        <w:t>4</w:t>
      </w:r>
      <w:r>
        <w:rPr/>
        <w:t>、著名品牌客户资源优势 </w:t>
      </w:r>
      <w:r>
        <w:rPr>
          <w:spacing w:val="-2"/>
        </w:rPr>
        <w:t>客户价值决定了供应商价值，与面向终端零售客户的企业不同，上游供应商的品牌和竞争力更多取决于企业客户的品牌</w:t>
      </w:r>
    </w:p>
    <w:p>
      <w:pPr>
        <w:pStyle w:val="BodyText"/>
        <w:spacing w:line="316" w:lineRule="auto" w:before="31"/>
        <w:ind w:left="513" w:right="93" w:hanging="361"/>
        <w:jc w:val="left"/>
      </w:pPr>
      <w:r>
        <w:rPr/>
        <w:t>知名度和市场地位，拥有一批优质客户是供应商最为重要的优势之一。 公司以服务著名品牌客户为主，如</w:t>
      </w:r>
      <w:r>
        <w:rPr>
          <w:rFonts w:ascii="Times New Roman" w:hAnsi="Times New Roman" w:cs="Times New Roman" w:eastAsia="Times New Roman" w:hint="default"/>
        </w:rPr>
        <w:t>Amazon</w:t>
      </w:r>
      <w:r>
        <w:rPr/>
        <w:t>、</w:t>
      </w:r>
      <w:r>
        <w:rPr>
          <w:rFonts w:ascii="Times New Roman" w:hAnsi="Times New Roman" w:cs="Times New Roman" w:eastAsia="Times New Roman" w:hint="default"/>
        </w:rPr>
        <w:t>Samsung</w:t>
      </w:r>
      <w:r>
        <w:rPr/>
        <w:t>、</w:t>
      </w:r>
      <w:r>
        <w:rPr>
          <w:rFonts w:ascii="Times New Roman" w:hAnsi="Times New Roman" w:cs="Times New Roman" w:eastAsia="Times New Roman" w:hint="default"/>
        </w:rPr>
        <w:t>Cisco</w:t>
      </w:r>
      <w:r>
        <w:rPr/>
        <w:t>、</w:t>
      </w:r>
      <w:r>
        <w:rPr>
          <w:rFonts w:ascii="Times New Roman" w:hAnsi="Times New Roman" w:cs="Times New Roman" w:eastAsia="Times New Roman" w:hint="default"/>
        </w:rPr>
        <w:t>Emerson</w:t>
      </w:r>
      <w:r>
        <w:rPr/>
        <w:t>、</w:t>
      </w:r>
      <w:r>
        <w:rPr>
          <w:rFonts w:ascii="Times New Roman" w:hAnsi="Times New Roman" w:cs="Times New Roman" w:eastAsia="Times New Roman" w:hint="default"/>
        </w:rPr>
        <w:t>HP</w:t>
      </w:r>
      <w:r>
        <w:rPr/>
        <w:t>、</w:t>
      </w:r>
      <w:r>
        <w:rPr>
          <w:rFonts w:ascii="Times New Roman" w:hAnsi="Times New Roman" w:cs="Times New Roman" w:eastAsia="Times New Roman" w:hint="default"/>
        </w:rPr>
        <w:t>DELL</w:t>
      </w:r>
      <w:r>
        <w:rPr/>
        <w:t>、</w:t>
      </w:r>
      <w:r>
        <w:rPr>
          <w:rFonts w:ascii="Times New Roman" w:hAnsi="Times New Roman" w:cs="Times New Roman" w:eastAsia="Times New Roman" w:hint="default"/>
        </w:rPr>
        <w:t>Canon</w:t>
      </w:r>
      <w:r>
        <w:rPr/>
        <w:t>、</w:t>
      </w:r>
      <w:r>
        <w:rPr>
          <w:rFonts w:ascii="Times New Roman" w:hAnsi="Times New Roman" w:cs="Times New Roman" w:eastAsia="Times New Roman" w:hint="default"/>
        </w:rPr>
        <w:t>Bose</w:t>
      </w:r>
      <w:r>
        <w:rPr/>
        <w:t>、</w:t>
      </w:r>
      <w:r>
        <w:rPr>
          <w:rFonts w:ascii="Times New Roman" w:hAnsi="Times New Roman" w:cs="Times New Roman" w:eastAsia="Times New Roman" w:hint="default"/>
        </w:rPr>
        <w:t>Harman</w:t>
      </w:r>
      <w:r>
        <w:rPr/>
        <w:t>、</w:t>
      </w:r>
      <w:r>
        <w:rPr>
          <w:rFonts w:ascii="Times New Roman" w:hAnsi="Times New Roman" w:cs="Times New Roman" w:eastAsia="Times New Roman" w:hint="default"/>
        </w:rPr>
        <w:t>Sonos</w:t>
      </w:r>
      <w:r>
        <w:rPr/>
        <w:t>、</w:t>
      </w:r>
    </w:p>
    <w:p>
      <w:pPr>
        <w:pStyle w:val="BodyText"/>
        <w:spacing w:line="314" w:lineRule="auto"/>
        <w:ind w:right="94"/>
        <w:jc w:val="left"/>
      </w:pPr>
      <w:r>
        <w:rPr>
          <w:rFonts w:ascii="Times New Roman" w:hAnsi="Times New Roman" w:cs="Times New Roman" w:eastAsia="Times New Roman" w:hint="default"/>
        </w:rPr>
        <w:t>Shell</w:t>
      </w:r>
      <w:r>
        <w:rPr/>
        <w:t>、</w:t>
      </w:r>
      <w:r>
        <w:rPr>
          <w:rFonts w:ascii="Times New Roman" w:hAnsi="Times New Roman" w:cs="Times New Roman" w:eastAsia="Times New Roman" w:hint="default"/>
        </w:rPr>
        <w:t>IKEA</w:t>
      </w:r>
      <w:r>
        <w:rPr/>
        <w:t>、</w:t>
      </w:r>
      <w:r>
        <w:rPr>
          <w:rFonts w:ascii="Times New Roman" w:hAnsi="Times New Roman" w:cs="Times New Roman" w:eastAsia="Times New Roman" w:hint="default"/>
        </w:rPr>
        <w:t>Amway</w:t>
      </w:r>
      <w:r>
        <w:rPr/>
        <w:t>、</w:t>
      </w:r>
      <w:r>
        <w:rPr>
          <w:rFonts w:ascii="Times New Roman" w:hAnsi="Times New Roman" w:cs="Times New Roman" w:eastAsia="Times New Roman" w:hint="default"/>
        </w:rPr>
        <w:t>McQuay</w:t>
      </w:r>
      <w:r>
        <w:rPr/>
        <w:t>、</w:t>
      </w:r>
      <w:r>
        <w:rPr>
          <w:rFonts w:ascii="Times New Roman" w:hAnsi="Times New Roman" w:cs="Times New Roman" w:eastAsia="Times New Roman" w:hint="default"/>
        </w:rPr>
        <w:t>HomeDepot</w:t>
      </w:r>
      <w:r>
        <w:rPr/>
        <w:t>、富士康、纬创、佳世达、联想、京东方、中兴移动、海康威视、美的集团、 </w:t>
      </w:r>
      <w:r>
        <w:rPr>
          <w:spacing w:val="-2"/>
        </w:rPr>
        <w:t>泸州老窖、洋河、剑南春、华润怡宝、顺丰速运、福耀玻璃、网易严选等国内外知名品牌企业。上述客户涵盖电子通讯、智</w:t>
      </w:r>
      <w:r>
        <w:rPr>
          <w:spacing w:val="-65"/>
        </w:rPr>
        <w:t> </w:t>
      </w:r>
      <w:r>
        <w:rPr>
          <w:spacing w:val="-65"/>
        </w:rPr>
      </w:r>
      <w:r>
        <w:rPr>
          <w:spacing w:val="-2"/>
        </w:rPr>
        <w:t>能终端、食品饮料、保健品、家具家居、快递速运及新能源汽车产业链等多个领域，信誉良好，本身发展迅速，业务不断增</w:t>
      </w:r>
      <w:r>
        <w:rPr>
          <w:spacing w:val="-73"/>
        </w:rPr>
        <w:t> </w:t>
      </w:r>
      <w:r>
        <w:rPr>
          <w:spacing w:val="-73"/>
        </w:rPr>
      </w:r>
      <w:r>
        <w:rPr/>
        <w:t>长，对其产品配套的包装产品需求在持续、稳定的增长，同时还具有巨大的其他配套产品需求。公司可根据客户实际需要， 在为其提供包装产品的基础上，逐步开发新的高附加值产品业务，如在</w:t>
      </w:r>
      <w:r>
        <w:rPr>
          <w:rFonts w:ascii="Times New Roman" w:hAnsi="Times New Roman" w:cs="Times New Roman" w:eastAsia="Times New Roman" w:hint="default"/>
        </w:rPr>
        <w:t>2017</w:t>
      </w:r>
      <w:r>
        <w:rPr/>
        <w:t>年开始逐步放量的电子功能材料模切产品业务。</w:t>
      </w:r>
    </w:p>
    <w:p>
      <w:pPr>
        <w:pStyle w:val="BodyText"/>
        <w:spacing w:line="316" w:lineRule="auto" w:before="1"/>
        <w:ind w:right="192" w:firstLine="360"/>
        <w:jc w:val="both"/>
      </w:pPr>
      <w:r>
        <w:rPr>
          <w:spacing w:val="-2"/>
        </w:rPr>
        <w:t>公司的品牌客户资源优势为公司不断开发新客户以及公司销售规模的持续增加提供了保障。一方面，公司能借助品牌客</w:t>
      </w:r>
      <w:r>
        <w:rPr/>
        <w:t> </w:t>
      </w:r>
      <w:r>
        <w:rPr>
          <w:spacing w:val="-2"/>
        </w:rPr>
        <w:t>户在各行业的影响力，进一步扩大和强化公司的品牌优势，开拓更多优质客户。凭借公司在研发、品质、服务等全方位的竞</w:t>
      </w:r>
      <w:r>
        <w:rPr>
          <w:spacing w:val="-67"/>
        </w:rPr>
        <w:t> </w:t>
      </w:r>
      <w:r>
        <w:rPr>
          <w:spacing w:val="-67"/>
        </w:rPr>
      </w:r>
      <w:r>
        <w:rPr>
          <w:spacing w:val="-2"/>
        </w:rPr>
        <w:t>争优势以及良好的口碑，公司正在不断获得世界知名客户以及细分行业龙头企业的供应资质，使得公司的客户资源优势得到</w:t>
      </w:r>
      <w:r>
        <w:rPr>
          <w:spacing w:val="-64"/>
        </w:rPr>
        <w:t> </w:t>
      </w:r>
      <w:r>
        <w:rPr>
          <w:spacing w:val="-64"/>
        </w:rPr>
      </w:r>
      <w:r>
        <w:rPr>
          <w:spacing w:val="-2"/>
        </w:rPr>
        <w:t>持续增强。另一方面，公司新开发知名品牌客户大都包装需求较大，公司为其提供包装服务订单有望持续增加并达到一定规</w:t>
      </w:r>
      <w:r>
        <w:rPr>
          <w:spacing w:val="-66"/>
        </w:rPr>
        <w:t> </w:t>
      </w:r>
      <w:r>
        <w:rPr>
          <w:spacing w:val="-66"/>
        </w:rPr>
      </w:r>
      <w:r>
        <w:rPr/>
        <w:t>模，从而为公司销售规模的持续增加提供保障。</w:t>
      </w:r>
    </w:p>
    <w:p>
      <w:pPr>
        <w:pStyle w:val="BodyText"/>
        <w:spacing w:line="312" w:lineRule="auto" w:before="19"/>
        <w:ind w:right="191" w:firstLine="360"/>
        <w:jc w:val="both"/>
      </w:pPr>
      <w:r>
        <w:rPr/>
        <w:t>公司与众多世界级品牌客户建立深度合作关系，而公司前五名直接客户销售金额占比仅为</w:t>
      </w:r>
      <w:r>
        <w:rPr>
          <w:rFonts w:ascii="Times New Roman" w:hAnsi="Times New Roman" w:cs="Times New Roman" w:eastAsia="Times New Roman" w:hint="default"/>
        </w:rPr>
        <w:t>22.10%</w:t>
      </w:r>
      <w:r>
        <w:rPr/>
        <w:t>。公司客户集中度较 </w:t>
      </w:r>
      <w:r>
        <w:rPr>
          <w:spacing w:val="-2"/>
        </w:rPr>
        <w:t>低，不会造成公司对战略性或重点客户产生依赖，受单一客户的订单变动影响较小；另一方面，公司众多战略性或重点客户</w:t>
      </w:r>
      <w:r>
        <w:rPr>
          <w:spacing w:val="-65"/>
        </w:rPr>
        <w:t> </w:t>
      </w:r>
      <w:r>
        <w:rPr>
          <w:spacing w:val="-65"/>
        </w:rPr>
      </w:r>
      <w:r>
        <w:rPr>
          <w:spacing w:val="-2"/>
        </w:rPr>
        <w:t>自身包装需求量大，公司目前获得的包装服务订单逐步进入加速释放期，现有客户订单释放以及深度挖掘客户新产品业务需</w:t>
      </w:r>
      <w:r>
        <w:rPr>
          <w:spacing w:val="-64"/>
        </w:rPr>
        <w:t> </w:t>
      </w:r>
      <w:r>
        <w:rPr>
          <w:spacing w:val="-64"/>
        </w:rPr>
      </w:r>
      <w:r>
        <w:rPr/>
        <w:t>求的空间较大。</w:t>
      </w:r>
    </w:p>
    <w:p>
      <w:pPr>
        <w:pStyle w:val="BodyText"/>
        <w:spacing w:line="300" w:lineRule="auto" w:before="22"/>
        <w:ind w:left="513" w:right="93"/>
        <w:jc w:val="left"/>
      </w:pPr>
      <w:r>
        <w:rPr>
          <w:rFonts w:ascii="Times New Roman" w:hAnsi="Times New Roman" w:cs="Times New Roman" w:eastAsia="Times New Roman" w:hint="default"/>
        </w:rPr>
        <w:t>5</w:t>
      </w:r>
      <w:r>
        <w:rPr/>
        <w:t>、先进的管理优势 公司建立了基于优化财务表现和追求客户服务水平的精细化管理体系，主要包括订单管理、产品品质管理、设计管理、</w:t>
      </w:r>
    </w:p>
    <w:p>
      <w:pPr>
        <w:pStyle w:val="BodyText"/>
        <w:spacing w:line="316" w:lineRule="auto" w:before="31"/>
        <w:ind w:right="94"/>
        <w:jc w:val="left"/>
      </w:pPr>
      <w:r>
        <w:rPr/>
        <w:t>生产管理、采购管理、成本和费用管控、信息化管理、流程管理和优化等。公司通过涵盖营销、采购、研发、生产、仓储、 </w:t>
      </w:r>
      <w:r>
        <w:rPr>
          <w:spacing w:val="-2"/>
        </w:rPr>
        <w:t>物流等各个环节的精细化管理体系，为公司实现较强的盈利能力、成本和费用的有效管控以及较高的人均产值奠定良好的基</w:t>
      </w:r>
      <w:r>
        <w:rPr>
          <w:spacing w:val="-64"/>
        </w:rPr>
        <w:t> </w:t>
      </w:r>
      <w:r>
        <w:rPr>
          <w:spacing w:val="-64"/>
        </w:rPr>
      </w:r>
      <w:r>
        <w:rPr/>
        <w:t>础。</w:t>
      </w:r>
    </w:p>
    <w:p>
      <w:pPr>
        <w:pStyle w:val="BodyText"/>
        <w:spacing w:line="240" w:lineRule="auto" w:before="18"/>
        <w:ind w:left="513" w:right="94"/>
        <w:jc w:val="left"/>
        <w:rPr>
          <w:rFonts w:ascii="Times New Roman" w:hAnsi="Times New Roman" w:cs="Times New Roman" w:eastAsia="Times New Roman" w:hint="default"/>
        </w:rPr>
      </w:pPr>
      <w:r>
        <w:rPr/>
        <w:t>截至目前</w:t>
      </w:r>
      <w:r>
        <w:rPr>
          <w:spacing w:val="-85"/>
        </w:rPr>
        <w:t>，</w:t>
      </w:r>
      <w:r>
        <w:rPr/>
        <w:t>公司先后建立</w:t>
      </w:r>
      <w:r>
        <w:rPr>
          <w:spacing w:val="-1"/>
        </w:rPr>
        <w:t>了</w:t>
      </w:r>
      <w:r>
        <w:rPr>
          <w:rFonts w:ascii="Times New Roman" w:hAnsi="Times New Roman" w:cs="Times New Roman" w:eastAsia="Times New Roman" w:hint="default"/>
          <w:w w:val="99"/>
        </w:rPr>
        <w:t>ISO</w:t>
      </w:r>
      <w:r>
        <w:rPr>
          <w:rFonts w:ascii="Times New Roman" w:hAnsi="Times New Roman" w:cs="Times New Roman" w:eastAsia="Times New Roman" w:hint="default"/>
          <w:spacing w:val="-2"/>
          <w:w w:val="99"/>
        </w:rPr>
        <w:t>9</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1</w:t>
      </w:r>
      <w:r>
        <w:rPr/>
        <w:t>质量管理体</w:t>
      </w:r>
      <w:r>
        <w:rPr>
          <w:spacing w:val="-3"/>
        </w:rPr>
        <w:t>系</w:t>
      </w:r>
      <w:r>
        <w:rPr>
          <w:spacing w:val="-85"/>
        </w:rPr>
        <w:t>、</w:t>
      </w:r>
      <w:r>
        <w:rPr>
          <w:rFonts w:ascii="Times New Roman" w:hAnsi="Times New Roman" w:cs="Times New Roman" w:eastAsia="Times New Roman" w:hint="default"/>
          <w:w w:val="99"/>
        </w:rPr>
        <w:t>ISO</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01</w:t>
      </w:r>
      <w:r>
        <w:rPr>
          <w:spacing w:val="-3"/>
        </w:rPr>
        <w:t>环</w:t>
      </w:r>
      <w:r>
        <w:rPr/>
        <w:t>境管理体系</w:t>
      </w:r>
      <w:r>
        <w:rPr>
          <w:spacing w:val="-12"/>
        </w:rPr>
        <w:t>、</w:t>
      </w:r>
      <w:r>
        <w:rPr>
          <w:rFonts w:ascii="Times New Roman" w:hAnsi="Times New Roman" w:cs="Times New Roman" w:eastAsia="Times New Roman" w:hint="default"/>
          <w:w w:val="99"/>
        </w:rPr>
        <w:t>ISO2</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t>信息</w:t>
      </w:r>
      <w:r>
        <w:rPr>
          <w:spacing w:val="-3"/>
        </w:rPr>
        <w:t>安</w:t>
      </w:r>
      <w:r>
        <w:rPr/>
        <w:t>全管理体系</w:t>
      </w:r>
      <w:r>
        <w:rPr>
          <w:spacing w:val="-12"/>
        </w:rPr>
        <w:t>、</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H</w:t>
      </w:r>
      <w:r>
        <w:rPr>
          <w:rFonts w:ascii="Times New Roman" w:hAnsi="Times New Roman" w:cs="Times New Roman" w:eastAsia="Times New Roman" w:hint="default"/>
          <w:w w:val="99"/>
        </w:rPr>
        <w:t>S</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rPr>
        <w:t>180</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92"/>
        <w:jc w:val="both"/>
      </w:pPr>
      <w:r>
        <w:rPr/>
        <w:t>职业健康安全管理体系、</w:t>
      </w:r>
      <w:r>
        <w:rPr>
          <w:rFonts w:ascii="Times New Roman" w:hAnsi="Times New Roman" w:cs="Times New Roman" w:eastAsia="Times New Roman" w:hint="default"/>
        </w:rPr>
        <w:t>GBT 29490</w:t>
      </w:r>
      <w:r>
        <w:rPr/>
        <w:t>企业知识产权管理体系、</w:t>
      </w:r>
      <w:r>
        <w:rPr>
          <w:rFonts w:ascii="Times New Roman" w:hAnsi="Times New Roman" w:cs="Times New Roman" w:eastAsia="Times New Roman" w:hint="default"/>
        </w:rPr>
        <w:t>GJB 9001B</w:t>
      </w:r>
      <w:r>
        <w:rPr/>
        <w:t>武器装备质量管理体系、</w:t>
      </w:r>
      <w:r>
        <w:rPr>
          <w:rFonts w:ascii="Times New Roman" w:hAnsi="Times New Roman" w:cs="Times New Roman" w:eastAsia="Times New Roman" w:hint="default"/>
        </w:rPr>
        <w:t>FSC-CoC</w:t>
      </w:r>
      <w:r>
        <w:rPr/>
        <w:t>管理体系</w:t>
      </w:r>
      <w:r>
        <w:rPr>
          <w:spacing w:val="-32"/>
        </w:rPr>
        <w:t> </w:t>
      </w:r>
      <w:r>
        <w:rPr/>
        <w:t>、</w:t>
      </w:r>
      <w:r>
        <w:rPr>
          <w:rFonts w:ascii="Times New Roman" w:hAnsi="Times New Roman" w:cs="Times New Roman" w:eastAsia="Times New Roman" w:hint="default"/>
        </w:rPr>
        <w:t>G7</w:t>
      </w:r>
      <w:r>
        <w:rPr>
          <w:rFonts w:ascii="Times New Roman" w:hAnsi="Times New Roman" w:cs="Times New Roman" w:eastAsia="Times New Roman" w:hint="default"/>
          <w:spacing w:val="-3"/>
          <w:w w:val="99"/>
        </w:rPr>
        <w:t> </w:t>
      </w:r>
      <w:r>
        <w:rPr>
          <w:spacing w:val="-1"/>
        </w:rPr>
        <w:t>和</w:t>
      </w:r>
      <w:r>
        <w:rPr>
          <w:rFonts w:ascii="Times New Roman" w:hAnsi="Times New Roman" w:cs="Times New Roman" w:eastAsia="Times New Roman" w:hint="default"/>
          <w:spacing w:val="-1"/>
        </w:rPr>
        <w:t>GMI</w:t>
      </w:r>
      <w:r>
        <w:rPr>
          <w:spacing w:val="-1"/>
        </w:rPr>
        <w:t>标准化印刷管理体系并获得多家客户的</w:t>
      </w:r>
      <w:r>
        <w:rPr>
          <w:rFonts w:ascii="Times New Roman" w:hAnsi="Times New Roman" w:cs="Times New Roman" w:eastAsia="Times New Roman" w:hint="default"/>
          <w:spacing w:val="-1"/>
        </w:rPr>
        <w:t>CSR</w:t>
      </w:r>
      <w:r>
        <w:rPr>
          <w:spacing w:val="-1"/>
        </w:rPr>
        <w:t>社会责任管理认证，认证体系数量业内排名前列，体现了公司领先的管理</w:t>
      </w:r>
      <w:r>
        <w:rPr>
          <w:w w:val="99"/>
        </w:rPr>
        <w:t> </w:t>
      </w:r>
      <w:r>
        <w:rPr/>
        <w:t>水平。</w:t>
      </w:r>
    </w:p>
    <w:p>
      <w:pPr>
        <w:pStyle w:val="BodyText"/>
        <w:spacing w:line="300" w:lineRule="auto" w:before="31"/>
        <w:ind w:left="513" w:right="94"/>
        <w:jc w:val="left"/>
      </w:pPr>
      <w:r>
        <w:rPr>
          <w:rFonts w:ascii="Times New Roman" w:hAnsi="Times New Roman" w:cs="Times New Roman" w:eastAsia="Times New Roman" w:hint="default"/>
        </w:rPr>
        <w:t>6</w:t>
      </w:r>
      <w:r>
        <w:rPr/>
        <w:t>、优质产品及知名品牌优势 </w:t>
      </w:r>
      <w:r>
        <w:rPr>
          <w:spacing w:val="-2"/>
        </w:rPr>
        <w:t>公司自成立以来，凭借领先的包装一体化服务理念以及优质的产品及服务质量，形成了良好的品牌效应。公司先后获得</w:t>
      </w:r>
    </w:p>
    <w:p>
      <w:pPr>
        <w:pStyle w:val="BodyText"/>
        <w:spacing w:line="300" w:lineRule="auto" w:before="31"/>
        <w:ind w:right="94"/>
        <w:jc w:val="left"/>
      </w:pPr>
      <w:r>
        <w:rPr>
          <w:rFonts w:ascii="Times New Roman" w:hAnsi="Times New Roman" w:cs="Times New Roman" w:eastAsia="Times New Roman" w:hint="default"/>
          <w:spacing w:val="-2"/>
        </w:rPr>
        <w:t>“</w:t>
      </w:r>
      <w:r>
        <w:rPr>
          <w:spacing w:val="-2"/>
        </w:rPr>
        <w:t>自主创新百强中小企业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知识产权优势企业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行业自主创新领军企业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广东省百强民营企业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深圳市市长质量奖</w:t>
      </w:r>
      <w:r>
        <w:rPr>
          <w:rFonts w:ascii="Times New Roman" w:hAnsi="Times New Roman" w:cs="Times New Roman" w:eastAsia="Times New Roman" w:hint="default"/>
          <w:spacing w:val="-2"/>
        </w:rPr>
        <w:t>”</w:t>
      </w:r>
      <w:r>
        <w:rPr>
          <w:spacing w:val="-2"/>
        </w:rPr>
        <w:t>、</w:t>
      </w:r>
      <w:r>
        <w:rPr>
          <w:spacing w:val="-46"/>
        </w:rPr>
        <w:t> </w:t>
      </w:r>
      <w:r>
        <w:rPr>
          <w:rFonts w:ascii="Times New Roman" w:hAnsi="Times New Roman" w:cs="Times New Roman" w:eastAsia="Times New Roman" w:hint="default"/>
        </w:rPr>
        <w:t>“</w:t>
      </w:r>
      <w:r>
        <w:rPr/>
        <w:t>中国环保产品质量信得过重点品牌</w:t>
      </w:r>
      <w:r>
        <w:rPr>
          <w:rFonts w:ascii="Times New Roman" w:hAnsi="Times New Roman" w:cs="Times New Roman" w:eastAsia="Times New Roman" w:hint="default"/>
        </w:rPr>
        <w:t>”</w:t>
      </w:r>
      <w:r>
        <w:rPr/>
        <w:t>等荣誉，并先后获得多家世界级客户的优秀供应商奖。良好的品牌效应及市场口碑有利 于公司业务规模持续增加。</w:t>
      </w:r>
    </w:p>
    <w:p>
      <w:pPr>
        <w:spacing w:after="0" w:line="30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4"/>
        <w:jc w:val="left"/>
        <w:rPr>
          <w:b w:val="0"/>
          <w:bCs w:val="0"/>
        </w:rPr>
      </w:pPr>
      <w:bookmarkStart w:name="_TOC_250008" w:id="4"/>
      <w:r>
        <w:rPr/>
        <w:t>第四节</w:t>
      </w:r>
      <w:r>
        <w:rPr>
          <w:spacing w:val="-5"/>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360"/>
        <w:jc w:val="left"/>
      </w:pPr>
      <w:r>
        <w:rPr>
          <w:rFonts w:ascii="Times New Roman" w:hAnsi="Times New Roman" w:cs="Times New Roman" w:eastAsia="Times New Roman" w:hint="default"/>
          <w:spacing w:val="-2"/>
        </w:rPr>
        <w:t>2017</w:t>
      </w:r>
      <w:r>
        <w:rPr>
          <w:spacing w:val="-2"/>
        </w:rPr>
        <w:t>年，公司深耕重点客户需求，积极开拓创新，同时加强内部业态优化，将资源聚焦于自身优势产业，扎实有序推进</w:t>
      </w:r>
      <w:r>
        <w:rPr/>
        <w:t> </w:t>
      </w:r>
      <w:r>
        <w:rPr>
          <w:spacing w:val="-4"/>
        </w:rPr>
        <w:t>经营管理各项工作。重点客户订单实现加速释放，新客户开发效果明显，电子功能材料模切产品新业务取得突破，实现放量，</w:t>
      </w:r>
      <w:r>
        <w:rPr>
          <w:spacing w:val="-46"/>
        </w:rPr>
        <w:t> </w:t>
      </w:r>
      <w:r>
        <w:rPr>
          <w:spacing w:val="-46"/>
        </w:rPr>
      </w:r>
      <w:r>
        <w:rPr/>
        <w:t>前瞻性新产能战略布局有序推进，资质较差资产逐步剥离，经营效率得到进一步提升。</w:t>
      </w:r>
    </w:p>
    <w:p>
      <w:pPr>
        <w:pStyle w:val="BodyText"/>
        <w:spacing w:line="309" w:lineRule="auto" w:before="144"/>
        <w:ind w:right="192" w:firstLine="360"/>
        <w:jc w:val="both"/>
      </w:pPr>
      <w:r>
        <w:rPr>
          <w:rFonts w:ascii="Times New Roman" w:hAnsi="Times New Roman" w:cs="Times New Roman" w:eastAsia="Times New Roman" w:hint="default"/>
          <w:spacing w:val="-2"/>
        </w:rPr>
        <w:t>2017</w:t>
      </w:r>
      <w:r>
        <w:rPr>
          <w:spacing w:val="-2"/>
        </w:rPr>
        <w:t>年，公司部分产品主要原材料瓦楞原纸价格出现大幅上涨，竞争力较弱、产品附加值较低的中小型包装企业面临较</w:t>
      </w:r>
      <w:r>
        <w:rPr/>
        <w:t> </w:t>
      </w:r>
      <w:r>
        <w:rPr>
          <w:spacing w:val="-2"/>
        </w:rPr>
        <w:t>大的经营压力，而行业内领先企业凭借品牌、品质、服务、创新、管理等优势，获取优质订单的能力持续提升，继续引领行</w:t>
      </w:r>
      <w:r>
        <w:rPr>
          <w:spacing w:val="-73"/>
        </w:rPr>
        <w:t> </w:t>
      </w:r>
      <w:r>
        <w:rPr>
          <w:spacing w:val="-73"/>
        </w:rPr>
      </w:r>
      <w:r>
        <w:rPr/>
        <w:t>业发展，取得了较好的经营成果，推动行业集中度不断提升，并引领整个产业为中国经济发展贡献更大的力量。</w:t>
      </w:r>
    </w:p>
    <w:p>
      <w:pPr>
        <w:pStyle w:val="BodyText"/>
        <w:spacing w:line="300" w:lineRule="auto" w:before="145"/>
        <w:ind w:right="188" w:firstLine="360"/>
        <w:jc w:val="both"/>
      </w:pPr>
      <w:r>
        <w:rPr>
          <w:rFonts w:ascii="Times New Roman" w:hAnsi="Times New Roman" w:cs="Times New Roman" w:eastAsia="Times New Roman" w:hint="default"/>
        </w:rPr>
        <w:t>2017</w:t>
      </w:r>
      <w:r>
        <w:rPr/>
        <w:t>年，公司实现营业收入</w:t>
      </w:r>
      <w:r>
        <w:rPr>
          <w:rFonts w:ascii="Times New Roman" w:hAnsi="Times New Roman" w:cs="Times New Roman" w:eastAsia="Times New Roman" w:hint="default"/>
        </w:rPr>
        <w:t>285,741.93</w:t>
      </w:r>
      <w:r>
        <w:rPr/>
        <w:t>万元，同比增长</w:t>
      </w:r>
      <w:r>
        <w:rPr>
          <w:rFonts w:ascii="Times New Roman" w:hAnsi="Times New Roman" w:cs="Times New Roman" w:eastAsia="Times New Roman" w:hint="default"/>
        </w:rPr>
        <w:t>28.75%</w:t>
      </w:r>
      <w:r>
        <w:rPr/>
        <w:t>；营业成本</w:t>
      </w:r>
      <w:r>
        <w:rPr>
          <w:spacing w:val="-31"/>
        </w:rPr>
        <w:t> </w:t>
      </w:r>
      <w:r>
        <w:rPr>
          <w:rFonts w:ascii="Times New Roman" w:hAnsi="Times New Roman" w:cs="Times New Roman" w:eastAsia="Times New Roman" w:hint="default"/>
        </w:rPr>
        <w:t>187,196.58</w:t>
      </w:r>
      <w:r>
        <w:rPr/>
        <w:t>万元，同比增长</w:t>
      </w:r>
      <w:r>
        <w:rPr>
          <w:rFonts w:ascii="Times New Roman" w:hAnsi="Times New Roman" w:cs="Times New Roman" w:eastAsia="Times New Roman" w:hint="default"/>
        </w:rPr>
        <w:t>19.56%</w:t>
      </w:r>
      <w:r>
        <w:rPr/>
        <w:t>；归属于上 市公司股东的净利润</w:t>
      </w:r>
      <w:r>
        <w:rPr>
          <w:rFonts w:ascii="Times New Roman" w:hAnsi="Times New Roman" w:cs="Times New Roman" w:eastAsia="Times New Roman" w:hint="default"/>
        </w:rPr>
        <w:t>34,818.63</w:t>
      </w:r>
      <w:r>
        <w:rPr/>
        <w:t>万元，同比增长</w:t>
      </w:r>
      <w:r>
        <w:rPr>
          <w:rFonts w:ascii="Times New Roman" w:hAnsi="Times New Roman" w:cs="Times New Roman" w:eastAsia="Times New Roman" w:hint="default"/>
        </w:rPr>
        <w:t>55.86%</w:t>
      </w:r>
      <w:r>
        <w:rPr/>
        <w:t>。</w:t>
      </w:r>
    </w:p>
    <w:p>
      <w:pPr>
        <w:pStyle w:val="BodyText"/>
        <w:spacing w:line="240" w:lineRule="auto" w:before="133"/>
        <w:ind w:left="513" w:right="94"/>
        <w:jc w:val="left"/>
      </w:pPr>
      <w:r>
        <w:rPr>
          <w:rFonts w:ascii="Times New Roman" w:hAnsi="Times New Roman" w:cs="Times New Roman" w:eastAsia="Times New Roman" w:hint="default"/>
        </w:rPr>
        <w:t>2017</w:t>
      </w:r>
      <w:r>
        <w:rPr/>
        <w:t>年度主要工作情况：</w:t>
      </w:r>
    </w:p>
    <w:p>
      <w:pPr>
        <w:spacing w:line="240" w:lineRule="auto" w:before="13"/>
        <w:rPr>
          <w:rFonts w:ascii="宋体" w:hAnsi="宋体" w:cs="宋体" w:eastAsia="宋体" w:hint="default"/>
          <w:sz w:val="13"/>
          <w:szCs w:val="13"/>
        </w:rPr>
      </w:pPr>
    </w:p>
    <w:p>
      <w:pPr>
        <w:pStyle w:val="BodyText"/>
        <w:spacing w:line="240" w:lineRule="auto"/>
        <w:ind w:left="513" w:right="94"/>
        <w:jc w:val="left"/>
      </w:pPr>
      <w:r>
        <w:rPr/>
        <w:t>（一）积极推动战略性及重点新客户的订单加速放量，并贡献较好的收入和利润</w:t>
      </w:r>
    </w:p>
    <w:p>
      <w:pPr>
        <w:spacing w:line="240" w:lineRule="auto" w:before="0"/>
        <w:rPr>
          <w:rFonts w:ascii="宋体" w:hAnsi="宋体" w:cs="宋体" w:eastAsia="宋体" w:hint="default"/>
          <w:sz w:val="15"/>
          <w:szCs w:val="15"/>
        </w:rPr>
      </w:pPr>
    </w:p>
    <w:p>
      <w:pPr>
        <w:pStyle w:val="BodyText"/>
        <w:spacing w:line="300" w:lineRule="auto"/>
        <w:ind w:right="193" w:firstLine="360"/>
        <w:jc w:val="both"/>
      </w:pPr>
      <w:r>
        <w:rPr>
          <w:rFonts w:ascii="Times New Roman" w:hAnsi="Times New Roman" w:cs="Times New Roman" w:eastAsia="Times New Roman" w:hint="default"/>
          <w:spacing w:val="-2"/>
        </w:rPr>
        <w:t>2017</w:t>
      </w:r>
      <w:r>
        <w:rPr>
          <w:spacing w:val="-2"/>
        </w:rPr>
        <w:t>年度，公司积极推动战略性及重点新客户的深度合作，经过前期的磨合，新客户订单加速放量，贡献较好的收入和</w:t>
      </w:r>
      <w:r>
        <w:rPr>
          <w:spacing w:val="-3"/>
        </w:rPr>
        <w:t> </w:t>
      </w:r>
      <w:r>
        <w:rPr/>
        <w:t>利润，并为后续订单进一步加速放量奠定坚实的基础。</w:t>
      </w:r>
    </w:p>
    <w:p>
      <w:pPr>
        <w:pStyle w:val="BodyText"/>
        <w:spacing w:line="432" w:lineRule="exact" w:before="16"/>
        <w:ind w:left="513" w:right="94"/>
        <w:jc w:val="left"/>
      </w:pPr>
      <w:r>
        <w:rPr/>
        <w:t>（二）多举措应对公司主要原材料瓦楞原纸价格大幅上涨对公司经营的影响 </w:t>
      </w:r>
      <w:r>
        <w:rPr>
          <w:spacing w:val="-2"/>
        </w:rPr>
        <w:t>报告期内，公司主要原材料瓦楞原纸国内价格出现大幅上涨，为保障公司经营效率，公司积极应对原材料价格波动，与</w:t>
      </w:r>
    </w:p>
    <w:p>
      <w:pPr>
        <w:pStyle w:val="BodyText"/>
        <w:spacing w:line="319" w:lineRule="auto" w:before="15"/>
        <w:ind w:right="191"/>
        <w:jc w:val="both"/>
      </w:pPr>
      <w:r>
        <w:rPr>
          <w:spacing w:val="-2"/>
        </w:rPr>
        <w:t>下游客户进行协商，调整产品价格，以消化原材料价格上涨带来的影响；鉴于进口原材料价格波动相对较小，公司及时拓宽</w:t>
      </w:r>
      <w:r>
        <w:rPr>
          <w:spacing w:val="-65"/>
        </w:rPr>
        <w:t> </w:t>
      </w:r>
      <w:r>
        <w:rPr>
          <w:spacing w:val="-65"/>
        </w:rPr>
      </w:r>
      <w:r>
        <w:rPr>
          <w:spacing w:val="-2"/>
        </w:rPr>
        <w:t>了原材料采购渠道，同时，公司还加大了原材料库存储备，以保证原材料供应的相对稳定，保障了公司生产经营的正常开展</w:t>
      </w:r>
      <w:r>
        <w:rPr>
          <w:spacing w:val="-64"/>
        </w:rPr>
        <w:t> </w:t>
      </w:r>
      <w:r>
        <w:rPr>
          <w:spacing w:val="-64"/>
        </w:rPr>
      </w:r>
      <w:r>
        <w:rPr/>
        <w:t>以及利润率的稳定。</w:t>
      </w:r>
    </w:p>
    <w:p>
      <w:pPr>
        <w:pStyle w:val="BodyText"/>
        <w:spacing w:line="312" w:lineRule="auto" w:before="137"/>
        <w:ind w:right="190" w:firstLine="360"/>
        <w:jc w:val="both"/>
      </w:pPr>
      <w:r>
        <w:rPr>
          <w:spacing w:val="-2"/>
        </w:rPr>
        <w:t>同时，为积极应对原材料价格波动带来的影响，报告期内，公司在湖南城陵矶新港区、岳阳城陵矶综合保税区内筹建美</w:t>
      </w:r>
      <w:r>
        <w:rPr/>
        <w:t> 盈森包装印刷工业进出口贸易及保税加工</w:t>
      </w:r>
      <w:r>
        <w:rPr>
          <w:rFonts w:ascii="Times New Roman" w:hAnsi="Times New Roman" w:cs="Times New Roman" w:eastAsia="Times New Roman" w:hint="default"/>
        </w:rPr>
        <w:t>(</w:t>
      </w:r>
      <w:r>
        <w:rPr/>
        <w:t>岳阳）项目。项目建成后，公司可充分利用湖南城陵矶新港区和岳阳城陵矶综合 </w:t>
      </w:r>
      <w:r>
        <w:rPr>
          <w:spacing w:val="-2"/>
        </w:rPr>
        <w:t>保税区港口、交通及保税区区位优势，拓宽原材料购买渠道，保障公司原材料供应；降低公司原材料综合采购成本，提升公</w:t>
      </w:r>
      <w:r>
        <w:rPr>
          <w:spacing w:val="-67"/>
        </w:rPr>
        <w:t> </w:t>
      </w:r>
      <w:r>
        <w:rPr>
          <w:spacing w:val="-67"/>
        </w:rPr>
      </w:r>
      <w:r>
        <w:rPr/>
        <w:t>司竞争力。</w:t>
      </w:r>
    </w:p>
    <w:p>
      <w:pPr>
        <w:pStyle w:val="BodyText"/>
        <w:spacing w:line="240" w:lineRule="auto" w:before="142"/>
        <w:ind w:left="513" w:right="0"/>
        <w:jc w:val="left"/>
      </w:pPr>
      <w:r>
        <w:rPr/>
        <w:t>（三）积极有序推进公司新产能战略布局，为公司未来持续发展建设产能，同时扩大公司在经济活跃区域的业务覆盖范</w:t>
      </w:r>
    </w:p>
    <w:p>
      <w:pPr>
        <w:pStyle w:val="BodyText"/>
        <w:spacing w:line="240" w:lineRule="auto" w:before="76"/>
        <w:ind w:right="94"/>
        <w:jc w:val="left"/>
      </w:pPr>
      <w:r>
        <w:rPr/>
        <w:t>围</w:t>
      </w:r>
    </w:p>
    <w:p>
      <w:pPr>
        <w:spacing w:line="240" w:lineRule="auto" w:before="8"/>
        <w:rPr>
          <w:rFonts w:ascii="宋体" w:hAnsi="宋体" w:cs="宋体" w:eastAsia="宋体" w:hint="default"/>
          <w:sz w:val="11"/>
          <w:szCs w:val="11"/>
        </w:rPr>
      </w:pPr>
    </w:p>
    <w:p>
      <w:pPr>
        <w:pStyle w:val="BodyText"/>
        <w:spacing w:line="319" w:lineRule="auto" w:before="44"/>
        <w:ind w:right="191" w:firstLine="360"/>
        <w:jc w:val="both"/>
      </w:pPr>
      <w:r>
        <w:rPr>
          <w:spacing w:val="-2"/>
        </w:rPr>
        <w:t>近年来，公司产能利用率呈现持续提升的良好势头。为实现进一步发展，在现有的深圳、东莞、苏州、重庆四大产能基</w:t>
      </w:r>
      <w:r>
        <w:rPr/>
        <w:t> </w:t>
      </w:r>
      <w:r>
        <w:rPr>
          <w:spacing w:val="-2"/>
        </w:rPr>
        <w:t>地基础上，公司先后有序推动实现在东莞、成都、苏州、长沙、六安等地布局高端制造平台，目前已进行建设或处在建设前</w:t>
      </w:r>
      <w:r>
        <w:rPr>
          <w:spacing w:val="-70"/>
        </w:rPr>
        <w:t> </w:t>
      </w:r>
      <w:r>
        <w:rPr>
          <w:spacing w:val="-70"/>
        </w:rPr>
      </w:r>
      <w:r>
        <w:rPr>
          <w:spacing w:val="-2"/>
        </w:rPr>
        <w:t>期工作中。新产能建成后，一方面为公司新一轮发展提供坚实的产能保障；另一方面，公司将逐步实现在粤港澳大湾区、长</w:t>
      </w:r>
      <w:r>
        <w:rPr>
          <w:spacing w:val="-67"/>
        </w:rPr>
        <w:t> </w:t>
      </w:r>
      <w:r>
        <w:rPr>
          <w:spacing w:val="-67"/>
        </w:rPr>
      </w:r>
      <w:r>
        <w:rPr>
          <w:spacing w:val="-2"/>
        </w:rPr>
        <w:t>三角经济圈、成渝经济区、长株潭经济圈、中原经济区等经济活跃区域的战略布局，从而分享国内包装产业重点区域市场带</w:t>
      </w:r>
      <w:r>
        <w:rPr>
          <w:spacing w:val="-64"/>
        </w:rPr>
        <w:t> </w:t>
      </w:r>
      <w:r>
        <w:rPr>
          <w:spacing w:val="-64"/>
        </w:rPr>
      </w:r>
      <w:r>
        <w:rPr/>
        <w:t>来的利润。</w:t>
      </w:r>
    </w:p>
    <w:p>
      <w:pPr>
        <w:pStyle w:val="BodyText"/>
        <w:spacing w:line="432" w:lineRule="exact" w:before="1"/>
        <w:ind w:left="513" w:right="94"/>
        <w:jc w:val="left"/>
      </w:pPr>
      <w:r>
        <w:rPr/>
        <w:t>（四）技术研发水平不断增强，公司服务能力持续提升 </w:t>
      </w:r>
      <w:r>
        <w:rPr>
          <w:spacing w:val="-4"/>
        </w:rPr>
        <w:t>研发设计能力和工艺技术水平的不断增强，在公司新客户开发及服务、增强公司核心竞争力等方面至关重要。报告期内，</w:t>
      </w:r>
    </w:p>
    <w:p>
      <w:pPr>
        <w:pStyle w:val="BodyText"/>
        <w:spacing w:line="309" w:lineRule="auto" w:before="15"/>
        <w:ind w:right="189"/>
        <w:jc w:val="both"/>
      </w:pPr>
      <w:r>
        <w:rPr>
          <w:spacing w:val="-2"/>
        </w:rPr>
        <w:t>公司高度重视研发设计和工艺技术水平的提升，通过增加研发投入，完善了公司现有技术人才体系建设，更新了一批研发基</w:t>
      </w:r>
      <w:r>
        <w:rPr>
          <w:spacing w:val="-62"/>
        </w:rPr>
        <w:t> </w:t>
      </w:r>
      <w:r>
        <w:rPr>
          <w:spacing w:val="-62"/>
        </w:rPr>
      </w:r>
      <w:r>
        <w:rPr/>
        <w:t>础设施。报告期内公司及下属子公司共申报专利</w:t>
      </w:r>
      <w:r>
        <w:rPr>
          <w:rFonts w:ascii="Times New Roman" w:hAnsi="Times New Roman" w:cs="Times New Roman" w:eastAsia="Times New Roman" w:hint="default"/>
        </w:rPr>
        <w:t>84</w:t>
      </w:r>
      <w:r>
        <w:rPr/>
        <w:t>项，获得专利授权</w:t>
      </w:r>
      <w:r>
        <w:rPr>
          <w:rFonts w:ascii="Times New Roman" w:hAnsi="Times New Roman" w:cs="Times New Roman" w:eastAsia="Times New Roman" w:hint="default"/>
        </w:rPr>
        <w:t>40</w:t>
      </w:r>
      <w:r>
        <w:rPr/>
        <w:t>项，其中发明专利</w:t>
      </w:r>
      <w:r>
        <w:rPr>
          <w:rFonts w:ascii="Times New Roman" w:hAnsi="Times New Roman" w:cs="Times New Roman" w:eastAsia="Times New Roman" w:hint="default"/>
        </w:rPr>
        <w:t>8</w:t>
      </w:r>
      <w:r>
        <w:rPr/>
        <w:t>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月，公司实验室获 得国际安全运输协会（</w:t>
      </w:r>
      <w:r>
        <w:rPr>
          <w:rFonts w:ascii="Times New Roman" w:hAnsi="Times New Roman" w:cs="Times New Roman" w:eastAsia="Times New Roman" w:hint="default"/>
        </w:rPr>
        <w:t>ISTA</w:t>
      </w:r>
      <w:r>
        <w:rPr/>
        <w:t>）实验室认可证书。同时，公司在为高端优质客户提供服务过程中，高端制造平台生产工艺进</w:t>
      </w:r>
    </w:p>
    <w:p>
      <w:pPr>
        <w:spacing w:after="0" w:line="309"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一步改善，对生产各个环节效率提升作用明显，服务能力持续提升。</w:t>
      </w:r>
    </w:p>
    <w:p>
      <w:pPr>
        <w:pStyle w:val="BodyText"/>
        <w:spacing w:line="430" w:lineRule="atLeast" w:before="2"/>
        <w:ind w:left="513" w:right="93"/>
        <w:jc w:val="left"/>
      </w:pPr>
      <w:r>
        <w:rPr/>
        <w:t>（五）不断夯实和完善包装一体化服务模式，进一步提升公司服务水平 凭借包装一体化等综合竞争优势，公司取得了领先的行业地位。并在发展中不断夯实公司竞争力、提升公司服务水平。</w:t>
      </w:r>
    </w:p>
    <w:p>
      <w:pPr>
        <w:pStyle w:val="BodyText"/>
        <w:spacing w:line="316" w:lineRule="auto" w:before="76"/>
        <w:ind w:right="94"/>
        <w:jc w:val="left"/>
      </w:pPr>
      <w:r>
        <w:rPr>
          <w:spacing w:val="-2"/>
        </w:rPr>
        <w:t>报告期内，公司凭借研发技术和服务水平的持续提升、高端制造平台生产工艺的持续改进，成功导入一批优质客户，且积极</w:t>
      </w:r>
      <w:r>
        <w:rPr>
          <w:spacing w:val="-64"/>
        </w:rPr>
        <w:t> </w:t>
      </w:r>
      <w:r>
        <w:rPr>
          <w:spacing w:val="-64"/>
        </w:rPr>
      </w:r>
      <w:r>
        <w:rPr/>
        <w:t>推动战略性及重点新客户进入订单加速释放期，推动公司取得较好的经营成果。</w:t>
      </w:r>
    </w:p>
    <w:p>
      <w:pPr>
        <w:pStyle w:val="BodyText"/>
        <w:spacing w:line="432" w:lineRule="exact" w:before="3"/>
        <w:ind w:left="513" w:right="94"/>
        <w:jc w:val="left"/>
      </w:pPr>
      <w:r>
        <w:rPr/>
        <w:t>（六）深度挖掘客户需求，积极拓展新业务发展空间 </w:t>
      </w:r>
      <w:r>
        <w:rPr>
          <w:spacing w:val="-4"/>
        </w:rPr>
        <w:t>公司坚定发展信心，始终坚持以市场为导向，深耕客户需求，不断进行技术及服务创新。报告期内，公司根据客户需求，</w:t>
      </w:r>
    </w:p>
    <w:p>
      <w:pPr>
        <w:pStyle w:val="BodyText"/>
        <w:spacing w:line="240" w:lineRule="auto" w:before="15"/>
        <w:ind w:right="94"/>
        <w:jc w:val="left"/>
      </w:pPr>
      <w:r>
        <w:rPr/>
        <w:t>创新性地拓展电子功能材料模切产品服务并取得突破，实现订单放量，既贡献了收益，又增强了客户合作粘性。</w:t>
      </w:r>
    </w:p>
    <w:p>
      <w:pPr>
        <w:pStyle w:val="BodyText"/>
        <w:spacing w:line="432" w:lineRule="exact" w:before="61"/>
        <w:ind w:left="513" w:right="228"/>
        <w:jc w:val="left"/>
      </w:pPr>
      <w:r>
        <w:rPr/>
        <w:t>（七）积极推进低碳环保包装研发总部基地项目工程暨美盈森大厦总部基地建设，预计年内投入使用。 低碳环保包装研发总部基地项目工程暨美盈森大厦总部基地项目占地约</w:t>
      </w:r>
      <w:r>
        <w:rPr>
          <w:rFonts w:ascii="Times New Roman" w:hAnsi="Times New Roman" w:cs="Times New Roman" w:eastAsia="Times New Roman" w:hint="default"/>
        </w:rPr>
        <w:t>20</w:t>
      </w:r>
      <w:r>
        <w:rPr/>
        <w:t>亩，建筑面积约</w:t>
      </w:r>
      <w:r>
        <w:rPr>
          <w:rFonts w:ascii="Times New Roman" w:hAnsi="Times New Roman" w:cs="Times New Roman" w:eastAsia="Times New Roman" w:hint="default"/>
        </w:rPr>
        <w:t>7.6</w:t>
      </w:r>
      <w:r>
        <w:rPr/>
        <w:t>万平米，目前已基本完成</w:t>
      </w:r>
    </w:p>
    <w:p>
      <w:pPr>
        <w:pStyle w:val="BodyText"/>
        <w:spacing w:line="314" w:lineRule="auto" w:before="15"/>
        <w:ind w:right="94"/>
        <w:jc w:val="left"/>
      </w:pPr>
      <w:r>
        <w:rPr>
          <w:spacing w:val="-2"/>
        </w:rPr>
        <w:t>主体工程建设，即将进行内装修工程，预计年内可投入使用。大厦位于深圳市光明新区行政、文化和商业中心位置，与拟使</w:t>
      </w:r>
      <w:r>
        <w:rPr>
          <w:spacing w:val="-67"/>
        </w:rPr>
        <w:t> </w:t>
      </w:r>
      <w:r>
        <w:rPr>
          <w:spacing w:val="-67"/>
        </w:rPr>
      </w:r>
      <w:r>
        <w:rPr/>
        <w:t>用的新区新办公大楼仅一路之隔，为深圳地铁</w:t>
      </w:r>
      <w:r>
        <w:rPr>
          <w:rFonts w:ascii="Times New Roman" w:hAnsi="Times New Roman" w:cs="Times New Roman" w:eastAsia="Times New Roman" w:hint="default"/>
        </w:rPr>
        <w:t>6</w:t>
      </w:r>
      <w:r>
        <w:rPr/>
        <w:t>号线支线沿线物业。本次在光明新区核心区域建设的总部大厦产权为公司所 </w:t>
      </w:r>
      <w:r>
        <w:rPr>
          <w:spacing w:val="-4"/>
        </w:rPr>
        <w:t>有，大厦的建成将大幅提高公司的资信能力，有效提升公司的抗风险能力和盈利能力；与此同时，优越的地理位置及现代化、</w:t>
      </w:r>
      <w:r>
        <w:rPr>
          <w:spacing w:val="-46"/>
        </w:rPr>
        <w:t> </w:t>
      </w:r>
      <w:r>
        <w:rPr>
          <w:spacing w:val="-46"/>
        </w:rPr>
      </w:r>
      <w:r>
        <w:rPr>
          <w:spacing w:val="-2"/>
        </w:rPr>
        <w:t>智能化的办公环境也将有利于各类优秀人才的引进和公司外部形象的提升，从而促进公司研发能力提升、促进市场拓展、提</w:t>
      </w:r>
      <w:r>
        <w:rPr>
          <w:spacing w:val="-62"/>
        </w:rPr>
        <w:t> </w:t>
      </w:r>
      <w:r>
        <w:rPr>
          <w:spacing w:val="-62"/>
        </w:rPr>
      </w:r>
      <w:r>
        <w:rPr/>
        <w:t>升管理水平。</w:t>
      </w:r>
    </w:p>
    <w:p>
      <w:pPr>
        <w:pStyle w:val="BodyText"/>
        <w:spacing w:line="240" w:lineRule="auto" w:before="140"/>
        <w:ind w:left="513" w:right="94"/>
        <w:jc w:val="left"/>
      </w:pPr>
      <w:r>
        <w:rPr/>
        <w:t>（八）剥离资质较差资产</w:t>
      </w:r>
    </w:p>
    <w:p>
      <w:pPr>
        <w:spacing w:line="240" w:lineRule="auto" w:before="0"/>
        <w:rPr>
          <w:rFonts w:ascii="宋体" w:hAnsi="宋体" w:cs="宋体" w:eastAsia="宋体" w:hint="default"/>
          <w:sz w:val="15"/>
          <w:szCs w:val="15"/>
        </w:rPr>
      </w:pPr>
    </w:p>
    <w:p>
      <w:pPr>
        <w:pStyle w:val="BodyText"/>
        <w:spacing w:line="300" w:lineRule="auto"/>
        <w:ind w:right="189" w:firstLine="36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月，香港美盈森收购了汇天云网</w:t>
      </w:r>
      <w:r>
        <w:rPr>
          <w:rFonts w:ascii="Times New Roman" w:hAnsi="Times New Roman" w:cs="Times New Roman" w:eastAsia="Times New Roman" w:hint="default"/>
          <w:spacing w:val="-1"/>
        </w:rPr>
        <w:t>51%</w:t>
      </w:r>
      <w:r>
        <w:rPr>
          <w:spacing w:val="-1"/>
        </w:rPr>
        <w:t>股权，汇天云网在</w:t>
      </w:r>
      <w:r>
        <w:rPr>
          <w:rFonts w:ascii="Times New Roman" w:hAnsi="Times New Roman" w:cs="Times New Roman" w:eastAsia="Times New Roman" w:hint="default"/>
          <w:spacing w:val="-1"/>
        </w:rPr>
        <w:t>2015</w:t>
      </w:r>
      <w:r>
        <w:rPr>
          <w:spacing w:val="-1"/>
        </w:rPr>
        <w:t>年度、</w:t>
      </w:r>
      <w:r>
        <w:rPr>
          <w:rFonts w:ascii="Times New Roman" w:hAnsi="Times New Roman" w:cs="Times New Roman" w:eastAsia="Times New Roman" w:hint="default"/>
          <w:spacing w:val="-1"/>
        </w:rPr>
        <w:t>2016</w:t>
      </w:r>
      <w:r>
        <w:rPr>
          <w:spacing w:val="-1"/>
        </w:rPr>
        <w:t>年度均未达到《股权收购协议》中约定</w:t>
      </w:r>
      <w:r>
        <w:rPr/>
        <w:t> 的承诺业绩，公司收购汇天云网的业绩目标未能达成，本次收购的协同效应情况亦未达预期。</w:t>
      </w:r>
    </w:p>
    <w:p>
      <w:pPr>
        <w:pStyle w:val="BodyText"/>
        <w:spacing w:line="312" w:lineRule="auto" w:before="151"/>
        <w:ind w:right="188" w:firstLine="360"/>
        <w:jc w:val="both"/>
      </w:pPr>
      <w:r>
        <w:rPr>
          <w:spacing w:val="-2"/>
        </w:rPr>
        <w:t>为及时收回投资资金，及时消除汇天云网未来发展不确定可能给公司带来的负面影响，降低公司风险，将管理资源聚焦</w:t>
      </w:r>
      <w:r>
        <w:rPr/>
        <w:t> </w:t>
      </w:r>
      <w:r>
        <w:rPr>
          <w:spacing w:val="-2"/>
        </w:rPr>
        <w:t>于公司自身优势业务，保障广大股东利益，报告期内，香港美盈森与汇天云网原股东签署了《关于汇天云网集团有限公司之</w:t>
      </w:r>
      <w:r>
        <w:rPr>
          <w:spacing w:val="-62"/>
        </w:rPr>
        <w:t> </w:t>
      </w:r>
      <w:r>
        <w:rPr>
          <w:spacing w:val="-62"/>
        </w:rPr>
      </w:r>
      <w:r>
        <w:rPr>
          <w:spacing w:val="-1"/>
        </w:rPr>
        <w:t>股权收购协议》，汇天云网原股东以香港美盈森前期支付的股权收购款及后续增资款对应的美元金额回购了汇天云网</w:t>
      </w:r>
      <w:r>
        <w:rPr>
          <w:rFonts w:ascii="Times New Roman" w:hAnsi="Times New Roman" w:cs="Times New Roman" w:eastAsia="Times New Roman" w:hint="default"/>
          <w:spacing w:val="-1"/>
        </w:rPr>
        <w:t>51%</w:t>
      </w:r>
      <w:r>
        <w:rPr>
          <w:spacing w:val="-1"/>
        </w:rPr>
        <w:t>股</w:t>
      </w:r>
      <w:r>
        <w:rPr/>
        <w:t> 权。截止本报告日，该项回购交易已过户并完成支付。</w:t>
      </w:r>
    </w:p>
    <w:p>
      <w:pPr>
        <w:pStyle w:val="BodyText"/>
        <w:spacing w:line="432" w:lineRule="exact" w:before="7"/>
        <w:ind w:left="513" w:right="94"/>
        <w:jc w:val="left"/>
      </w:pPr>
      <w:r>
        <w:rPr/>
        <w:t>（九）积极推动处理金之彩收购纠纷的解决 </w:t>
      </w:r>
      <w:r>
        <w:rPr>
          <w:spacing w:val="-2"/>
        </w:rPr>
        <w:t>报告期内，一方面，公司高度重视并积极参加金之彩收购纠纷仲裁庭审，以期望金之彩纠纷问题得以妥善解决；另一方</w:t>
      </w:r>
    </w:p>
    <w:p>
      <w:pPr>
        <w:pStyle w:val="BodyText"/>
        <w:spacing w:line="314" w:lineRule="auto" w:before="15"/>
        <w:ind w:right="190"/>
        <w:jc w:val="both"/>
      </w:pPr>
      <w:r>
        <w:rPr>
          <w:spacing w:val="-2"/>
        </w:rPr>
        <w:t>面，为改善金之彩的公司治理，根据公司自治原则，通过召开董事会、股东会等调整金之彩董事及高管人员并办理工商变更</w:t>
      </w:r>
      <w:r>
        <w:rPr>
          <w:spacing w:val="-64"/>
        </w:rPr>
        <w:t> </w:t>
      </w:r>
      <w:r>
        <w:rPr>
          <w:spacing w:val="-64"/>
        </w:rPr>
      </w:r>
      <w:r>
        <w:rPr>
          <w:spacing w:val="-2"/>
        </w:rPr>
        <w:t>登记；并相应调整了有关子公司法定代表人、高管人员，但因金之彩股东欧阳宣在未通过金之彩权力机构和执行机构商议讨</w:t>
      </w:r>
      <w:r>
        <w:rPr>
          <w:spacing w:val="-64"/>
        </w:rPr>
        <w:t> </w:t>
      </w:r>
      <w:r>
        <w:rPr>
          <w:spacing w:val="-64"/>
        </w:rPr>
      </w:r>
      <w:r>
        <w:rPr>
          <w:spacing w:val="-2"/>
        </w:rPr>
        <w:t>论的情况下，违背公司真实意思表示，擅自加盖公章，作出了修改有关子公司章程的所谓</w:t>
      </w:r>
      <w:r>
        <w:rPr>
          <w:rFonts w:ascii="Times New Roman" w:hAnsi="Times New Roman" w:cs="Times New Roman" w:eastAsia="Times New Roman" w:hint="default"/>
          <w:spacing w:val="-2"/>
        </w:rPr>
        <w:t>“</w:t>
      </w:r>
      <w:r>
        <w:rPr>
          <w:spacing w:val="-2"/>
        </w:rPr>
        <w:t>股东决定</w:t>
      </w:r>
      <w:r>
        <w:rPr>
          <w:rFonts w:ascii="Times New Roman" w:hAnsi="Times New Roman" w:cs="Times New Roman" w:eastAsia="Times New Roman" w:hint="default"/>
          <w:spacing w:val="-2"/>
        </w:rPr>
        <w:t>”</w:t>
      </w:r>
      <w:r>
        <w:rPr>
          <w:spacing w:val="-2"/>
        </w:rPr>
        <w:t>，擅自改变公司的治理</w:t>
      </w:r>
      <w:r>
        <w:rPr>
          <w:spacing w:val="-44"/>
        </w:rPr>
        <w:t> </w:t>
      </w:r>
      <w:r>
        <w:rPr>
          <w:spacing w:val="-44"/>
        </w:rPr>
      </w:r>
      <w:r>
        <w:rPr>
          <w:spacing w:val="-2"/>
        </w:rPr>
        <w:t>结构，阻挠有关子公司的法定代表人变更工商登记，致使该项工作至今未能完成。公司将继续督促金之彩采取有力措施推动</w:t>
      </w:r>
      <w:r>
        <w:rPr>
          <w:spacing w:val="-63"/>
        </w:rPr>
        <w:t> </w:t>
      </w:r>
      <w:r>
        <w:rPr>
          <w:spacing w:val="-63"/>
        </w:rPr>
      </w:r>
      <w:r>
        <w:rPr/>
        <w:t>办理有关子公司法定代表人工商变更登记事宜。</w:t>
      </w:r>
    </w:p>
    <w:p>
      <w:pPr>
        <w:spacing w:line="240" w:lineRule="auto" w:before="13"/>
        <w:rPr>
          <w:rFonts w:ascii="宋体" w:hAnsi="宋体" w:cs="宋体" w:eastAsia="宋体" w:hint="default"/>
          <w:sz w:val="20"/>
          <w:szCs w:val="20"/>
        </w:rPr>
      </w:pPr>
    </w:p>
    <w:p>
      <w:pPr>
        <w:pStyle w:val="Heading2"/>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2,857,419,302.97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2,219,276,356.96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28.75%</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2,768,627,947.74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96.89%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2,175,702,396.30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98.04%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88,791,355.23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43,573,960.66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2,104,779,191.22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1,560,240,636.43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70.30%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133,248,384.80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106,805,970.43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530,600,371.72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18.57%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508,655,789.44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22.92%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88,791,355.23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43,573,960.66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103.77%</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1,999,736,570.15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1,598,036,446.26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72.01%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857,682,732.82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621,239,910.70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27.99%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2,768,627,947.74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1,862,664,508.75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2,104,779,191.22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1,376,747,355.66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133,248,384.80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81,796,303.19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530,600,371.72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404,120,849.90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1,910,945,214.92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1,242,470,365.14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857,682,732.82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620,194,143.61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纸制品行业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1,458,543,658.85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1,138,720,273.63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28.09%</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1,553,454,862.97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1,158,040,720.66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20.46%</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245,781,884.12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150,870,680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62.91%</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right="10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本期库存量较上年同期增长</w:t>
      </w:r>
      <w:r>
        <w:rPr>
          <w:rFonts w:ascii="Times New Roman" w:hAnsi="Times New Roman" w:cs="Times New Roman" w:eastAsia="Times New Roman" w:hint="default"/>
        </w:rPr>
        <w:t>9,491.12</w:t>
      </w:r>
      <w:r>
        <w:rPr/>
        <w:t>万元，增长比例</w:t>
      </w:r>
      <w:r>
        <w:rPr>
          <w:rFonts w:ascii="Times New Roman" w:hAnsi="Times New Roman" w:cs="Times New Roman" w:eastAsia="Times New Roman" w:hint="default"/>
        </w:rPr>
        <w:t>62.91%</w:t>
      </w:r>
      <w:r>
        <w:rPr/>
        <w:t>，主要系增长随着公司销售收入增长备货增加所致。</w:t>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1,109,432,770.95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829,614,594.79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33.73%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189,101,999.25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159,365,883.93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纸制品行业</w:t>
            </w:r>
            <w:r>
              <w:rPr>
                <w:rFonts w:ascii="Times New Roman" w:hAnsi="Times New Roman" w:cs="Times New Roman" w:eastAsia="Times New Roman" w:hint="default"/>
                <w:sz w:val="18"/>
                <w:szCs w:val="18"/>
              </w:rPr>
              <w:t>-</w:t>
            </w:r>
            <w:r>
              <w:rPr>
                <w:rFonts w:ascii="宋体" w:hAnsi="宋体" w:cs="宋体" w:eastAsia="宋体" w:hint="default"/>
                <w:sz w:val="18"/>
                <w:szCs w:val="18"/>
              </w:rPr>
              <w:t>自 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160,008,888.65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149,739,794.91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w:t>
            </w: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轻型包装产品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1,376,747,355.66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73.91%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1,062,001,277.08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29.64%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重型包装产品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81,796,303.19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76,718,996.55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第三方采购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404,120,849.90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422,971,440.80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-4.46%</w:t>
            </w:r>
          </w:p>
        </w:tc>
      </w:tr>
    </w:tbl>
    <w:p>
      <w:pPr>
        <w:pStyle w:val="BodyText"/>
        <w:spacing w:line="357" w:lineRule="auto" w:before="49"/>
        <w:ind w:right="9414"/>
        <w:jc w:val="left"/>
      </w:pPr>
      <w:r>
        <w:rPr/>
        <w:t>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328" w:lineRule="auto"/>
        <w:ind w:right="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在上年度财务报告编制的基础上，公司本年度将佛山美盈森、中大绿谷、湖南美盈森、苏州智谷、江苏美彩、越南美盈森、 美国美盈森、安徽美盈森纳入合并报表范围。</w:t>
      </w:r>
    </w:p>
    <w:p>
      <w:pPr>
        <w:pStyle w:val="BodyText"/>
        <w:spacing w:line="300" w:lineRule="auto" w:before="10"/>
        <w:ind w:right="189" w:firstLine="360"/>
        <w:jc w:val="both"/>
      </w:pPr>
      <w:r>
        <w:rPr>
          <w:spacing w:val="-2"/>
        </w:rPr>
        <w:t>（</w:t>
      </w:r>
      <w:r>
        <w:rPr>
          <w:rFonts w:ascii="Times New Roman" w:hAnsi="Times New Roman" w:cs="Times New Roman" w:eastAsia="Times New Roman" w:hint="default"/>
          <w:spacing w:val="-2"/>
        </w:rPr>
        <w:t>1</w:t>
      </w:r>
      <w:r>
        <w:rPr>
          <w:spacing w:val="-2"/>
        </w:rPr>
        <w:t>）本期公司设立佛山市美盈森绿谷科技有限公司，于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日完成办理工商设立登记手续，并取得统一社会信</w:t>
      </w:r>
      <w:r>
        <w:rPr/>
        <w:t> 用代码为</w:t>
      </w:r>
      <w:r>
        <w:rPr>
          <w:rFonts w:ascii="Times New Roman" w:hAnsi="Times New Roman" w:cs="Times New Roman" w:eastAsia="Times New Roman" w:hint="default"/>
        </w:rPr>
        <w:t>91440608MA4W8MXW9Q</w:t>
      </w:r>
      <w:r>
        <w:rPr/>
        <w:t>的企业法人营业执照；按照相应的会计报表编制规则，公司本期将佛山美盈森纳入合并 报表范围。</w:t>
      </w:r>
    </w:p>
    <w:p>
      <w:pPr>
        <w:pStyle w:val="BodyText"/>
        <w:spacing w:line="300" w:lineRule="auto" w:before="31"/>
        <w:ind w:right="191" w:firstLine="360"/>
        <w:jc w:val="both"/>
      </w:pPr>
      <w:r>
        <w:rPr>
          <w:spacing w:val="-2"/>
        </w:rPr>
        <w:t>（</w:t>
      </w:r>
      <w:r>
        <w:rPr>
          <w:rFonts w:ascii="Times New Roman" w:hAnsi="Times New Roman" w:cs="Times New Roman" w:eastAsia="Times New Roman" w:hint="default"/>
          <w:spacing w:val="-2"/>
        </w:rPr>
        <w:t>2</w:t>
      </w:r>
      <w:r>
        <w:rPr>
          <w:spacing w:val="-2"/>
        </w:rPr>
        <w:t>）本期由公司合资设立中大绿谷实业股份有限公司，于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日完成办理工商设立登记手续，并取得统一社会</w:t>
      </w:r>
      <w:r>
        <w:rPr/>
        <w:t> </w:t>
      </w:r>
      <w:r>
        <w:rPr>
          <w:spacing w:val="-1"/>
        </w:rPr>
        <w:t>信用代码为</w:t>
      </w:r>
      <w:r>
        <w:rPr>
          <w:rFonts w:ascii="Times New Roman" w:hAnsi="Times New Roman" w:cs="Times New Roman" w:eastAsia="Times New Roman" w:hint="default"/>
          <w:spacing w:val="-1"/>
        </w:rPr>
        <w:t>91440300MA5DT3RH50</w:t>
      </w:r>
      <w:r>
        <w:rPr>
          <w:spacing w:val="-1"/>
        </w:rPr>
        <w:t>的企业法人营业执照，该公司注册资本</w:t>
      </w:r>
      <w:r>
        <w:rPr>
          <w:rFonts w:ascii="Times New Roman" w:hAnsi="Times New Roman" w:cs="Times New Roman" w:eastAsia="Times New Roman" w:hint="default"/>
          <w:spacing w:val="-1"/>
        </w:rPr>
        <w:t>50000</w:t>
      </w:r>
      <w:r>
        <w:rPr>
          <w:spacing w:val="-1"/>
        </w:rPr>
        <w:t>万元，公司持股</w:t>
      </w:r>
      <w:r>
        <w:rPr>
          <w:rFonts w:ascii="Times New Roman" w:hAnsi="Times New Roman" w:cs="Times New Roman" w:eastAsia="Times New Roman" w:hint="default"/>
          <w:spacing w:val="-1"/>
        </w:rPr>
        <w:t>51%</w:t>
      </w:r>
      <w:r>
        <w:rPr>
          <w:spacing w:val="-1"/>
        </w:rPr>
        <w:t>；按照相应的会计报表</w:t>
      </w:r>
      <w:r>
        <w:rPr>
          <w:spacing w:val="-60"/>
        </w:rPr>
        <w:t> </w:t>
      </w:r>
      <w:r>
        <w:rPr>
          <w:spacing w:val="-60"/>
        </w:rPr>
      </w:r>
      <w:r>
        <w:rPr/>
        <w:t>编制规则，公司本期将中大绿谷纳入合并报表范围。</w:t>
      </w:r>
    </w:p>
    <w:p>
      <w:pPr>
        <w:pStyle w:val="BodyText"/>
        <w:spacing w:line="300" w:lineRule="auto" w:before="31"/>
        <w:ind w:right="191" w:firstLine="360"/>
        <w:jc w:val="both"/>
      </w:pPr>
      <w:r>
        <w:rPr/>
        <w:t>（</w:t>
      </w:r>
      <w:r>
        <w:rPr>
          <w:rFonts w:ascii="Times New Roman" w:hAnsi="Times New Roman" w:cs="Times New Roman" w:eastAsia="Times New Roman" w:hint="default"/>
        </w:rPr>
        <w:t>3</w:t>
      </w:r>
      <w:r>
        <w:rPr/>
        <w:t>）本期由公司合资设立湖南美盈森实业有限公司，于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日完成办理工商设立登记手续，并取得统一社会信 </w:t>
      </w:r>
      <w:r>
        <w:rPr>
          <w:spacing w:val="-2"/>
        </w:rPr>
        <w:t>用代码为</w:t>
      </w:r>
      <w:r>
        <w:rPr>
          <w:rFonts w:ascii="Times New Roman" w:hAnsi="Times New Roman" w:cs="Times New Roman" w:eastAsia="Times New Roman" w:hint="default"/>
          <w:spacing w:val="-2"/>
        </w:rPr>
        <w:t>91430600MA4LLUMJ5G</w:t>
      </w:r>
      <w:r>
        <w:rPr>
          <w:spacing w:val="-2"/>
        </w:rPr>
        <w:t>的企业法人营业执照，该公司注册资本</w:t>
      </w:r>
      <w:r>
        <w:rPr>
          <w:rFonts w:ascii="Times New Roman" w:hAnsi="Times New Roman" w:cs="Times New Roman" w:eastAsia="Times New Roman" w:hint="default"/>
          <w:spacing w:val="-2"/>
        </w:rPr>
        <w:t>10000</w:t>
      </w:r>
      <w:r>
        <w:rPr>
          <w:spacing w:val="-2"/>
        </w:rPr>
        <w:t>万元，公司持股</w:t>
      </w:r>
      <w:r>
        <w:rPr>
          <w:rFonts w:ascii="Times New Roman" w:hAnsi="Times New Roman" w:cs="Times New Roman" w:eastAsia="Times New Roman" w:hint="default"/>
          <w:spacing w:val="-2"/>
        </w:rPr>
        <w:t>80%</w:t>
      </w:r>
      <w:r>
        <w:rPr>
          <w:spacing w:val="-2"/>
        </w:rPr>
        <w:t>；按照相应的会计报表编</w:t>
      </w:r>
      <w:r>
        <w:rPr>
          <w:spacing w:val="-32"/>
        </w:rPr>
        <w:t> </w:t>
      </w:r>
      <w:r>
        <w:rPr>
          <w:spacing w:val="-32"/>
        </w:rPr>
      </w:r>
      <w:r>
        <w:rPr/>
        <w:t>制规则，公司本期将湖南美盈森纳入合并报表范围。</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）本期由公司全资子公司苏州美盈森与自然人孙娟芬分别以</w:t>
      </w:r>
      <w:r>
        <w:rPr>
          <w:rFonts w:ascii="Times New Roman" w:hAnsi="Times New Roman" w:cs="Times New Roman" w:eastAsia="Times New Roman" w:hint="default"/>
        </w:rPr>
        <w:t>68%</w:t>
      </w:r>
      <w:r>
        <w:rPr/>
        <w:t>、</w:t>
      </w:r>
      <w:r>
        <w:rPr>
          <w:rFonts w:ascii="Times New Roman" w:hAnsi="Times New Roman" w:cs="Times New Roman" w:eastAsia="Times New Roman" w:hint="default"/>
        </w:rPr>
        <w:t>32%</w:t>
      </w:r>
      <w:r>
        <w:rPr/>
        <w:t>的比例共同投资设立了美盈森智谷（苏州） </w:t>
      </w:r>
      <w:r>
        <w:rPr>
          <w:spacing w:val="-2"/>
        </w:rPr>
        <w:t>包装技术有限公司，于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日完成办理工商设立登记手续，并取得统一社会信用代码为</w:t>
      </w:r>
      <w:r>
        <w:rPr>
          <w:rFonts w:ascii="Times New Roman" w:hAnsi="Times New Roman" w:cs="Times New Roman" w:eastAsia="Times New Roman" w:hint="default"/>
          <w:spacing w:val="-2"/>
        </w:rPr>
        <w:t>91320509MAINRGLD02</w:t>
      </w:r>
      <w:r>
        <w:rPr>
          <w:spacing w:val="-2"/>
        </w:rPr>
        <w:t>的企</w:t>
      </w:r>
      <w:r>
        <w:rPr>
          <w:spacing w:val="-32"/>
        </w:rPr>
        <w:t> </w:t>
      </w:r>
      <w:r>
        <w:rPr>
          <w:spacing w:val="-2"/>
        </w:rPr>
        <w:t>业法人营业执照，该公司注册资本</w:t>
      </w:r>
      <w:r>
        <w:rPr>
          <w:rFonts w:ascii="Times New Roman" w:hAnsi="Times New Roman" w:cs="Times New Roman" w:eastAsia="Times New Roman" w:hint="default"/>
          <w:spacing w:val="-2"/>
        </w:rPr>
        <w:t>20000</w:t>
      </w:r>
      <w:r>
        <w:rPr>
          <w:spacing w:val="-2"/>
        </w:rPr>
        <w:t>万元人民币；全资子公司苏州美盈森与自然人何敏帆、仉露分别以</w:t>
      </w:r>
      <w:r>
        <w:rPr>
          <w:rFonts w:ascii="Times New Roman" w:hAnsi="Times New Roman" w:cs="Times New Roman" w:eastAsia="Times New Roman" w:hint="default"/>
          <w:spacing w:val="-2"/>
        </w:rPr>
        <w:t>70%</w:t>
      </w:r>
      <w:r>
        <w:rPr>
          <w:spacing w:val="-2"/>
        </w:rPr>
        <w:t>、</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的比例共同投资设立了江苏美彩供应链管理有限公司，于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日完成办理工商设立登记手续，并取得统一社会信用 代码为</w:t>
      </w:r>
      <w:r>
        <w:rPr>
          <w:rFonts w:ascii="Times New Roman" w:hAnsi="Times New Roman" w:cs="Times New Roman" w:eastAsia="Times New Roman" w:hint="default"/>
        </w:rPr>
        <w:t>91321300MA1P9NX38M</w:t>
      </w:r>
      <w:r>
        <w:rPr/>
        <w:t>的企业法人营业执照，该公司注册资本</w:t>
      </w:r>
      <w:r>
        <w:rPr>
          <w:rFonts w:ascii="Times New Roman" w:hAnsi="Times New Roman" w:cs="Times New Roman" w:eastAsia="Times New Roman" w:hint="default"/>
        </w:rPr>
        <w:t>1000</w:t>
      </w:r>
      <w:r>
        <w:rPr/>
        <w:t>万元人民币；按照相应的会计报表编制规则，公 司本期将苏州智谷、江苏美彩纳入合并报表范围。</w:t>
      </w:r>
    </w:p>
    <w:p>
      <w:pPr>
        <w:pStyle w:val="BodyText"/>
        <w:spacing w:line="300" w:lineRule="auto" w:before="31"/>
        <w:ind w:right="192" w:firstLine="360"/>
        <w:jc w:val="both"/>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 GROUP (VIETNAM) COMPANY</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，取得越南北宁省工业区</w:t>
      </w:r>
      <w:r>
        <w:rPr>
          <w:w w:val="99"/>
        </w:rPr>
        <w:t> </w:t>
      </w:r>
      <w:r>
        <w:rPr/>
        <w:t>管理委员会颁发的《投资证书》，于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日完成办理设立登记手续，并取得编号为</w:t>
      </w:r>
      <w:r>
        <w:rPr>
          <w:rFonts w:ascii="Times New Roman" w:hAnsi="Times New Roman" w:cs="Times New Roman" w:eastAsia="Times New Roman" w:hint="default"/>
        </w:rPr>
        <w:t>2300980762</w:t>
      </w:r>
      <w:r>
        <w:rPr/>
        <w:t>的企业注册证书，该</w:t>
      </w:r>
      <w:r>
        <w:rPr>
          <w:w w:val="99"/>
        </w:rPr>
        <w:t> </w:t>
      </w:r>
      <w:r>
        <w:rPr>
          <w:spacing w:val="-1"/>
        </w:rPr>
        <w:t>公司注册资本</w:t>
      </w:r>
      <w:r>
        <w:rPr>
          <w:rFonts w:ascii="Times New Roman" w:hAnsi="Times New Roman" w:cs="Times New Roman" w:eastAsia="Times New Roman" w:hint="default"/>
          <w:spacing w:val="-1"/>
        </w:rPr>
        <w:t>456.4</w:t>
      </w:r>
      <w:r>
        <w:rPr>
          <w:spacing w:val="-1"/>
        </w:rPr>
        <w:t>亿越南盾，香港美盈森持股</w:t>
      </w:r>
      <w:r>
        <w:rPr>
          <w:rFonts w:ascii="Times New Roman" w:hAnsi="Times New Roman" w:cs="Times New Roman" w:eastAsia="Times New Roman" w:hint="default"/>
          <w:spacing w:val="-1"/>
        </w:rPr>
        <w:t>100%</w:t>
      </w:r>
      <w:r>
        <w:rPr>
          <w:spacing w:val="-1"/>
        </w:rPr>
        <w:t>；按照相应的会计报表编制规则，公司本期将越南美盈森纳入合并报表</w:t>
      </w:r>
      <w:r>
        <w:rPr>
          <w:spacing w:val="-45"/>
        </w:rPr>
        <w:t> </w:t>
      </w:r>
      <w:r>
        <w:rPr>
          <w:spacing w:val="-45"/>
        </w:rPr>
      </w:r>
      <w:r>
        <w:rPr/>
        <w:t>范围。</w:t>
      </w:r>
    </w:p>
    <w:p>
      <w:pPr>
        <w:pStyle w:val="BodyText"/>
        <w:spacing w:line="300" w:lineRule="auto" w:before="31"/>
        <w:ind w:right="210" w:firstLine="360"/>
        <w:jc w:val="both"/>
      </w:pPr>
      <w:r>
        <w:rPr/>
        <w:t>（</w:t>
      </w:r>
      <w:r>
        <w:rPr>
          <w:rFonts w:ascii="Times New Roman" w:hAnsi="Times New Roman" w:cs="Times New Roman" w:eastAsia="Times New Roman" w:hint="default"/>
        </w:rPr>
        <w:t>6</w:t>
      </w:r>
      <w:r>
        <w:rPr/>
        <w:t>）公司设立的</w:t>
      </w:r>
      <w:r>
        <w:rPr>
          <w:rFonts w:ascii="Times New Roman" w:hAnsi="Times New Roman" w:cs="Times New Roman" w:eastAsia="Times New Roman" w:hint="default"/>
        </w:rPr>
        <w:t>MYS Global</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日取得深圳市发展和改革委员会出具的深发改函（</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1125</w:t>
      </w:r>
      <w:r>
        <w:rPr/>
        <w:t>号项目 备案通知书；按照相应的会计报表编制规则，公司本期将美国美盈森纳入合并报表范围。</w:t>
      </w:r>
    </w:p>
    <w:p>
      <w:pPr>
        <w:pStyle w:val="BodyText"/>
        <w:spacing w:line="300" w:lineRule="auto" w:before="31"/>
        <w:ind w:right="196"/>
        <w:jc w:val="both"/>
      </w:pPr>
      <w:r>
        <w:rPr/>
        <w:t>（</w:t>
      </w:r>
      <w:r>
        <w:rPr>
          <w:rFonts w:ascii="Times New Roman" w:hAnsi="Times New Roman" w:cs="Times New Roman" w:eastAsia="Times New Roman" w:hint="default"/>
        </w:rPr>
        <w:t>7</w:t>
      </w:r>
      <w:r>
        <w:rPr/>
        <w:t>）本期由公司合资设立安徽美盈森智谷科技有限公司，于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日完成办理工商设立登记手续，并取得统一社会信 用代码为</w:t>
      </w:r>
      <w:r>
        <w:rPr>
          <w:rFonts w:ascii="Times New Roman" w:hAnsi="Times New Roman" w:cs="Times New Roman" w:eastAsia="Times New Roman" w:hint="default"/>
        </w:rPr>
        <w:t>91341500MA2P0B7B8L(1-1)</w:t>
      </w:r>
      <w:r>
        <w:rPr/>
        <w:t>的企业法人营业执照，该公司注册资本</w:t>
      </w:r>
      <w:r>
        <w:rPr>
          <w:rFonts w:ascii="Times New Roman" w:hAnsi="Times New Roman" w:cs="Times New Roman" w:eastAsia="Times New Roman" w:hint="default"/>
        </w:rPr>
        <w:t>28000</w:t>
      </w:r>
      <w:r>
        <w:rPr/>
        <w:t>万元，公司持股</w:t>
      </w:r>
      <w:r>
        <w:rPr>
          <w:rFonts w:ascii="Times New Roman" w:hAnsi="Times New Roman" w:cs="Times New Roman" w:eastAsia="Times New Roman" w:hint="default"/>
        </w:rPr>
        <w:t>90%</w:t>
      </w:r>
      <w:r>
        <w:rPr/>
        <w:t>；按照相应的会计报 表编制规则，公司本期将安徽美盈森纳入合并报表范围。</w:t>
      </w:r>
    </w:p>
    <w:p>
      <w:pPr>
        <w:spacing w:line="240" w:lineRule="auto" w:before="10"/>
        <w:rPr>
          <w:rFonts w:ascii="宋体" w:hAnsi="宋体" w:cs="宋体" w:eastAsia="宋体" w:hint="default"/>
          <w:sz w:val="23"/>
          <w:szCs w:val="23"/>
        </w:rPr>
      </w:pPr>
    </w:p>
    <w:p>
      <w:pPr>
        <w:pStyle w:val="Heading4"/>
        <w:spacing w:line="240" w:lineRule="auto"/>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631,388,895.74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22.10%</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3303"/>
        <w:gridCol w:w="2321"/>
        <w:gridCol w:w="3132"/>
      </w:tblGrid>
      <w:tr>
        <w:trPr>
          <w:trHeight w:val="402"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174,897,665.90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145,067,475.41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122,954,416.86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99,264,084.72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89,205,252.85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631,388,895.74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22.10%</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661,225,307.76</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349,938,525.57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108,999,797.44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80,212,606.45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62,087,840.84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59,986,537.46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661,225,307.76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30.46%</w:t>
            </w:r>
          </w:p>
        </w:tc>
      </w:tr>
    </w:tbl>
    <w:p>
      <w:pPr>
        <w:pStyle w:val="BodyText"/>
        <w:spacing w:line="240" w:lineRule="auto" w:before="49"/>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221,410,455.45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154,595,365.46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43.22%</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主要系本期市场开拓费用及运输费 用增加所致。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321,204,115.79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234,406,346.93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37.03%</w:t>
            </w:r>
          </w:p>
        </w:tc>
        <w:tc>
          <w:tcPr>
            <w:tcW w:w="2919"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主要系本期公司包装产品研发投入 及公司管理人员薪酬增加所致。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-2,055,215.49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-37,279,044.69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94.49%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主要系本期汇兑损失增加所致。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公司研发投入目的是进一步提升公司在主营业务上的竞争优势</w:t>
      </w:r>
      <w:r>
        <w:rPr>
          <w:spacing w:val="-87"/>
        </w:rPr>
        <w:t>，</w:t>
      </w:r>
      <w:r>
        <w:rPr/>
        <w:t>更好地满足客户和市场的需求</w:t>
      </w:r>
      <w:r>
        <w:rPr>
          <w:spacing w:val="-87"/>
        </w:rPr>
        <w:t>，</w:t>
      </w:r>
      <w:r>
        <w:rPr/>
        <w:t>对公司未来发展有积极影响。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right="94"/>
        <w:jc w:val="left"/>
      </w:pPr>
      <w:r>
        <w:rPr/>
        <w:t>公司研发投入情况</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113,109,419.74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67,807,968.99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66.81%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4"/>
        <w:jc w:val="left"/>
      </w:pPr>
      <w:r>
        <w:rPr/>
        <w:t>研发投入总额占营业收入的比重较上年发生显著变化的原因</w:t>
      </w:r>
    </w:p>
    <w:p>
      <w:pPr>
        <w:pStyle w:val="BodyText"/>
        <w:spacing w:line="338" w:lineRule="auto" w:before="117"/>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2,843,002,041.45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2,247,820,486.35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26.48%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2,578,846,723.90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2,148,169,037.36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264,155,317.55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99,651,448.99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-4,338,294.12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638,420.00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562,540,699.29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208,253,168.37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-566,878,993.41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-207,614,748.37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447,933,483.99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1,392,348,957.81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49,115,803.60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44,185,522.19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398,817,680.39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1,348,163,435.62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-70.42%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76,769,617.72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1,252,736,922.82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-93.87%</w:t>
            </w:r>
          </w:p>
        </w:tc>
      </w:tr>
    </w:tbl>
    <w:p>
      <w:pPr>
        <w:pStyle w:val="BodyText"/>
        <w:spacing w:line="240" w:lineRule="auto" w:before="49"/>
        <w:ind w:right="94"/>
        <w:jc w:val="left"/>
      </w:pPr>
      <w:r>
        <w:rPr/>
        <w:t>相关数据同比发生重大变动的主要影响因素说明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94"/>
        <w:jc w:val="left"/>
      </w:pPr>
      <w:r>
        <w:rPr>
          <w:rFonts w:ascii="Times New Roman" w:hAnsi="Times New Roman" w:cs="Times New Roman" w:eastAsia="Times New Roman" w:hint="default"/>
        </w:rPr>
        <w:t>1</w:t>
      </w:r>
      <w:r>
        <w:rPr/>
        <w:t>、报告期公司投资活动现金流入金额比去年同期减少</w:t>
      </w:r>
      <w:r>
        <w:rPr>
          <w:rFonts w:ascii="Times New Roman" w:hAnsi="Times New Roman" w:cs="Times New Roman" w:eastAsia="Times New Roman" w:hint="default"/>
        </w:rPr>
        <w:t>779.54%</w:t>
      </w:r>
      <w:r>
        <w:rPr/>
        <w:t>，主要系本期汇天云网股权回购所致。</w:t>
      </w:r>
    </w:p>
    <w:p>
      <w:pPr>
        <w:pStyle w:val="BodyText"/>
        <w:spacing w:line="240" w:lineRule="auto" w:before="101"/>
        <w:ind w:right="0"/>
        <w:jc w:val="left"/>
      </w:pPr>
      <w:r>
        <w:rPr>
          <w:rFonts w:ascii="Times New Roman" w:hAnsi="Times New Roman" w:cs="Times New Roman" w:eastAsia="Times New Roman" w:hint="default"/>
        </w:rPr>
        <w:t>2</w:t>
      </w:r>
      <w:r>
        <w:rPr/>
        <w:t>、报告期公司投资活动现金流出金额比去年同期增加</w:t>
      </w:r>
      <w:r>
        <w:rPr>
          <w:rFonts w:ascii="Times New Roman" w:hAnsi="Times New Roman" w:cs="Times New Roman" w:eastAsia="Times New Roman" w:hint="default"/>
        </w:rPr>
        <w:t>170.12%</w:t>
      </w:r>
      <w:r>
        <w:rPr/>
        <w:t>，主要系本期购买固定资产、无形资产及在建工程增加所致。</w:t>
      </w:r>
    </w:p>
    <w:p>
      <w:pPr>
        <w:spacing w:after="0" w:line="240" w:lineRule="auto"/>
        <w:jc w:val="left"/>
        <w:sectPr>
          <w:footerReference w:type="default" r:id="rId11"/>
          <w:pgSz w:w="11910" w:h="16840"/>
          <w:pgMar w:footer="980" w:header="745" w:top="1060" w:bottom="1160" w:left="980" w:right="940"/>
          <w:pgNumType w:start="20"/>
        </w:sectPr>
      </w:pPr>
    </w:p>
    <w:p>
      <w:pPr>
        <w:spacing w:line="240" w:lineRule="auto" w:before="9"/>
        <w:rPr>
          <w:rFonts w:ascii="宋体" w:hAnsi="宋体" w:cs="宋体" w:eastAsia="宋体" w:hint="default"/>
          <w:sz w:val="25"/>
          <w:szCs w:val="25"/>
        </w:rPr>
      </w:pPr>
    </w:p>
    <w:p>
      <w:pPr>
        <w:pStyle w:val="BodyText"/>
        <w:spacing w:line="340" w:lineRule="auto" w:before="44"/>
        <w:ind w:right="669"/>
        <w:jc w:val="left"/>
      </w:pPr>
      <w:r>
        <w:rPr>
          <w:rFonts w:ascii="Times New Roman" w:hAnsi="Times New Roman" w:cs="Times New Roman" w:eastAsia="Times New Roman" w:hint="default"/>
        </w:rPr>
        <w:t>3</w:t>
      </w:r>
      <w:r>
        <w:rPr/>
        <w:t>、报告期公司筹资活动现金流入金额比去年同期减少</w:t>
      </w:r>
      <w:r>
        <w:rPr>
          <w:rFonts w:ascii="Times New Roman" w:hAnsi="Times New Roman" w:cs="Times New Roman" w:eastAsia="Times New Roman" w:hint="default"/>
        </w:rPr>
        <w:t>67.83%</w:t>
      </w:r>
      <w:r>
        <w:rPr/>
        <w:t>，主要系公司上期非公开发行股票募集资金到位所致。 报告期内公司经营活动产生的现金净流量与本年度净利润存在重大差异的原因说明</w:t>
      </w:r>
    </w:p>
    <w:p>
      <w:pPr>
        <w:pStyle w:val="BodyText"/>
        <w:spacing w:line="340" w:lineRule="auto" w:before="39"/>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主要系报告期原材料瓦楞原纸国内价格出现大幅波动，为保障公司经营效率，公司积极应对原材料价格波动，加大了原</w:t>
      </w:r>
    </w:p>
    <w:p>
      <w:pPr>
        <w:pStyle w:val="BodyText"/>
        <w:spacing w:line="240" w:lineRule="auto" w:before="1"/>
        <w:ind w:right="0"/>
        <w:jc w:val="left"/>
      </w:pPr>
      <w:r>
        <w:rPr/>
        <w:t>材料库存储备，以保证原材料供应的相对稳定；且报告期职工薪酬等现金开支大幅增加。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7,798,221.01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汇天云网股权回购产生投资 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5,094,445.69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公司及重庆美盈森投资性房 地产公允价值变动损益形成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3"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25,121,905.40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w:t>
            </w:r>
          </w:p>
        </w:tc>
        <w:tc>
          <w:tcPr>
            <w:tcW w:w="2254"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金之彩商誉减值及计提坏账 准备、存货跌价准备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1,803,176.59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收到政府奖励款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3,047,182.89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-1,030,508.43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处置固定资产增加所致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6,453,118.98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1.58%</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收到政府补助款</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2,153,297,209.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36.30%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2,076,527,592.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43.12%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-6.82%</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862,931,335.2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14.55%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680,775,119.20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14.14%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0.41%</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654,017,797.8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11.03%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385,777,201.17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8.01%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主要系随着销售增长备货增加、为应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对原材料价格波动增加原材料库存 以及原材料单价上涨所致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443,625,472.9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7.48%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324,619,773.29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6.74%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0.74%</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869,341,393.0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798,834,051.73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239,139,776.4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78,583,123.53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主要系本期低碳环保包装研发总部 基地项目、包装印刷工业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智慧型 </w:t>
            </w:r>
            <w:r>
              <w:rPr>
                <w:rFonts w:ascii="宋体" w:hAnsi="宋体" w:cs="宋体" w:eastAsia="宋体" w:hint="default"/>
                <w:spacing w:val="-2"/>
                <w:sz w:val="18"/>
                <w:szCs w:val="18"/>
              </w:rPr>
              <w:t>工厂（成都）项目工程投入增加所致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353,833,483.9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主要系深圳美盈森、东莞美盈森短期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借款增加所致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2,283,485.31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393,082,038.3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244,561,582.35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主要系本期苏州美盈森、苏州智谷、 长沙美盈森、湖南美盈森、安徽美盈 森取得土地使用权所致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484,840,134.8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314,830,028.41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33,791,110.57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21,476,620.02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35,532,061.41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19,534,503.77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8"/>
        <w:gridCol w:w="1218"/>
        <w:gridCol w:w="1210"/>
        <w:gridCol w:w="1212"/>
        <w:gridCol w:w="1208"/>
        <w:gridCol w:w="1218"/>
        <w:gridCol w:w="1213"/>
        <w:gridCol w:w="1075"/>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1"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6"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10" w:right="54"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8"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0"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324,619,773.29</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5,094,445.69</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144,901,289.54</w:t>
            </w:r>
          </w:p>
        </w:tc>
        <w:tc>
          <w:tcPr>
            <w:tcW w:w="1208" w:type="dxa"/>
            <w:vMerge w:val="restart"/>
            <w:tcBorders>
              <w:top w:val="single" w:sz="4" w:space="0" w:color="000000"/>
              <w:left w:val="single" w:sz="4" w:space="0" w:color="000000"/>
              <w:right w:val="single" w:sz="4" w:space="0" w:color="000000"/>
            </w:tcBorders>
          </w:tcPr>
          <w:p>
            <w:pPr/>
          </w:p>
        </w:tc>
        <w:tc>
          <w:tcPr>
            <w:tcW w:w="1218"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443,625,472.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8" w:type="dxa"/>
            <w:vMerge/>
            <w:tcBorders>
              <w:left w:val="single" w:sz="9" w:space="0" w:color="D2D2D2"/>
              <w:right w:val="single" w:sz="4" w:space="0" w:color="000000"/>
            </w:tcBorders>
          </w:tcPr>
          <w:p>
            <w:pPr/>
          </w:p>
        </w:tc>
        <w:tc>
          <w:tcPr>
            <w:tcW w:w="121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324,619,773.29</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5,094,445.69</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144,901,289.54</w:t>
            </w:r>
          </w:p>
        </w:tc>
        <w:tc>
          <w:tcPr>
            <w:tcW w:w="1208" w:type="dxa"/>
            <w:vMerge w:val="restart"/>
            <w:tcBorders>
              <w:top w:val="single" w:sz="4" w:space="0" w:color="000000"/>
              <w:left w:val="single" w:sz="4" w:space="0" w:color="000000"/>
              <w:right w:val="single" w:sz="4" w:space="0" w:color="000000"/>
            </w:tcBorders>
          </w:tcPr>
          <w:p>
            <w:pPr/>
          </w:p>
        </w:tc>
        <w:tc>
          <w:tcPr>
            <w:tcW w:w="1218" w:type="dxa"/>
            <w:vMerge w:val="restart"/>
            <w:tcBorders>
              <w:top w:val="single" w:sz="4" w:space="0" w:color="000000"/>
              <w:left w:val="single" w:sz="4" w:space="0" w:color="000000"/>
              <w:right w:val="single" w:sz="4" w:space="0" w:color="000000"/>
            </w:tcBorders>
          </w:tcPr>
          <w:p>
            <w:pPr/>
          </w:p>
        </w:tc>
        <w:tc>
          <w:tcPr>
            <w:tcW w:w="1213"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443,625,472.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8" w:type="dxa"/>
            <w:vMerge/>
            <w:tcBorders>
              <w:left w:val="single" w:sz="9" w:space="0" w:color="D2D2D2"/>
              <w:right w:val="single" w:sz="4" w:space="0" w:color="000000"/>
            </w:tcBorders>
          </w:tcPr>
          <w:p>
            <w:pPr/>
          </w:p>
        </w:tc>
        <w:tc>
          <w:tcPr>
            <w:tcW w:w="1210"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报告期内公司主要资产计量属性是否发生重大变化</w:t>
      </w:r>
    </w:p>
    <w:p>
      <w:pPr>
        <w:spacing w:line="547" w:lineRule="auto" w:before="115"/>
        <w:ind w:left="152" w:right="61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517,305,300.00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882,248,500.00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65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3"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695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战略性 包装工 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1" w:right="0"/>
              <w:jc w:val="left"/>
              <w:rPr>
                <w:rFonts w:ascii="Times New Roman" w:hAnsi="Times New Roman" w:cs="Times New Roman" w:eastAsia="Times New Roman" w:hint="default"/>
                <w:sz w:val="18"/>
                <w:szCs w:val="18"/>
              </w:rPr>
            </w:pPr>
            <w:r>
              <w:rPr>
                <w:rFonts w:ascii="Times New Roman"/>
                <w:sz w:val="18"/>
              </w:rPr>
              <w:t>1,657,31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72" w:right="0"/>
              <w:jc w:val="left"/>
              <w:rPr>
                <w:rFonts w:ascii="Times New Roman" w:hAnsi="Times New Roman" w:cs="Times New Roman" w:eastAsia="Times New Roman" w:hint="default"/>
                <w:sz w:val="18"/>
                <w:szCs w:val="18"/>
              </w:rPr>
            </w:pPr>
            <w:r>
              <w:rPr>
                <w:rFonts w:ascii="Times New Roman"/>
                <w:sz w:val="18"/>
              </w:rPr>
              <w:t>12,684,5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6" w:lineRule="auto" w:before="17"/>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 于郑州 市投资 建设战 略性包 装工业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暨签署 投资协 议的公 </w:t>
            </w:r>
            <w:r>
              <w:rPr>
                <w:rFonts w:ascii="宋体" w:hAnsi="宋体" w:cs="宋体" w:eastAsia="宋体" w:hint="default"/>
                <w:spacing w:val="-23"/>
                <w:sz w:val="18"/>
                <w:szCs w:val="18"/>
              </w:rPr>
              <w:t>告》（公</w:t>
            </w:r>
            <w:r>
              <w:rPr>
                <w:rFonts w:ascii="宋体" w:hAnsi="宋体" w:cs="宋体" w:eastAsia="宋体" w:hint="default"/>
                <w:sz w:val="18"/>
                <w:szCs w:val="18"/>
              </w:rPr>
              <w:t> 告编号：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2016-00</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508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60"/>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（长沙）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42,805,6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42,805,6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center"/>
              <w:rPr>
                <w:rFonts w:ascii="Times New Roman" w:hAnsi="Times New Roman" w:cs="Times New Roman" w:eastAsia="Times New Roman" w:hint="default"/>
                <w:sz w:val="18"/>
                <w:szCs w:val="18"/>
              </w:rPr>
            </w:pPr>
            <w:r>
              <w:rPr>
                <w:rFonts w:ascii="Times New Roman"/>
                <w:sz w:val="18"/>
              </w:rPr>
              <w:t>8.56%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9" w:lineRule="auto" w:before="17"/>
              <w:ind w:left="24" w:right="-17"/>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于签订 投资落 户合同 书的公 </w:t>
            </w:r>
            <w:r>
              <w:rPr>
                <w:rFonts w:ascii="宋体" w:hAnsi="宋体" w:cs="宋体" w:eastAsia="宋体" w:hint="default"/>
                <w:spacing w:val="-23"/>
                <w:sz w:val="18"/>
                <w:szCs w:val="18"/>
              </w:rPr>
              <w:t>告》（公</w:t>
            </w:r>
            <w:r>
              <w:rPr>
                <w:rFonts w:ascii="宋体" w:hAnsi="宋体" w:cs="宋体" w:eastAsia="宋体" w:hint="default"/>
                <w:sz w:val="18"/>
                <w:szCs w:val="18"/>
              </w:rPr>
              <w:t> 告编号：</w:t>
            </w:r>
          </w:p>
          <w:p>
            <w:pPr>
              <w:pStyle w:val="TableParagraph"/>
              <w:spacing w:line="240" w:lineRule="auto" w:before="59"/>
              <w:ind w:left="24" w:right="0"/>
              <w:jc w:val="left"/>
              <w:rPr>
                <w:rFonts w:ascii="Times New Roman" w:hAnsi="Times New Roman" w:cs="Times New Roman" w:eastAsia="Times New Roman" w:hint="default"/>
                <w:sz w:val="18"/>
                <w:szCs w:val="18"/>
              </w:rPr>
            </w:pPr>
            <w:r>
              <w:rPr>
                <w:rFonts w:ascii="Times New Roman"/>
                <w:sz w:val="18"/>
              </w:rPr>
              <w:t>2016-06</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26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2" w:lineRule="auto"/>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（成都）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46,793,9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17.54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46,794,3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13" w:right="0"/>
              <w:jc w:val="center"/>
              <w:rPr>
                <w:rFonts w:ascii="Times New Roman" w:hAnsi="Times New Roman" w:cs="Times New Roman" w:eastAsia="Times New Roman" w:hint="default"/>
                <w:sz w:val="18"/>
                <w:szCs w:val="18"/>
              </w:rPr>
            </w:pPr>
            <w:r>
              <w:rPr>
                <w:rFonts w:ascii="Times New Roman"/>
                <w:sz w:val="18"/>
              </w:rPr>
              <w:t>7.79%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6" w:lineRule="auto" w:before="19"/>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于使用 非公开 发行股 票募集 资金向 全资子 公司增 资以实 施募投 项目的 公告》</w:t>
            </w:r>
          </w:p>
          <w:p>
            <w:pPr>
              <w:pStyle w:val="TableParagraph"/>
              <w:spacing w:line="340" w:lineRule="auto" w:before="19"/>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2016-08</w:t>
            </w:r>
          </w:p>
          <w:p>
            <w:pPr>
              <w:pStyle w:val="TableParagraph"/>
              <w:spacing w:line="228"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12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136,136,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808.88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136,983,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552.07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27" w:right="0"/>
              <w:jc w:val="center"/>
              <w:rPr>
                <w:rFonts w:ascii="Times New Roman" w:hAnsi="Times New Roman" w:cs="Times New Roman" w:eastAsia="Times New Roman" w:hint="default"/>
                <w:sz w:val="18"/>
                <w:szCs w:val="18"/>
              </w:rPr>
            </w:pPr>
            <w:r>
              <w:rPr>
                <w:rFonts w:ascii="Times New Roman"/>
                <w:sz w:val="18"/>
              </w:rPr>
              <w:t>20.74%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597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（东莞） 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于使用 非公开 发行股 票募集 资金向 全资子 公司增 资以实 施募投 项目的 公告》</w:t>
            </w:r>
          </w:p>
          <w:p>
            <w:pPr>
              <w:pStyle w:val="TableParagraph"/>
              <w:spacing w:line="338" w:lineRule="auto" w:before="17"/>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2016-08</w:t>
            </w:r>
          </w:p>
          <w:p>
            <w:pPr>
              <w:pStyle w:val="TableParagraph"/>
              <w:spacing w:line="23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570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4" w:right="19"/>
              <w:jc w:val="left"/>
              <w:rPr>
                <w:rFonts w:ascii="宋体" w:hAnsi="宋体" w:cs="宋体" w:eastAsia="宋体" w:hint="default"/>
                <w:sz w:val="18"/>
                <w:szCs w:val="18"/>
              </w:rPr>
            </w:pPr>
            <w:r>
              <w:rPr>
                <w:rFonts w:ascii="宋体" w:hAnsi="宋体" w:cs="宋体" w:eastAsia="宋体" w:hint="default"/>
                <w:sz w:val="18"/>
                <w:szCs w:val="18"/>
              </w:rPr>
              <w:t>基于装 备制造 的智慧 包装工 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产 业园项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1,688.12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1,688.12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61"/>
              <w:jc w:val="both"/>
              <w:rPr>
                <w:rFonts w:ascii="宋体" w:hAnsi="宋体" w:cs="宋体" w:eastAsia="宋体" w:hint="default"/>
                <w:sz w:val="18"/>
                <w:szCs w:val="18"/>
              </w:rPr>
            </w:pPr>
            <w:r>
              <w:rPr>
                <w:rFonts w:ascii="宋体" w:hAnsi="宋体" w:cs="宋体" w:eastAsia="宋体" w:hint="default"/>
                <w:sz w:val="18"/>
                <w:szCs w:val="18"/>
              </w:rPr>
              <w:t>项目尚 在筹建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9" w:lineRule="auto" w:before="19"/>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于签订 重大投 资协议 暨股票 复牌的 公告》</w:t>
            </w:r>
          </w:p>
          <w:p>
            <w:pPr>
              <w:pStyle w:val="TableParagraph"/>
              <w:spacing w:line="338" w:lineRule="auto" w:before="17"/>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2016-07</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223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00" w:lineRule="auto"/>
              <w:ind w:left="24"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深圳智 慧农谷</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11"/>
                <w:sz w:val="18"/>
                <w:szCs w:val="18"/>
              </w:rPr>
              <w:t>农业、旅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5,272,42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5,272,42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26" w:lineRule="auto" w:before="19"/>
              <w:ind w:left="24" w:right="26"/>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z w:val="18"/>
                <w:szCs w:val="18"/>
              </w:rPr>
            </w:r>
          </w:p>
        </w:tc>
      </w:tr>
    </w:tbl>
    <w:p>
      <w:pPr>
        <w:spacing w:after="0" w:line="32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3171"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于签订 农地开 发合作 合同的 公告》</w:t>
            </w:r>
          </w:p>
          <w:p>
            <w:pPr>
              <w:pStyle w:val="TableParagraph"/>
              <w:spacing w:line="338" w:lineRule="auto" w:before="19"/>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2016-07</w:t>
            </w:r>
          </w:p>
          <w:p>
            <w:pPr>
              <w:pStyle w:val="TableParagraph"/>
              <w:spacing w:line="23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08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z w:val="18"/>
                <w:szCs w:val="18"/>
              </w:rPr>
              <w:t>美盈森 包装印 刷工业 进出口 贸易及 保税加 工</w:t>
            </w:r>
            <w:r>
              <w:rPr>
                <w:rFonts w:ascii="Times New Roman" w:hAnsi="Times New Roman" w:cs="Times New Roman" w:eastAsia="Times New Roman" w:hint="default"/>
                <w:sz w:val="18"/>
                <w:szCs w:val="18"/>
              </w:rPr>
              <w:t>(</w:t>
            </w:r>
            <w:r>
              <w:rPr>
                <w:rFonts w:ascii="宋体" w:hAnsi="宋体" w:cs="宋体" w:eastAsia="宋体" w:hint="default"/>
                <w:sz w:val="18"/>
                <w:szCs w:val="18"/>
              </w:rPr>
              <w:t>岳 </w:t>
            </w:r>
            <w:r>
              <w:rPr>
                <w:rFonts w:ascii="宋体" w:hAnsi="宋体" w:cs="宋体" w:eastAsia="宋体" w:hint="default"/>
                <w:spacing w:val="-11"/>
                <w:sz w:val="18"/>
                <w:szCs w:val="18"/>
              </w:rPr>
              <w:t>阳）项目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44,524,5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44,524,5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6" w:lineRule="auto" w:before="17"/>
              <w:ind w:left="24" w:right="-17"/>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于签订 招商合 作协议 书的公 </w:t>
            </w:r>
            <w:r>
              <w:rPr>
                <w:rFonts w:ascii="宋体" w:hAnsi="宋体" w:cs="宋体" w:eastAsia="宋体" w:hint="default"/>
                <w:spacing w:val="-23"/>
                <w:sz w:val="18"/>
                <w:szCs w:val="18"/>
              </w:rPr>
              <w:t>告》（公</w:t>
            </w:r>
            <w:r>
              <w:rPr>
                <w:rFonts w:ascii="宋体" w:hAnsi="宋体" w:cs="宋体" w:eastAsia="宋体" w:hint="default"/>
                <w:sz w:val="18"/>
                <w:szCs w:val="18"/>
              </w:rPr>
              <w:t> 告编号：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2017-01</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66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156"/>
              <w:jc w:val="both"/>
              <w:rPr>
                <w:rFonts w:ascii="宋体" w:hAnsi="宋体" w:cs="宋体" w:eastAsia="宋体" w:hint="default"/>
                <w:sz w:val="18"/>
                <w:szCs w:val="18"/>
              </w:rPr>
            </w:pPr>
            <w:r>
              <w:rPr>
                <w:rFonts w:ascii="宋体" w:hAnsi="宋体" w:cs="宋体" w:eastAsia="宋体" w:hint="default"/>
                <w:sz w:val="18"/>
                <w:szCs w:val="18"/>
              </w:rPr>
              <w:t>高端环 保包装 生产基 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18,834,7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18,834,7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9" w:lineRule="auto" w:before="19"/>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于全资 子公司 苏州美 盈森环 保科技 有限公 司签订 投资协 议书的 公告》</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299"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2017-01</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508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60"/>
              <w:ind w:left="24" w:right="36"/>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 </w:t>
            </w:r>
            <w:r>
              <w:rPr>
                <w:rFonts w:ascii="Times New Roman" w:hAnsi="Times New Roman" w:cs="Times New Roman" w:eastAsia="Times New Roman" w:hint="default"/>
                <w:sz w:val="18"/>
                <w:szCs w:val="18"/>
              </w:rPr>
              <w:t>(</w:t>
            </w:r>
            <w:r>
              <w:rPr>
                <w:rFonts w:ascii="宋体" w:hAnsi="宋体" w:cs="宋体" w:eastAsia="宋体" w:hint="default"/>
                <w:sz w:val="18"/>
                <w:szCs w:val="18"/>
              </w:rPr>
              <w:t>六安</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纸包装</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50,270,0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50,270,0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7" w:right="0"/>
              <w:jc w:val="left"/>
              <w:rPr>
                <w:rFonts w:ascii="Times New Roman" w:hAnsi="Times New Roman" w:cs="Times New Roman" w:eastAsia="Times New Roman" w:hint="default"/>
                <w:sz w:val="18"/>
                <w:szCs w:val="18"/>
              </w:rPr>
            </w:pPr>
            <w:r>
              <w:rPr>
                <w:rFonts w:ascii="Times New Roman"/>
                <w:sz w:val="18"/>
              </w:rPr>
              <w:t>6.28%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项目尚 在建设 过程中</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详见公 司于巨 潮资讯 网</w:t>
            </w:r>
          </w:p>
          <w:p>
            <w:pPr>
              <w:pStyle w:val="TableParagraph"/>
              <w:spacing w:line="319" w:lineRule="auto" w:before="19"/>
              <w:ind w:left="24" w:right="22"/>
              <w:jc w:val="left"/>
              <w:rPr>
                <w:rFonts w:ascii="宋体" w:hAnsi="宋体" w:cs="宋体" w:eastAsia="宋体" w:hint="default"/>
                <w:sz w:val="18"/>
                <w:szCs w:val="18"/>
              </w:rPr>
            </w:pPr>
            <w:r>
              <w:rPr>
                <w:rFonts w:ascii="宋体" w:hAnsi="宋体" w:cs="宋体" w:eastAsia="宋体" w:hint="default"/>
                <w:spacing w:val="-4"/>
                <w:sz w:val="18"/>
                <w:szCs w:val="18"/>
              </w:rPr>
              <w:t>（</w:t>
            </w:r>
            <w:hyperlink r:id="rId12">
              <w:r>
                <w:rPr>
                  <w:rFonts w:ascii="Times New Roman" w:hAnsi="Times New Roman" w:cs="Times New Roman" w:eastAsia="Times New Roman" w:hint="default"/>
                  <w:spacing w:val="-4"/>
                  <w:sz w:val="18"/>
                  <w:szCs w:val="18"/>
                </w:rPr>
                <w:t>www.</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cninfo.co</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）披</w:t>
            </w:r>
            <w:r>
              <w:rPr>
                <w:rFonts w:ascii="宋体" w:hAnsi="宋体" w:cs="宋体" w:eastAsia="宋体" w:hint="default"/>
                <w:spacing w:val="-88"/>
                <w:sz w:val="18"/>
                <w:szCs w:val="18"/>
              </w:rPr>
              <w:t> </w:t>
            </w:r>
            <w:r>
              <w:rPr>
                <w:rFonts w:ascii="宋体" w:hAnsi="宋体" w:cs="宋体" w:eastAsia="宋体" w:hint="default"/>
                <w:spacing w:val="-11"/>
                <w:sz w:val="18"/>
                <w:szCs w:val="18"/>
              </w:rPr>
              <w:t>露的《关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于签订 投资协 议书的 公告》</w:t>
            </w:r>
          </w:p>
          <w:p>
            <w:pPr>
              <w:pStyle w:val="TableParagraph"/>
              <w:spacing w:line="338" w:lineRule="auto" w:before="17"/>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2017-05</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346,297,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152.99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358,171,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593.18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109,812.94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609.05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103,981.54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14,731.52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13.42%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977.47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2"/>
        <w:gridCol w:w="869"/>
      </w:tblGrid>
      <w:tr>
        <w:trPr>
          <w:trHeight w:val="1923"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放于募集 资金专户 </w:t>
            </w:r>
            <w:r>
              <w:rPr>
                <w:rFonts w:ascii="宋体" w:hAnsi="宋体" w:cs="宋体" w:eastAsia="宋体" w:hint="default"/>
                <w:spacing w:val="-18"/>
                <w:sz w:val="18"/>
                <w:szCs w:val="18"/>
              </w:rPr>
              <w:t>当中，将用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于超募资 金投资项 目的投资</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138,811.2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18,158.54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18,158.59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93,811.09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93,811.09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122,759.45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z w:val="18"/>
                <w:szCs w:val="18"/>
              </w:rPr>
              <w:t>截至报告 </w:t>
            </w:r>
            <w:r>
              <w:rPr>
                <w:rFonts w:ascii="宋体" w:hAnsi="宋体" w:cs="宋体" w:eastAsia="宋体" w:hint="default"/>
                <w:spacing w:val="-18"/>
                <w:sz w:val="18"/>
                <w:szCs w:val="18"/>
              </w:rPr>
              <w:t>期末，尚未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使用的募 集资金存 放于募集 资金专户 </w:t>
            </w:r>
            <w:r>
              <w:rPr>
                <w:rFonts w:ascii="宋体" w:hAnsi="宋体" w:cs="宋体" w:eastAsia="宋体" w:hint="default"/>
                <w:spacing w:val="-18"/>
                <w:sz w:val="18"/>
                <w:szCs w:val="18"/>
              </w:rPr>
              <w:t>当中，将用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于募集资 金投资项 目的投资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248,624.14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18,767.59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122,140.13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93,811.09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108,542.61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123,736.92</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36"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[2009]1013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号文《关于核准深圳市美盈森环保科技股份有限公司首次公开发行 </w:t>
            </w:r>
            <w:r>
              <w:rPr>
                <w:rFonts w:ascii="宋体" w:hAnsi="宋体" w:cs="宋体" w:eastAsia="宋体" w:hint="default"/>
                <w:spacing w:val="-1"/>
                <w:sz w:val="18"/>
                <w:szCs w:val="18"/>
              </w:rPr>
              <w:t>股票的批复》核准，公司采用网下向询价对象询价配售和网上资金申购定价发行相结合的方式，向社会公众公开发行了普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4500  </w:t>
            </w:r>
            <w:r>
              <w:rPr>
                <w:rFonts w:ascii="宋体" w:hAnsi="宋体" w:cs="宋体" w:eastAsia="宋体" w:hint="default"/>
                <w:sz w:val="18"/>
                <w:szCs w:val="18"/>
              </w:rPr>
              <w:t>万股，每股发行价格为人民币 </w:t>
            </w:r>
            <w:r>
              <w:rPr>
                <w:rFonts w:ascii="Times New Roman" w:hAnsi="Times New Roman" w:cs="Times New Roman" w:eastAsia="Times New Roman" w:hint="default"/>
                <w:sz w:val="18"/>
                <w:szCs w:val="18"/>
              </w:rPr>
              <w:t>25.36  </w:t>
            </w:r>
            <w:r>
              <w:rPr>
                <w:rFonts w:ascii="宋体" w:hAnsi="宋体" w:cs="宋体" w:eastAsia="宋体" w:hint="default"/>
                <w:sz w:val="18"/>
                <w:szCs w:val="18"/>
              </w:rPr>
              <w:t>元。公司共募集资金 </w:t>
            </w:r>
            <w:r>
              <w:rPr>
                <w:rFonts w:ascii="Times New Roman" w:hAnsi="Times New Roman" w:cs="Times New Roman" w:eastAsia="Times New Roman" w:hint="default"/>
                <w:sz w:val="18"/>
                <w:szCs w:val="18"/>
              </w:rPr>
              <w:t>1,141,200,000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元，扣除发行费用</w:t>
            </w:r>
          </w:p>
          <w:p>
            <w:pPr>
              <w:pStyle w:val="TableParagraph"/>
              <w:spacing w:line="300" w:lineRule="auto" w:before="5"/>
              <w:ind w:left="24"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43,070,599 </w:t>
            </w:r>
            <w:r>
              <w:rPr>
                <w:rFonts w:ascii="宋体" w:hAnsi="宋体" w:cs="宋体" w:eastAsia="宋体" w:hint="default"/>
                <w:sz w:val="18"/>
                <w:szCs w:val="18"/>
              </w:rPr>
              <w:t>元后，募集资金净额为 </w:t>
            </w:r>
            <w:r>
              <w:rPr>
                <w:rFonts w:ascii="Times New Roman" w:hAnsi="Times New Roman" w:cs="Times New Roman" w:eastAsia="Times New Roman" w:hint="default"/>
                <w:sz w:val="18"/>
                <w:szCs w:val="18"/>
              </w:rPr>
              <w:t>1,098,129,401 </w:t>
            </w:r>
            <w:r>
              <w:rPr>
                <w:rFonts w:ascii="宋体" w:hAnsi="宋体" w:cs="宋体" w:eastAsia="宋体" w:hint="default"/>
                <w:sz w:val="18"/>
                <w:szCs w:val="18"/>
              </w:rPr>
              <w:t>元。该募集资金已于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日全部到位，并经大信会计师 事务有限公司大信验字 </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4-0019</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号《验资报告》审验确认。（</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）经中国证券监督管理委员会《关于核准美盈森集</w:t>
            </w:r>
            <w:r>
              <w:rPr>
                <w:rFonts w:ascii="宋体" w:hAnsi="宋体" w:cs="宋体" w:eastAsia="宋体" w:hint="default"/>
                <w:sz w:val="18"/>
                <w:szCs w:val="18"/>
              </w:rPr>
              <w:t> </w:t>
            </w:r>
            <w:r>
              <w:rPr>
                <w:rFonts w:ascii="宋体" w:hAnsi="宋体" w:cs="宋体" w:eastAsia="宋体" w:hint="default"/>
                <w:spacing w:val="-3"/>
                <w:sz w:val="18"/>
                <w:szCs w:val="18"/>
              </w:rPr>
              <w:t>团股份有限公司非公开发行股票的批复》（证监许可</w:t>
            </w:r>
            <w:r>
              <w:rPr>
                <w:rFonts w:ascii="Times New Roman" w:hAnsi="Times New Roman" w:cs="Times New Roman" w:eastAsia="Times New Roman" w:hint="default"/>
                <w:spacing w:val="-3"/>
                <w:sz w:val="18"/>
                <w:szCs w:val="18"/>
              </w:rPr>
              <w:t>[2016]1225</w:t>
            </w:r>
            <w:r>
              <w:rPr>
                <w:rFonts w:ascii="Times New Roman" w:hAnsi="Times New Roman" w:cs="Times New Roman" w:eastAsia="Times New Roman" w:hint="default"/>
                <w:spacing w:val="23"/>
                <w:sz w:val="18"/>
                <w:szCs w:val="18"/>
              </w:rPr>
              <w:t> </w:t>
            </w:r>
            <w:r>
              <w:rPr>
                <w:rFonts w:ascii="宋体" w:hAnsi="宋体" w:cs="宋体" w:eastAsia="宋体" w:hint="default"/>
                <w:spacing w:val="-1"/>
                <w:sz w:val="18"/>
                <w:szCs w:val="18"/>
              </w:rPr>
              <w:t>号）文核准，以非公开发行股票方式向特定投资者发行了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Times New Roman" w:hAnsi="Times New Roman" w:cs="Times New Roman" w:eastAsia="Times New Roman" w:hint="default"/>
                <w:spacing w:val="-2"/>
                <w:sz w:val="18"/>
                <w:szCs w:val="18"/>
              </w:rPr>
              <w:t>111,923,685</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股人民币普通股（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4"/>
                <w:sz w:val="18"/>
                <w:szCs w:val="18"/>
              </w:rPr>
              <w:t>股），发行价格</w:t>
            </w:r>
            <w:r>
              <w:rPr>
                <w:rFonts w:ascii="宋体" w:hAnsi="宋体" w:cs="宋体" w:eastAsia="宋体" w:hint="default"/>
                <w:sz w:val="18"/>
                <w:szCs w:val="18"/>
              </w:rPr>
              <w:t> </w:t>
            </w:r>
            <w:r>
              <w:rPr>
                <w:rFonts w:ascii="Times New Roman" w:hAnsi="Times New Roman" w:cs="Times New Roman" w:eastAsia="Times New Roman" w:hint="default"/>
                <w:sz w:val="18"/>
                <w:szCs w:val="18"/>
              </w:rPr>
              <w:t>12.58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股，本次募集资金总额为人民币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1,407,999,957.30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元，扣除发</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行费用 </w:t>
            </w:r>
            <w:r>
              <w:rPr>
                <w:rFonts w:ascii="Times New Roman" w:hAnsi="Times New Roman" w:cs="Times New Roman" w:eastAsia="Times New Roman" w:hint="default"/>
                <w:sz w:val="18"/>
                <w:szCs w:val="18"/>
              </w:rPr>
              <w:t>19,887,923.18  </w:t>
            </w:r>
            <w:r>
              <w:rPr>
                <w:rFonts w:ascii="宋体" w:hAnsi="宋体" w:cs="宋体" w:eastAsia="宋体" w:hint="default"/>
                <w:sz w:val="18"/>
                <w:szCs w:val="18"/>
              </w:rPr>
              <w:t>元，本次募集资金净额为 </w:t>
            </w:r>
            <w:r>
              <w:rPr>
                <w:rFonts w:ascii="Times New Roman" w:hAnsi="Times New Roman" w:cs="Times New Roman" w:eastAsia="Times New Roman" w:hint="default"/>
                <w:sz w:val="18"/>
                <w:szCs w:val="18"/>
              </w:rPr>
              <w:t>1,388,112,034.12  </w:t>
            </w:r>
            <w:r>
              <w:rPr>
                <w:rFonts w:ascii="宋体" w:hAnsi="宋体" w:cs="宋体" w:eastAsia="宋体" w:hint="default"/>
                <w:sz w:val="18"/>
                <w:szCs w:val="18"/>
              </w:rPr>
              <w:t>元。该项募集资金已于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日到账，并</w:t>
            </w:r>
          </w:p>
          <w:p>
            <w:pPr>
              <w:pStyle w:val="TableParagraph"/>
              <w:spacing w:line="312" w:lineRule="auto" w:before="63"/>
              <w:ind w:left="24" w:right="18"/>
              <w:jc w:val="both"/>
              <w:rPr>
                <w:rFonts w:ascii="宋体" w:hAnsi="宋体" w:cs="宋体" w:eastAsia="宋体" w:hint="default"/>
                <w:sz w:val="18"/>
                <w:szCs w:val="18"/>
              </w:rPr>
            </w:pPr>
            <w:r>
              <w:rPr>
                <w:rFonts w:ascii="宋体" w:hAnsi="宋体" w:cs="宋体" w:eastAsia="宋体" w:hint="default"/>
                <w:spacing w:val="-3"/>
                <w:sz w:val="18"/>
                <w:szCs w:val="18"/>
              </w:rPr>
              <w:t>经大信会计师事务所（特殊普通合伙）审验，出具了《验资报告》（大信验字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第</w:t>
            </w:r>
            <w:r>
              <w:rPr>
                <w:rFonts w:ascii="宋体" w:hAnsi="宋体" w:cs="宋体" w:eastAsia="宋体" w:hint="default"/>
                <w:spacing w:val="7"/>
                <w:sz w:val="18"/>
                <w:szCs w:val="18"/>
              </w:rPr>
              <w:t> </w:t>
            </w:r>
            <w:r>
              <w:rPr>
                <w:rFonts w:ascii="Times New Roman" w:hAnsi="Times New Roman" w:cs="Times New Roman" w:eastAsia="Times New Roman" w:hint="default"/>
                <w:spacing w:val="-1"/>
                <w:sz w:val="18"/>
                <w:szCs w:val="18"/>
              </w:rPr>
              <w:t>5-00045</w:t>
            </w:r>
            <w:r>
              <w:rPr>
                <w:rFonts w:ascii="Times New Roman" w:hAnsi="Times New Roman" w:cs="Times New Roman" w:eastAsia="Times New Roman" w:hint="default"/>
                <w:spacing w:val="9"/>
                <w:sz w:val="18"/>
                <w:szCs w:val="18"/>
              </w:rPr>
              <w:t> </w:t>
            </w:r>
            <w:r>
              <w:rPr>
                <w:rFonts w:ascii="宋体" w:hAnsi="宋体" w:cs="宋体" w:eastAsia="宋体" w:hint="default"/>
                <w:spacing w:val="-9"/>
                <w:sz w:val="18"/>
                <w:szCs w:val="18"/>
              </w:rPr>
              <w:t>号）。公司按照中国证券监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督管理委员会和深圳证券交易所关于募集资金存储和使用的相关规定和要求存储和使用募集资金。公司募集资金实行专户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存储，并与银行及保荐机构签订了募集资金三方监管协议。募集资金使用过程中严格履行相应的申请和审批程序，充分接</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受保荐机构、独立董事以及公司监事会的监督。</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0"/>
        <w:gridCol w:w="781"/>
        <w:gridCol w:w="780"/>
      </w:tblGrid>
      <w:tr>
        <w:trPr>
          <w:trHeight w:val="133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东莞市美盈森环保科 技有限公司环保包装</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42,059.37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40,095.66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11,282.61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8.1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36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生产建设项目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环保轻型包装生产线 技术改造项目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2,992.93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2,604.04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包装物流一体化项目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6,706.48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2,335.35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项目结余募集资金永 久补充流动资金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3,654.75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51,758.78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48,689.8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48,689.8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w w:val="95"/>
                            <w:sz w:val="18"/>
                          </w:rPr>
                          <w:t>11,282.61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苏州美盈森现代化环 保包装生产基地项目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27,878.38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9,893.46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重庆美盈森现代化环 保包装物流综合基地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低碳环保包装研发总 部基地项目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2,705.34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108.20%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美盈森（成都）现代化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环保包装生产基地项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1,276.79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49"/>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6,705.65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6,705.65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65,652.13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13,456.96</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114,859.8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609.06</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w w:val="95"/>
                            <w:sz w:val="18"/>
                          </w:rPr>
                          <w:t>114,341.9</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24,739.57</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10"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10"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409"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）包装物流一体化项目，因项目实施的可行性发生变化，公司已履行必要审批程序终止该项目</w:t>
                        </w:r>
                      </w:p>
                      <w:p>
                        <w:pPr>
                          <w:pStyle w:val="TableParagraph"/>
                          <w:spacing w:line="304" w:lineRule="auto" w:before="63"/>
                          <w:ind w:left="16" w:right="2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）低碳环保包装研发总部基地项目目前处于施工建设阶段；美盈森（成都）现代化环保包装生产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基地项目部分基建工程处于建设阶段。注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：东莞市美盈森环保科技有限公司环保包装生产建设项 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40,095.66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月底投产试运行，逐步达到预定可使用状态，产量逐年释 放，新客户开发卓有成效，实现利润持续快速增长，有效提升了公司的市场知名度和综合竞争力。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：环保轻型包装生产线技术改造项目无法单独计算效益，主要系技改设备产出的产品类别原因 无法单独计算收益所致。注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：苏州美盈森环保科技有限公司环保包装生产建设项目系公司超募资 金投资建设项目，该项目实际投资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月投产试运行，逐步达到预定可使 用状态，产量逐年释放，新客户开发卓有成效，实现利润快速增长，有效提升了公司的市场知名度 </w:t>
                        </w:r>
                        <w:r>
                          <w:rPr>
                            <w:rFonts w:ascii="宋体" w:hAnsi="宋体" w:cs="宋体" w:eastAsia="宋体" w:hint="default"/>
                            <w:spacing w:val="-3"/>
                            <w:sz w:val="18"/>
                            <w:szCs w:val="18"/>
                          </w:rPr>
                          <w:t>和综合竞争力。注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：重庆美盈森现代化环保包装物流综合基地项目系公司超募资金投资建设项目 该项目实际投资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27,085.97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月投产试运行，逐步达到预定可使用状态，产能陆续 释放，实现利润增长，取得良好经济效益，有效提升了公司的综合竞争力。</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40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98"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both"/>
                          <w:rPr>
                            <w:rFonts w:ascii="宋体" w:hAnsi="宋体" w:cs="宋体" w:eastAsia="宋体" w:hint="default"/>
                            <w:sz w:val="18"/>
                            <w:szCs w:val="18"/>
                          </w:rPr>
                        </w:pP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继续实施的可行性发生变化，经过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年度第一次临时股东大会批准，公</w:t>
                        </w:r>
                        <w:r>
                          <w:rPr>
                            <w:rFonts w:ascii="宋体" w:hAnsi="宋体" w:cs="宋体" w:eastAsia="宋体" w:hint="default"/>
                            <w:sz w:val="18"/>
                            <w:szCs w:val="18"/>
                          </w:rPr>
                          <w:t> 司已决定终止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的继续实施，对该募投项目进行变更。项目继续实施的可行性 </w:t>
                        </w:r>
                        <w:r>
                          <w:rPr>
                            <w:rFonts w:ascii="宋体" w:hAnsi="宋体" w:cs="宋体" w:eastAsia="宋体" w:hint="default"/>
                            <w:spacing w:val="-3"/>
                            <w:sz w:val="18"/>
                            <w:szCs w:val="18"/>
                          </w:rPr>
                          <w:t>发生变化原因如下：（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）上市以来，公司通过增加物流运输设备、优化物流配送调度、精确掌握客</w:t>
                        </w:r>
                        <w:r>
                          <w:rPr>
                            <w:rFonts w:ascii="宋体" w:hAnsi="宋体" w:cs="宋体" w:eastAsia="宋体" w:hint="default"/>
                            <w:spacing w:val="-49"/>
                            <w:sz w:val="18"/>
                            <w:szCs w:val="18"/>
                          </w:rPr>
                          <w:t> </w:t>
                        </w:r>
                        <w:r>
                          <w:rPr>
                            <w:rFonts w:ascii="宋体" w:hAnsi="宋体" w:cs="宋体" w:eastAsia="宋体" w:hint="default"/>
                            <w:sz w:val="18"/>
                            <w:szCs w:val="18"/>
                          </w:rPr>
                          <w:t>户下单计划等，较大程度上提升物流配送体系的效能，更好的实现及时响应能力。鉴于此，并依据</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298"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16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59"/>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both"/>
              <w:rPr>
                <w:rFonts w:ascii="宋体" w:hAnsi="宋体" w:cs="宋体" w:eastAsia="宋体" w:hint="default"/>
                <w:sz w:val="18"/>
                <w:szCs w:val="18"/>
              </w:rPr>
            </w:pPr>
            <w:r>
              <w:rPr>
                <w:rFonts w:ascii="宋体" w:hAnsi="宋体" w:cs="宋体" w:eastAsia="宋体" w:hint="default"/>
                <w:spacing w:val="-3"/>
                <w:sz w:val="18"/>
                <w:szCs w:val="18"/>
              </w:rPr>
              <w:t>客户布局调整、产品所需包材种类以及充分考虑包装一体化成本结构，公司原计划设置</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座仓库的</w:t>
            </w:r>
            <w:r>
              <w:rPr>
                <w:rFonts w:ascii="宋体" w:hAnsi="宋体" w:cs="宋体" w:eastAsia="宋体" w:hint="default"/>
                <w:spacing w:val="-87"/>
                <w:sz w:val="18"/>
                <w:szCs w:val="18"/>
              </w:rPr>
              <w:t> </w:t>
            </w:r>
            <w:r>
              <w:rPr>
                <w:rFonts w:ascii="宋体" w:hAnsi="宋体" w:cs="宋体" w:eastAsia="宋体" w:hint="default"/>
                <w:spacing w:val="-3"/>
                <w:sz w:val="18"/>
                <w:szCs w:val="18"/>
              </w:rPr>
              <w:t>方案需要调整。（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）减少仓库配置同时，相应的流动资金需求减少。鉴于上述原因，公司决定调整</w:t>
            </w:r>
            <w:r>
              <w:rPr>
                <w:rFonts w:ascii="宋体" w:hAnsi="宋体" w:cs="宋体" w:eastAsia="宋体" w:hint="default"/>
                <w:spacing w:val="-49"/>
                <w:sz w:val="18"/>
                <w:szCs w:val="18"/>
              </w:rPr>
              <w:t> </w:t>
            </w:r>
            <w:r>
              <w:rPr>
                <w:rFonts w:ascii="宋体" w:hAnsi="宋体" w:cs="宋体" w:eastAsia="宋体" w:hint="default"/>
                <w:sz w:val="18"/>
                <w:szCs w:val="18"/>
              </w:rPr>
              <w:t>包装一体化项目原有投资计划，以更好的适应公司发展需要，并提高募集资金使用效率。</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公司首次公开发行股票共超募资金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具体投</w:t>
            </w:r>
            <w:r>
              <w:rPr>
                <w:rFonts w:ascii="宋体" w:hAnsi="宋体" w:cs="宋体" w:eastAsia="宋体" w:hint="default"/>
                <w:spacing w:val="-3"/>
                <w:sz w:val="18"/>
                <w:szCs w:val="18"/>
              </w:rPr>
              <w:t>资</w:t>
            </w:r>
            <w:r>
              <w:rPr>
                <w:rFonts w:ascii="宋体" w:hAnsi="宋体" w:cs="宋体" w:eastAsia="宋体" w:hint="default"/>
                <w:sz w:val="18"/>
                <w:szCs w:val="18"/>
              </w:rPr>
              <w:t>情况如下</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公司共计投资</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万元募集资金（其中超募资金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25,000.00 </w:t>
            </w:r>
            <w:r>
              <w:rPr>
                <w:rFonts w:ascii="宋体" w:hAnsi="宋体" w:cs="宋体" w:eastAsia="宋体" w:hint="default"/>
                <w:sz w:val="18"/>
                <w:szCs w:val="18"/>
              </w:rPr>
              <w:t>万元，经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年度第一次临时股东大会批准）用于全资子 </w:t>
            </w:r>
            <w:r>
              <w:rPr>
                <w:rFonts w:ascii="宋体" w:hAnsi="宋体" w:cs="宋体" w:eastAsia="宋体" w:hint="default"/>
                <w:spacing w:val="-5"/>
                <w:w w:val="100"/>
                <w:sz w:val="18"/>
                <w:szCs w:val="18"/>
              </w:rPr>
              <w:t>公司苏州美盈森环保科技有限公司实施的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现代化环保包装生产基地项目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2</w:t>
            </w:r>
            <w:r>
              <w:rPr>
                <w:rFonts w:ascii="宋体" w:hAnsi="宋体" w:cs="宋体" w:eastAsia="宋体" w:hint="default"/>
                <w:spacing w:val="-5"/>
                <w:w w:val="100"/>
                <w:sz w:val="18"/>
                <w:szCs w:val="18"/>
              </w:rPr>
              <w:t>）经</w:t>
            </w:r>
            <w:r>
              <w:rPr>
                <w:rFonts w:ascii="宋体" w:hAnsi="宋体" w:cs="宋体" w:eastAsia="宋体" w:hint="default"/>
                <w:spacing w:val="-31"/>
                <w:w w:val="10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年度第二次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临时股东大会和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年度第一次临时股东大会批准，公司共计投资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28,000.00 </w:t>
            </w:r>
            <w:r>
              <w:rPr>
                <w:rFonts w:ascii="宋体" w:hAnsi="宋体" w:cs="宋体" w:eastAsia="宋体" w:hint="default"/>
                <w:sz w:val="18"/>
                <w:szCs w:val="18"/>
              </w:rPr>
              <w:t>万元超募资金用于全 </w:t>
            </w:r>
            <w:r>
              <w:rPr>
                <w:rFonts w:ascii="宋体" w:hAnsi="宋体" w:cs="宋体" w:eastAsia="宋体" w:hint="default"/>
                <w:spacing w:val="-2"/>
                <w:w w:val="100"/>
                <w:sz w:val="18"/>
                <w:szCs w:val="18"/>
              </w:rPr>
              <w:t>资子公司重庆市美盈森环保包装工程有限公司实施的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现代化环保包装物流综合基地项目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3</w:t>
            </w:r>
            <w:r>
              <w:rPr>
                <w:rFonts w:ascii="宋体" w:hAnsi="宋体" w:cs="宋体" w:eastAsia="宋体" w:hint="default"/>
                <w:spacing w:val="-2"/>
                <w:w w:val="100"/>
                <w:sz w:val="18"/>
                <w:szCs w:val="18"/>
              </w:rPr>
              <w:t>）经</w:t>
            </w:r>
            <w:r>
              <w:rPr>
                <w:rFonts w:ascii="宋体" w:hAnsi="宋体" w:cs="宋体" w:eastAsia="宋体" w:hint="default"/>
                <w:sz w:val="18"/>
                <w:szCs w:val="18"/>
              </w:rPr>
              <w:t> </w:t>
            </w:r>
            <w:r>
              <w:rPr>
                <w:rFonts w:ascii="宋体" w:hAnsi="宋体" w:cs="宋体" w:eastAsia="宋体" w:hint="default"/>
                <w:spacing w:val="-4"/>
                <w:sz w:val="18"/>
                <w:szCs w:val="18"/>
              </w:rPr>
              <w:t>第一届董事会第十九次临时会议批准，公司投资</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2,500.00</w:t>
            </w:r>
            <w:r>
              <w:rPr>
                <w:rFonts w:ascii="Times New Roman" w:hAnsi="Times New Roman" w:cs="Times New Roman" w:eastAsia="Times New Roman" w:hint="default"/>
                <w:spacing w:val="14"/>
                <w:sz w:val="18"/>
                <w:szCs w:val="18"/>
              </w:rPr>
              <w:t> </w:t>
            </w:r>
            <w:r>
              <w:rPr>
                <w:rFonts w:ascii="宋体" w:hAnsi="宋体" w:cs="宋体" w:eastAsia="宋体" w:hint="default"/>
                <w:spacing w:val="-1"/>
                <w:w w:val="100"/>
                <w:sz w:val="18"/>
                <w:szCs w:val="18"/>
              </w:rPr>
              <w:t>万元超募资金用于投资新建</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低碳环保包装</w:t>
            </w:r>
            <w:r>
              <w:rPr>
                <w:rFonts w:ascii="宋体" w:hAnsi="宋体" w:cs="宋体" w:eastAsia="宋体" w:hint="default"/>
                <w:spacing w:val="-86"/>
                <w:w w:val="100"/>
                <w:sz w:val="18"/>
                <w:szCs w:val="18"/>
              </w:rPr>
              <w:t> </w:t>
            </w:r>
            <w:r>
              <w:rPr>
                <w:rFonts w:ascii="宋体" w:hAnsi="宋体" w:cs="宋体" w:eastAsia="宋体" w:hint="default"/>
                <w:spacing w:val="-6"/>
                <w:w w:val="100"/>
                <w:sz w:val="18"/>
                <w:szCs w:val="18"/>
              </w:rPr>
              <w:t>研发总部基地项目</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w:t>
            </w:r>
            <w:r>
              <w:rPr>
                <w:rFonts w:ascii="Times New Roman" w:hAnsi="Times New Roman" w:cs="Times New Roman" w:eastAsia="Times New Roman" w:hint="default"/>
                <w:spacing w:val="-6"/>
                <w:w w:val="100"/>
                <w:sz w:val="18"/>
                <w:szCs w:val="18"/>
              </w:rPr>
              <w:t>4</w:t>
            </w:r>
            <w:r>
              <w:rPr>
                <w:rFonts w:ascii="宋体" w:hAnsi="宋体" w:cs="宋体" w:eastAsia="宋体" w:hint="default"/>
                <w:spacing w:val="-6"/>
                <w:w w:val="100"/>
                <w:sz w:val="18"/>
                <w:szCs w:val="18"/>
              </w:rPr>
              <w:t>）经第二届董事会第七次会议批准，公司投资</w:t>
            </w:r>
            <w:r>
              <w:rPr>
                <w:rFonts w:ascii="宋体" w:hAnsi="宋体" w:cs="宋体" w:eastAsia="宋体" w:hint="default"/>
                <w:spacing w:val="-33"/>
                <w:w w:val="100"/>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万元超募资金用于设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w w:val="100"/>
                <w:sz w:val="18"/>
                <w:szCs w:val="18"/>
              </w:rPr>
              <w:t>立成都市美盈森环保科技有限公司以实施</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美盈森（成都）现代化环保包装生产基地项目</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5</w:t>
            </w:r>
            <w:r>
              <w:rPr>
                <w:rFonts w:ascii="宋体" w:hAnsi="宋体" w:cs="宋体" w:eastAsia="宋体" w:hint="default"/>
                <w:spacing w:val="-2"/>
                <w:w w:val="100"/>
                <w:sz w:val="18"/>
                <w:szCs w:val="18"/>
              </w:rPr>
              <w:t>）经</w:t>
            </w:r>
            <w:r>
              <w:rPr>
                <w:rFonts w:ascii="宋体" w:hAnsi="宋体" w:cs="宋体" w:eastAsia="宋体" w:hint="default"/>
                <w:sz w:val="18"/>
                <w:szCs w:val="18"/>
              </w:rPr>
              <w:t> </w:t>
            </w:r>
            <w:r>
              <w:rPr>
                <w:rFonts w:ascii="宋体" w:hAnsi="宋体" w:cs="宋体" w:eastAsia="宋体" w:hint="default"/>
                <w:spacing w:val="-4"/>
                <w:sz w:val="18"/>
                <w:szCs w:val="18"/>
              </w:rPr>
              <w:t>第三届董事会第二十次（临时）会议审议和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年第三次临时股东大会批准，公司将募集资金账户</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尚未有明确使用用途的超募资金余额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3,066.02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万元永久补充流动资金。</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公司已终止</w:t>
            </w:r>
            <w:r>
              <w:rPr>
                <w:rFonts w:ascii="Times New Roman" w:hAnsi="Times New Roman" w:cs="Times New Roman" w:eastAsia="Times New Roman" w:hint="default"/>
                <w:sz w:val="18"/>
                <w:szCs w:val="18"/>
              </w:rPr>
              <w:t>“</w:t>
            </w:r>
            <w:r>
              <w:rPr>
                <w:rFonts w:ascii="宋体" w:hAnsi="宋体" w:cs="宋体" w:eastAsia="宋体" w:hint="default"/>
                <w:sz w:val="18"/>
                <w:szCs w:val="18"/>
              </w:rPr>
              <w:t>包装一体化项目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的继续实施，并将剩余资金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4,371.13 </w:t>
            </w:r>
            <w:r>
              <w:rPr>
                <w:rFonts w:ascii="宋体" w:hAnsi="宋体" w:cs="宋体" w:eastAsia="宋体" w:hint="default"/>
                <w:sz w:val="18"/>
                <w:szCs w:val="18"/>
              </w:rPr>
              <w:t>万元增资全资子公司苏州美盈森 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以弥补苏州一期项目设备款、工程 款、运营资金等的不足。</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在首次公开发行股票募集资金到位前，公司根据生产经营的需要，利用自有资金先期投入募集资金 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万元。募集资金到位后，公司第一届董事会第十二次会议审议通过了《关于使用募集 </w:t>
            </w:r>
            <w:r>
              <w:rPr>
                <w:rFonts w:ascii="宋体" w:hAnsi="宋体" w:cs="宋体" w:eastAsia="宋体" w:hint="default"/>
                <w:spacing w:val="-5"/>
                <w:sz w:val="18"/>
                <w:szCs w:val="18"/>
              </w:rPr>
              <w:t>资金置换预先已投入募集资金项目的自筹资金的议案》，并由保荐机构国信证券股份有限公司出具了</w:t>
            </w:r>
          </w:p>
          <w:p>
            <w:pPr>
              <w:pStyle w:val="TableParagraph"/>
              <w:spacing w:line="316" w:lineRule="auto" w:before="24"/>
              <w:ind w:left="24" w:right="22"/>
              <w:jc w:val="both"/>
              <w:rPr>
                <w:rFonts w:ascii="宋体" w:hAnsi="宋体" w:cs="宋体" w:eastAsia="宋体" w:hint="default"/>
                <w:sz w:val="18"/>
                <w:szCs w:val="18"/>
              </w:rPr>
            </w:pPr>
            <w:r>
              <w:rPr>
                <w:rFonts w:ascii="宋体" w:hAnsi="宋体" w:cs="宋体" w:eastAsia="宋体" w:hint="default"/>
                <w:sz w:val="18"/>
                <w:szCs w:val="18"/>
              </w:rPr>
              <w:t>《关于深圳市美盈森环保科技股份有限公司首次公开发行股票募集资金使用情况的专项意见</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大信</w:t>
            </w:r>
            <w:r>
              <w:rPr>
                <w:rFonts w:ascii="宋体" w:hAnsi="宋体" w:cs="宋体" w:eastAsia="宋体" w:hint="default"/>
                <w:sz w:val="18"/>
                <w:szCs w:val="18"/>
              </w:rPr>
              <w:t> 会计师事务有限公司出具了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大信专审字</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09</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35"/>
                <w:w w:val="10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专项审核报告</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报告期内公司以募集</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资金置换先期投入募集资金金额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7,417.50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4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）公司募集资金投资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环保轻型包装生产线技术改造项目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已实施完毕，公司通过规模集约化采购</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有效控制成本，截至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日，尚结余募集资金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万元。公司第二届董事会第十三</w:t>
            </w:r>
          </w:p>
          <w:p>
            <w:pPr>
              <w:pStyle w:val="TableParagraph"/>
              <w:spacing w:line="300" w:lineRule="auto" w:before="13"/>
              <w:ind w:left="24" w:right="20"/>
              <w:jc w:val="both"/>
              <w:rPr>
                <w:rFonts w:ascii="宋体" w:hAnsi="宋体" w:cs="宋体" w:eastAsia="宋体" w:hint="default"/>
                <w:sz w:val="18"/>
                <w:szCs w:val="18"/>
              </w:rPr>
            </w:pPr>
            <w:r>
              <w:rPr>
                <w:rFonts w:ascii="宋体" w:hAnsi="宋体" w:cs="宋体" w:eastAsia="宋体" w:hint="default"/>
                <w:spacing w:val="-11"/>
                <w:sz w:val="18"/>
                <w:szCs w:val="18"/>
              </w:rPr>
              <w:t>次（临时）会议和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年第一次临时股东大会已决议将该部分剩余资金增资苏州美盈森环保科技有 </w:t>
            </w:r>
            <w:r>
              <w:rPr>
                <w:rFonts w:ascii="宋体" w:hAnsi="宋体" w:cs="宋体" w:eastAsia="宋体" w:hint="default"/>
                <w:spacing w:val="-3"/>
                <w:w w:val="100"/>
                <w:sz w:val="18"/>
                <w:szCs w:val="18"/>
              </w:rPr>
              <w:t>限公司用于其实施的</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现代化环保生产基地项目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）公司募投项目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东莞市美盈森环保科技有</w:t>
            </w:r>
            <w:r>
              <w:rPr>
                <w:rFonts w:ascii="宋体" w:hAnsi="宋体" w:cs="宋体" w:eastAsia="宋体" w:hint="default"/>
                <w:spacing w:val="-49"/>
                <w:w w:val="100"/>
                <w:sz w:val="18"/>
                <w:szCs w:val="18"/>
              </w:rPr>
              <w:t> </w:t>
            </w:r>
            <w:r>
              <w:rPr>
                <w:rFonts w:ascii="宋体" w:hAnsi="宋体" w:cs="宋体" w:eastAsia="宋体" w:hint="default"/>
                <w:sz w:val="18"/>
                <w:szCs w:val="18"/>
              </w:rPr>
              <w:t>限公司环保包装生产建设项目已实施完毕，该项目计划总投资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42,059.37</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万元，公司通过规模集约化</w:t>
            </w:r>
          </w:p>
          <w:p>
            <w:pPr>
              <w:pStyle w:val="TableParagraph"/>
              <w:spacing w:line="300" w:lineRule="auto" w:before="13"/>
              <w:ind w:left="24" w:right="19"/>
              <w:jc w:val="both"/>
              <w:rPr>
                <w:rFonts w:ascii="宋体" w:hAnsi="宋体" w:cs="宋体" w:eastAsia="宋体" w:hint="default"/>
                <w:sz w:val="18"/>
                <w:szCs w:val="18"/>
              </w:rPr>
            </w:pPr>
            <w:r>
              <w:rPr>
                <w:rFonts w:ascii="宋体" w:hAnsi="宋体" w:cs="宋体" w:eastAsia="宋体" w:hint="default"/>
                <w:spacing w:val="-9"/>
                <w:sz w:val="18"/>
                <w:szCs w:val="18"/>
              </w:rPr>
              <w:t>采购有效控制成本，截至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pacing w:val="-10"/>
                <w:sz w:val="18"/>
                <w:szCs w:val="18"/>
              </w:rPr>
              <w:t>日，该项目已累计投入</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40,095.66</w:t>
            </w:r>
            <w:r>
              <w:rPr>
                <w:rFonts w:ascii="Times New Roman" w:hAnsi="Times New Roman" w:cs="Times New Roman" w:eastAsia="Times New Roman" w:hint="default"/>
                <w:spacing w:val="-9"/>
                <w:sz w:val="18"/>
                <w:szCs w:val="18"/>
              </w:rPr>
              <w:t> </w:t>
            </w:r>
            <w:r>
              <w:rPr>
                <w:rFonts w:ascii="宋体" w:hAnsi="宋体" w:cs="宋体" w:eastAsia="宋体" w:hint="default"/>
                <w:spacing w:val="-11"/>
                <w:sz w:val="18"/>
                <w:szCs w:val="18"/>
              </w:rPr>
              <w:t>万元，节余募集资金</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3,654.75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）公司超募项目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苏州美盈森现代化环保包装生产基地项目已实施完毕，该项目计划总</w:t>
            </w:r>
            <w:r>
              <w:rPr>
                <w:rFonts w:ascii="宋体" w:hAnsi="宋体" w:cs="宋体" w:eastAsia="宋体" w:hint="default"/>
                <w:spacing w:val="-49"/>
                <w:sz w:val="18"/>
                <w:szCs w:val="18"/>
              </w:rPr>
              <w:t> </w:t>
            </w:r>
            <w:r>
              <w:rPr>
                <w:rFonts w:ascii="宋体" w:hAnsi="宋体" w:cs="宋体" w:eastAsia="宋体" w:hint="default"/>
                <w:sz w:val="18"/>
                <w:szCs w:val="18"/>
              </w:rPr>
              <w:t>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29,781.14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万元，公司通过规模集约化采购有效控制成本，截至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日，该项目已投</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92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29"/>
                <w:sz w:val="18"/>
                <w:szCs w:val="18"/>
              </w:rPr>
              <w:t>，</w:t>
            </w:r>
            <w:r>
              <w:rPr>
                <w:rFonts w:ascii="宋体" w:hAnsi="宋体" w:cs="宋体" w:eastAsia="宋体" w:hint="default"/>
                <w:sz w:val="18"/>
                <w:szCs w:val="18"/>
              </w:rPr>
              <w:t>节余募集</w:t>
            </w:r>
            <w:r>
              <w:rPr>
                <w:rFonts w:ascii="宋体" w:hAnsi="宋体" w:cs="宋体" w:eastAsia="宋体" w:hint="default"/>
                <w:spacing w:val="-3"/>
                <w:sz w:val="18"/>
                <w:szCs w:val="18"/>
              </w:rPr>
              <w:t>资</w:t>
            </w:r>
            <w:r>
              <w:rPr>
                <w:rFonts w:ascii="宋体" w:hAnsi="宋体" w:cs="宋体" w:eastAsia="宋体" w:hint="default"/>
                <w:sz w:val="18"/>
                <w:szCs w:val="18"/>
              </w:rPr>
              <w:t>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29"/>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超</w:t>
            </w:r>
            <w:r>
              <w:rPr>
                <w:rFonts w:ascii="宋体" w:hAnsi="宋体" w:cs="宋体" w:eastAsia="宋体" w:hint="default"/>
                <w:sz w:val="18"/>
                <w:szCs w:val="18"/>
              </w:rPr>
              <w:t>募项</w:t>
            </w:r>
            <w:r>
              <w:rPr>
                <w:rFonts w:ascii="宋体" w:hAnsi="宋体" w:cs="宋体" w:eastAsia="宋体" w:hint="default"/>
                <w:spacing w:val="-1"/>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重庆美盈森现代化环保包装</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物流综合基地项目已实施完毕，该项目计划总投资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万元，公司通过规模集约化采购有效控制</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5"/>
                <w:sz w:val="18"/>
                <w:szCs w:val="18"/>
              </w:rPr>
              <w:t>成本，截至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日，该项目已投入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27,085.97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1,298.26</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万元。公司第</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三届董事会第四次会议和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年度股东大会审议通过了《关于部分募集资金项目完成后节余资金变</w:t>
            </w:r>
            <w:r>
              <w:rPr>
                <w:rFonts w:ascii="宋体" w:hAnsi="宋体" w:cs="宋体" w:eastAsia="宋体" w:hint="default"/>
                <w:sz w:val="18"/>
                <w:szCs w:val="18"/>
              </w:rPr>
              <w:t> </w:t>
            </w:r>
            <w:r>
              <w:rPr>
                <w:rFonts w:ascii="宋体" w:hAnsi="宋体" w:cs="宋体" w:eastAsia="宋体" w:hint="default"/>
                <w:spacing w:val="-5"/>
                <w:sz w:val="18"/>
                <w:szCs w:val="18"/>
              </w:rPr>
              <w:t>更为永久补充流动资金的议案》，决议将上述东莞、苏州及重庆项目节余募集资金变更为永久补充流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动资金。考虑利息因素，实际变更为永久补充流动资金金额以转入自有资金账户当日金额为准。</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日，尚未使用的募集资金存放在募集资金专户中，将用于超募资金投资项目的</w:t>
            </w:r>
            <w:r>
              <w:rPr>
                <w:rFonts w:ascii="宋体" w:hAnsi="宋体" w:cs="宋体" w:eastAsia="宋体" w:hint="default"/>
                <w:sz w:val="18"/>
                <w:szCs w:val="18"/>
              </w:rPr>
              <w:t> 投资。</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 非公开发行募集资金承诺项目情况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571"/>
        <w:jc w:val="right"/>
      </w:pPr>
      <w:r>
        <w:rPr/>
        <w:t>单位：人民币万元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25"/>
        <w:gridCol w:w="708"/>
        <w:gridCol w:w="418"/>
        <w:gridCol w:w="293"/>
        <w:gridCol w:w="708"/>
        <w:gridCol w:w="559"/>
        <w:gridCol w:w="149"/>
        <w:gridCol w:w="770"/>
        <w:gridCol w:w="790"/>
        <w:gridCol w:w="842"/>
        <w:gridCol w:w="566"/>
        <w:gridCol w:w="276"/>
        <w:gridCol w:w="709"/>
        <w:gridCol w:w="818"/>
      </w:tblGrid>
      <w:tr>
        <w:trPr>
          <w:trHeight w:val="346" w:hRule="exact"/>
        </w:trPr>
        <w:tc>
          <w:tcPr>
            <w:tcW w:w="3051"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138,811.20</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80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5" w:right="0"/>
              <w:jc w:val="left"/>
              <w:rPr>
                <w:rFonts w:ascii="Times New Roman" w:hAnsi="Times New Roman" w:cs="Times New Roman" w:eastAsia="Times New Roman" w:hint="default"/>
                <w:sz w:val="18"/>
                <w:szCs w:val="18"/>
              </w:rPr>
            </w:pPr>
            <w:r>
              <w:rPr>
                <w:rFonts w:ascii="Times New Roman"/>
                <w:sz w:val="18"/>
              </w:rPr>
              <w:t>18,158.54</w:t>
            </w:r>
          </w:p>
        </w:tc>
      </w:tr>
      <w:tr>
        <w:trPr>
          <w:trHeight w:val="348" w:hRule="exact"/>
        </w:trPr>
        <w:tc>
          <w:tcPr>
            <w:tcW w:w="3051"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67" w:right="0"/>
              <w:jc w:val="left"/>
              <w:rPr>
                <w:rFonts w:ascii="宋体" w:hAnsi="宋体" w:cs="宋体" w:eastAsia="宋体" w:hint="default"/>
                <w:sz w:val="9"/>
                <w:szCs w:val="9"/>
              </w:rPr>
            </w:pPr>
            <w:r>
              <w:rPr>
                <w:rFonts w:ascii="Times New Roman" w:hAnsi="Times New Roman" w:cs="Times New Roman" w:eastAsia="Times New Roman" w:hint="default"/>
                <w:sz w:val="18"/>
                <w:szCs w:val="18"/>
              </w:rPr>
              <w:t>93,811.09</w:t>
            </w:r>
            <w:r>
              <w:rPr>
                <w:rFonts w:ascii="宋体" w:hAnsi="宋体" w:cs="宋体" w:eastAsia="宋体" w:hint="default"/>
                <w:position w:val="9"/>
                <w:sz w:val="9"/>
                <w:szCs w:val="9"/>
              </w:rPr>
              <w:t>注</w:t>
            </w:r>
            <w:r>
              <w:rPr>
                <w:rFonts w:ascii="宋体" w:hAnsi="宋体" w:cs="宋体" w:eastAsia="宋体" w:hint="default"/>
                <w:sz w:val="9"/>
                <w:szCs w:val="9"/>
              </w:rPr>
            </w:r>
          </w:p>
        </w:tc>
        <w:tc>
          <w:tcPr>
            <w:tcW w:w="3118" w:type="dxa"/>
            <w:gridSpan w:val="5"/>
            <w:vMerge w:val="restart"/>
            <w:tcBorders>
              <w:top w:val="single" w:sz="6" w:space="0" w:color="000000"/>
              <w:left w:val="single" w:sz="6" w:space="0" w:color="000000"/>
              <w:right w:val="single" w:sz="6" w:space="0" w:color="000000"/>
            </w:tcBorders>
            <w:shd w:val="clear" w:color="auto" w:fill="DCDCD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803" w:type="dxa"/>
            <w:gridSpan w:val="3"/>
            <w:vMerge w:val="restart"/>
            <w:tcBorders>
              <w:top w:val="single" w:sz="6" w:space="0" w:color="000000"/>
              <w:left w:val="single" w:sz="6" w:space="0" w:color="000000"/>
              <w:right w:val="single" w:sz="6" w:space="0" w:color="000000"/>
            </w:tcBorders>
          </w:tcPr>
          <w:p>
            <w:pPr>
              <w:pStyle w:val="TableParagraph"/>
              <w:spacing w:line="240" w:lineRule="auto" w:before="62"/>
              <w:ind w:left="535" w:right="0"/>
              <w:jc w:val="left"/>
              <w:rPr>
                <w:rFonts w:ascii="Times New Roman" w:hAnsi="Times New Roman" w:cs="Times New Roman" w:eastAsia="Times New Roman" w:hint="default"/>
                <w:sz w:val="18"/>
                <w:szCs w:val="18"/>
              </w:rPr>
            </w:pPr>
            <w:r>
              <w:rPr>
                <w:rFonts w:ascii="Times New Roman"/>
                <w:sz w:val="18"/>
              </w:rPr>
              <w:t>18,158.59</w:t>
            </w:r>
          </w:p>
        </w:tc>
      </w:tr>
      <w:tr>
        <w:trPr>
          <w:trHeight w:val="346" w:hRule="exact"/>
        </w:trPr>
        <w:tc>
          <w:tcPr>
            <w:tcW w:w="3051"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2" w:right="0"/>
              <w:jc w:val="left"/>
              <w:rPr>
                <w:rFonts w:ascii="Times New Roman" w:hAnsi="Times New Roman" w:cs="Times New Roman" w:eastAsia="Times New Roman" w:hint="default"/>
                <w:sz w:val="18"/>
                <w:szCs w:val="18"/>
              </w:rPr>
            </w:pPr>
            <w:r>
              <w:rPr>
                <w:rFonts w:ascii="Times New Roman"/>
                <w:sz w:val="18"/>
              </w:rPr>
              <w:t>93,811.09</w:t>
            </w:r>
          </w:p>
        </w:tc>
        <w:tc>
          <w:tcPr>
            <w:tcW w:w="3118" w:type="dxa"/>
            <w:gridSpan w:val="5"/>
            <w:vMerge/>
            <w:tcBorders>
              <w:left w:val="single" w:sz="6" w:space="0" w:color="000000"/>
              <w:right w:val="single" w:sz="6" w:space="0" w:color="000000"/>
            </w:tcBorders>
            <w:shd w:val="clear" w:color="auto" w:fill="DCDCDC"/>
          </w:tcPr>
          <w:p>
            <w:pPr/>
          </w:p>
        </w:tc>
        <w:tc>
          <w:tcPr>
            <w:tcW w:w="1803" w:type="dxa"/>
            <w:gridSpan w:val="3"/>
            <w:vMerge/>
            <w:tcBorders>
              <w:left w:val="single" w:sz="6" w:space="0" w:color="000000"/>
              <w:right w:val="single" w:sz="6" w:space="0" w:color="000000"/>
            </w:tcBorders>
          </w:tcPr>
          <w:p>
            <w:pPr/>
          </w:p>
        </w:tc>
      </w:tr>
      <w:tr>
        <w:trPr>
          <w:trHeight w:val="365" w:hRule="exact"/>
        </w:trPr>
        <w:tc>
          <w:tcPr>
            <w:tcW w:w="3051" w:type="dxa"/>
            <w:gridSpan w:val="3"/>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5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67.58%</w:t>
            </w:r>
          </w:p>
        </w:tc>
        <w:tc>
          <w:tcPr>
            <w:tcW w:w="3118" w:type="dxa"/>
            <w:gridSpan w:val="5"/>
            <w:vMerge/>
            <w:tcBorders>
              <w:left w:val="single" w:sz="6" w:space="0" w:color="000000"/>
              <w:bottom w:val="single" w:sz="6" w:space="0" w:color="000000"/>
              <w:right w:val="single" w:sz="6" w:space="0" w:color="000000"/>
            </w:tcBorders>
            <w:shd w:val="clear" w:color="auto" w:fill="DCDCDC"/>
          </w:tcPr>
          <w:p>
            <w:pPr/>
          </w:p>
        </w:tc>
        <w:tc>
          <w:tcPr>
            <w:tcW w:w="1803" w:type="dxa"/>
            <w:gridSpan w:val="3"/>
            <w:vMerge/>
            <w:tcBorders>
              <w:left w:val="single" w:sz="6" w:space="0" w:color="000000"/>
              <w:bottom w:val="single" w:sz="6" w:space="0" w:color="000000"/>
              <w:right w:val="single" w:sz="6" w:space="0" w:color="000000"/>
            </w:tcBorders>
          </w:tcPr>
          <w:p>
            <w:pPr/>
          </w:p>
        </w:tc>
      </w:tr>
      <w:tr>
        <w:trPr>
          <w:trHeight w:val="1265"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left="41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1"/>
              <w:ind w:left="48" w:right="43"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79" w:right="75"/>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76"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0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79" w:right="72"/>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19"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26" w:right="26"/>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55" w:right="50"/>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4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55" w:right="5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79" w:right="7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8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
              <w:ind w:left="43" w:right="3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48" w:hRule="exact"/>
        </w:trPr>
        <w:tc>
          <w:tcPr>
            <w:tcW w:w="9532" w:type="dxa"/>
            <w:gridSpan w:val="1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972"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5"/>
              <w:jc w:val="both"/>
              <w:rPr>
                <w:rFonts w:ascii="宋体" w:hAnsi="宋体" w:cs="宋体" w:eastAsia="宋体" w:hint="default"/>
                <w:sz w:val="18"/>
                <w:szCs w:val="18"/>
              </w:rPr>
            </w:pPr>
            <w:r>
              <w:rPr>
                <w:rFonts w:ascii="宋体" w:hAnsi="宋体" w:cs="宋体" w:eastAsia="宋体" w:hint="default"/>
                <w:spacing w:val="12"/>
                <w:sz w:val="18"/>
                <w:szCs w:val="18"/>
              </w:rPr>
              <w:t>互联网包装印刷产业云 平台及生态系统建设项 </w:t>
            </w:r>
            <w:r>
              <w:rPr>
                <w:rFonts w:ascii="宋体" w:hAnsi="宋体" w:cs="宋体" w:eastAsia="宋体" w:hint="default"/>
                <w:sz w:val="18"/>
                <w:szCs w:val="18"/>
              </w:rPr>
              <w:t>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52,511.4</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0.08</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0"/>
              <w:jc w:val="left"/>
              <w:rPr>
                <w:rFonts w:ascii="宋体" w:hAnsi="宋体" w:cs="宋体" w:eastAsia="宋体" w:hint="default"/>
                <w:sz w:val="18"/>
                <w:szCs w:val="18"/>
              </w:rPr>
            </w:pPr>
            <w:r>
              <w:rPr>
                <w:rFonts w:ascii="宋体" w:hAnsi="宋体" w:cs="宋体" w:eastAsia="宋体" w:hint="default"/>
                <w:spacing w:val="5"/>
                <w:sz w:val="18"/>
                <w:szCs w:val="18"/>
              </w:rPr>
              <w:t>包装印刷工业</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智慧型</w:t>
            </w:r>
            <w:r>
              <w:rPr>
                <w:rFonts w:ascii="宋体" w:hAnsi="宋体" w:cs="宋体" w:eastAsia="宋体" w:hint="default"/>
                <w:spacing w:val="-83"/>
                <w:sz w:val="18"/>
                <w:szCs w:val="18"/>
              </w:rPr>
              <w:t> </w:t>
            </w:r>
            <w:r>
              <w:rPr>
                <w:rFonts w:ascii="宋体" w:hAnsi="宋体" w:cs="宋体" w:eastAsia="宋体" w:hint="default"/>
                <w:sz w:val="18"/>
                <w:szCs w:val="18"/>
              </w:rPr>
              <w:t>工厂（成都）项目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4,679.39</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4,679.44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23.40%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0"/>
              <w:jc w:val="left"/>
              <w:rPr>
                <w:rFonts w:ascii="宋体" w:hAnsi="宋体" w:cs="宋体" w:eastAsia="宋体" w:hint="default"/>
                <w:sz w:val="18"/>
                <w:szCs w:val="18"/>
              </w:rPr>
            </w:pPr>
            <w:r>
              <w:rPr>
                <w:rFonts w:ascii="宋体" w:hAnsi="宋体" w:cs="宋体" w:eastAsia="宋体" w:hint="default"/>
                <w:spacing w:val="5"/>
                <w:sz w:val="18"/>
                <w:szCs w:val="18"/>
              </w:rPr>
              <w:t>包装印刷工业</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智慧型</w:t>
            </w:r>
            <w:r>
              <w:rPr>
                <w:rFonts w:ascii="宋体" w:hAnsi="宋体" w:cs="宋体" w:eastAsia="宋体" w:hint="default"/>
                <w:spacing w:val="-83"/>
                <w:sz w:val="18"/>
                <w:szCs w:val="18"/>
              </w:rPr>
              <w:t> </w:t>
            </w:r>
            <w:r>
              <w:rPr>
                <w:rFonts w:ascii="宋体" w:hAnsi="宋体" w:cs="宋体" w:eastAsia="宋体" w:hint="default"/>
                <w:sz w:val="18"/>
                <w:szCs w:val="18"/>
              </w:rPr>
              <w:t>工厂（东莞）项目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13,479.0</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13,479.01</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53.92%</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智能包装物联网平台项 </w:t>
            </w:r>
            <w:r>
              <w:rPr>
                <w:rFonts w:ascii="宋体" w:hAnsi="宋体" w:cs="宋体" w:eastAsia="宋体" w:hint="default"/>
                <w:sz w:val="18"/>
                <w:szCs w:val="18"/>
              </w:rPr>
              <w:t>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41,299.7</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0.03</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0"/>
              <w:jc w:val="left"/>
              <w:rPr>
                <w:rFonts w:ascii="宋体" w:hAnsi="宋体" w:cs="宋体" w:eastAsia="宋体" w:hint="default"/>
                <w:sz w:val="18"/>
                <w:szCs w:val="18"/>
              </w:rPr>
            </w:pPr>
            <w:r>
              <w:rPr>
                <w:rFonts w:ascii="宋体" w:hAnsi="宋体" w:cs="宋体" w:eastAsia="宋体" w:hint="default"/>
                <w:spacing w:val="5"/>
                <w:sz w:val="18"/>
                <w:szCs w:val="18"/>
              </w:rPr>
              <w:t>包装印刷工业</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智慧型</w:t>
            </w:r>
            <w:r>
              <w:rPr>
                <w:rFonts w:ascii="宋体" w:hAnsi="宋体" w:cs="宋体" w:eastAsia="宋体" w:hint="default"/>
                <w:spacing w:val="-83"/>
                <w:sz w:val="18"/>
                <w:szCs w:val="18"/>
              </w:rPr>
              <w:t> </w:t>
            </w:r>
            <w:r>
              <w:rPr>
                <w:rFonts w:ascii="宋体" w:hAnsi="宋体" w:cs="宋体" w:eastAsia="宋体" w:hint="default"/>
                <w:sz w:val="18"/>
                <w:szCs w:val="18"/>
              </w:rPr>
              <w:t>工厂（六安）项目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55,983.5</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2</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0.0325</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0.0325</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6"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73"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4" w:right="-15"/>
              <w:jc w:val="both"/>
              <w:rPr>
                <w:rFonts w:ascii="宋体" w:hAnsi="宋体" w:cs="宋体" w:eastAsia="宋体" w:hint="default"/>
                <w:sz w:val="18"/>
                <w:szCs w:val="18"/>
              </w:rPr>
            </w:pPr>
            <w:r>
              <w:rPr>
                <w:rFonts w:ascii="宋体" w:hAnsi="宋体" w:cs="宋体" w:eastAsia="宋体" w:hint="default"/>
                <w:spacing w:val="12"/>
                <w:sz w:val="18"/>
                <w:szCs w:val="18"/>
              </w:rPr>
              <w:t>包装印刷工业进出口贸 </w:t>
            </w:r>
            <w:r>
              <w:rPr>
                <w:rFonts w:ascii="宋体" w:hAnsi="宋体" w:cs="宋体" w:eastAsia="宋体" w:hint="default"/>
                <w:spacing w:val="-8"/>
                <w:sz w:val="18"/>
                <w:szCs w:val="18"/>
              </w:rPr>
              <w:t>易及保税加工（岳阳）项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高端环保包装生产基地 </w:t>
            </w:r>
            <w:r>
              <w:rPr>
                <w:rFonts w:ascii="宋体" w:hAnsi="宋体" w:cs="宋体" w:eastAsia="宋体" w:hint="default"/>
                <w:sz w:val="18"/>
                <w:szCs w:val="18"/>
              </w:rPr>
              <w:t>项目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71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138,811.</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138,983.</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52</w:t>
            </w:r>
          </w:p>
        </w:tc>
        <w:tc>
          <w:tcPr>
            <w:tcW w:w="7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18,158.5</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4</w:t>
            </w:r>
          </w:p>
        </w:tc>
        <w:tc>
          <w:tcPr>
            <w:tcW w:w="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18,158.59</w:t>
            </w:r>
          </w:p>
        </w:tc>
        <w:tc>
          <w:tcPr>
            <w:tcW w:w="7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w:t>
            </w:r>
          </w:p>
        </w:tc>
        <w:tc>
          <w:tcPr>
            <w:tcW w:w="8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c>
          <w:tcPr>
            <w:tcW w:w="8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25"/>
        <w:gridCol w:w="7607"/>
      </w:tblGrid>
      <w:tr>
        <w:trPr>
          <w:trHeight w:val="972"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7"/>
              <w:ind w:left="4" w:right="-15"/>
              <w:jc w:val="both"/>
              <w:rPr>
                <w:rFonts w:ascii="宋体" w:hAnsi="宋体" w:cs="宋体" w:eastAsia="宋体" w:hint="default"/>
                <w:sz w:val="18"/>
                <w:szCs w:val="18"/>
              </w:rPr>
            </w:pPr>
            <w:r>
              <w:rPr>
                <w:rFonts w:ascii="宋体" w:hAnsi="宋体" w:cs="宋体" w:eastAsia="宋体" w:hint="default"/>
                <w:spacing w:val="12"/>
                <w:sz w:val="18"/>
                <w:szCs w:val="18"/>
              </w:rPr>
              <w:t>未达到计划进度或预计 </w:t>
            </w:r>
            <w:r>
              <w:rPr>
                <w:rFonts w:ascii="宋体" w:hAnsi="宋体" w:cs="宋体" w:eastAsia="宋体" w:hint="default"/>
                <w:spacing w:val="-7"/>
                <w:sz w:val="18"/>
                <w:szCs w:val="18"/>
              </w:rPr>
              <w:t>收益的情况和原因（分具</w:t>
            </w:r>
            <w:r>
              <w:rPr>
                <w:rFonts w:ascii="宋体" w:hAnsi="宋体" w:cs="宋体" w:eastAsia="宋体" w:hint="default"/>
                <w:sz w:val="18"/>
                <w:szCs w:val="18"/>
              </w:rPr>
              <w:t> 体项目）</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0"/>
              <w:jc w:val="both"/>
              <w:rPr>
                <w:rFonts w:ascii="宋体" w:hAnsi="宋体" w:cs="宋体" w:eastAsia="宋体" w:hint="default"/>
                <w:sz w:val="18"/>
                <w:szCs w:val="18"/>
              </w:rPr>
            </w:pPr>
            <w:r>
              <w:rPr>
                <w:rFonts w:ascii="宋体" w:hAnsi="宋体" w:cs="宋体" w:eastAsia="宋体" w:hint="default"/>
                <w:spacing w:val="-2"/>
                <w:sz w:val="18"/>
                <w:szCs w:val="18"/>
              </w:rPr>
              <w:t>包装印刷工业</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智慧型工厂（成都）项目、包装印刷工业</w:t>
            </w:r>
            <w:r>
              <w:rPr>
                <w:rFonts w:ascii="Times New Roman" w:hAnsi="Times New Roman" w:cs="Times New Roman" w:eastAsia="Times New Roman" w:hint="default"/>
                <w:spacing w:val="-2"/>
                <w:sz w:val="18"/>
                <w:szCs w:val="18"/>
              </w:rPr>
              <w:t>4.0</w:t>
            </w:r>
            <w:r>
              <w:rPr>
                <w:rFonts w:ascii="宋体" w:hAnsi="宋体" w:cs="宋体" w:eastAsia="宋体" w:hint="default"/>
                <w:spacing w:val="-2"/>
                <w:sz w:val="18"/>
                <w:szCs w:val="18"/>
              </w:rPr>
              <w:t>智慧型工厂（东莞）项目、包装印刷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工业</w:t>
            </w:r>
            <w:r>
              <w:rPr>
                <w:rFonts w:ascii="Times New Roman" w:hAnsi="Times New Roman" w:cs="Times New Roman" w:eastAsia="Times New Roman" w:hint="default"/>
                <w:spacing w:val="-1"/>
                <w:sz w:val="18"/>
                <w:szCs w:val="18"/>
              </w:rPr>
              <w:t>4.0</w:t>
            </w:r>
            <w:r>
              <w:rPr>
                <w:rFonts w:ascii="宋体" w:hAnsi="宋体" w:cs="宋体" w:eastAsia="宋体" w:hint="default"/>
                <w:spacing w:val="-1"/>
                <w:sz w:val="18"/>
                <w:szCs w:val="18"/>
              </w:rPr>
              <w:t>智慧型工厂（六安）项目、包装印刷工业进出口贸易及保税加工（岳阳）项目、高端环保</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包装生产基地项目尚处于筹建期。</w:t>
            </w:r>
          </w:p>
        </w:tc>
      </w:tr>
      <w:tr>
        <w:trPr>
          <w:trHeight w:val="2770"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10"/>
                <w:sz w:val="18"/>
                <w:szCs w:val="18"/>
              </w:rPr>
              <w:t>项目可行性发生重大变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化的情况说明</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37"/>
              <w:ind w:left="4" w:right="-3"/>
              <w:jc w:val="both"/>
              <w:rPr>
                <w:rFonts w:ascii="宋体" w:hAnsi="宋体" w:cs="宋体" w:eastAsia="宋体" w:hint="default"/>
                <w:sz w:val="18"/>
                <w:szCs w:val="18"/>
              </w:rPr>
            </w:pPr>
            <w:r>
              <w:rPr>
                <w:rFonts w:ascii="宋体" w:hAnsi="宋体" w:cs="宋体" w:eastAsia="宋体" w:hint="default"/>
                <w:sz w:val="18"/>
                <w:szCs w:val="18"/>
              </w:rPr>
              <w:t>基于行业发展、政策环境、公司战略和资金使用效率等多方面综合考虑，经公司审慎研究认为，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短期内并不是公司大规模资金投资于</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互联网包装印刷产业云平台及生态系统建设项目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智能包</w:t>
            </w:r>
            <w:r>
              <w:rPr>
                <w:rFonts w:ascii="宋体" w:hAnsi="宋体" w:cs="宋体" w:eastAsia="宋体" w:hint="default"/>
                <w:spacing w:val="-80"/>
                <w:sz w:val="18"/>
                <w:szCs w:val="18"/>
              </w:rPr>
              <w:t> </w:t>
            </w:r>
            <w:r>
              <w:rPr>
                <w:rFonts w:ascii="宋体" w:hAnsi="宋体" w:cs="宋体" w:eastAsia="宋体" w:hint="default"/>
                <w:spacing w:val="-2"/>
                <w:sz w:val="18"/>
                <w:szCs w:val="18"/>
              </w:rPr>
              <w:t>装物联网平台项目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的最佳时机，为了进一步提高募集资金的使用效率，保证股东利益最大化，公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司拟将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年度非公开发行股票募集资金投资项目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互联网包装印刷产业云平台及生态系统建设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 </w:t>
            </w:r>
            <w:r>
              <w:rPr>
                <w:rFonts w:ascii="Times New Roman" w:hAnsi="Times New Roman" w:cs="Times New Roman" w:eastAsia="Times New Roman" w:hint="default"/>
                <w:sz w:val="18"/>
                <w:szCs w:val="18"/>
              </w:rPr>
              <w:t>4.0 </w:t>
            </w:r>
            <w:r>
              <w:rPr>
                <w:rFonts w:ascii="宋体" w:hAnsi="宋体" w:cs="宋体" w:eastAsia="宋体" w:hint="default"/>
                <w:sz w:val="18"/>
                <w:szCs w:val="18"/>
              </w:rPr>
              <w:t>智慧型工厂（六安）项目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w:t>
            </w:r>
            <w:r>
              <w:rPr>
                <w:rFonts w:ascii="宋体" w:hAnsi="宋体" w:cs="宋体" w:eastAsia="宋体" w:hint="default"/>
                <w:spacing w:val="-58"/>
                <w:sz w:val="18"/>
                <w:szCs w:val="18"/>
              </w:rPr>
              <w:t> </w:t>
            </w:r>
            <w:r>
              <w:rPr>
                <w:rFonts w:ascii="宋体" w:hAnsi="宋体" w:cs="宋体" w:eastAsia="宋体" w:hint="default"/>
                <w:sz w:val="18"/>
                <w:szCs w:val="18"/>
              </w:rPr>
              <w:t>印刷工业进出口贸易及保税加工</w:t>
            </w:r>
            <w:r>
              <w:rPr>
                <w:rFonts w:ascii="Times New Roman" w:hAnsi="Times New Roman" w:cs="Times New Roman" w:eastAsia="Times New Roman" w:hint="default"/>
                <w:sz w:val="18"/>
                <w:szCs w:val="18"/>
              </w:rPr>
              <w:t>(</w:t>
            </w:r>
            <w:r>
              <w:rPr>
                <w:rFonts w:ascii="宋体" w:hAnsi="宋体" w:cs="宋体" w:eastAsia="宋体" w:hint="default"/>
                <w:sz w:val="18"/>
                <w:szCs w:val="18"/>
              </w:rPr>
              <w:t>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。具体详见公司于</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日刊载于《证券时报》及巨潮资讯网（</w:t>
            </w:r>
            <w:hyperlink r:id="rId10">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）的《关于部分变更募集资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金用途的公告》（公告编号：</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r>
        <w:trPr>
          <w:trHeight w:val="661"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超募资金的金额、用途及</w:t>
            </w:r>
            <w:r>
              <w:rPr>
                <w:rFonts w:ascii="宋体" w:hAnsi="宋体" w:cs="宋体" w:eastAsia="宋体" w:hint="default"/>
                <w:sz w:val="18"/>
                <w:szCs w:val="18"/>
              </w:rPr>
              <w:t> 使用进展情况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募集资金投资项目实施 </w:t>
            </w:r>
            <w:r>
              <w:rPr>
                <w:rFonts w:ascii="宋体" w:hAnsi="宋体" w:cs="宋体" w:eastAsia="宋体" w:hint="default"/>
                <w:sz w:val="18"/>
                <w:szCs w:val="18"/>
              </w:rPr>
              <w:t>地点变更情况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836"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pacing w:val="12"/>
                <w:sz w:val="18"/>
                <w:szCs w:val="18"/>
              </w:rPr>
              <w:t>募集资金投资项目实施 </w:t>
            </w:r>
            <w:r>
              <w:rPr>
                <w:rFonts w:ascii="宋体" w:hAnsi="宋体" w:cs="宋体" w:eastAsia="宋体" w:hint="default"/>
                <w:sz w:val="18"/>
                <w:szCs w:val="18"/>
              </w:rPr>
              <w:t>方式调整情况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40"/>
              <w:ind w:left="4" w:right="-1"/>
              <w:jc w:val="both"/>
              <w:rPr>
                <w:rFonts w:ascii="宋体" w:hAnsi="宋体" w:cs="宋体" w:eastAsia="宋体" w:hint="default"/>
                <w:sz w:val="18"/>
                <w:szCs w:val="18"/>
              </w:rPr>
            </w:pP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日召开第四届董事会第九次（临时）会议，于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日召开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年第二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次临时股东大会，审议通过《关于部分变更募集资金用途的议案》，将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年度非公开发行股票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募集资金投资项目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互联网包装印刷产业云平台及生态系统建设项目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智能包装物联网平台项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变更为实施</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智慧型工厂（六安）项目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8"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募集资金投资项目先期 </w:t>
            </w:r>
            <w:r>
              <w:rPr>
                <w:rFonts w:ascii="宋体" w:hAnsi="宋体" w:cs="宋体" w:eastAsia="宋体" w:hint="default"/>
                <w:sz w:val="18"/>
                <w:szCs w:val="18"/>
              </w:rPr>
              <w:t>投入及置换情况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0"/>
              <w:ind w:left="4" w:right="-15"/>
              <w:jc w:val="left"/>
              <w:rPr>
                <w:rFonts w:ascii="宋体" w:hAnsi="宋体" w:cs="宋体" w:eastAsia="宋体" w:hint="default"/>
                <w:sz w:val="18"/>
                <w:szCs w:val="18"/>
              </w:rPr>
            </w:pPr>
            <w:r>
              <w:rPr>
                <w:rFonts w:ascii="宋体" w:hAnsi="宋体" w:cs="宋体" w:eastAsia="宋体" w:hint="default"/>
                <w:spacing w:val="12"/>
                <w:sz w:val="18"/>
                <w:szCs w:val="18"/>
              </w:rPr>
              <w:t>用闲置募集资金暂时补 </w:t>
            </w:r>
            <w:r>
              <w:rPr>
                <w:rFonts w:ascii="宋体" w:hAnsi="宋体" w:cs="宋体" w:eastAsia="宋体" w:hint="default"/>
                <w:sz w:val="18"/>
                <w:szCs w:val="18"/>
              </w:rPr>
              <w:t>充流动资金情况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项目实施出现募集资金 </w:t>
            </w:r>
            <w:r>
              <w:rPr>
                <w:rFonts w:ascii="宋体" w:hAnsi="宋体" w:cs="宋体" w:eastAsia="宋体" w:hint="default"/>
                <w:sz w:val="18"/>
                <w:szCs w:val="18"/>
              </w:rPr>
              <w:t>结余的金额及原因</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98"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pacing w:val="12"/>
                <w:sz w:val="18"/>
                <w:szCs w:val="18"/>
              </w:rPr>
              <w:t>尚未使用的募集资金用 </w:t>
            </w:r>
            <w:r>
              <w:rPr>
                <w:rFonts w:ascii="宋体" w:hAnsi="宋体" w:cs="宋体" w:eastAsia="宋体" w:hint="default"/>
                <w:sz w:val="18"/>
                <w:szCs w:val="18"/>
              </w:rPr>
              <w:t>途及去向</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日，尚未使用的募集资金存放在募集资金专户中，用于募集资金投资项目的后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续投入。</w:t>
            </w:r>
          </w:p>
        </w:tc>
      </w:tr>
      <w:tr>
        <w:trPr>
          <w:trHeight w:val="660" w:hRule="exact"/>
        </w:trPr>
        <w:tc>
          <w:tcPr>
            <w:tcW w:w="19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pacing w:val="12"/>
                <w:sz w:val="18"/>
                <w:szCs w:val="18"/>
              </w:rPr>
              <w:t>募集资金使用及披露中 </w:t>
            </w:r>
            <w:r>
              <w:rPr>
                <w:rFonts w:ascii="宋体" w:hAnsi="宋体" w:cs="宋体" w:eastAsia="宋体" w:hint="default"/>
                <w:sz w:val="18"/>
                <w:szCs w:val="18"/>
              </w:rPr>
              <w:t>存在的问题或其他情况</w:t>
            </w:r>
          </w:p>
        </w:tc>
        <w:tc>
          <w:tcPr>
            <w:tcW w:w="7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00" w:lineRule="auto" w:before="49"/>
        <w:ind w:right="102"/>
        <w:jc w:val="both"/>
      </w:pPr>
      <w:r>
        <w:rPr>
          <w:spacing w:val="-2"/>
        </w:rPr>
        <w:t>注：经公司第四届董事会第九次（临时）会议及公司</w:t>
      </w:r>
      <w:r>
        <w:rPr>
          <w:rFonts w:ascii="Times New Roman" w:hAnsi="Times New Roman" w:cs="Times New Roman" w:eastAsia="Times New Roman" w:hint="default"/>
          <w:spacing w:val="-2"/>
        </w:rPr>
        <w:t>2017</w:t>
      </w:r>
      <w:r>
        <w:rPr>
          <w:spacing w:val="-2"/>
        </w:rPr>
        <w:t>年第二次临时股东大会审议通过，公司将</w:t>
      </w:r>
      <w:r>
        <w:rPr>
          <w:rFonts w:ascii="Times New Roman" w:hAnsi="Times New Roman" w:cs="Times New Roman" w:eastAsia="Times New Roman" w:hint="default"/>
          <w:spacing w:val="-2"/>
        </w:rPr>
        <w:t>2015</w:t>
      </w:r>
      <w:r>
        <w:rPr>
          <w:spacing w:val="-2"/>
        </w:rPr>
        <w:t>年度非公开发行股票</w:t>
      </w:r>
      <w:r>
        <w:rPr>
          <w:spacing w:val="-57"/>
        </w:rPr>
        <w:t> </w:t>
      </w:r>
      <w:r>
        <w:rPr/>
        <w:t>募集资金投资项目中</w:t>
      </w:r>
      <w:r>
        <w:rPr>
          <w:rFonts w:ascii="Times New Roman" w:hAnsi="Times New Roman" w:cs="Times New Roman" w:eastAsia="Times New Roman" w:hint="default"/>
        </w:rPr>
        <w:t>“</w:t>
      </w:r>
      <w:r>
        <w:rPr/>
        <w:t>互联网包装印刷产业云平台及生态系统建设项目</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日全部募集资金余额以及上述募投</w:t>
      </w:r>
      <w:r>
        <w:rPr>
          <w:spacing w:val="-66"/>
        </w:rPr>
        <w:t> </w:t>
      </w:r>
      <w:r>
        <w:rPr>
          <w:spacing w:val="-66"/>
        </w:rPr>
      </w:r>
      <w:r>
        <w:rPr/>
        <w:t>项目对应的募集资金专户自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日后、募集资金投资项目变更前收到的其他募集资金利息净额（利息收入具体以转</w:t>
      </w:r>
      <w:r>
        <w:rPr>
          <w:spacing w:val="-85"/>
        </w:rPr>
        <w:t> </w:t>
      </w:r>
      <w:r>
        <w:rPr>
          <w:spacing w:val="-85"/>
        </w:rPr>
      </w:r>
      <w:r>
        <w:rPr/>
        <w:t>出时利息金额为准）全部变更投入</w:t>
      </w:r>
      <w:r>
        <w:rPr>
          <w:rFonts w:ascii="Times New Roman" w:hAnsi="Times New Roman" w:cs="Times New Roman" w:eastAsia="Times New Roman" w:hint="default"/>
        </w:rPr>
        <w:t>“</w:t>
      </w:r>
      <w:r>
        <w:rPr/>
        <w:t>包装印刷工业</w:t>
      </w:r>
      <w:r>
        <w:rPr>
          <w:rFonts w:ascii="Times New Roman" w:hAnsi="Times New Roman" w:cs="Times New Roman" w:eastAsia="Times New Roman" w:hint="default"/>
        </w:rPr>
        <w:t>4.0</w:t>
      </w:r>
      <w:r>
        <w:rPr/>
        <w:t>智慧型工厂（六安）项目</w:t>
      </w:r>
      <w:r>
        <w:rPr>
          <w:rFonts w:ascii="Times New Roman" w:hAnsi="Times New Roman" w:cs="Times New Roman" w:eastAsia="Times New Roman" w:hint="default"/>
        </w:rPr>
        <w:t>”</w:t>
      </w:r>
      <w:r>
        <w:rPr/>
        <w:t>的建设。截至目前，尚有银行账户未完成销</w:t>
      </w:r>
      <w:r>
        <w:rPr>
          <w:spacing w:val="-24"/>
        </w:rPr>
        <w:t> </w:t>
      </w:r>
      <w:r>
        <w:rPr>
          <w:spacing w:val="-24"/>
        </w:rPr>
      </w:r>
      <w:r>
        <w:rPr>
          <w:spacing w:val="-2"/>
        </w:rPr>
        <w:t>户，因此对应的募集资金专户自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日后的募集资金利息净额无法全面体现，此处仅列示已变更募集资金本金金额。</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1"/>
        <w:jc w:val="right"/>
      </w:pPr>
      <w:r>
        <w:rPr/>
        <w:t>单位：万元</w:t>
      </w:r>
    </w:p>
    <w:p>
      <w:pPr>
        <w:spacing w:after="0" w:line="240" w:lineRule="auto"/>
        <w:jc w:val="righ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53"/>
        <w:jc w:val="right"/>
      </w:pPr>
      <w:r>
        <w:rPr/>
        <w:pict>
          <v:shape style="position:absolute;margin-left:56.459999pt;margin-top:-266.01828pt;width:479.35pt;height:573.5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3"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苏州美盈森 现代化环保 包装生产基 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包装物流一 体化项目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27,878.38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9,893.46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27,878.38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27,878.38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9,893.46</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33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4"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鉴于公司募集资金投资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包装物流一体化项目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实际运行情况、资金使用进度等，公司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日召开的第二届董事会第十三次（临时）会议和于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0" w:lineRule="auto" w:before="15"/>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年第一次临时股东大会审议通过《关于部分变更募集资金投资项目的 </w:t>
                        </w:r>
                        <w:r>
                          <w:rPr>
                            <w:rFonts w:ascii="宋体" w:hAnsi="宋体" w:cs="宋体" w:eastAsia="宋体" w:hint="default"/>
                            <w:spacing w:val="-5"/>
                            <w:w w:val="99"/>
                            <w:sz w:val="18"/>
                            <w:szCs w:val="18"/>
                          </w:rPr>
                          <w:t>议案》，决议终止</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包装一体化项目</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的继续实施，并将剩余资金增资全资子公司苏州美</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盈森环保科技有限公司用于其实施的</w:t>
                        </w:r>
                        <w:r>
                          <w:rPr>
                            <w:rFonts w:ascii="Times New Roman" w:hAnsi="Times New Roman" w:cs="Times New Roman" w:eastAsia="Times New Roman" w:hint="default"/>
                            <w:sz w:val="18"/>
                            <w:szCs w:val="18"/>
                          </w:rPr>
                          <w:t>"</w:t>
                        </w:r>
                        <w:r>
                          <w:rPr>
                            <w:rFonts w:ascii="宋体" w:hAnsi="宋体" w:cs="宋体" w:eastAsia="宋体" w:hint="default"/>
                            <w:sz w:val="18"/>
                            <w:szCs w:val="18"/>
                          </w:rPr>
                          <w:t>现代化环保包装生产基地项目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以弥补苏州一期 项目设备款、工程款、运营资金等的不足。上述募集资金变更事宜详见公司于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日披露于证券时报和巨潮资讯网</w:t>
                        </w:r>
                      </w:p>
                      <w:p>
                        <w:pPr>
                          <w:pStyle w:val="TableParagraph"/>
                          <w:spacing w:line="300" w:lineRule="auto" w:before="63"/>
                          <w:ind w:left="24" w:right="41"/>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0">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）的相关公告。本次募集资金变更相关情况说明如下：（</w:t>
                        </w:r>
                        <w:r>
                          <w:rPr>
                            <w:rFonts w:ascii="Times New Roman" w:hAnsi="Times New Roman" w:cs="Times New Roman" w:eastAsia="Times New Roman" w:hint="default"/>
                            <w:spacing w:val="-4"/>
                            <w:w w:val="99"/>
                            <w:sz w:val="18"/>
                            <w:szCs w:val="18"/>
                          </w:rPr>
                          <w:t>1</w:t>
                        </w:r>
                        <w:r>
                          <w:rPr>
                            <w:rFonts w:ascii="Times New Roman" w:hAnsi="Times New Roman" w:cs="Times New Roman" w:eastAsia="Times New Roman" w:hint="default"/>
                            <w:spacing w:val="-6"/>
                            <w:w w:val="99"/>
                            <w:sz w:val="18"/>
                            <w:szCs w:val="18"/>
                          </w:rPr>
                          <w:t> </w:t>
                        </w:r>
                        <w:r>
                          <w:rPr>
                            <w:rFonts w:ascii="宋体" w:hAnsi="宋体" w:cs="宋体" w:eastAsia="宋体" w:hint="default"/>
                            <w:sz w:val="18"/>
                            <w:szCs w:val="18"/>
                          </w:rPr>
                          <w:t>变更的募集资金投资项目概况：包装一体化项目计划通过设置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仓库和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系统 建设来提升公司的整体服务能力。该项目总投资为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6,706.48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万元，其中建设投资</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2,664.48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万元，项目配套流动资金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4,042.00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日，包装一体</w:t>
                        </w:r>
                      </w:p>
                      <w:p>
                        <w:pPr>
                          <w:pStyle w:val="TableParagraph"/>
                          <w:spacing w:line="307" w:lineRule="auto" w:before="63"/>
                          <w:ind w:left="24" w:right="3"/>
                          <w:jc w:val="left"/>
                          <w:rPr>
                            <w:rFonts w:ascii="宋体" w:hAnsi="宋体" w:cs="宋体" w:eastAsia="宋体" w:hint="default"/>
                            <w:sz w:val="18"/>
                            <w:szCs w:val="18"/>
                          </w:rPr>
                        </w:pPr>
                        <w:r>
                          <w:rPr>
                            <w:rFonts w:ascii="宋体" w:hAnsi="宋体" w:cs="宋体" w:eastAsia="宋体" w:hint="default"/>
                            <w:spacing w:val="-3"/>
                            <w:sz w:val="18"/>
                            <w:szCs w:val="18"/>
                          </w:rPr>
                          <w:t>化项目仅部分实施，已投入募集资金共计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2,335.35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万元，剩余募集资金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3"/>
                            <w:sz w:val="18"/>
                            <w:szCs w:val="18"/>
                          </w:rPr>
                          <w:t>包装一体化实际投资具体为：</w:t>
                        </w:r>
                        <w:r>
                          <w:rPr>
                            <w:rFonts w:ascii="Times New Roman" w:hAnsi="Times New Roman" w:cs="Times New Roman" w:eastAsia="Times New Roman" w:hint="default"/>
                            <w:spacing w:val="-3"/>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仓库租金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604.59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系统建设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654.54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配套流动资金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1,076.15</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万元、银行费用</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0.07</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）变更募集资金投资项目的原因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）上市以来，公司通过增加物流运输设备、优化物流配送调度、精确掌握客户下单 计划等，较大程度上提升物流配送体系的效能，更好的实现及时响应能力。鉴于此， 并依据客户布局调整、产品所需包材种类以及充分考虑包装一体化成本结构，公司原 计划设置</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座仓库的方案需要调整。</w:t>
                        </w:r>
                        <w:r>
                          <w:rPr>
                            <w:rFonts w:ascii="Times New Roman" w:hAnsi="Times New Roman" w:cs="Times New Roman" w:eastAsia="Times New Roman" w:hint="default"/>
                            <w:sz w:val="18"/>
                            <w:szCs w:val="18"/>
                          </w:rPr>
                          <w:t>2</w:t>
                        </w:r>
                        <w:r>
                          <w:rPr>
                            <w:rFonts w:ascii="宋体" w:hAnsi="宋体" w:cs="宋体" w:eastAsia="宋体" w:hint="default"/>
                            <w:sz w:val="18"/>
                            <w:szCs w:val="18"/>
                          </w:rPr>
                          <w:t>）减少仓库配置同时，相应的流动资金需求减 少。鉴于上述原因，公司决定调整包装一体化项目原有投资计划，以更好的适应公司 发展需要，并提高募集资金使用效率。</w:t>
                        </w:r>
                      </w:p>
                    </w:tc>
                  </w:tr>
                  <w:tr>
                    <w:trPr>
                      <w:trHeight w:val="133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8"/>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：苏州美盈森现代化环保包装生产基地项目系公司超募资金投资建设项目，该项 目实际投资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27,878.38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月投产试运行，逐步达到预定可使用状态， </w:t>
                        </w:r>
                        <w:r>
                          <w:rPr>
                            <w:rFonts w:ascii="宋体" w:hAnsi="宋体" w:cs="宋体" w:eastAsia="宋体" w:hint="default"/>
                            <w:spacing w:val="-1"/>
                            <w:sz w:val="18"/>
                            <w:szCs w:val="18"/>
                          </w:rPr>
                          <w:t>产量逐年释放，新客户开发卓有成效，实现利润快速增长，有效提升了公司的市场知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名度和综合竞争力。</w:t>
                        </w:r>
                      </w:p>
                    </w:tc>
                  </w:tr>
                  <w:tr>
                    <w:trPr>
                      <w:trHeight w:val="715"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51"/>
        <w:jc w:val="right"/>
      </w:pPr>
      <w:r>
        <w:rPr/>
        <w:t>。</w:t>
      </w:r>
    </w:p>
    <w:p>
      <w:pPr>
        <w:pStyle w:val="BodyText"/>
        <w:spacing w:line="240" w:lineRule="auto" w:before="76"/>
        <w:ind w:left="0" w:right="153"/>
        <w:jc w:val="right"/>
      </w:pPr>
      <w:r>
        <w:rPr/>
        <w:t>、</w:t>
      </w:r>
    </w:p>
    <w:p>
      <w:pPr>
        <w:pStyle w:val="BodyText"/>
        <w:spacing w:line="240" w:lineRule="auto" w:before="76"/>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 非公开发行募集资金变更项目情况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71"/>
        <w:jc w:val="right"/>
      </w:pPr>
      <w:r>
        <w:rPr/>
        <w:t>单位：人民币万元</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277"/>
        <w:gridCol w:w="850"/>
        <w:gridCol w:w="994"/>
        <w:gridCol w:w="850"/>
        <w:gridCol w:w="850"/>
        <w:gridCol w:w="852"/>
        <w:gridCol w:w="850"/>
        <w:gridCol w:w="974"/>
        <w:gridCol w:w="1133"/>
        <w:gridCol w:w="992"/>
      </w:tblGrid>
      <w:tr>
        <w:trPr>
          <w:trHeight w:val="965"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left="91"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57" w:right="55"/>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26" w:right="1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w:t>
            </w:r>
            <w:r>
              <w:rPr>
                <w:rFonts w:ascii="Times New Roman" w:hAnsi="Times New Roman" w:cs="Times New Roman" w:eastAsia="Times New Roman" w:hint="default"/>
                <w:sz w:val="18"/>
                <w:szCs w:val="18"/>
              </w:rPr>
              <w:t>(1)</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57" w:right="55"/>
              <w:jc w:val="center"/>
              <w:rPr>
                <w:rFonts w:ascii="宋体" w:hAnsi="宋体" w:cs="宋体" w:eastAsia="宋体" w:hint="default"/>
                <w:sz w:val="18"/>
                <w:szCs w:val="18"/>
              </w:rPr>
            </w:pPr>
            <w:r>
              <w:rPr>
                <w:rFonts w:ascii="宋体" w:hAnsi="宋体" w:cs="宋体" w:eastAsia="宋体" w:hint="default"/>
                <w:sz w:val="18"/>
                <w:szCs w:val="18"/>
              </w:rPr>
              <w:t>本年度实 际投入金 额</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57" w:right="55"/>
              <w:jc w:val="both"/>
              <w:rPr>
                <w:rFonts w:ascii="宋体" w:hAnsi="宋体" w:cs="宋体" w:eastAsia="宋体" w:hint="default"/>
                <w:sz w:val="18"/>
                <w:szCs w:val="18"/>
              </w:rPr>
            </w:pPr>
            <w:r>
              <w:rPr>
                <w:rFonts w:ascii="宋体" w:hAnsi="宋体" w:cs="宋体" w:eastAsia="宋体" w:hint="default"/>
                <w:sz w:val="18"/>
                <w:szCs w:val="18"/>
              </w:rPr>
              <w:t>截至期末 实际累计 投入金额</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8" w:lineRule="auto" w:before="13"/>
              <w:ind w:left="23" w:right="20" w:firstLine="3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57" w:right="55"/>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120" w:right="26"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381" w:right="15" w:hanging="360"/>
              <w:jc w:val="left"/>
              <w:rPr>
                <w:rFonts w:ascii="宋体" w:hAnsi="宋体" w:cs="宋体" w:eastAsia="宋体" w:hint="default"/>
                <w:sz w:val="18"/>
                <w:szCs w:val="18"/>
              </w:rPr>
            </w:pPr>
            <w:r>
              <w:rPr>
                <w:rFonts w:ascii="宋体" w:hAnsi="宋体" w:cs="宋体" w:eastAsia="宋体" w:hint="default"/>
                <w:sz w:val="18"/>
                <w:szCs w:val="18"/>
              </w:rPr>
              <w:t>是否达到预计 效益</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
              <w:ind w:left="40" w:right="35"/>
              <w:jc w:val="both"/>
              <w:rPr>
                <w:rFonts w:ascii="宋体" w:hAnsi="宋体" w:cs="宋体" w:eastAsia="宋体" w:hint="default"/>
                <w:sz w:val="18"/>
                <w:szCs w:val="18"/>
              </w:rPr>
            </w:pPr>
            <w:r>
              <w:rPr>
                <w:rFonts w:ascii="宋体" w:hAnsi="宋体" w:cs="宋体" w:eastAsia="宋体" w:hint="default"/>
                <w:sz w:val="18"/>
                <w:szCs w:val="18"/>
              </w:rPr>
              <w:t>变更后的项 目可行性是 否发生重大</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277"/>
        <w:gridCol w:w="850"/>
        <w:gridCol w:w="994"/>
        <w:gridCol w:w="850"/>
        <w:gridCol w:w="850"/>
        <w:gridCol w:w="852"/>
        <w:gridCol w:w="850"/>
        <w:gridCol w:w="974"/>
        <w:gridCol w:w="1133"/>
        <w:gridCol w:w="994"/>
      </w:tblGrid>
      <w:tr>
        <w:trPr>
          <w:trHeight w:val="348"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97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309" w:right="0"/>
              <w:jc w:val="left"/>
              <w:rPr>
                <w:rFonts w:ascii="宋体" w:hAnsi="宋体" w:cs="宋体" w:eastAsia="宋体" w:hint="default"/>
                <w:sz w:val="18"/>
                <w:szCs w:val="18"/>
              </w:rPr>
            </w:pPr>
            <w:r>
              <w:rPr>
                <w:rFonts w:ascii="宋体" w:hAnsi="宋体" w:cs="宋体" w:eastAsia="宋体" w:hint="default"/>
                <w:sz w:val="18"/>
                <w:szCs w:val="18"/>
              </w:rPr>
              <w:t>变化</w:t>
            </w:r>
          </w:p>
        </w:tc>
      </w:tr>
      <w:tr>
        <w:trPr>
          <w:trHeight w:val="970"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（六安）项目</w:t>
            </w:r>
          </w:p>
        </w:tc>
        <w:tc>
          <w:tcPr>
            <w:tcW w:w="850" w:type="dxa"/>
            <w:vMerge w:val="restart"/>
            <w:tcBorders>
              <w:top w:val="single" w:sz="6" w:space="0" w:color="000000"/>
              <w:left w:val="single" w:sz="6" w:space="0" w:color="000000"/>
              <w:right w:val="single" w:sz="6" w:space="0" w:color="000000"/>
            </w:tcBorders>
          </w:tcPr>
          <w:p>
            <w:pPr>
              <w:pStyle w:val="TableParagraph"/>
              <w:spacing w:line="316"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互联网包 装印刷产 业云平台 及生态系 统建设项 </w:t>
            </w:r>
            <w:r>
              <w:rPr>
                <w:rFonts w:ascii="宋体" w:hAnsi="宋体" w:cs="宋体" w:eastAsia="宋体" w:hint="default"/>
                <w:spacing w:val="-14"/>
                <w:sz w:val="18"/>
                <w:szCs w:val="18"/>
              </w:rPr>
              <w:t>目、智能包</w:t>
            </w:r>
            <w:r>
              <w:rPr>
                <w:rFonts w:ascii="宋体" w:hAnsi="宋体" w:cs="宋体" w:eastAsia="宋体" w:hint="default"/>
                <w:sz w:val="18"/>
                <w:szCs w:val="18"/>
              </w:rPr>
              <w:t> 装物联网 平台项目</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55,983.52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0.0325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0.0325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466"/>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84"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77"/>
              <w:jc w:val="both"/>
              <w:rPr>
                <w:rFonts w:ascii="宋体" w:hAnsi="宋体" w:cs="宋体" w:eastAsia="宋体" w:hint="default"/>
                <w:sz w:val="18"/>
                <w:szCs w:val="18"/>
              </w:rPr>
            </w:pPr>
            <w:r>
              <w:rPr>
                <w:rFonts w:ascii="宋体" w:hAnsi="宋体" w:cs="宋体" w:eastAsia="宋体" w:hint="default"/>
                <w:sz w:val="18"/>
                <w:szCs w:val="18"/>
              </w:rPr>
              <w:t>包装印刷工业 进出口贸易及 保税加工（岳 阳）项目</w:t>
            </w:r>
          </w:p>
        </w:tc>
        <w:tc>
          <w:tcPr>
            <w:tcW w:w="850" w:type="dxa"/>
            <w:vMerge/>
            <w:tcBorders>
              <w:left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11</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66"/>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64"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77"/>
              <w:jc w:val="left"/>
              <w:rPr>
                <w:rFonts w:ascii="宋体" w:hAnsi="宋体" w:cs="宋体" w:eastAsia="宋体" w:hint="default"/>
                <w:sz w:val="18"/>
                <w:szCs w:val="18"/>
              </w:rPr>
            </w:pPr>
            <w:r>
              <w:rPr>
                <w:rFonts w:ascii="宋体" w:hAnsi="宋体" w:cs="宋体" w:eastAsia="宋体" w:hint="default"/>
                <w:sz w:val="18"/>
                <w:szCs w:val="18"/>
              </w:rPr>
              <w:t>高端环保包装 生产基地项目</w:t>
            </w:r>
          </w:p>
        </w:tc>
        <w:tc>
          <w:tcPr>
            <w:tcW w:w="850"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18,000.00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66"/>
              <w:jc w:val="righ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93</w:t>
            </w:r>
            <w:r>
              <w:rPr>
                <w:rFonts w:ascii="宋体" w:hAnsi="宋体" w:cs="宋体" w:eastAsia="宋体" w:hint="default"/>
                <w:sz w:val="18"/>
                <w:szCs w:val="18"/>
              </w:rPr>
              <w:t>，</w:t>
            </w:r>
            <w:r>
              <w:rPr>
                <w:rFonts w:ascii="Times New Roman" w:hAnsi="Times New Roman" w:cs="Times New Roman" w:eastAsia="Times New Roman" w:hint="default"/>
                <w:sz w:val="18"/>
                <w:szCs w:val="18"/>
              </w:rPr>
              <w:t>983.52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Times New Roman"/>
                <w:sz w:val="18"/>
              </w:rPr>
              <w:t>0.0325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Times New Roman"/>
                <w:sz w:val="18"/>
              </w:rPr>
              <w:t>0.0325</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Times New Roman" w:hAnsi="Times New Roman" w:cs="Times New Roman" w:eastAsia="Times New Roman" w:hint="default"/>
                <w:sz w:val="18"/>
                <w:szCs w:val="18"/>
              </w:rPr>
            </w:pPr>
            <w:r>
              <w:rPr>
                <w:rFonts w:ascii="Times New Roman"/>
                <w:sz w:val="18"/>
              </w:rPr>
              <w:t>--</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45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Times New Roman" w:hAnsi="Times New Roman" w:cs="Times New Roman" w:eastAsia="Times New Roman" w:hint="default"/>
                <w:sz w:val="18"/>
                <w:szCs w:val="18"/>
              </w:rPr>
            </w:pPr>
            <w:r>
              <w:rPr>
                <w:rFonts w:ascii="Times New Roman"/>
                <w:sz w:val="18"/>
              </w:rPr>
              <w:t>--</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4" w:right="0"/>
              <w:jc w:val="left"/>
              <w:rPr>
                <w:rFonts w:ascii="Times New Roman" w:hAnsi="Times New Roman" w:cs="Times New Roman" w:eastAsia="Times New Roman" w:hint="default"/>
                <w:sz w:val="18"/>
                <w:szCs w:val="18"/>
              </w:rPr>
            </w:pPr>
            <w:r>
              <w:rPr>
                <w:rFonts w:ascii="Times New Roman"/>
                <w:sz w:val="18"/>
              </w:rPr>
              <w:t>--</w:t>
            </w:r>
          </w:p>
        </w:tc>
      </w:tr>
      <w:tr>
        <w:trPr>
          <w:trHeight w:val="3202" w:hRule="exact"/>
        </w:trPr>
        <w:tc>
          <w:tcPr>
            <w:tcW w:w="312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13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w:t>
            </w:r>
            <w:r>
              <w:rPr>
                <w:rFonts w:ascii="宋体" w:hAnsi="宋体" w:cs="宋体" w:eastAsia="宋体" w:hint="default"/>
                <w:spacing w:val="-57"/>
                <w:sz w:val="18"/>
                <w:szCs w:val="18"/>
              </w:rPr>
              <w:t> </w:t>
            </w: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03" w:type="dxa"/>
            <w:gridSpan w:val="7"/>
            <w:tcBorders>
              <w:top w:val="single" w:sz="6" w:space="0" w:color="000000"/>
              <w:left w:val="single" w:sz="6" w:space="0" w:color="000000"/>
              <w:bottom w:val="single" w:sz="6" w:space="0" w:color="000000"/>
              <w:right w:val="single" w:sz="6" w:space="0" w:color="000000"/>
            </w:tcBorders>
          </w:tcPr>
          <w:p>
            <w:pPr>
              <w:pStyle w:val="TableParagraph"/>
              <w:spacing w:line="300" w:lineRule="auto" w:before="137"/>
              <w:ind w:left="2" w:right="-3"/>
              <w:jc w:val="both"/>
              <w:rPr>
                <w:rFonts w:ascii="宋体" w:hAnsi="宋体" w:cs="宋体" w:eastAsia="宋体" w:hint="default"/>
                <w:sz w:val="18"/>
                <w:szCs w:val="18"/>
              </w:rPr>
            </w:pPr>
            <w:r>
              <w:rPr>
                <w:rFonts w:ascii="宋体" w:hAnsi="宋体" w:cs="宋体" w:eastAsia="宋体" w:hint="default"/>
                <w:spacing w:val="-3"/>
                <w:sz w:val="18"/>
                <w:szCs w:val="18"/>
              </w:rPr>
              <w:t>基于行业发展、政策环境、公司战略和资金使用效率等方面的考虑，公司于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日召开第四届董事会第九次（临时）会议，于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年第二 次临时股东大会，审议通过《关于部分变更募集资金用途的议案》，将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年度非 </w:t>
            </w:r>
            <w:r>
              <w:rPr>
                <w:rFonts w:ascii="宋体" w:hAnsi="宋体" w:cs="宋体" w:eastAsia="宋体" w:hint="default"/>
                <w:spacing w:val="7"/>
                <w:sz w:val="18"/>
                <w:szCs w:val="18"/>
              </w:rPr>
              <w:t>公开发行股票募集资金投资项目</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互联网包装印刷产业云平台及生态系统建设项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智能包装物联网平台项目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变更为实施</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智慧型工厂（六安） 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包装印刷工业进出口贸易及保税加工（岳阳）项目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高端环保包装生产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133"/>
              <w:ind w:left="2" w:right="-3"/>
              <w:jc w:val="both"/>
              <w:rPr>
                <w:rFonts w:ascii="宋体" w:hAnsi="宋体" w:cs="宋体" w:eastAsia="宋体" w:hint="default"/>
                <w:sz w:val="18"/>
                <w:szCs w:val="18"/>
              </w:rPr>
            </w:pPr>
            <w:r>
              <w:rPr>
                <w:rFonts w:ascii="宋体" w:hAnsi="宋体" w:cs="宋体" w:eastAsia="宋体" w:hint="default"/>
                <w:sz w:val="18"/>
                <w:szCs w:val="18"/>
              </w:rPr>
              <w:t>上述募投项目变更原因及决策程序详见公司于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日及</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日刊</w:t>
            </w:r>
            <w:r>
              <w:rPr>
                <w:rFonts w:ascii="宋体" w:hAnsi="宋体" w:cs="宋体" w:eastAsia="宋体" w:hint="default"/>
                <w:spacing w:val="-9"/>
                <w:sz w:val="18"/>
                <w:szCs w:val="18"/>
              </w:rPr>
              <w:t> </w:t>
            </w:r>
            <w:r>
              <w:rPr>
                <w:rFonts w:ascii="宋体" w:hAnsi="宋体" w:cs="宋体" w:eastAsia="宋体" w:hint="default"/>
                <w:sz w:val="18"/>
                <w:szCs w:val="18"/>
              </w:rPr>
              <w:t>载于《证券时报》和巨潮资讯网（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）的相关公告。</w:t>
            </w:r>
          </w:p>
        </w:tc>
      </w:tr>
      <w:tr>
        <w:trPr>
          <w:trHeight w:val="900" w:hRule="exact"/>
        </w:trPr>
        <w:tc>
          <w:tcPr>
            <w:tcW w:w="312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4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w:t>
            </w:r>
            <w:r>
              <w:rPr>
                <w:rFonts w:ascii="宋体" w:hAnsi="宋体" w:cs="宋体" w:eastAsia="宋体" w:hint="default"/>
                <w:spacing w:val="-57"/>
                <w:sz w:val="18"/>
                <w:szCs w:val="18"/>
              </w:rPr>
              <w:t> </w:t>
            </w: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50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00" w:hRule="exact"/>
        </w:trPr>
        <w:tc>
          <w:tcPr>
            <w:tcW w:w="312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138"/>
              <w:ind w:left="4"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w:t>
            </w:r>
            <w:r>
              <w:rPr>
                <w:rFonts w:ascii="宋体" w:hAnsi="宋体" w:cs="宋体" w:eastAsia="宋体" w:hint="default"/>
                <w:spacing w:val="-57"/>
                <w:sz w:val="18"/>
                <w:szCs w:val="18"/>
              </w:rPr>
              <w:t> </w:t>
            </w:r>
            <w:r>
              <w:rPr>
                <w:rFonts w:ascii="宋体" w:hAnsi="宋体" w:cs="宋体" w:eastAsia="宋体" w:hint="default"/>
                <w:sz w:val="18"/>
                <w:szCs w:val="18"/>
              </w:rPr>
              <w:t>况说明</w:t>
            </w:r>
          </w:p>
        </w:tc>
        <w:tc>
          <w:tcPr>
            <w:tcW w:w="650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left="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240" w:lineRule="auto" w:before="26"/>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84"/>
      </w:tblGrid>
      <w:tr>
        <w:trPr>
          <w:trHeight w:val="101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2"/>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股权出 售为上 市公司</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67" w:right="63"/>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与交易 对方的 关联关</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2"/>
              <w:jc w:val="both"/>
              <w:rPr>
                <w:rFonts w:ascii="宋体" w:hAnsi="宋体" w:cs="宋体" w:eastAsia="宋体" w:hint="default"/>
                <w:sz w:val="18"/>
                <w:szCs w:val="18"/>
              </w:rPr>
            </w:pPr>
            <w:r>
              <w:rPr>
                <w:rFonts w:ascii="宋体" w:hAnsi="宋体" w:cs="宋体" w:eastAsia="宋体" w:hint="default"/>
                <w:sz w:val="18"/>
                <w:szCs w:val="18"/>
              </w:rPr>
              <w:t>所涉及 的股权 是否已</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67" w:right="65"/>
              <w:jc w:val="both"/>
              <w:rPr>
                <w:rFonts w:ascii="宋体" w:hAnsi="宋体" w:cs="宋体" w:eastAsia="宋体" w:hint="default"/>
                <w:sz w:val="18"/>
                <w:szCs w:val="18"/>
              </w:rPr>
            </w:pPr>
            <w:r>
              <w:rPr>
                <w:rFonts w:ascii="宋体" w:hAnsi="宋体" w:cs="宋体" w:eastAsia="宋体" w:hint="default"/>
                <w:sz w:val="18"/>
                <w:szCs w:val="18"/>
              </w:rPr>
              <w:t>是否按 计划如 期实</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285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股权为 上市公 司贡献 的净利 润（万 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贡献的 净利润 占净利 润总额 的比例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2" w:hanging="180"/>
              <w:jc w:val="left"/>
              <w:rPr>
                <w:rFonts w:ascii="宋体" w:hAnsi="宋体" w:cs="宋体" w:eastAsia="宋体" w:hint="default"/>
                <w:sz w:val="18"/>
                <w:szCs w:val="18"/>
              </w:rPr>
            </w:pPr>
            <w:r>
              <w:rPr>
                <w:rFonts w:ascii="宋体" w:hAnsi="宋体" w:cs="宋体" w:eastAsia="宋体" w:hint="default"/>
                <w:sz w:val="18"/>
                <w:szCs w:val="18"/>
              </w:rPr>
              <w:t>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施，如 未按计 划实 施，应 当说明 原因及 公司已 采取的 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64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郑荣 华、郑 重科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6"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汇天云 网集团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p>
          <w:p>
            <w:pPr>
              <w:pStyle w:val="TableParagraph"/>
              <w:spacing w:line="235" w:lineRule="exact"/>
              <w:ind w:left="26"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折算</w:t>
            </w:r>
          </w:p>
          <w:p>
            <w:pPr>
              <w:pStyle w:val="TableParagraph"/>
              <w:spacing w:line="240" w:lineRule="auto" w:before="118"/>
              <w:ind w:left="244" w:right="0"/>
              <w:jc w:val="left"/>
              <w:rPr>
                <w:rFonts w:ascii="Times New Roman" w:hAnsi="Times New Roman" w:cs="Times New Roman" w:eastAsia="Times New Roman" w:hint="default"/>
                <w:sz w:val="18"/>
                <w:szCs w:val="18"/>
              </w:rPr>
            </w:pPr>
            <w:r>
              <w:rPr>
                <w:rFonts w:ascii="Times New Roman"/>
                <w:sz w:val="18"/>
              </w:rPr>
              <w:t>5,000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96" w:right="0"/>
              <w:jc w:val="left"/>
              <w:rPr>
                <w:rFonts w:ascii="Times New Roman" w:hAnsi="Times New Roman" w:cs="Times New Roman" w:eastAsia="Times New Roman" w:hint="default"/>
                <w:sz w:val="18"/>
                <w:szCs w:val="18"/>
              </w:rPr>
            </w:pPr>
            <w:r>
              <w:rPr>
                <w:rFonts w:ascii="Times New Roman"/>
                <w:sz w:val="18"/>
              </w:rPr>
              <w:t>-226.56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本次转 让汇天 云网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权暨股 权回购 事项不 会对公 司业务 连续 性、管 理层稳 定性产 生影 响，对 报告期 财务状 况和经 营成果 的影响 较小。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24" w:right="0"/>
              <w:jc w:val="left"/>
              <w:rPr>
                <w:rFonts w:ascii="Times New Roman" w:hAnsi="Times New Roman" w:cs="Times New Roman" w:eastAsia="Times New Roman" w:hint="default"/>
                <w:sz w:val="18"/>
                <w:szCs w:val="18"/>
              </w:rPr>
            </w:pPr>
            <w:r>
              <w:rPr>
                <w:rFonts w:ascii="Times New Roman"/>
                <w:sz w:val="18"/>
              </w:rPr>
              <w:t>-0.65%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6" w:right="107"/>
              <w:jc w:val="both"/>
              <w:rPr>
                <w:rFonts w:ascii="宋体" w:hAnsi="宋体" w:cs="宋体" w:eastAsia="宋体" w:hint="default"/>
                <w:sz w:val="18"/>
                <w:szCs w:val="18"/>
              </w:rPr>
            </w:pPr>
            <w:r>
              <w:rPr>
                <w:rFonts w:ascii="宋体" w:hAnsi="宋体" w:cs="宋体" w:eastAsia="宋体" w:hint="default"/>
                <w:sz w:val="18"/>
                <w:szCs w:val="18"/>
              </w:rPr>
              <w:t>《关于 转让汇 天云网 集团有 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权暨股 权回购 的公 </w:t>
            </w:r>
            <w:r>
              <w:rPr>
                <w:rFonts w:ascii="宋体" w:hAnsi="宋体" w:cs="宋体" w:eastAsia="宋体" w:hint="default"/>
                <w:spacing w:val="-24"/>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sz w:val="18"/>
              </w:rPr>
              <w:t>2017-06</w:t>
            </w:r>
          </w:p>
          <w:p>
            <w:pPr>
              <w:pStyle w:val="TableParagraph"/>
              <w:spacing w:line="355" w:lineRule="auto" w:before="63"/>
              <w:ind w:left="26" w:right="5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info.co</w:t>
            </w:r>
            <w:r>
              <w:rPr>
                <w:rFonts w:ascii="Times New Roman" w:hAnsi="Times New Roman" w:cs="Times New Roman" w:eastAsia="Times New Roman" w:hint="default"/>
                <w:sz w:val="18"/>
                <w:szCs w:val="18"/>
              </w:rPr>
              <w:t> m.cn</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9"/>
        <w:jc w:val="left"/>
      </w:pPr>
      <w:r>
        <w:rPr/>
        <w:t>主要子公司及对公司净利润影响达</w:t>
      </w:r>
      <w:r>
        <w:rPr>
          <w:spacing w:val="-43"/>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东莞市美盈 森环保科技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1,088,000,00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1,816,610,87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2.00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1,432,010,35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1,010,762,92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pacing w:val="-1"/>
                <w:sz w:val="18"/>
              </w:rPr>
              <w:t>2.91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129,626,228.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112,601,707.</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6"/>
        <w:gridCol w:w="1047"/>
        <w:gridCol w:w="1044"/>
        <w:gridCol w:w="1045"/>
        <w:gridCol w:w="1046"/>
      </w:tblGrid>
      <w:tr>
        <w:trPr>
          <w:trHeight w:val="196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苏州美盈森 环保科技有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298,311,400.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1,077,701,35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1.77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628,763,351.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730,872,107.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116,394,634.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98,732,140.4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9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18"/>
              <w:jc w:val="both"/>
              <w:rPr>
                <w:rFonts w:ascii="宋体" w:hAnsi="宋体" w:cs="宋体" w:eastAsia="宋体" w:hint="default"/>
                <w:sz w:val="18"/>
                <w:szCs w:val="18"/>
              </w:rPr>
            </w:pPr>
            <w:r>
              <w:rPr>
                <w:rFonts w:ascii="宋体" w:hAnsi="宋体" w:cs="宋体" w:eastAsia="宋体" w:hint="default"/>
                <w:sz w:val="18"/>
                <w:szCs w:val="18"/>
              </w:rPr>
              <w:t>重庆市美盈 森环保包装 工程有限公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left"/>
              <w:rPr>
                <w:rFonts w:ascii="宋体" w:hAnsi="宋体" w:cs="宋体" w:eastAsia="宋体" w:hint="default"/>
                <w:sz w:val="18"/>
                <w:szCs w:val="18"/>
              </w:rPr>
            </w:pPr>
            <w:r>
              <w:rPr>
                <w:rFonts w:ascii="宋体" w:hAnsi="宋体" w:cs="宋体" w:eastAsia="宋体" w:hint="default"/>
                <w:sz w:val="18"/>
                <w:szCs w:val="18"/>
              </w:rPr>
              <w:t>该公司主营 业务是轻重 型环保包装 制品的研 发、生产及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537,013,358.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429,026,964.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305,787,411.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43,082,571.2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35,634,975.1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r>
      <w:tr>
        <w:trPr>
          <w:trHeight w:val="289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东莞市美芯 龙物联网科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该公司主营 业务软件开 发，隐藏信 息防伪技术 的开发，高 新材料的研 发，无线射 频标签生产 及销售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106,723,907.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70,183,836.6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104,518,404.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35,163,594.5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30,197,486.3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352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18"/>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该公司主营 业务是为客 户提供包括 品牌策划、 创意设计、 工艺研发、 材料创新及 应用、包装 服务为一体 的整体解决 方案。</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222,307,903.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163,112,229.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177,402,677.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4,099,681.85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1,993,925.45</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-1,120,968.02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-579,280.92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-137,007.28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-481,122.10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91"/>
              <w:jc w:val="left"/>
              <w:rPr>
                <w:rFonts w:ascii="Times New Roman" w:hAnsi="Times New Roman" w:cs="Times New Roman" w:eastAsia="Times New Roman" w:hint="default"/>
                <w:sz w:val="18"/>
                <w:szCs w:val="18"/>
              </w:rPr>
            </w:pPr>
            <w:r>
              <w:rPr>
                <w:rFonts w:ascii="Times New Roman"/>
                <w:sz w:val="18"/>
              </w:rPr>
              <w:t>MYS GROUP (VIETNAM)</w:t>
            </w:r>
            <w:r>
              <w:rPr>
                <w:rFonts w:ascii="Times New Roman"/>
                <w:spacing w:val="-9"/>
                <w:sz w:val="18"/>
              </w:rPr>
              <w:t> </w:t>
            </w:r>
            <w:r>
              <w:rPr>
                <w:rFonts w:ascii="Times New Roman"/>
                <w:spacing w:val="-3"/>
                <w:sz w:val="18"/>
              </w:rPr>
              <w:t>COMPANY</w:t>
            </w:r>
            <w:r>
              <w:rPr>
                <w:rFonts w:ascii="Times New Roman"/>
                <w:w w:val="99"/>
                <w:sz w:val="18"/>
              </w:rPr>
              <w:t> </w:t>
            </w:r>
            <w:r>
              <w:rPr>
                <w:rFonts w:ascii="Times New Roman"/>
                <w:sz w:val="18"/>
              </w:rPr>
              <w:t>LIMITED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-1,546,350.00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2"/>
                <w:sz w:val="18"/>
              </w:rPr>
              <w:t> </w:t>
            </w:r>
            <w:r>
              <w:rPr>
                <w:rFonts w:ascii="Times New Roman"/>
                <w:sz w:val="18"/>
              </w:rPr>
              <w:t>Inc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-892,743.80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出售，即股权回购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-2,265,640.61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357" w:lineRule="auto" w:before="49"/>
        <w:ind w:right="7614"/>
        <w:jc w:val="left"/>
      </w:pPr>
      <w:r>
        <w:rPr/>
        <w:t>主要控股参股公司情况说明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0"/>
        <w:jc w:val="left"/>
      </w:pPr>
      <w:r>
        <w:rPr/>
        <w:t>一、行业格局和趋势</w:t>
      </w:r>
    </w:p>
    <w:p>
      <w:pPr>
        <w:pStyle w:val="BodyText"/>
        <w:spacing w:line="240" w:lineRule="auto" w:before="76"/>
        <w:ind w:left="573" w:right="0"/>
        <w:jc w:val="left"/>
      </w:pPr>
      <w:r>
        <w:rPr/>
        <w:t>（</w:t>
      </w:r>
      <w:r>
        <w:rPr>
          <w:rFonts w:ascii="Times New Roman" w:hAnsi="Times New Roman" w:cs="Times New Roman" w:eastAsia="Times New Roman" w:hint="default"/>
        </w:rPr>
        <w:t>1</w:t>
      </w:r>
      <w:r>
        <w:rPr/>
        <w:t>）行业发展整体态势分析</w:t>
      </w:r>
    </w:p>
    <w:p>
      <w:pPr>
        <w:pStyle w:val="BodyText"/>
        <w:spacing w:line="312" w:lineRule="auto" w:before="63"/>
        <w:ind w:right="153" w:firstLine="420"/>
        <w:jc w:val="both"/>
      </w:pPr>
      <w:r>
        <w:rPr>
          <w:rFonts w:ascii="Times New Roman" w:hAnsi="Times New Roman" w:cs="Times New Roman" w:eastAsia="Times New Roman" w:hint="default"/>
        </w:rPr>
        <w:t>2017</w:t>
      </w:r>
      <w:r>
        <w:rPr/>
        <w:t>年，中国经济交出优异答卷：国内生产总值总量首次突破</w:t>
      </w:r>
      <w:r>
        <w:rPr>
          <w:rFonts w:ascii="Times New Roman" w:hAnsi="Times New Roman" w:cs="Times New Roman" w:eastAsia="Times New Roman" w:hint="default"/>
        </w:rPr>
        <w:t>80</w:t>
      </w:r>
      <w:r>
        <w:rPr/>
        <w:t>万亿元大关，同比增长</w:t>
      </w:r>
      <w:r>
        <w:rPr>
          <w:rFonts w:ascii="Times New Roman" w:hAnsi="Times New Roman" w:cs="Times New Roman" w:eastAsia="Times New Roman" w:hint="default"/>
        </w:rPr>
        <w:t>6.9%</w:t>
      </w:r>
      <w:r>
        <w:rPr/>
        <w:t>，经济活力、动力和潜力 </w:t>
      </w:r>
      <w:r>
        <w:rPr>
          <w:spacing w:val="-2"/>
        </w:rPr>
        <w:t>不断释放，稳定性、协调性和可持续性明显增强，实现平稳健康发展。包装产业是与国计民生密切相关的服务型制造业，在</w:t>
      </w:r>
      <w:r>
        <w:rPr>
          <w:spacing w:val="-67"/>
        </w:rPr>
        <w:t> </w:t>
      </w:r>
      <w:r>
        <w:rPr>
          <w:spacing w:val="-67"/>
        </w:rPr>
      </w:r>
      <w:r>
        <w:rPr>
          <w:spacing w:val="-2"/>
        </w:rPr>
        <w:t>国民经济与社会发展中具有举足轻重的地位，伴随国内经济总量的增长及包装需求的不断升级，包装产业市场容量及产品品</w:t>
      </w:r>
      <w:r>
        <w:rPr>
          <w:spacing w:val="-64"/>
        </w:rPr>
        <w:t> </w:t>
      </w:r>
      <w:r>
        <w:rPr>
          <w:spacing w:val="-64"/>
        </w:rPr>
      </w:r>
      <w:r>
        <w:rPr/>
        <w:t>质要求不断提升。</w:t>
      </w:r>
    </w:p>
    <w:p>
      <w:pPr>
        <w:pStyle w:val="BodyText"/>
        <w:spacing w:line="309" w:lineRule="auto" w:before="22"/>
        <w:ind w:right="148" w:firstLine="420"/>
        <w:jc w:val="both"/>
      </w:pPr>
      <w:r>
        <w:rPr/>
        <w:t>工业和信息化部、商务部联合发布的《工业和信息化部商务部关于加快我国包装产业转型发展的指导意见》（工信部 联消费</w:t>
      </w:r>
      <w:r>
        <w:rPr>
          <w:rFonts w:ascii="Times New Roman" w:hAnsi="Times New Roman" w:cs="Times New Roman" w:eastAsia="Times New Roman" w:hint="default"/>
        </w:rPr>
        <w:t>[2016]397</w:t>
      </w:r>
      <w:r>
        <w:rPr/>
        <w:t>号）对我国包装行业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期间产业规模、自主创新、两化融合、节能减排、军民融合及标准建设等发 </w:t>
      </w:r>
      <w:r>
        <w:rPr>
          <w:spacing w:val="-2"/>
        </w:rPr>
        <w:t>展目标作出了指导。其中，在产业规模上，目标为：保持产业发展增速与国民经济增速同步，产业发展规模与配套服务需求</w:t>
      </w:r>
      <w:r>
        <w:rPr>
          <w:spacing w:val="-67"/>
        </w:rPr>
        <w:t> </w:t>
      </w:r>
      <w:r>
        <w:rPr>
          <w:spacing w:val="-67"/>
        </w:rPr>
      </w:r>
      <w:r>
        <w:rPr/>
        <w:t>相适应。特别在产业规模上，目标到</w:t>
      </w:r>
      <w:r>
        <w:rPr>
          <w:rFonts w:ascii="Times New Roman" w:hAnsi="Times New Roman" w:cs="Times New Roman" w:eastAsia="Times New Roman" w:hint="default"/>
        </w:rPr>
        <w:t>2020</w:t>
      </w:r>
      <w:r>
        <w:rPr/>
        <w:t>年，实现包装产业年主营业务收入达到</w:t>
      </w:r>
      <w:r>
        <w:rPr>
          <w:rFonts w:ascii="Times New Roman" w:hAnsi="Times New Roman" w:cs="Times New Roman" w:eastAsia="Times New Roman" w:hint="default"/>
        </w:rPr>
        <w:t>2.5</w:t>
      </w:r>
      <w:r>
        <w:rPr/>
        <w:t>万亿元，形成</w:t>
      </w:r>
      <w:r>
        <w:rPr>
          <w:rFonts w:ascii="Times New Roman" w:hAnsi="Times New Roman" w:cs="Times New Roman" w:eastAsia="Times New Roman" w:hint="default"/>
        </w:rPr>
        <w:t>15</w:t>
      </w:r>
      <w:r>
        <w:rPr/>
        <w:t>家以上年产值超过</w:t>
      </w:r>
      <w:r>
        <w:rPr>
          <w:rFonts w:ascii="Times New Roman" w:hAnsi="Times New Roman" w:cs="Times New Roman" w:eastAsia="Times New Roman" w:hint="default"/>
        </w:rPr>
        <w:t>50</w:t>
      </w:r>
      <w:r>
        <w:rPr/>
        <w:t>亿 </w:t>
      </w:r>
      <w:r>
        <w:rPr>
          <w:spacing w:val="-2"/>
        </w:rPr>
        <w:t>元的企业或集团，上市公司和高新技术企业大幅增加。积极培育包装产业特色突出的新型工业化产业示范基地，形成一批具</w:t>
      </w:r>
      <w:r>
        <w:rPr>
          <w:spacing w:val="-63"/>
        </w:rPr>
        <w:t> </w:t>
      </w:r>
      <w:r>
        <w:rPr>
          <w:spacing w:val="-63"/>
        </w:rPr>
      </w:r>
      <w:r>
        <w:rPr>
          <w:spacing w:val="-2"/>
        </w:rPr>
        <w:t>有较强影响力的知名品牌。根据中国包装联合会发布的数据，</w:t>
      </w:r>
      <w:r>
        <w:rPr>
          <w:rFonts w:ascii="Times New Roman" w:hAnsi="Times New Roman" w:cs="Times New Roman" w:eastAsia="Times New Roman" w:hint="default"/>
          <w:spacing w:val="-2"/>
        </w:rPr>
        <w:t>2016</w:t>
      </w:r>
      <w:r>
        <w:rPr>
          <w:spacing w:val="-2"/>
        </w:rPr>
        <w:t>年，中国包装行业规模以上企业共</w:t>
      </w:r>
      <w:r>
        <w:rPr>
          <w:rFonts w:ascii="Times New Roman" w:hAnsi="Times New Roman" w:cs="Times New Roman" w:eastAsia="Times New Roman" w:hint="default"/>
          <w:spacing w:val="-2"/>
        </w:rPr>
        <w:t>7582</w:t>
      </w:r>
      <w:r>
        <w:rPr>
          <w:spacing w:val="-2"/>
        </w:rPr>
        <w:t>家，实现营业收入</w:t>
      </w:r>
      <w:r>
        <w:rPr>
          <w:spacing w:val="-56"/>
        </w:rPr>
        <w:t> </w:t>
      </w:r>
      <w:r>
        <w:rPr>
          <w:spacing w:val="-56"/>
        </w:rPr>
      </w:r>
      <w:r>
        <w:rPr>
          <w:rFonts w:ascii="Times New Roman" w:hAnsi="Times New Roman" w:cs="Times New Roman" w:eastAsia="Times New Roman" w:hint="default"/>
        </w:rPr>
        <w:t>1.17</w:t>
      </w:r>
      <w:r>
        <w:rPr/>
        <w:t>万亿，市场规模巨大。</w:t>
      </w:r>
    </w:p>
    <w:p>
      <w:pPr>
        <w:spacing w:line="240" w:lineRule="auto" w:before="3"/>
        <w:rPr>
          <w:rFonts w:ascii="宋体" w:hAnsi="宋体" w:cs="宋体" w:eastAsia="宋体" w:hint="default"/>
          <w:sz w:val="24"/>
          <w:szCs w:val="24"/>
        </w:rPr>
      </w:pPr>
    </w:p>
    <w:p>
      <w:pPr>
        <w:pStyle w:val="BodyText"/>
        <w:spacing w:line="300" w:lineRule="auto"/>
        <w:ind w:left="573" w:right="173"/>
        <w:jc w:val="left"/>
      </w:pPr>
      <w:r>
        <w:rPr/>
        <w:t>（</w:t>
      </w:r>
      <w:r>
        <w:rPr>
          <w:rFonts w:ascii="Times New Roman" w:hAnsi="Times New Roman" w:cs="Times New Roman" w:eastAsia="Times New Roman" w:hint="default"/>
        </w:rPr>
        <w:t>2</w:t>
      </w:r>
      <w:r>
        <w:rPr/>
        <w:t>）行业发展环境及趋势分析 </w:t>
      </w:r>
      <w:r>
        <w:rPr>
          <w:rFonts w:ascii="Times New Roman" w:hAnsi="Times New Roman" w:cs="Times New Roman" w:eastAsia="Times New Roman" w:hint="default"/>
        </w:rPr>
        <w:t>1</w:t>
      </w:r>
      <w:r>
        <w:rPr/>
        <w:t>）行业集中度的不断提升是包装产业发展规律，国内包装行业领先企业加速发展概率高 根据中国包装联合会发布的《</w:t>
      </w:r>
      <w:r>
        <w:rPr>
          <w:rFonts w:ascii="Times New Roman" w:hAnsi="Times New Roman" w:cs="Times New Roman" w:eastAsia="Times New Roman" w:hint="default"/>
        </w:rPr>
        <w:t>2016</w:t>
      </w:r>
      <w:r>
        <w:rPr/>
        <w:t>年度中国包装百强企业名单》测算，中国包装行业前十名企业营业收入合计占中国</w:t>
      </w:r>
    </w:p>
    <w:p>
      <w:pPr>
        <w:pStyle w:val="BodyText"/>
        <w:spacing w:line="304" w:lineRule="auto" w:before="13"/>
        <w:ind w:right="140"/>
        <w:jc w:val="left"/>
      </w:pPr>
      <w:r>
        <w:rPr/>
        <w:t>包装行业规模以上企业营收的比重不足</w:t>
      </w:r>
      <w:r>
        <w:rPr>
          <w:rFonts w:ascii="Times New Roman" w:hAnsi="Times New Roman" w:cs="Times New Roman" w:eastAsia="Times New Roman" w:hint="default"/>
        </w:rPr>
        <w:t>6.5%</w:t>
      </w:r>
      <w:r>
        <w:rPr/>
        <w:t>。对比成熟市场，我国包装行业集中度非常低。根据中国包装网的信息，市场 占有率方面，美国</w:t>
      </w:r>
      <w:r>
        <w:rPr>
          <w:rFonts w:ascii="Times New Roman" w:hAnsi="Times New Roman" w:cs="Times New Roman" w:eastAsia="Times New Roman" w:hint="default"/>
        </w:rPr>
        <w:t>top5&gt;70%</w:t>
      </w:r>
      <w:r>
        <w:rPr/>
        <w:t>，澳洲</w:t>
      </w: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。纸质包装行业为国内包装行业第一大子行业。根据中国 </w:t>
      </w:r>
      <w:r>
        <w:rPr>
          <w:spacing w:val="-1"/>
        </w:rPr>
        <w:t>包装联合会数据，国内纸质包装规模以上企业</w:t>
      </w:r>
      <w:r>
        <w:rPr>
          <w:rFonts w:ascii="Times New Roman" w:hAnsi="Times New Roman" w:cs="Times New Roman" w:eastAsia="Times New Roman" w:hint="default"/>
          <w:spacing w:val="-1"/>
        </w:rPr>
        <w:t>2017</w:t>
      </w:r>
      <w:r>
        <w:rPr>
          <w:spacing w:val="-1"/>
        </w:rPr>
        <w:t>年前三季度营业收入及营业利润同比增长均超过</w:t>
      </w:r>
      <w:r>
        <w:rPr>
          <w:rFonts w:ascii="Times New Roman" w:hAnsi="Times New Roman" w:cs="Times New Roman" w:eastAsia="Times New Roman" w:hint="default"/>
          <w:spacing w:val="-1"/>
        </w:rPr>
        <w:t>10%</w:t>
      </w:r>
      <w:r>
        <w:rPr>
          <w:spacing w:val="-1"/>
        </w:rPr>
        <w:t>。近年来，伴随着上</w:t>
      </w:r>
      <w:r>
        <w:rPr/>
        <w:t> </w:t>
      </w:r>
      <w:r>
        <w:rPr>
          <w:spacing w:val="-2"/>
        </w:rPr>
        <w:t>游造纸行业集中度的提升及下游客户需求的不断升级，特别是</w:t>
      </w:r>
      <w:r>
        <w:rPr>
          <w:rFonts w:ascii="Times New Roman" w:hAnsi="Times New Roman" w:cs="Times New Roman" w:eastAsia="Times New Roman" w:hint="default"/>
          <w:spacing w:val="-2"/>
        </w:rPr>
        <w:t>2016</w:t>
      </w:r>
      <w:r>
        <w:rPr>
          <w:spacing w:val="-2"/>
        </w:rPr>
        <w:t>年四季度以来，国内原纸价格出现大幅上涨，纸质包装优</w:t>
      </w:r>
      <w:r>
        <w:rPr>
          <w:spacing w:val="-60"/>
        </w:rPr>
        <w:t> </w:t>
      </w:r>
      <w:r>
        <w:rPr>
          <w:spacing w:val="-60"/>
        </w:rPr>
      </w:r>
      <w:r>
        <w:rPr>
          <w:spacing w:val="-2"/>
        </w:rPr>
        <w:t>势企业在获取市场资源方面优势明显，众多竞争力较弱的中小纸质包装企业面临倒闭的风险，包装行业集中度呈现加速集中</w:t>
      </w:r>
      <w:r>
        <w:rPr>
          <w:spacing w:val="-64"/>
        </w:rPr>
        <w:t> </w:t>
      </w:r>
      <w:r>
        <w:rPr>
          <w:spacing w:val="-64"/>
        </w:rPr>
      </w:r>
      <w:r>
        <w:rPr/>
        <w:t>态势。</w:t>
      </w:r>
    </w:p>
    <w:p>
      <w:pPr>
        <w:pStyle w:val="BodyText"/>
        <w:spacing w:line="300" w:lineRule="auto" w:before="28"/>
        <w:ind w:left="573" w:right="173"/>
        <w:jc w:val="left"/>
      </w:pPr>
      <w:r>
        <w:rPr>
          <w:rFonts w:ascii="Times New Roman" w:hAnsi="Times New Roman" w:cs="Times New Roman" w:eastAsia="Times New Roman" w:hint="default"/>
        </w:rPr>
        <w:t>2</w:t>
      </w:r>
      <w:r>
        <w:rPr/>
        <w:t>）包装需求升级为行业内优势企业带来发展机遇 伴随着消费者包装需求不断升级，纸质包装已逐步从传统单纯的运输包装功能向个性化、定制化的兼具运输包装、销</w:t>
      </w:r>
    </w:p>
    <w:p>
      <w:pPr>
        <w:pStyle w:val="BodyText"/>
        <w:spacing w:line="316" w:lineRule="auto" w:before="31"/>
        <w:ind w:right="151"/>
        <w:jc w:val="both"/>
      </w:pPr>
      <w:r>
        <w:rPr>
          <w:spacing w:val="-2"/>
        </w:rPr>
        <w:t>售包装、产品溯源、防伪等多功能的方向发展。同时众多下游客户除要求纸包装产品品质良好、外观精美、轻量减量外，还</w:t>
      </w:r>
      <w:r>
        <w:rPr>
          <w:spacing w:val="-68"/>
        </w:rPr>
        <w:t> </w:t>
      </w:r>
      <w:r>
        <w:rPr>
          <w:spacing w:val="-68"/>
        </w:rPr>
      </w:r>
      <w:r>
        <w:rPr>
          <w:spacing w:val="-2"/>
        </w:rPr>
        <w:t>希望包装企业能够依据客户的产品的尺寸、性能等进行包装方案策划和设计，提供物流、仓储、包装作业指导等一体化解决</w:t>
      </w:r>
      <w:r>
        <w:rPr>
          <w:spacing w:val="-64"/>
        </w:rPr>
        <w:t> </w:t>
      </w:r>
      <w:r>
        <w:rPr>
          <w:spacing w:val="-64"/>
        </w:rPr>
      </w:r>
      <w:r>
        <w:rPr/>
        <w:t>方案。</w:t>
      </w:r>
    </w:p>
    <w:p>
      <w:pPr>
        <w:pStyle w:val="BodyText"/>
        <w:spacing w:line="316" w:lineRule="auto" w:before="19"/>
        <w:ind w:right="191" w:firstLine="420"/>
        <w:jc w:val="both"/>
      </w:pPr>
      <w:r>
        <w:rPr/>
        <w:t>消费者及下游客户需求的升级使得具有竞争优势的、能够提供包装综合服务以及具备创新服务能力的优势企业获得更 多的订单，毛利率水平亦可得到有效改善。</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left="573" w:right="213"/>
        <w:jc w:val="left"/>
      </w:pPr>
      <w:r>
        <w:rPr>
          <w:rFonts w:ascii="Times New Roman" w:hAnsi="Times New Roman" w:cs="Times New Roman" w:eastAsia="Times New Roman" w:hint="default"/>
        </w:rPr>
        <w:t>3</w:t>
      </w:r>
      <w:r>
        <w:rPr/>
        <w:t>）军民融合包装产业有望实现快速发展 党的十八大以来，党中央把军民融合发展上升为国家战略，军民融合发展呈现整体推进、加速发展的良好势头。党的</w:t>
      </w:r>
    </w:p>
    <w:p>
      <w:pPr>
        <w:pStyle w:val="BodyText"/>
        <w:spacing w:line="316" w:lineRule="auto" w:before="31"/>
        <w:ind w:left="573" w:right="2373" w:hanging="421"/>
        <w:jc w:val="left"/>
      </w:pPr>
      <w:r>
        <w:rPr/>
        <w:t>十九大强调要坚定实施军民融合发展战略，形成军民融合深度发展格局。 军用品的储存、运输等，对配套包装技术、质量要求十分之高，军品包装需求十分旺盛。</w:t>
      </w:r>
    </w:p>
    <w:p>
      <w:pPr>
        <w:pStyle w:val="BodyText"/>
        <w:spacing w:line="309" w:lineRule="auto" w:before="19"/>
        <w:ind w:right="191" w:firstLine="420"/>
        <w:jc w:val="both"/>
      </w:pPr>
      <w:r>
        <w:rPr/>
        <w:t>《工业和信息化部</w:t>
      </w:r>
      <w:r>
        <w:rPr>
          <w:spacing w:val="-50"/>
        </w:rPr>
        <w:t> </w:t>
      </w:r>
      <w:r>
        <w:rPr/>
        <w:t>商务部关于加快我国包装产业转型发展的指导意见》指出，到</w:t>
      </w:r>
      <w:r>
        <w:rPr>
          <w:rFonts w:ascii="Times New Roman" w:hAnsi="Times New Roman" w:cs="Times New Roman" w:eastAsia="Times New Roman" w:hint="default"/>
        </w:rPr>
        <w:t>2020</w:t>
      </w:r>
      <w:r>
        <w:rPr/>
        <w:t>年，实现军民通用包装数量和质 </w:t>
      </w:r>
      <w:r>
        <w:rPr>
          <w:spacing w:val="-2"/>
        </w:rPr>
        <w:t>量显著提升，标准达到国际先进水平，逐步形成体系完善、创新引领、高端聚集、高效增长的发展态势。建成一批军民融合</w:t>
      </w:r>
      <w:r>
        <w:rPr>
          <w:spacing w:val="-68"/>
        </w:rPr>
        <w:t> </w:t>
      </w:r>
      <w:r>
        <w:rPr>
          <w:spacing w:val="-68"/>
        </w:rPr>
      </w:r>
      <w:r>
        <w:rPr/>
        <w:t>包装基地，包装技术军民通用水平显著提升。</w:t>
      </w:r>
    </w:p>
    <w:p>
      <w:pPr>
        <w:pStyle w:val="BodyText"/>
        <w:spacing w:line="240" w:lineRule="auto" w:before="24"/>
        <w:ind w:left="573" w:right="94"/>
        <w:jc w:val="left"/>
      </w:pPr>
      <w:r>
        <w:rPr/>
        <w:t>党中央的高度重视，系列政策的指引，军民融合包装产业有望实现快速发展。</w:t>
      </w:r>
    </w:p>
    <w:p>
      <w:pPr>
        <w:pStyle w:val="BodyText"/>
        <w:spacing w:line="300" w:lineRule="auto" w:before="76"/>
        <w:ind w:left="573" w:right="85"/>
        <w:jc w:val="left"/>
      </w:pPr>
      <w:r>
        <w:rPr>
          <w:rFonts w:ascii="Times New Roman" w:hAnsi="Times New Roman" w:cs="Times New Roman" w:eastAsia="Times New Roman" w:hint="default"/>
        </w:rPr>
        <w:t>4</w:t>
      </w:r>
      <w:r>
        <w:rPr/>
        <w:t>）智能包装将成为市场发展的蓝海 </w:t>
      </w:r>
      <w:r>
        <w:rPr>
          <w:spacing w:val="-1"/>
        </w:rPr>
        <w:t>目前市场许多产品，特别是食品类产品的内在差异较大，而外在差异不明显，消费者对所购买产品溯源需求不断提升，</w:t>
      </w:r>
    </w:p>
    <w:p>
      <w:pPr>
        <w:pStyle w:val="BodyText"/>
        <w:spacing w:line="300" w:lineRule="auto" w:before="31"/>
        <w:ind w:right="240"/>
        <w:jc w:val="both"/>
      </w:pPr>
      <w:r>
        <w:rPr/>
        <w:t>正在倒逼产品生产企业搭建全流程可追溯系统。搭载</w:t>
      </w:r>
      <w:r>
        <w:rPr>
          <w:rFonts w:ascii="Times New Roman" w:hAnsi="Times New Roman" w:cs="Times New Roman" w:eastAsia="Times New Roman" w:hint="default"/>
        </w:rPr>
        <w:t>RFID</w:t>
      </w:r>
      <w:r>
        <w:rPr/>
        <w:t>等物联网技术的智能包装将成为直接面向终端消费者的产品源信 息交互媒介。</w:t>
      </w:r>
    </w:p>
    <w:p>
      <w:pPr>
        <w:pStyle w:val="BodyText"/>
        <w:spacing w:line="319" w:lineRule="auto" w:before="31"/>
        <w:ind w:right="193" w:firstLine="420"/>
        <w:jc w:val="both"/>
      </w:pPr>
      <w:r>
        <w:rPr/>
        <w:t>随着物联网技术、电子信息技术的成熟以及互联网的快速发展，智能包装使得产品防伪、追溯以及实现制造商、销售 </w:t>
      </w:r>
      <w:r>
        <w:rPr>
          <w:spacing w:val="-2"/>
        </w:rPr>
        <w:t>商与终端消费者进行交互等功能都变得非常便捷。技术的成熟、市场需求的增加，智能包装必然成为未来包装行业发展的新</w:t>
      </w:r>
      <w:r>
        <w:rPr>
          <w:spacing w:val="-66"/>
        </w:rPr>
        <w:t> </w:t>
      </w:r>
      <w:r>
        <w:rPr>
          <w:spacing w:val="-66"/>
        </w:rPr>
      </w:r>
      <w:r>
        <w:rPr/>
        <w:t>蓝海。</w:t>
      </w:r>
    </w:p>
    <w:p>
      <w:pPr>
        <w:spacing w:line="240" w:lineRule="auto" w:before="2"/>
        <w:rPr>
          <w:rFonts w:ascii="宋体" w:hAnsi="宋体" w:cs="宋体" w:eastAsia="宋体" w:hint="default"/>
          <w:sz w:val="25"/>
          <w:szCs w:val="25"/>
        </w:rPr>
      </w:pPr>
    </w:p>
    <w:p>
      <w:pPr>
        <w:pStyle w:val="BodyText"/>
        <w:spacing w:line="240" w:lineRule="auto"/>
        <w:ind w:left="573" w:right="94"/>
        <w:jc w:val="left"/>
      </w:pPr>
      <w:r>
        <w:rPr/>
        <w:t>二、公司发展战略</w:t>
      </w:r>
    </w:p>
    <w:p>
      <w:pPr>
        <w:pStyle w:val="BodyText"/>
        <w:spacing w:line="300" w:lineRule="auto" w:before="76"/>
        <w:ind w:left="573" w:right="94"/>
        <w:jc w:val="left"/>
      </w:pPr>
      <w:r>
        <w:rPr/>
        <w:t>（</w:t>
      </w:r>
      <w:r>
        <w:rPr>
          <w:rFonts w:ascii="Times New Roman" w:hAnsi="Times New Roman" w:cs="Times New Roman" w:eastAsia="Times New Roman" w:hint="default"/>
        </w:rPr>
        <w:t>1</w:t>
      </w:r>
      <w:r>
        <w:rPr/>
        <w:t>）愿景 公司愿景是坚持绿色包装、智能制造、环保节能、可持续发展理念，致力于绿色环保包装产品、军民融合包装产品、</w:t>
      </w:r>
    </w:p>
    <w:p>
      <w:pPr>
        <w:pStyle w:val="BodyText"/>
        <w:spacing w:line="316" w:lineRule="auto" w:before="31"/>
        <w:ind w:right="190"/>
        <w:jc w:val="both"/>
      </w:pPr>
      <w:r>
        <w:rPr>
          <w:spacing w:val="-2"/>
        </w:rPr>
        <w:t>电子功能材料模切产品、智能包装产品等的研发、生产和销售，帮助客户促进产品销售，提升客户产品品牌美誉度，降低客</w:t>
      </w:r>
      <w:r>
        <w:rPr>
          <w:spacing w:val="-67"/>
        </w:rPr>
        <w:t> </w:t>
      </w:r>
      <w:r>
        <w:rPr>
          <w:spacing w:val="-67"/>
        </w:rPr>
      </w:r>
      <w:r>
        <w:rPr>
          <w:spacing w:val="-2"/>
        </w:rPr>
        <w:t>户综合包装成本，通过包装实现产品溯源和防伪，引领国内包装产业整体水平的持续提升，为建设美丽中国以及更有质量的</w:t>
      </w:r>
      <w:r>
        <w:rPr>
          <w:spacing w:val="-63"/>
        </w:rPr>
        <w:t> </w:t>
      </w:r>
      <w:r>
        <w:rPr>
          <w:spacing w:val="-63"/>
        </w:rPr>
      </w:r>
      <w:r>
        <w:rPr/>
        <w:t>经济增长目标做出应有的贡献，并把握经济发展质量提升、消费升级等为行业领先企业带来的发展机遇。</w:t>
      </w:r>
    </w:p>
    <w:p>
      <w:pPr>
        <w:pStyle w:val="BodyText"/>
        <w:spacing w:line="300" w:lineRule="auto" w:before="19"/>
        <w:ind w:left="573" w:right="94"/>
        <w:jc w:val="left"/>
      </w:pPr>
      <w:r>
        <w:rPr/>
        <w:t>（</w:t>
      </w:r>
      <w:r>
        <w:rPr>
          <w:rFonts w:ascii="Times New Roman" w:hAnsi="Times New Roman" w:cs="Times New Roman" w:eastAsia="Times New Roman" w:hint="default"/>
        </w:rPr>
        <w:t>2</w:t>
      </w:r>
      <w:r>
        <w:rPr/>
        <w:t>）发展战略 凭借公司在研发、制造、品质、服务、管理等全方位的竞争优势，近年来，公司开发了一批战略性或重点新客户，为</w:t>
      </w:r>
    </w:p>
    <w:p>
      <w:pPr>
        <w:pStyle w:val="BodyText"/>
        <w:spacing w:line="319" w:lineRule="auto" w:before="31"/>
        <w:ind w:right="191"/>
        <w:jc w:val="both"/>
      </w:pPr>
      <w:r>
        <w:rPr>
          <w:spacing w:val="-2"/>
        </w:rPr>
        <w:t>公司持续快速发展奠定了坚实的基础；与此同时，公司深度挖掘客户需求，增强与战略性客户合作粘性，有效的推动了公司</w:t>
      </w:r>
      <w:r>
        <w:rPr>
          <w:spacing w:val="-64"/>
        </w:rPr>
        <w:t> </w:t>
      </w:r>
      <w:r>
        <w:rPr>
          <w:spacing w:val="-64"/>
        </w:rPr>
      </w:r>
      <w:r>
        <w:rPr>
          <w:spacing w:val="-2"/>
        </w:rPr>
        <w:t>新产品业务发展；随着新客户订单进入加速释放期，以及公司综合竞争力与品牌客户资源对于公司持续开发新客户产生的叠</w:t>
      </w:r>
      <w:r>
        <w:rPr>
          <w:spacing w:val="-64"/>
        </w:rPr>
        <w:t> </w:t>
      </w:r>
      <w:r>
        <w:rPr>
          <w:spacing w:val="-64"/>
        </w:rPr>
      </w:r>
      <w:r>
        <w:rPr/>
        <w:t>加促进效应，新建产能的规模将成为决定公司发展高度的最关键因素。</w:t>
      </w:r>
    </w:p>
    <w:p>
      <w:pPr>
        <w:pStyle w:val="BodyText"/>
        <w:spacing w:line="300" w:lineRule="auto" w:before="17"/>
        <w:ind w:right="194" w:firstLine="420"/>
        <w:jc w:val="both"/>
      </w:pPr>
      <w:r>
        <w:rPr/>
        <w:t>综上，未来三年，公司将着力发展</w:t>
      </w:r>
      <w:r>
        <w:rPr>
          <w:rFonts w:ascii="Times New Roman" w:hAnsi="Times New Roman" w:cs="Times New Roman" w:eastAsia="Times New Roman" w:hint="default"/>
        </w:rPr>
        <w:t>“</w:t>
      </w:r>
      <w:r>
        <w:rPr/>
        <w:t>三新</w:t>
      </w:r>
      <w:r>
        <w:rPr>
          <w:rFonts w:ascii="Times New Roman" w:hAnsi="Times New Roman" w:cs="Times New Roman" w:eastAsia="Times New Roman" w:hint="default"/>
        </w:rPr>
        <w:t>”</w:t>
      </w:r>
      <w:r>
        <w:rPr/>
        <w:t>推动</w:t>
      </w:r>
      <w:r>
        <w:rPr>
          <w:rFonts w:ascii="Times New Roman" w:hAnsi="Times New Roman" w:cs="Times New Roman" w:eastAsia="Times New Roman" w:hint="default"/>
        </w:rPr>
        <w:t>“</w:t>
      </w:r>
      <w:r>
        <w:rPr/>
        <w:t>两新</w:t>
      </w:r>
      <w:r>
        <w:rPr>
          <w:rFonts w:ascii="Times New Roman" w:hAnsi="Times New Roman" w:cs="Times New Roman" w:eastAsia="Times New Roman" w:hint="default"/>
        </w:rPr>
        <w:t>”</w:t>
      </w:r>
      <w:r>
        <w:rPr/>
        <w:t>战略规划，以新客户、新业务、新产能推动公司取得新发展，实 现行业新地位。</w:t>
      </w:r>
    </w:p>
    <w:p>
      <w:pPr>
        <w:pStyle w:val="BodyText"/>
        <w:spacing w:line="309" w:lineRule="auto" w:before="31"/>
        <w:ind w:right="190" w:firstLine="420"/>
        <w:jc w:val="both"/>
      </w:pPr>
      <w:r>
        <w:rPr/>
        <w:t>新客户，是指公司近年所开发的包括亚马逊在内的多个战略性及重点客户订单进入加速释放期，同时公司计划继续实 </w:t>
      </w:r>
      <w:r>
        <w:rPr>
          <w:spacing w:val="-2"/>
        </w:rPr>
        <w:t>施</w:t>
      </w:r>
      <w:r>
        <w:rPr>
          <w:rFonts w:ascii="Times New Roman" w:hAnsi="Times New Roman" w:cs="Times New Roman" w:eastAsia="Times New Roman" w:hint="default"/>
          <w:spacing w:val="-2"/>
        </w:rPr>
        <w:t>“</w:t>
      </w:r>
      <w:r>
        <w:rPr>
          <w:spacing w:val="-2"/>
        </w:rPr>
        <w:t>高端客户、高端产品</w:t>
      </w:r>
      <w:r>
        <w:rPr>
          <w:rFonts w:ascii="Times New Roman" w:hAnsi="Times New Roman" w:cs="Times New Roman" w:eastAsia="Times New Roman" w:hint="default"/>
          <w:spacing w:val="-2"/>
        </w:rPr>
        <w:t>”</w:t>
      </w:r>
      <w:r>
        <w:rPr>
          <w:spacing w:val="-2"/>
        </w:rPr>
        <w:t>的市场开发策略，持续丰富高端客户类型，致力于开发全球知名企业、国内外细分领域领先企业以</w:t>
      </w:r>
      <w:r>
        <w:rPr>
          <w:spacing w:val="-43"/>
        </w:rPr>
        <w:t> </w:t>
      </w:r>
      <w:r>
        <w:rPr>
          <w:spacing w:val="-43"/>
        </w:rPr>
      </w:r>
      <w:r>
        <w:rPr/>
        <w:t>及拥有高附加值产品的企业等类型的新客户，积极开发多领域高端客户，包括智能终端、电子通讯及</w:t>
      </w:r>
      <w:r>
        <w:rPr>
          <w:rFonts w:ascii="Times New Roman" w:hAnsi="Times New Roman" w:cs="Times New Roman" w:eastAsia="Times New Roman" w:hint="default"/>
        </w:rPr>
        <w:t>5G</w:t>
      </w:r>
      <w:r>
        <w:rPr/>
        <w:t>通信、食品饮料保</w:t>
      </w:r>
      <w:r>
        <w:rPr>
          <w:spacing w:val="-38"/>
        </w:rPr>
        <w:t> </w:t>
      </w:r>
      <w:r>
        <w:rPr>
          <w:spacing w:val="-38"/>
        </w:rPr>
      </w:r>
      <w:r>
        <w:rPr>
          <w:spacing w:val="-2"/>
        </w:rPr>
        <w:t>健品、品牌研发型制造企业、品牌消费品、电商、快递速运、汽车及新能源汽车产业链以及其他类高端客户。借助行业集中</w:t>
      </w:r>
      <w:r>
        <w:rPr>
          <w:spacing w:val="-68"/>
        </w:rPr>
        <w:t> </w:t>
      </w:r>
      <w:r>
        <w:rPr>
          <w:spacing w:val="-68"/>
        </w:rPr>
      </w:r>
      <w:r>
        <w:rPr/>
        <w:t>度加速提升发展之势，实现业务市场的有效卡位。</w:t>
      </w:r>
    </w:p>
    <w:p>
      <w:pPr>
        <w:pStyle w:val="BodyText"/>
        <w:spacing w:line="316" w:lineRule="auto" w:before="24"/>
        <w:ind w:right="193" w:firstLine="420"/>
        <w:jc w:val="both"/>
      </w:pPr>
      <w:r>
        <w:rPr/>
        <w:t>新业务，是指公司深度挖掘客户需求，推动与客户合作粘性增强，满足更多战略性及重点客户除运输包装、精品包装 </w:t>
      </w:r>
      <w:r>
        <w:rPr>
          <w:spacing w:val="-2"/>
        </w:rPr>
        <w:t>需求外的模切、标签等其他产品服务；同时，公司将根据行业发展、市场业务、研发技术等情况有序推进智能包装、创意健</w:t>
      </w:r>
      <w:r>
        <w:rPr>
          <w:spacing w:val="-68"/>
        </w:rPr>
        <w:t> </w:t>
      </w:r>
      <w:r>
        <w:rPr>
          <w:spacing w:val="-68"/>
        </w:rPr>
      </w:r>
      <w:r>
        <w:rPr/>
        <w:t>康纸家具等引领行业发展的新业务发展。</w:t>
      </w:r>
    </w:p>
    <w:p>
      <w:pPr>
        <w:spacing w:line="316" w:lineRule="auto" w:before="19"/>
        <w:ind w:left="573" w:right="753" w:firstLine="0"/>
        <w:jc w:val="left"/>
        <w:rPr>
          <w:rFonts w:ascii="宋体" w:hAnsi="宋体" w:cs="宋体" w:eastAsia="宋体" w:hint="default"/>
          <w:sz w:val="18"/>
          <w:szCs w:val="18"/>
        </w:rPr>
      </w:pPr>
      <w:r>
        <w:rPr>
          <w:rFonts w:ascii="宋体" w:hAnsi="宋体" w:cs="宋体" w:eastAsia="宋体" w:hint="default"/>
          <w:sz w:val="18"/>
          <w:szCs w:val="18"/>
        </w:rPr>
        <w:t>新产能，是指以包装市场需求为驱动，逐步有序的安排资金，实现在国内重点区域的智能制造包装产能布局。 </w:t>
      </w:r>
      <w:r>
        <w:rPr>
          <w:rFonts w:ascii="宋体" w:hAnsi="宋体" w:cs="宋体" w:eastAsia="宋体" w:hint="default"/>
          <w:b/>
          <w:bCs/>
          <w:sz w:val="18"/>
          <w:szCs w:val="18"/>
        </w:rPr>
        <w:t>公司新产能战略布局情况如下：</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line="4195" w:lineRule="exact"/>
        <w:ind w:left="654"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342302" cy="266433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3" cstate="print"/>
                    <a:stretch>
                      <a:fillRect/>
                    </a:stretch>
                  </pic:blipFill>
                  <pic:spPr>
                    <a:xfrm>
                      <a:off x="0" y="0"/>
                      <a:ext cx="5342302" cy="2664332"/>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9"/>
        <w:rPr>
          <w:rFonts w:ascii="宋体" w:hAnsi="宋体" w:cs="宋体" w:eastAsia="宋体" w:hint="default"/>
          <w:b/>
          <w:bCs/>
          <w:sz w:val="16"/>
          <w:szCs w:val="16"/>
        </w:rPr>
      </w:pPr>
    </w:p>
    <w:p>
      <w:pPr>
        <w:pStyle w:val="BodyText"/>
        <w:spacing w:line="316" w:lineRule="auto" w:before="44"/>
        <w:ind w:right="190"/>
        <w:jc w:val="both"/>
      </w:pPr>
      <w:r>
        <w:rPr>
          <w:spacing w:val="-2"/>
        </w:rPr>
        <w:t>公司在研发设计、工艺技术、客户资源、高端制造平台、服务模式、精细管理等方面具有突出优势，保障了公司新客户开发</w:t>
      </w:r>
      <w:r>
        <w:rPr>
          <w:spacing w:val="-68"/>
        </w:rPr>
        <w:t> </w:t>
      </w:r>
      <w:r>
        <w:rPr>
          <w:spacing w:val="-68"/>
        </w:rPr>
      </w:r>
      <w:r>
        <w:rPr>
          <w:spacing w:val="-2"/>
        </w:rPr>
        <w:t>及获取订单的能力，从而为公司实现持续快速发展奠定坚实的基础。未来随着公司各大智慧工厂的不断投产，新产能的逐步</w:t>
      </w:r>
      <w:r>
        <w:rPr>
          <w:spacing w:val="-63"/>
        </w:rPr>
        <w:t> </w:t>
      </w:r>
      <w:r>
        <w:rPr>
          <w:spacing w:val="-63"/>
        </w:rPr>
      </w:r>
      <w:r>
        <w:rPr/>
        <w:t>释放，公司有信心快速跨入百亿收入企业行列。</w:t>
      </w:r>
    </w:p>
    <w:p>
      <w:pPr>
        <w:pStyle w:val="BodyText"/>
        <w:spacing w:line="300" w:lineRule="auto" w:before="57"/>
        <w:ind w:left="573" w:right="94"/>
        <w:jc w:val="left"/>
      </w:pPr>
      <w:r>
        <w:rPr/>
        <w:t>（</w:t>
      </w:r>
      <w:r>
        <w:rPr>
          <w:rFonts w:ascii="Times New Roman" w:hAnsi="Times New Roman" w:cs="Times New Roman" w:eastAsia="Times New Roman" w:hint="default"/>
        </w:rPr>
        <w:t>3</w:t>
      </w:r>
      <w:r>
        <w:rPr/>
        <w:t>）发展面临的机遇 </w:t>
      </w:r>
      <w:r>
        <w:rPr>
          <w:rFonts w:ascii="Times New Roman" w:hAnsi="Times New Roman" w:cs="Times New Roman" w:eastAsia="Times New Roman" w:hint="default"/>
        </w:rPr>
        <w:t>1</w:t>
      </w:r>
      <w:r>
        <w:rPr/>
        <w:t>）分享智能手机、智能音响、平板电脑、可穿戴设备、机器人等消费类电子产品以及</w:t>
      </w:r>
      <w:r>
        <w:rPr>
          <w:rFonts w:ascii="Times New Roman" w:hAnsi="Times New Roman" w:cs="Times New Roman" w:eastAsia="Times New Roman" w:hint="default"/>
        </w:rPr>
        <w:t>5G</w:t>
      </w:r>
      <w:r>
        <w:rPr/>
        <w:t>通信等包装巨大市场 近年来，全球范围内的智能手机、智能音箱、平板电脑、可穿戴设备、机器人等智能型设备市场需求非常旺盛。而国</w:t>
      </w:r>
    </w:p>
    <w:p>
      <w:pPr>
        <w:pStyle w:val="BodyText"/>
        <w:spacing w:line="316" w:lineRule="auto" w:before="31"/>
        <w:ind w:right="190"/>
        <w:jc w:val="both"/>
      </w:pPr>
      <w:r>
        <w:rPr>
          <w:spacing w:val="-2"/>
        </w:rPr>
        <w:t>际主要品牌智能型设备在中国境内生产居多，已经带来旺盛的高端包装需求。公司作为国内包装行业的领先企业，目前已经</w:t>
      </w:r>
      <w:r>
        <w:rPr>
          <w:spacing w:val="-63"/>
        </w:rPr>
        <w:t> </w:t>
      </w:r>
      <w:r>
        <w:rPr>
          <w:spacing w:val="-63"/>
        </w:rPr>
      </w:r>
      <w:r>
        <w:rPr/>
        <w:t>进入亚马逊等多家知名品牌智能型设备的包材供应链且订单开始了加速释放，将充分受益并获得新一轮发展的重要机遇。</w:t>
      </w:r>
    </w:p>
    <w:p>
      <w:pPr>
        <w:pStyle w:val="BodyText"/>
        <w:spacing w:line="300" w:lineRule="auto" w:before="19"/>
        <w:ind w:right="174" w:firstLine="420"/>
        <w:jc w:val="left"/>
      </w:pPr>
      <w:r>
        <w:rPr/>
        <w:t>同时，随着用户需求与国家投资双轮驱动，</w:t>
      </w:r>
      <w:r>
        <w:rPr>
          <w:rFonts w:ascii="Times New Roman" w:hAnsi="Times New Roman" w:cs="Times New Roman" w:eastAsia="Times New Roman" w:hint="default"/>
        </w:rPr>
        <w:t>5G</w:t>
      </w:r>
      <w:r>
        <w:rPr/>
        <w:t>通信设备的市场空间将非常广阔。公司作为已为行业领先通信类客户提 供包装服务的企业，将有效分享旺盛的配套包装需求。</w:t>
      </w:r>
    </w:p>
    <w:p>
      <w:pPr>
        <w:pStyle w:val="BodyText"/>
        <w:spacing w:line="300" w:lineRule="auto" w:before="32"/>
        <w:ind w:right="94" w:firstLine="420"/>
        <w:jc w:val="left"/>
      </w:pPr>
      <w:r>
        <w:rPr>
          <w:rFonts w:ascii="Times New Roman" w:hAnsi="Times New Roman" w:cs="Times New Roman" w:eastAsia="Times New Roman" w:hint="default"/>
          <w:spacing w:val="-3"/>
        </w:rPr>
        <w:t>2</w:t>
      </w:r>
      <w:r>
        <w:rPr>
          <w:spacing w:val="-3"/>
        </w:rPr>
        <w:t>）增加包装产品品种、提升包装产品品质、培育包装产品品牌是推动行业发展的关键要素，公司作为行业内领先企业，</w:t>
      </w:r>
      <w:r>
        <w:rPr/>
        <w:t> 将显著受益。</w:t>
      </w:r>
    </w:p>
    <w:p>
      <w:pPr>
        <w:pStyle w:val="BodyText"/>
        <w:spacing w:line="300" w:lineRule="auto" w:before="31"/>
        <w:ind w:right="186" w:firstLine="420"/>
        <w:jc w:val="left"/>
      </w:pPr>
      <w:r>
        <w:rPr>
          <w:rFonts w:ascii="Times New Roman" w:hAnsi="Times New Roman" w:cs="Times New Roman" w:eastAsia="Times New Roman" w:hint="default"/>
          <w:spacing w:val="-1"/>
        </w:rPr>
        <w:t>“</w:t>
      </w:r>
      <w:r>
        <w:rPr>
          <w:spacing w:val="-1"/>
        </w:rPr>
        <w:t>围绕包装产业供给侧结构性改革，在优化传统产品结构、扩大主导产品优势的基础上，主动适应智能制造模式和消费</w:t>
      </w:r>
      <w:r>
        <w:rPr/>
        <w:t> 多样化需求，增强为消费升级配套服务的能力。</w:t>
      </w:r>
    </w:p>
    <w:p>
      <w:pPr>
        <w:pStyle w:val="BodyText"/>
        <w:spacing w:line="316" w:lineRule="auto" w:before="31"/>
        <w:ind w:left="573" w:right="94"/>
        <w:jc w:val="left"/>
      </w:pPr>
      <w:r>
        <w:rPr/>
        <w:t>引导企业从设计、选材、生产、检测、管理等各环节全面提升包装产品品质。 </w:t>
      </w:r>
      <w:r>
        <w:rPr>
          <w:spacing w:val="-2"/>
        </w:rPr>
        <w:t>以绿色包装材料、智能包装装备、高端包装制品的研发为重点，加强品牌培育、评价、服务与引导，构建定位、设计、</w:t>
      </w:r>
    </w:p>
    <w:p>
      <w:pPr>
        <w:pStyle w:val="BodyText"/>
        <w:spacing w:line="316" w:lineRule="auto" w:before="19"/>
        <w:ind w:right="193"/>
        <w:jc w:val="both"/>
      </w:pPr>
      <w:r>
        <w:rPr>
          <w:spacing w:val="-2"/>
        </w:rPr>
        <w:t>生产、营销、传播、保护一体化的品牌发展格局，打造一批具有较高国内市场占有率和较强国际市场竞争力的包装材料、包</w:t>
      </w:r>
      <w:r>
        <w:rPr>
          <w:spacing w:val="-65"/>
        </w:rPr>
        <w:t> </w:t>
      </w:r>
      <w:r>
        <w:rPr>
          <w:spacing w:val="-65"/>
        </w:rPr>
      </w:r>
      <w:r>
        <w:rPr/>
        <w:t>装装备和包装制品品牌。</w:t>
      </w:r>
      <w:r>
        <w:rPr>
          <w:rFonts w:ascii="Times New Roman" w:hAnsi="Times New Roman" w:cs="Times New Roman" w:eastAsia="Times New Roman" w:hint="default"/>
        </w:rPr>
        <w:t>”</w:t>
      </w:r>
      <w:r>
        <w:rPr/>
        <w:t>等将是未来推动行业发展工作中的重要方式方法。</w:t>
      </w:r>
    </w:p>
    <w:p>
      <w:pPr>
        <w:pStyle w:val="BodyText"/>
        <w:spacing w:line="316" w:lineRule="auto"/>
        <w:ind w:right="94" w:firstLine="420"/>
        <w:jc w:val="left"/>
      </w:pPr>
      <w:r>
        <w:rPr/>
        <w:t>公司在产品、品质及品牌方面已然形成了一定的竞争优势，因此在包装产品品种增加、品质提升及品牌增强的行业发 展进程中，公司将显著受益。</w:t>
      </w:r>
    </w:p>
    <w:p>
      <w:pPr>
        <w:pStyle w:val="BodyText"/>
        <w:spacing w:line="300" w:lineRule="auto" w:before="19"/>
        <w:ind w:left="573" w:right="94"/>
        <w:jc w:val="left"/>
      </w:pPr>
      <w:r>
        <w:rPr>
          <w:rFonts w:ascii="Times New Roman" w:hAnsi="Times New Roman" w:cs="Times New Roman" w:eastAsia="Times New Roman" w:hint="default"/>
        </w:rPr>
        <w:t>3</w:t>
      </w:r>
      <w:r>
        <w:rPr/>
        <w:t>）主要原材料价格的大幅上涨，进一步加剧了纸包装行业集中度的提升 目前，随着上游造纸行业集中度不断提高，下游产业品牌化、集中化的加速，包装印刷企业之间的行业整合、集中度</w:t>
      </w:r>
    </w:p>
    <w:p>
      <w:pPr>
        <w:pStyle w:val="BodyText"/>
        <w:spacing w:line="309" w:lineRule="auto" w:before="32"/>
        <w:ind w:right="188"/>
        <w:jc w:val="both"/>
      </w:pPr>
      <w:r>
        <w:rPr>
          <w:spacing w:val="-2"/>
        </w:rPr>
        <w:t>提升亦显著加速。尤其是自</w:t>
      </w:r>
      <w:r>
        <w:rPr>
          <w:rFonts w:ascii="Times New Roman" w:hAnsi="Times New Roman" w:cs="Times New Roman" w:eastAsia="Times New Roman" w:hint="default"/>
          <w:spacing w:val="-2"/>
        </w:rPr>
        <w:t>2016</w:t>
      </w:r>
      <w:r>
        <w:rPr>
          <w:spacing w:val="-2"/>
        </w:rPr>
        <w:t>年底以来由于环保强化督查等原因引起的原纸价格大幅上涨，导致众多竞争力较弱的中小型</w:t>
      </w:r>
      <w:r>
        <w:rPr>
          <w:spacing w:val="-62"/>
        </w:rPr>
        <w:t> </w:t>
      </w:r>
      <w:r>
        <w:rPr>
          <w:spacing w:val="-62"/>
        </w:rPr>
      </w:r>
      <w:r>
        <w:rPr>
          <w:spacing w:val="-2"/>
        </w:rPr>
        <w:t>包装企业面临更大的经营压力，进一步加剧了行业集中度的提高。行业优势企业因获取优势资源和优质订单的能力更强，在</w:t>
      </w:r>
      <w:r>
        <w:rPr>
          <w:spacing w:val="-61"/>
        </w:rPr>
        <w:t> </w:t>
      </w:r>
      <w:r>
        <w:rPr>
          <w:spacing w:val="-61"/>
        </w:rPr>
      </w:r>
      <w:r>
        <w:rPr/>
        <w:t>纸包装行业集中度加速提升过程中将显著受益。</w:t>
      </w:r>
    </w:p>
    <w:p>
      <w:pPr>
        <w:pStyle w:val="BodyText"/>
        <w:spacing w:line="240" w:lineRule="auto" w:before="24"/>
        <w:ind w:left="573" w:right="94"/>
        <w:jc w:val="left"/>
      </w:pPr>
      <w:r>
        <w:rPr/>
        <w:t>（</w:t>
      </w:r>
      <w:r>
        <w:rPr>
          <w:rFonts w:ascii="Times New Roman" w:hAnsi="Times New Roman" w:cs="Times New Roman" w:eastAsia="Times New Roman" w:hint="default"/>
        </w:rPr>
        <w:t>4</w:t>
      </w:r>
      <w:r>
        <w:rPr/>
        <w:t>）发展面临的挑战</w:t>
      </w:r>
    </w:p>
    <w:p>
      <w:pPr>
        <w:pStyle w:val="BodyText"/>
        <w:spacing w:line="300" w:lineRule="auto" w:before="63"/>
        <w:ind w:left="573" w:right="94"/>
        <w:jc w:val="left"/>
      </w:pPr>
      <w:r>
        <w:rPr>
          <w:rFonts w:ascii="Times New Roman" w:hAnsi="Times New Roman" w:cs="Times New Roman" w:eastAsia="Times New Roman" w:hint="default"/>
        </w:rPr>
        <w:t>1</w:t>
      </w:r>
      <w:r>
        <w:rPr/>
        <w:t>）行业竞争日趋激烈带来的挑战。 总体而言，包装印刷行业市场空间巨大，行业集中度不断提升。但随着行业内众多具有一定竞争优势的企业的发展壮</w:t>
      </w:r>
    </w:p>
    <w:p>
      <w:pPr>
        <w:pStyle w:val="BodyText"/>
        <w:spacing w:line="240" w:lineRule="auto" w:before="31"/>
        <w:ind w:right="0"/>
        <w:jc w:val="both"/>
      </w:pPr>
      <w:r>
        <w:rPr/>
        <w:t>大，行业竞争日趋激烈，部分业内企业甚至采取打</w:t>
      </w:r>
      <w:r>
        <w:rPr>
          <w:rFonts w:ascii="Times New Roman" w:hAnsi="Times New Roman" w:cs="Times New Roman" w:eastAsia="Times New Roman" w:hint="default"/>
        </w:rPr>
        <w:t>“</w:t>
      </w:r>
      <w:r>
        <w:rPr/>
        <w:t>价格战</w:t>
      </w:r>
      <w:r>
        <w:rPr>
          <w:rFonts w:ascii="Times New Roman" w:hAnsi="Times New Roman" w:cs="Times New Roman" w:eastAsia="Times New Roman" w:hint="default"/>
        </w:rPr>
        <w:t>”</w:t>
      </w:r>
      <w:r>
        <w:rPr/>
        <w:t>的低层次的竞争模式，给业内领先企业带来一定的竞争压力。</w:t>
      </w:r>
    </w:p>
    <w:p>
      <w:pPr>
        <w:spacing w:after="0" w:line="24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73" w:right="94"/>
        <w:jc w:val="left"/>
      </w:pPr>
      <w:r>
        <w:rPr>
          <w:rFonts w:ascii="Times New Roman" w:hAnsi="Times New Roman" w:cs="Times New Roman" w:eastAsia="Times New Roman" w:hint="default"/>
        </w:rPr>
        <w:t>2</w:t>
      </w:r>
      <w:r>
        <w:rPr/>
        <w:t>）人才引进方面的挑战。 公司正处于快速发展、扩张期，对于较多的中高级管理人员，国际型人才、核心研发人员、工艺工程师等关键岗位人</w:t>
      </w:r>
    </w:p>
    <w:p>
      <w:pPr>
        <w:pStyle w:val="BodyText"/>
        <w:spacing w:line="316" w:lineRule="auto" w:before="31"/>
        <w:ind w:right="94"/>
        <w:jc w:val="left"/>
      </w:pPr>
      <w:r>
        <w:rPr>
          <w:spacing w:val="-2"/>
        </w:rPr>
        <w:t>员的引进、培训管理以及生产供应链的管理提出了更高的要求。能否及时引进适合公司发展、理解并契合公司企业文化、商</w:t>
      </w:r>
      <w:r>
        <w:rPr>
          <w:spacing w:val="-63"/>
        </w:rPr>
        <w:t> </w:t>
      </w:r>
      <w:r>
        <w:rPr>
          <w:spacing w:val="-63"/>
        </w:rPr>
      </w:r>
      <w:r>
        <w:rPr/>
        <w:t>业模式的人才并通过更先进更完善的管理机制、激励机制来满足快速发展的需求存在一定的挑战。</w:t>
      </w:r>
    </w:p>
    <w:p>
      <w:pPr>
        <w:spacing w:line="240" w:lineRule="auto" w:before="4"/>
        <w:rPr>
          <w:rFonts w:ascii="宋体" w:hAnsi="宋体" w:cs="宋体" w:eastAsia="宋体" w:hint="default"/>
          <w:sz w:val="25"/>
          <w:szCs w:val="25"/>
        </w:rPr>
      </w:pPr>
    </w:p>
    <w:p>
      <w:pPr>
        <w:pStyle w:val="BodyText"/>
        <w:spacing w:line="240" w:lineRule="auto"/>
        <w:ind w:left="573" w:right="94"/>
        <w:jc w:val="left"/>
      </w:pPr>
      <w:r>
        <w:rPr/>
        <w:t>三、公司</w:t>
      </w:r>
      <w:r>
        <w:rPr>
          <w:rFonts w:ascii="Times New Roman" w:hAnsi="Times New Roman" w:cs="Times New Roman" w:eastAsia="Times New Roman" w:hint="default"/>
        </w:rPr>
        <w:t>2018</w:t>
      </w:r>
      <w:r>
        <w:rPr/>
        <w:t>年度经营计划</w:t>
      </w:r>
    </w:p>
    <w:p>
      <w:pPr>
        <w:spacing w:line="240" w:lineRule="auto" w:before="0"/>
        <w:rPr>
          <w:rFonts w:ascii="宋体" w:hAnsi="宋体" w:cs="宋体" w:eastAsia="宋体" w:hint="default"/>
          <w:sz w:val="18"/>
          <w:szCs w:val="18"/>
        </w:rPr>
      </w:pPr>
    </w:p>
    <w:p>
      <w:pPr>
        <w:pStyle w:val="BodyText"/>
        <w:spacing w:line="309" w:lineRule="auto" w:before="139"/>
        <w:ind w:right="193" w:firstLine="420"/>
        <w:jc w:val="both"/>
      </w:pPr>
      <w:r>
        <w:rPr>
          <w:rFonts w:ascii="Times New Roman" w:hAnsi="Times New Roman" w:cs="Times New Roman" w:eastAsia="Times New Roman" w:hint="default"/>
        </w:rPr>
        <w:t>2018</w:t>
      </w:r>
      <w:r>
        <w:rPr/>
        <w:t>年，公司将在战略规划指引下，积极把握包装印刷产业持续发展、行业集中度加速提升，国家政策积极支持打造 </w:t>
      </w:r>
      <w:r>
        <w:rPr>
          <w:spacing w:val="-2"/>
        </w:rPr>
        <w:t>一批具有较高国内市场占有率和较强国际市场竞争力的包装品牌等为行业领先企业带来的发展机遇，力争实现销售收入和净</w:t>
      </w:r>
      <w:r>
        <w:rPr>
          <w:spacing w:val="-64"/>
        </w:rPr>
        <w:t> </w:t>
      </w:r>
      <w:r>
        <w:rPr>
          <w:spacing w:val="-64"/>
        </w:rPr>
      </w:r>
      <w:r>
        <w:rPr/>
        <w:t>利润持续快速增长。为此，公司将着力做好如下工作：</w:t>
      </w:r>
    </w:p>
    <w:p>
      <w:pPr>
        <w:pStyle w:val="BodyText"/>
        <w:spacing w:line="300" w:lineRule="auto" w:before="24"/>
        <w:ind w:left="573" w:right="87"/>
        <w:jc w:val="left"/>
      </w:pPr>
      <w:r>
        <w:rPr/>
        <w:t>（</w:t>
      </w:r>
      <w:r>
        <w:rPr>
          <w:rFonts w:ascii="Times New Roman" w:hAnsi="Times New Roman" w:cs="Times New Roman" w:eastAsia="Times New Roman" w:hint="default"/>
        </w:rPr>
        <w:t>1</w:t>
      </w:r>
      <w:r>
        <w:rPr/>
        <w:t>）深耕战略客户需求，积极把握</w:t>
      </w:r>
      <w:r>
        <w:rPr>
          <w:rFonts w:ascii="Times New Roman" w:hAnsi="Times New Roman" w:cs="Times New Roman" w:eastAsia="Times New Roman" w:hint="default"/>
        </w:rPr>
        <w:t>5G</w:t>
      </w:r>
      <w:r>
        <w:rPr/>
        <w:t>通信设备投资带来的市场机遇，推动战略新客户订单加速放量 </w:t>
      </w:r>
      <w:r>
        <w:rPr>
          <w:spacing w:val="-1"/>
        </w:rPr>
        <w:t>近年来，公司开发了众多优质新客户，这些客户包装需求大、附加值高，部分客户订单在</w:t>
      </w:r>
      <w:r>
        <w:rPr>
          <w:rFonts w:ascii="Times New Roman" w:hAnsi="Times New Roman" w:cs="Times New Roman" w:eastAsia="Times New Roman" w:hint="default"/>
          <w:spacing w:val="-1"/>
        </w:rPr>
        <w:t>2017</w:t>
      </w:r>
      <w:r>
        <w:rPr>
          <w:spacing w:val="-1"/>
        </w:rPr>
        <w:t>年开始逐步放量。未来，</w:t>
      </w:r>
    </w:p>
    <w:p>
      <w:pPr>
        <w:pStyle w:val="BodyText"/>
        <w:spacing w:line="300" w:lineRule="auto" w:before="13"/>
        <w:ind w:right="94"/>
        <w:jc w:val="left"/>
      </w:pPr>
      <w:r>
        <w:rPr/>
        <w:t>公司将充分发挥自身在服务模式、研发设计、产品品质、精益制造方面的优势，深耕客户需求，并积极把握</w:t>
      </w:r>
      <w:r>
        <w:rPr>
          <w:rFonts w:ascii="Times New Roman" w:hAnsi="Times New Roman" w:cs="Times New Roman" w:eastAsia="Times New Roman" w:hint="default"/>
        </w:rPr>
        <w:t>5G</w:t>
      </w:r>
      <w:r>
        <w:rPr/>
        <w:t>通信设备投</w:t>
      </w:r>
      <w:r>
        <w:rPr>
          <w:spacing w:val="-36"/>
        </w:rPr>
        <w:t> </w:t>
      </w:r>
      <w:r>
        <w:rPr>
          <w:spacing w:val="-36"/>
        </w:rPr>
      </w:r>
      <w:r>
        <w:rPr/>
        <w:t>资带来的市场机遇，推动战略新客户订单加速持续放量，力争实现销售收入和净利润持续快速增长。</w:t>
      </w:r>
    </w:p>
    <w:p>
      <w:pPr>
        <w:pStyle w:val="BodyText"/>
        <w:spacing w:line="240" w:lineRule="auto" w:before="31"/>
        <w:ind w:left="573" w:right="94"/>
        <w:jc w:val="left"/>
      </w:pPr>
      <w:r>
        <w:rPr/>
        <w:t>（</w:t>
      </w:r>
      <w:r>
        <w:rPr>
          <w:rFonts w:ascii="Times New Roman" w:hAnsi="Times New Roman" w:cs="Times New Roman" w:eastAsia="Times New Roman" w:hint="default"/>
        </w:rPr>
        <w:t>2</w:t>
      </w:r>
      <w:r>
        <w:rPr/>
        <w:t>）持续加大客户开发力度，继续加大世界级企业及国内外细分行业龙头企业新客户的开发</w:t>
      </w:r>
    </w:p>
    <w:p>
      <w:pPr>
        <w:pStyle w:val="BodyText"/>
        <w:spacing w:line="309" w:lineRule="auto" w:before="63"/>
        <w:ind w:right="190" w:firstLine="420"/>
        <w:jc w:val="both"/>
      </w:pPr>
      <w:r>
        <w:rPr>
          <w:rFonts w:ascii="Times New Roman" w:hAnsi="Times New Roman" w:cs="Times New Roman" w:eastAsia="Times New Roman" w:hint="default"/>
        </w:rPr>
        <w:t>2018</w:t>
      </w:r>
      <w:r>
        <w:rPr/>
        <w:t>年，公司将继续实施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的市场策略，把握客户资源向行业领先企业集中的机遇，在继续开发 </w:t>
      </w:r>
      <w:r>
        <w:rPr>
          <w:spacing w:val="-2"/>
        </w:rPr>
        <w:t>世界级企业客户的同时，着力加大国内外各领域细分行业龙头企业的开发力度，通过中型客户的大量积累，为未来业绩的持</w:t>
      </w:r>
      <w:r>
        <w:rPr>
          <w:spacing w:val="-63"/>
        </w:rPr>
        <w:t> </w:t>
      </w:r>
      <w:r>
        <w:rPr>
          <w:spacing w:val="-63"/>
        </w:rPr>
      </w:r>
      <w:r>
        <w:rPr/>
        <w:t>续增长构建新的业务基础。</w:t>
      </w:r>
    </w:p>
    <w:p>
      <w:pPr>
        <w:pStyle w:val="BodyText"/>
        <w:spacing w:line="240" w:lineRule="auto" w:before="24"/>
        <w:ind w:left="573" w:right="94"/>
        <w:jc w:val="left"/>
      </w:pPr>
      <w:r>
        <w:rPr/>
        <w:t>（</w:t>
      </w:r>
      <w:r>
        <w:rPr>
          <w:rFonts w:ascii="Times New Roman" w:hAnsi="Times New Roman" w:cs="Times New Roman" w:eastAsia="Times New Roman" w:hint="default"/>
        </w:rPr>
        <w:t>3</w:t>
      </w:r>
      <w:r>
        <w:rPr/>
        <w:t>）以客户需求为导向，通过深入挖掘，增进合作，加速推动公司新业务发展</w:t>
      </w:r>
    </w:p>
    <w:p>
      <w:pPr>
        <w:pStyle w:val="BodyText"/>
        <w:spacing w:line="300" w:lineRule="auto" w:before="63"/>
        <w:ind w:right="198" w:firstLine="420"/>
        <w:jc w:val="both"/>
      </w:pPr>
      <w:r>
        <w:rPr>
          <w:rFonts w:ascii="Times New Roman" w:hAnsi="Times New Roman" w:cs="Times New Roman" w:eastAsia="Times New Roman" w:hint="default"/>
        </w:rPr>
        <w:t>2018</w:t>
      </w:r>
      <w:r>
        <w:rPr/>
        <w:t>年，公司将继续以客户需求为导向，借助公司与客户粘性的持续增强，深入挖掘客户需求，推动电子标签、电子 功能材料模切产品等新业务的发展。</w:t>
      </w:r>
    </w:p>
    <w:p>
      <w:pPr>
        <w:pStyle w:val="BodyText"/>
        <w:spacing w:line="300" w:lineRule="auto" w:before="31"/>
        <w:ind w:left="573" w:right="94"/>
        <w:jc w:val="left"/>
      </w:pPr>
      <w:r>
        <w:rPr/>
        <w:t>（</w:t>
      </w:r>
      <w:r>
        <w:rPr>
          <w:rFonts w:ascii="Times New Roman" w:hAnsi="Times New Roman" w:cs="Times New Roman" w:eastAsia="Times New Roman" w:hint="default"/>
        </w:rPr>
        <w:t>4</w:t>
      </w:r>
      <w:r>
        <w:rPr/>
        <w:t>）逐步有序安排国内核心经济活跃区域产能布局的建设和投产工作 截止目前，公司在国内已逐步实现了在粤港澳大湾区、长三角经济圈、成渝经济区、长株潭经济圈、中原经济区等核</w:t>
      </w:r>
    </w:p>
    <w:p>
      <w:pPr>
        <w:pStyle w:val="BodyText"/>
        <w:spacing w:line="300" w:lineRule="auto" w:before="31"/>
        <w:ind w:right="94"/>
        <w:jc w:val="left"/>
      </w:pPr>
      <w:r>
        <w:rPr>
          <w:spacing w:val="-2"/>
        </w:rPr>
        <w:t>心经济活跃区域的布局。</w:t>
      </w:r>
      <w:r>
        <w:rPr>
          <w:rFonts w:ascii="Times New Roman" w:hAnsi="Times New Roman" w:cs="Times New Roman" w:eastAsia="Times New Roman" w:hint="default"/>
          <w:spacing w:val="-2"/>
        </w:rPr>
        <w:t>2018</w:t>
      </w:r>
      <w:r>
        <w:rPr>
          <w:spacing w:val="-2"/>
        </w:rPr>
        <w:t>年，公司将按计划逐步有序的安排产能新建项目的筹建工作，从而为公司快速发展提供产能保</w:t>
      </w:r>
      <w:r>
        <w:rPr>
          <w:spacing w:val="-59"/>
        </w:rPr>
        <w:t> </w:t>
      </w:r>
      <w:r>
        <w:rPr>
          <w:spacing w:val="-59"/>
        </w:rPr>
      </w:r>
      <w:r>
        <w:rPr/>
        <w:t>障。</w:t>
      </w:r>
    </w:p>
    <w:p>
      <w:pPr>
        <w:pStyle w:val="BodyText"/>
        <w:spacing w:line="307" w:lineRule="auto" w:before="32"/>
        <w:ind w:right="104" w:firstLine="420"/>
        <w:jc w:val="both"/>
      </w:pPr>
      <w:r>
        <w:rPr>
          <w:rFonts w:ascii="Times New Roman" w:hAnsi="Times New Roman" w:cs="Times New Roman" w:eastAsia="Times New Roman" w:hint="default"/>
        </w:rPr>
        <w:t>2018</w:t>
      </w:r>
      <w:r>
        <w:rPr/>
        <w:t>年，公司将加快推动在佛山高明投资的基于装备制造的智慧包装工业</w:t>
      </w:r>
      <w:r>
        <w:rPr>
          <w:rFonts w:ascii="Times New Roman" w:hAnsi="Times New Roman" w:cs="Times New Roman" w:eastAsia="Times New Roman" w:hint="default"/>
        </w:rPr>
        <w:t>4.0</w:t>
      </w:r>
      <w:r>
        <w:rPr/>
        <w:t>产业园项目的筹建，为未来安排位于深圳 光明新区的制造基地搬迁、产能转移做准备。公司深圳制造基地距离筹建中的中山大学深圳校区距离约</w:t>
      </w:r>
      <w:r>
        <w:rPr>
          <w:rFonts w:ascii="Times New Roman" w:hAnsi="Times New Roman" w:cs="Times New Roman" w:eastAsia="Times New Roman" w:hint="default"/>
        </w:rPr>
        <w:t>1</w:t>
      </w:r>
      <w:r>
        <w:rPr/>
        <w:t>公里左右，预计中</w:t>
      </w:r>
      <w:r>
        <w:rPr>
          <w:spacing w:val="-82"/>
        </w:rPr>
        <w:t> </w:t>
      </w:r>
      <w:r>
        <w:rPr>
          <w:spacing w:val="-2"/>
        </w:rPr>
        <w:t>山大学深圳校区的建设将极大地改变周边地区的产业形态、交通环境、人才聚集、医疗水平、住房需求等，因此公司将积极</w:t>
      </w:r>
      <w:r>
        <w:rPr>
          <w:spacing w:val="-67"/>
        </w:rPr>
        <w:t> </w:t>
      </w:r>
      <w:r>
        <w:rPr>
          <w:spacing w:val="-67"/>
        </w:rPr>
      </w:r>
      <w:r>
        <w:rPr>
          <w:spacing w:val="-4"/>
        </w:rPr>
        <w:t>准备并根据政府整体规划及规划、国土、旧改等有关单位的工作计划有序推动深圳制造基地产业转型及土地利用新业态工作。</w:t>
      </w:r>
    </w:p>
    <w:p>
      <w:pPr>
        <w:pStyle w:val="BodyText"/>
        <w:spacing w:line="240" w:lineRule="auto" w:before="26"/>
        <w:ind w:left="573" w:right="94"/>
        <w:jc w:val="left"/>
      </w:pPr>
      <w:r>
        <w:rPr/>
        <w:t>（</w:t>
      </w:r>
      <w:r>
        <w:rPr>
          <w:rFonts w:ascii="Times New Roman" w:hAnsi="Times New Roman" w:cs="Times New Roman" w:eastAsia="Times New Roman" w:hint="default"/>
        </w:rPr>
        <w:t>5</w:t>
      </w:r>
      <w:r>
        <w:rPr/>
        <w:t>）加强技术创新，持续增强核心竞争力</w:t>
      </w:r>
    </w:p>
    <w:p>
      <w:pPr>
        <w:pStyle w:val="BodyText"/>
        <w:spacing w:line="300" w:lineRule="auto" w:before="63"/>
        <w:ind w:right="198" w:firstLine="420"/>
        <w:jc w:val="both"/>
      </w:pPr>
      <w:r>
        <w:rPr>
          <w:rFonts w:ascii="Times New Roman" w:hAnsi="Times New Roman" w:cs="Times New Roman" w:eastAsia="Times New Roman" w:hint="default"/>
        </w:rPr>
        <w:t>2018</w:t>
      </w:r>
      <w:r>
        <w:rPr/>
        <w:t>年，公司将继续加强在研发设计、制造工艺及绿色环保包装、安全包装、智能包装领域的技术创新及应用，持续 增强公司竞争力，为公司下一轮发展奠定良好的基础。</w:t>
      </w:r>
    </w:p>
    <w:p>
      <w:pPr>
        <w:pStyle w:val="BodyText"/>
        <w:spacing w:line="300" w:lineRule="auto" w:before="31"/>
        <w:ind w:left="573" w:right="94"/>
        <w:jc w:val="left"/>
      </w:pPr>
      <w:r>
        <w:rPr/>
        <w:t>（</w:t>
      </w:r>
      <w:r>
        <w:rPr>
          <w:rFonts w:ascii="Times New Roman" w:hAnsi="Times New Roman" w:cs="Times New Roman" w:eastAsia="Times New Roman" w:hint="default"/>
        </w:rPr>
        <w:t>6</w:t>
      </w:r>
      <w:r>
        <w:rPr/>
        <w:t>）大力加强人才梯队建设，为公司下一轮快速发展引入充足的人才 目前，公司已迈入新的发展阶段，区域布局更加全面，高端客户资源显著丰富，管理跨度显著增加，需要非常充足的</w:t>
      </w:r>
    </w:p>
    <w:p>
      <w:pPr>
        <w:pStyle w:val="BodyText"/>
        <w:spacing w:line="300" w:lineRule="auto" w:before="31"/>
        <w:ind w:right="94"/>
        <w:jc w:val="left"/>
      </w:pPr>
      <w:r>
        <w:rPr>
          <w:spacing w:val="-2"/>
        </w:rPr>
        <w:t>各类人才资源包括国际性、中高端人才作为保障。</w:t>
      </w:r>
      <w:r>
        <w:rPr>
          <w:rFonts w:ascii="Times New Roman" w:hAnsi="Times New Roman" w:cs="Times New Roman" w:eastAsia="Times New Roman" w:hint="default"/>
          <w:spacing w:val="-2"/>
        </w:rPr>
        <w:t>2018</w:t>
      </w:r>
      <w:r>
        <w:rPr>
          <w:spacing w:val="-2"/>
        </w:rPr>
        <w:t>年，公司将充分发挥公司品牌优势，优化激励机制，通过多种方式大</w:t>
      </w:r>
      <w:r>
        <w:rPr>
          <w:spacing w:val="-64"/>
        </w:rPr>
        <w:t> </w:t>
      </w:r>
      <w:r>
        <w:rPr>
          <w:spacing w:val="-64"/>
        </w:rPr>
      </w:r>
      <w:r>
        <w:rPr/>
        <w:t>力引进公司发展所需的各类人才，加强人才梯队建设，为公司下一轮发展提供坚实的人才保障。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09" w:lineRule="auto"/>
        <w:ind w:left="573" w:right="123"/>
        <w:jc w:val="left"/>
      </w:pPr>
      <w:r>
        <w:rPr/>
        <w:t>四、其他可能存在的风险及应对措施和有关问题的分析 </w:t>
      </w:r>
      <w:r>
        <w:rPr>
          <w:rFonts w:ascii="Times New Roman" w:hAnsi="Times New Roman" w:cs="Times New Roman" w:eastAsia="Times New Roman" w:hint="default"/>
        </w:rPr>
        <w:t>1</w:t>
      </w:r>
      <w:r>
        <w:rPr/>
        <w:t>、市场风险：中国经济增速下滑，一些包装下游产业受到影响，如市场信心和需求不能回升，容易传导至包装产业。 应对措施：深化研发和一体化服务，提升核心竞争力，着力服务好现有优质客户资源，并持续开发高端包装市场国内</w:t>
      </w:r>
    </w:p>
    <w:p>
      <w:pPr>
        <w:pStyle w:val="BodyText"/>
        <w:spacing w:line="309" w:lineRule="auto" w:before="24"/>
        <w:ind w:left="573" w:right="94" w:hanging="421"/>
        <w:jc w:val="left"/>
      </w:pPr>
      <w:r>
        <w:rPr/>
        <w:t>外细分行业龙头企业客户，增加中型客户数量，增强抗风险能力。 </w:t>
      </w:r>
      <w:r>
        <w:rPr>
          <w:rFonts w:ascii="Times New Roman" w:hAnsi="Times New Roman" w:cs="Times New Roman" w:eastAsia="Times New Roman" w:hint="default"/>
        </w:rPr>
        <w:t>2</w:t>
      </w:r>
      <w:r>
        <w:rPr/>
        <w:t>、行业竞争加剧风险：参见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应对措施：持续扩大公司在研发设计、工艺技术、高端制造、产品品质、品牌等方面的竞争优势，积极把握行业发展</w:t>
      </w:r>
    </w:p>
    <w:p>
      <w:pPr>
        <w:spacing w:after="0" w:line="309"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趋势，提升综合竞争实力。</w:t>
      </w:r>
    </w:p>
    <w:p>
      <w:pPr>
        <w:pStyle w:val="BodyText"/>
        <w:spacing w:line="300" w:lineRule="auto" w:before="77"/>
        <w:ind w:right="176" w:firstLine="420"/>
        <w:jc w:val="left"/>
      </w:pPr>
      <w:r>
        <w:rPr>
          <w:rFonts w:ascii="Times New Roman" w:hAnsi="Times New Roman" w:cs="Times New Roman" w:eastAsia="Times New Roman" w:hint="default"/>
          <w:spacing w:val="-1"/>
        </w:rPr>
        <w:t>3</w:t>
      </w:r>
      <w:r>
        <w:rPr>
          <w:spacing w:val="-1"/>
        </w:rPr>
        <w:t>、公司产能扩张，市场拓展不达预期的风险应对措施：公司将以市场为导向，逐步有序推进智能制造平台的建设，同</w:t>
      </w:r>
      <w:r>
        <w:rPr/>
        <w:t> 时不断开发新客户、新业务，保障公司产能得到有效利用。</w:t>
      </w:r>
    </w:p>
    <w:p>
      <w:pPr>
        <w:pStyle w:val="BodyText"/>
        <w:spacing w:line="240" w:lineRule="auto" w:before="31"/>
        <w:ind w:left="573" w:right="9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、人才引进方面的风险：参见</w:t>
      </w:r>
      <w:r>
        <w:rPr>
          <w:rFonts w:ascii="Times New Roman" w:hAnsi="Times New Roman" w:cs="Times New Roman" w:eastAsia="Times New Roman" w:hint="default"/>
        </w:rPr>
        <w:t>“</w:t>
      </w:r>
      <w:r>
        <w:rPr/>
        <w:t>二、公司发展战略（</w:t>
      </w:r>
      <w:r>
        <w:rPr>
          <w:rFonts w:ascii="Times New Roman" w:hAnsi="Times New Roman" w:cs="Times New Roman" w:eastAsia="Times New Roman" w:hint="default"/>
        </w:rPr>
        <w:t>4</w:t>
      </w:r>
      <w:r>
        <w:rPr/>
        <w:t>）发展面临的挑战</w:t>
      </w:r>
      <w:r>
        <w:rPr>
          <w:rFonts w:ascii="Times New Roman" w:hAnsi="Times New Roman" w:cs="Times New Roman" w:eastAsia="Times New Roman" w:hint="default"/>
        </w:rPr>
        <w:t>”</w:t>
      </w:r>
    </w:p>
    <w:p>
      <w:pPr>
        <w:pStyle w:val="BodyText"/>
        <w:spacing w:line="309" w:lineRule="auto" w:before="63"/>
        <w:ind w:left="573" w:right="6263"/>
        <w:jc w:val="left"/>
      </w:pPr>
      <w:r>
        <w:rPr/>
        <w:t>应对措施： 参见</w:t>
      </w:r>
      <w:r>
        <w:rPr>
          <w:rFonts w:ascii="Times New Roman" w:hAnsi="Times New Roman" w:cs="Times New Roman" w:eastAsia="Times New Roman" w:hint="default"/>
        </w:rPr>
        <w:t>“</w:t>
      </w:r>
      <w:r>
        <w:rPr/>
        <w:t>三、公司</w:t>
      </w:r>
      <w:r>
        <w:rPr>
          <w:rFonts w:ascii="Times New Roman" w:hAnsi="Times New Roman" w:cs="Times New Roman" w:eastAsia="Times New Roman" w:hint="default"/>
        </w:rPr>
        <w:t>2018</w:t>
      </w:r>
      <w:r>
        <w:rPr/>
        <w:t>年度经营计划（</w:t>
      </w: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5</w:t>
      </w:r>
      <w:r>
        <w:rPr/>
        <w:t>、汇率波动风险</w:t>
      </w:r>
    </w:p>
    <w:p>
      <w:pPr>
        <w:pStyle w:val="BodyText"/>
        <w:spacing w:line="312" w:lineRule="auto" w:before="5"/>
        <w:ind w:left="573" w:right="573"/>
        <w:jc w:val="left"/>
      </w:pPr>
      <w:r>
        <w:rPr/>
        <w:t>公司存在一定量的以美元作为结算货币的国际业务，人民币兑美元汇率的上升，将对公司产生一定的汇兑损失。 应对措施：公司将积极研究并根据具体需要通过采取对冲等方式来应对汇率的波动。 五、</w:t>
      </w:r>
      <w:r>
        <w:rPr>
          <w:rFonts w:ascii="Times New Roman" w:hAnsi="Times New Roman" w:cs="Times New Roman" w:eastAsia="Times New Roman" w:hint="default"/>
        </w:rPr>
        <w:t>2017</w:t>
      </w:r>
      <w:r>
        <w:rPr/>
        <w:t>年度经营计划完成情况 </w:t>
      </w:r>
      <w:r>
        <w:rPr>
          <w:rFonts w:ascii="Times New Roman" w:hAnsi="Times New Roman" w:cs="Times New Roman" w:eastAsia="Times New Roman" w:hint="default"/>
        </w:rPr>
        <w:t>2017</w:t>
      </w:r>
      <w:r>
        <w:rPr/>
        <w:t>年，公司按照年初制定的主要经营计划着力开展以下工作，进展情况较为顺利：</w:t>
      </w:r>
    </w:p>
    <w:p>
      <w:pPr>
        <w:pStyle w:val="BodyText"/>
        <w:spacing w:line="240" w:lineRule="auto" w:before="3"/>
        <w:ind w:left="573" w:right="94"/>
        <w:jc w:val="left"/>
      </w:pPr>
      <w:r>
        <w:rPr/>
        <w:t>（</w:t>
      </w:r>
      <w:r>
        <w:rPr>
          <w:rFonts w:ascii="Times New Roman" w:hAnsi="Times New Roman" w:cs="Times New Roman" w:eastAsia="Times New Roman" w:hint="default"/>
        </w:rPr>
        <w:t>1</w:t>
      </w:r>
      <w:r>
        <w:rPr/>
        <w:t>）强化新开发客户的服务深度和广度，实现销售收入和净利润大幅增长</w:t>
      </w:r>
    </w:p>
    <w:p>
      <w:pPr>
        <w:pStyle w:val="BodyText"/>
        <w:spacing w:line="300" w:lineRule="auto" w:before="63"/>
        <w:ind w:right="94" w:firstLine="420"/>
        <w:jc w:val="left"/>
      </w:pPr>
      <w:r>
        <w:rPr>
          <w:rFonts w:ascii="Times New Roman" w:hAnsi="Times New Roman" w:cs="Times New Roman" w:eastAsia="Times New Roman" w:hint="default"/>
        </w:rPr>
        <w:t>2017</w:t>
      </w:r>
      <w:r>
        <w:rPr/>
        <w:t>年度，公司大力推动新开发客户的合作，战略性及重点客户合作前期磨合良好，订单逐步放量，并贡献较好的收 入和利润，推动公司</w:t>
      </w:r>
      <w:r>
        <w:rPr>
          <w:rFonts w:ascii="Times New Roman" w:hAnsi="Times New Roman" w:cs="Times New Roman" w:eastAsia="Times New Roman" w:hint="default"/>
        </w:rPr>
        <w:t>2017</w:t>
      </w:r>
      <w:r>
        <w:rPr/>
        <w:t>年经营业绩实现较大增长。</w:t>
      </w:r>
    </w:p>
    <w:p>
      <w:pPr>
        <w:pStyle w:val="BodyText"/>
        <w:spacing w:line="240" w:lineRule="auto" w:before="13"/>
        <w:ind w:left="573" w:right="94"/>
        <w:jc w:val="left"/>
      </w:pPr>
      <w:r>
        <w:rPr/>
        <w:t>（</w:t>
      </w:r>
      <w:r>
        <w:rPr>
          <w:rFonts w:ascii="Times New Roman" w:hAnsi="Times New Roman" w:cs="Times New Roman" w:eastAsia="Times New Roman" w:hint="default"/>
        </w:rPr>
        <w:t>2</w:t>
      </w:r>
      <w:r>
        <w:rPr/>
        <w:t>）持续加大客户开发力度，继续加大世界级企业及国内细分行业龙头企业新客户的开发</w:t>
      </w:r>
    </w:p>
    <w:p>
      <w:pPr>
        <w:pStyle w:val="BodyText"/>
        <w:spacing w:line="300" w:lineRule="auto" w:before="63"/>
        <w:ind w:right="94" w:firstLine="420"/>
        <w:jc w:val="left"/>
      </w:pPr>
      <w:r>
        <w:rPr>
          <w:rFonts w:ascii="Times New Roman" w:hAnsi="Times New Roman" w:cs="Times New Roman" w:eastAsia="Times New Roman" w:hint="default"/>
        </w:rPr>
        <w:t>2017</w:t>
      </w:r>
      <w:r>
        <w:rPr/>
        <w:t>年度，公司及下属子公司先后获得了</w:t>
      </w:r>
      <w:r>
        <w:rPr>
          <w:rFonts w:ascii="Times New Roman" w:hAnsi="Times New Roman" w:cs="Times New Roman" w:eastAsia="Times New Roman" w:hint="default"/>
        </w:rPr>
        <w:t>HomeDepot</w:t>
      </w:r>
      <w:r>
        <w:rPr/>
        <w:t>、京东、小米、网易严选等在内的众多高端客户的包装产品供应 资质。新客户的不断开发，进一步丰富了公司高端客户资源，为公司未来的持续增长奠定坚实的基础。</w:t>
      </w:r>
    </w:p>
    <w:p>
      <w:pPr>
        <w:pStyle w:val="BodyText"/>
        <w:spacing w:line="240" w:lineRule="auto" w:before="31"/>
        <w:ind w:left="573" w:right="94"/>
        <w:jc w:val="left"/>
      </w:pPr>
      <w:r>
        <w:rPr/>
        <w:t>（</w:t>
      </w:r>
      <w:r>
        <w:rPr>
          <w:rFonts w:ascii="Times New Roman" w:hAnsi="Times New Roman" w:cs="Times New Roman" w:eastAsia="Times New Roman" w:hint="default"/>
        </w:rPr>
        <w:t>3</w:t>
      </w:r>
      <w:r>
        <w:rPr/>
        <w:t>）加强技术创新，持续增强核心竞争力</w:t>
      </w:r>
    </w:p>
    <w:p>
      <w:pPr>
        <w:pStyle w:val="BodyText"/>
        <w:spacing w:line="300" w:lineRule="auto" w:before="63"/>
        <w:ind w:right="94" w:firstLine="420"/>
        <w:jc w:val="left"/>
      </w:pPr>
      <w:r>
        <w:rPr>
          <w:rFonts w:ascii="Times New Roman" w:hAnsi="Times New Roman" w:cs="Times New Roman" w:eastAsia="Times New Roman" w:hint="default"/>
          <w:spacing w:val="-2"/>
        </w:rPr>
        <w:t>2017</w:t>
      </w:r>
      <w:r>
        <w:rPr>
          <w:spacing w:val="-2"/>
        </w:rPr>
        <w:t>年度，公司持续推动研发技术及生产工艺的创新工作，为推动公司战略新客户订单的逐步放量作出了较大的贡献，</w:t>
      </w:r>
      <w:r>
        <w:rPr/>
        <w:t> 公司服务水平持续提升，客户服务能力不断增强。同时公司还开拓了电子功能材料模切产品等新业务，有效推动公司</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年度经营业绩增长，形成了新的业务增长点。</w:t>
      </w:r>
    </w:p>
    <w:p>
      <w:pPr>
        <w:pStyle w:val="BodyText"/>
        <w:spacing w:line="240" w:lineRule="auto" w:before="31"/>
        <w:ind w:left="573" w:right="94"/>
        <w:jc w:val="left"/>
      </w:pPr>
      <w:r>
        <w:rPr/>
        <w:t>（</w:t>
      </w:r>
      <w:r>
        <w:rPr>
          <w:rFonts w:ascii="Times New Roman" w:hAnsi="Times New Roman" w:cs="Times New Roman" w:eastAsia="Times New Roman" w:hint="default"/>
        </w:rPr>
        <w:t>4</w:t>
      </w:r>
      <w:r>
        <w:rPr/>
        <w:t>）进一步完善公司产业区域布局</w:t>
      </w:r>
    </w:p>
    <w:p>
      <w:pPr>
        <w:pStyle w:val="BodyText"/>
        <w:spacing w:line="300" w:lineRule="auto" w:before="63"/>
        <w:ind w:right="94" w:firstLine="420"/>
        <w:jc w:val="left"/>
      </w:pPr>
      <w:r>
        <w:rPr>
          <w:rFonts w:ascii="Times New Roman" w:hAnsi="Times New Roman" w:cs="Times New Roman" w:eastAsia="Times New Roman" w:hint="default"/>
        </w:rPr>
        <w:t>2017</w:t>
      </w:r>
      <w:r>
        <w:rPr/>
        <w:t>年度，公司在原有产业区域布局的基础上，进一步完善了中部经济区域的布局，有序的安排各智能制造平台的筹 建，为公司未来实现跨越式发展打造基础。</w:t>
      </w:r>
    </w:p>
    <w:p>
      <w:pPr>
        <w:pStyle w:val="BodyText"/>
        <w:spacing w:line="319" w:lineRule="auto" w:before="31"/>
        <w:ind w:right="94" w:firstLine="420"/>
        <w:jc w:val="left"/>
      </w:pPr>
      <w:r>
        <w:rPr/>
        <w:t>（</w:t>
      </w:r>
      <w:r>
        <w:rPr>
          <w:rFonts w:ascii="Times New Roman" w:hAnsi="Times New Roman" w:cs="Times New Roman" w:eastAsia="Times New Roman" w:hint="default"/>
        </w:rPr>
        <w:t>5</w:t>
      </w:r>
      <w:r>
        <w:rPr/>
        <w:t>）加强人才梯队建设，保障公司快速发展所需的人力资源 </w:t>
      </w:r>
      <w:r>
        <w:rPr>
          <w:rFonts w:ascii="Times New Roman" w:hAnsi="Times New Roman" w:cs="Times New Roman" w:eastAsia="Times New Roman" w:hint="default"/>
          <w:spacing w:val="-2"/>
        </w:rPr>
        <w:t>2017</w:t>
      </w:r>
      <w:r>
        <w:rPr>
          <w:spacing w:val="-2"/>
        </w:rPr>
        <w:t>年，公司一方面继续加强各类基础人才资源梯队的建设，通过内外部培训，为公司组建高素质、高效率的岗位人员储备</w:t>
      </w:r>
      <w:r>
        <w:rPr>
          <w:spacing w:val="-61"/>
        </w:rPr>
        <w:t> </w:t>
      </w:r>
      <w:r>
        <w:rPr>
          <w:spacing w:val="-61"/>
        </w:rPr>
      </w:r>
      <w:r>
        <w:rPr>
          <w:spacing w:val="-2"/>
        </w:rPr>
        <w:t>人才，使其成为公司发展的生力军；另一方面通过外部招聘，大力引进和储备各类</w:t>
      </w:r>
      <w:r>
        <w:rPr>
          <w:rFonts w:ascii="Times New Roman" w:hAnsi="Times New Roman" w:cs="Times New Roman" w:eastAsia="Times New Roman" w:hint="default"/>
          <w:spacing w:val="-2"/>
        </w:rPr>
        <w:t>“</w:t>
      </w:r>
      <w:r>
        <w:rPr>
          <w:spacing w:val="-2"/>
        </w:rPr>
        <w:t>高、精、尖</w:t>
      </w:r>
      <w:r>
        <w:rPr>
          <w:rFonts w:ascii="Times New Roman" w:hAnsi="Times New Roman" w:cs="Times New Roman" w:eastAsia="Times New Roman" w:hint="default"/>
          <w:spacing w:val="-2"/>
        </w:rPr>
        <w:t>”</w:t>
      </w:r>
      <w:r>
        <w:rPr>
          <w:spacing w:val="-2"/>
        </w:rPr>
        <w:t>以及国际性人才，提升公司</w:t>
      </w:r>
    </w:p>
    <w:p>
      <w:pPr>
        <w:pStyle w:val="BodyText"/>
        <w:spacing w:line="233" w:lineRule="exact"/>
        <w:ind w:right="94"/>
        <w:jc w:val="left"/>
      </w:pPr>
      <w:r>
        <w:rPr/>
        <w:t>的研发实力、综合管理水平、市场营销能力，为公司未来的发展奠定了良好的人才基础。</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9"/>
              <w:jc w:val="left"/>
              <w:rPr>
                <w:rFonts w:ascii="Times New Roman" w:hAnsi="Times New Roman" w:cs="Times New Roman" w:eastAsia="Times New Roman" w:hint="default"/>
                <w:sz w:val="18"/>
                <w:szCs w:val="18"/>
              </w:rPr>
            </w:pPr>
            <w:hyperlink r:id="rId14">
              <w:r>
                <w:rPr>
                  <w:rFonts w:ascii="Times New Roman"/>
                  <w:spacing w:val="-1"/>
                  <w:sz w:val="18"/>
                </w:rPr>
                <w:t>http://www.cninfo.com.cn/finalpage/201</w:t>
              </w:r>
            </w:hyperlink>
            <w:r>
              <w:rPr>
                <w:rFonts w:ascii="Times New Roman"/>
                <w:spacing w:val="-30"/>
                <w:sz w:val="18"/>
              </w:rPr>
              <w:t> </w:t>
            </w:r>
            <w:r>
              <w:rPr>
                <w:rFonts w:ascii="Times New Roman"/>
                <w:spacing w:val="-30"/>
                <w:sz w:val="18"/>
              </w:rPr>
            </w:r>
            <w:r>
              <w:rPr>
                <w:rFonts w:ascii="Times New Roman"/>
                <w:sz w:val="18"/>
              </w:rPr>
              <w:t>7-07-07/1203690301.PDF</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3" w:right="79"/>
              <w:jc w:val="left"/>
              <w:rPr>
                <w:rFonts w:ascii="Times New Roman" w:hAnsi="Times New Roman" w:cs="Times New Roman" w:eastAsia="Times New Roman" w:hint="default"/>
                <w:sz w:val="18"/>
                <w:szCs w:val="18"/>
              </w:rPr>
            </w:pPr>
            <w:hyperlink r:id="rId14">
              <w:r>
                <w:rPr>
                  <w:rFonts w:ascii="Times New Roman"/>
                  <w:spacing w:val="-1"/>
                  <w:sz w:val="18"/>
                </w:rPr>
                <w:t>http://www.cninfo.com.cn/finalpage/201</w:t>
              </w:r>
            </w:hyperlink>
            <w:r>
              <w:rPr>
                <w:rFonts w:ascii="Times New Roman"/>
                <w:spacing w:val="-30"/>
                <w:sz w:val="18"/>
              </w:rPr>
              <w:t> </w:t>
            </w:r>
            <w:r>
              <w:rPr>
                <w:rFonts w:ascii="Times New Roman"/>
                <w:spacing w:val="-30"/>
                <w:sz w:val="18"/>
              </w:rPr>
            </w:r>
            <w:r>
              <w:rPr>
                <w:rFonts w:ascii="Times New Roman"/>
                <w:sz w:val="18"/>
              </w:rPr>
              <w:t>7-11-16/1204144981.PDF</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79"/>
              <w:jc w:val="left"/>
              <w:rPr>
                <w:rFonts w:ascii="Times New Roman" w:hAnsi="Times New Roman" w:cs="Times New Roman" w:eastAsia="Times New Roman" w:hint="default"/>
                <w:sz w:val="18"/>
                <w:szCs w:val="18"/>
              </w:rPr>
            </w:pPr>
            <w:hyperlink r:id="rId14">
              <w:r>
                <w:rPr>
                  <w:rFonts w:ascii="Times New Roman"/>
                  <w:spacing w:val="-1"/>
                  <w:sz w:val="18"/>
                </w:rPr>
                <w:t>http://www.cninfo.com.cn/finalpage/201</w:t>
              </w:r>
            </w:hyperlink>
            <w:r>
              <w:rPr>
                <w:rFonts w:ascii="Times New Roman"/>
                <w:spacing w:val="-30"/>
                <w:sz w:val="18"/>
              </w:rPr>
              <w:t> </w:t>
            </w:r>
            <w:r>
              <w:rPr>
                <w:rFonts w:ascii="Times New Roman"/>
                <w:spacing w:val="-30"/>
                <w:sz w:val="18"/>
              </w:rPr>
            </w:r>
            <w:r>
              <w:rPr>
                <w:rFonts w:ascii="Times New Roman"/>
                <w:sz w:val="18"/>
              </w:rPr>
              <w:t>7-12-05/1204195829.PDF</w:t>
            </w:r>
          </w:p>
        </w:tc>
      </w:tr>
    </w:tbl>
    <w:p>
      <w:pPr>
        <w:spacing w:after="0" w:line="362" w:lineRule="auto"/>
        <w:jc w:val="lef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962"/>
        <w:jc w:val="center"/>
        <w:rPr>
          <w:b w:val="0"/>
          <w:bCs w:val="0"/>
        </w:rPr>
      </w:pPr>
      <w:bookmarkStart w:name="_TOC_250007"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2" w:lineRule="auto" w:before="101"/>
        <w:ind w:right="151"/>
        <w:jc w:val="both"/>
      </w:pPr>
      <w:r>
        <w:rPr/>
        <w:t>公司</w:t>
      </w:r>
      <w:r>
        <w:rPr>
          <w:rFonts w:ascii="Times New Roman" w:hAnsi="Times New Roman" w:cs="Times New Roman" w:eastAsia="Times New Roman" w:hint="default"/>
        </w:rPr>
        <w:t>2014</w:t>
      </w:r>
      <w:r>
        <w:rPr/>
        <w:t>年度股东大会审议通过了《公司未来三年股东回报规划（</w:t>
      </w:r>
      <w:r>
        <w:rPr>
          <w:rFonts w:ascii="Times New Roman" w:hAnsi="Times New Roman" w:cs="Times New Roman" w:eastAsia="Times New Roman" w:hint="default"/>
        </w:rPr>
        <w:t>2015-2017</w:t>
      </w:r>
      <w:r>
        <w:rPr/>
        <w:t>）》，着眼于公司的长远和可持续发展，在综 </w:t>
      </w:r>
      <w:r>
        <w:rPr>
          <w:spacing w:val="-2"/>
        </w:rPr>
        <w:t>合分析公司经营发展的实际情况、现金流状况、未来盈利情况、项目投资资金需求、银行信贷及外部融资环境等基础上，考</w:t>
      </w:r>
      <w:r>
        <w:rPr>
          <w:spacing w:val="-67"/>
        </w:rPr>
        <w:t> </w:t>
      </w:r>
      <w:r>
        <w:rPr>
          <w:spacing w:val="-67"/>
        </w:rPr>
      </w:r>
      <w:r>
        <w:rPr>
          <w:spacing w:val="-2"/>
        </w:rPr>
        <w:t>虑股东的意愿和要求，充分保护中小投资者的合法权益，对利润分配做出了制度性安排，明确了分红标准和分红比例，保证</w:t>
      </w:r>
      <w:r>
        <w:rPr>
          <w:spacing w:val="-65"/>
        </w:rPr>
        <w:t> </w:t>
      </w:r>
      <w:r>
        <w:rPr>
          <w:spacing w:val="-65"/>
        </w:rPr>
      </w:r>
      <w:r>
        <w:rPr/>
        <w:t>了利润分配政策的连续性和稳定性。</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pStyle w:val="BodyText"/>
        <w:spacing w:line="240" w:lineRule="auto" w:before="64"/>
        <w:ind w:right="-15"/>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5"/>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0.24</w:t>
      </w:r>
      <w:r>
        <w:rPr/>
        <w:t>元（含税），本次利润分配</w:t>
      </w:r>
      <w:r>
        <w:rPr>
          <w:rFonts w:ascii="Times New Roman" w:hAnsi="Times New Roman" w:cs="Times New Roman" w:eastAsia="Times New Roman" w:hint="default"/>
        </w:rPr>
        <w:t>3432.96</w:t>
      </w:r>
      <w:r>
        <w:rPr/>
        <w:t>万元。</w:t>
      </w:r>
    </w:p>
    <w:p>
      <w:pPr>
        <w:pStyle w:val="BodyText"/>
        <w:spacing w:line="240" w:lineRule="auto" w:before="63"/>
        <w:ind w:right="-15"/>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0.22</w:t>
      </w:r>
      <w:r>
        <w:rPr/>
        <w:t>元（含税），本次利润分配</w:t>
      </w:r>
      <w:r>
        <w:rPr>
          <w:rFonts w:ascii="Times New Roman" w:hAnsi="Times New Roman" w:cs="Times New Roman" w:eastAsia="Times New Roman" w:hint="default"/>
        </w:rPr>
        <w:t>3393.11</w:t>
      </w:r>
      <w:r>
        <w:rPr/>
        <w:t>万元。</w:t>
      </w:r>
    </w:p>
    <w:p>
      <w:pPr>
        <w:pStyle w:val="BodyText"/>
        <w:spacing w:line="340" w:lineRule="auto" w:before="63"/>
        <w:ind w:right="-15"/>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1.3</w:t>
      </w:r>
      <w:r>
        <w:rPr/>
        <w:t>元（含税），本次利润分配</w:t>
      </w:r>
      <w:r>
        <w:rPr>
          <w:rFonts w:ascii="Times New Roman" w:hAnsi="Times New Roman" w:cs="Times New Roman" w:eastAsia="Times New Roman" w:hint="default"/>
        </w:rPr>
        <w:t>20050.21</w:t>
      </w:r>
      <w:r>
        <w:rPr/>
        <w:t>万元。 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8708" w:space="212"/>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9"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200,502,079.05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348,186,315.19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33,931,121.07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223,397,139.15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220,482,825.97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1,542,323,685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200,502,079.05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1,306,765,996.30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6"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以截止</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3"/>
                <w:sz w:val="18"/>
                <w:szCs w:val="18"/>
              </w:rPr>
              <w:t>司</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，送红股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股，不以公积金转增股本，本次利润分配共计派发现金</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5"/>
        <w:gridCol w:w="1124"/>
        <w:gridCol w:w="1128"/>
        <w:gridCol w:w="1126"/>
        <w:gridCol w:w="1126"/>
        <w:gridCol w:w="1121"/>
        <w:gridCol w:w="1106"/>
      </w:tblGrid>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326"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16" w:right="20"/>
              <w:jc w:val="left"/>
              <w:rPr>
                <w:rFonts w:ascii="宋体" w:hAnsi="宋体" w:cs="宋体" w:eastAsia="宋体" w:hint="default"/>
                <w:sz w:val="18"/>
                <w:szCs w:val="18"/>
              </w:rPr>
            </w:pPr>
            <w:r>
              <w:rPr>
                <w:rFonts w:ascii="宋体" w:hAnsi="宋体" w:cs="宋体" w:eastAsia="宋体" w:hint="default"/>
                <w:spacing w:val="-3"/>
                <w:sz w:val="18"/>
                <w:szCs w:val="18"/>
              </w:rPr>
              <w:t>王海鹏、王治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在任职期间 每年转让的 股份不超过 其持有公司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w:t>
            </w:r>
            <w:r>
              <w:rPr>
                <w:rFonts w:ascii="宋体" w:hAnsi="宋体" w:cs="宋体" w:eastAsia="宋体" w:hint="default"/>
                <w:spacing w:val="-2"/>
                <w:sz w:val="18"/>
                <w:szCs w:val="18"/>
              </w:rPr>
              <w:t>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让其持有的 </w:t>
            </w:r>
            <w:r>
              <w:rPr>
                <w:rFonts w:ascii="宋体" w:hAnsi="宋体" w:cs="宋体" w:eastAsia="宋体" w:hint="default"/>
                <w:spacing w:val="-2"/>
                <w:sz w:val="18"/>
                <w:szCs w:val="18"/>
              </w:rPr>
              <w:t>公司股份，在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申报离任六 个月后的十 二个月内通 过证券交易 所挂牌交易 出售本公司 股票数量占</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23" w:right="135"/>
              <w:jc w:val="left"/>
              <w:rPr>
                <w:rFonts w:ascii="宋体" w:hAnsi="宋体" w:cs="宋体" w:eastAsia="宋体" w:hint="default"/>
                <w:sz w:val="18"/>
                <w:szCs w:val="18"/>
              </w:rPr>
            </w:pPr>
            <w:r>
              <w:rPr>
                <w:rFonts w:ascii="宋体" w:hAnsi="宋体" w:cs="宋体" w:eastAsia="宋体" w:hint="default"/>
                <w:sz w:val="18"/>
                <w:szCs w:val="18"/>
              </w:rPr>
              <w:t>任职公司董 事</w:t>
            </w:r>
            <w:r>
              <w:rPr>
                <w:rFonts w:ascii="Times New Roman" w:hAnsi="Times New Roman" w:cs="Times New Roman" w:eastAsia="Times New Roman" w:hint="default"/>
                <w:sz w:val="18"/>
                <w:szCs w:val="18"/>
              </w:rPr>
              <w:t>/</w:t>
            </w:r>
            <w:r>
              <w:rPr>
                <w:rFonts w:ascii="宋体" w:hAnsi="宋体" w:cs="宋体" w:eastAsia="宋体" w:hint="default"/>
                <w:sz w:val="18"/>
                <w:szCs w:val="18"/>
              </w:rPr>
              <w:t>高管期间</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2326"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129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3"/>
              <w:jc w:val="both"/>
              <w:rPr>
                <w:rFonts w:ascii="宋体" w:hAnsi="宋体" w:cs="宋体" w:eastAsia="宋体" w:hint="default"/>
                <w:sz w:val="18"/>
                <w:szCs w:val="18"/>
              </w:rPr>
            </w:pPr>
            <w:r>
              <w:rPr>
                <w:rFonts w:ascii="宋体" w:hAnsi="宋体" w:cs="宋体" w:eastAsia="宋体" w:hint="default"/>
                <w:sz w:val="18"/>
                <w:szCs w:val="18"/>
              </w:rPr>
              <w:t>其所持有本 公司股票总 数的比例不 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53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目前不存在， 将来也不会 存在任何直 接或间接与 被承诺方集 团的业务构 成竞争的业 务，亦不会以 任何形式（包 括但不限于 通过控股子 公司、合资经 营、合作经营 或拥有在其 他公司或企 业的股票或 权益等）从事 与被承诺方 集团有竞争 或构成竞争 的业务；对于 自己将来可 能出现的下 属全资子公 司、控股子公 司、能实际控 制的其他企 业、参股企业 所从事的业 务与被承诺 方集团有竞 争或构成竞 争的情况，承 诺在被承诺 方集团提出 要求时转让 自己在该等 企业中的全 部出资或股 份。并承诺给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23" w:right="173"/>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972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予被承诺方 集团对该等 出资或股份 的优先购买 权，并尽力促 使有关交易 的价格是公 平合理且基 于与独立第 三者进行正 常商业交易 的基础确定； 承诺不向其 业务与被承 诺方集团所 从事的业务 构成竞争的 其他公司、企 业或其他机 构、组织或个 人提供销售 渠道、客户信 息等商业秘 密；承诺赔偿 被承诺方集 团因自己违 反本协议的 任何条款而 遭受或产生 的任何损失 或开支。</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王海鹏、王治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如因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月前没有 为员工缴纳 养老及失业 保险、住房公 积金而产生 补缴义务或 公司因此遭 受任何损失， 由王海鹏、王 治军以连带 责任形式对 公司进行补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张珍义、黄 琳、刘征兵、 </w:t>
            </w:r>
            <w:r>
              <w:rPr>
                <w:rFonts w:ascii="宋体" w:hAnsi="宋体" w:cs="宋体" w:eastAsia="宋体" w:hint="default"/>
                <w:spacing w:val="-3"/>
                <w:sz w:val="18"/>
                <w:szCs w:val="18"/>
              </w:rPr>
              <w:t>张建军、李伟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东、冯达昌、 袁宏贵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开第四届董 事会第七次</w:t>
            </w:r>
          </w:p>
          <w:p>
            <w:pPr>
              <w:pStyle w:val="TableParagraph"/>
              <w:spacing w:line="316" w:lineRule="auto" w:before="24"/>
              <w:ind w:left="23" w:right="10"/>
              <w:jc w:val="left"/>
              <w:rPr>
                <w:rFonts w:ascii="宋体" w:hAnsi="宋体" w:cs="宋体" w:eastAsia="宋体" w:hint="default"/>
                <w:sz w:val="18"/>
                <w:szCs w:val="18"/>
              </w:rPr>
            </w:pPr>
            <w:r>
              <w:rPr>
                <w:rFonts w:ascii="宋体" w:hAnsi="宋体" w:cs="宋体" w:eastAsia="宋体" w:hint="default"/>
                <w:sz w:val="18"/>
                <w:szCs w:val="18"/>
              </w:rPr>
              <w:t>（临时）会 议，审议通过 公开发行可 转换公司债 券相关事项， 公司董事、高 级管理人员 承诺忠实、勤 勉地履行职 责，维护公司 和全体股东 的合法权益， 并根据中国 证监会相关 规定对公司 填补回报措 施能够得到 切实履行作 出如下承诺：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、承诺不无 偿或以不公 平条件向其 他单位或者 个人输送利 益，也不采用 其他方式损 害公司利益；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、承诺对自 身的职务消 费行为进行 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 诺不动用公 司资产从事 与其履行职 责无关的投 资、消费活 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 由董事会或 薪酬委员会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p>
            <w:pPr>
              <w:pStyle w:val="TableParagraph"/>
              <w:spacing w:line="316" w:lineRule="auto" w:before="60"/>
              <w:ind w:left="23" w:right="185"/>
              <w:jc w:val="both"/>
              <w:rPr>
                <w:rFonts w:ascii="宋体" w:hAnsi="宋体" w:cs="宋体" w:eastAsia="宋体" w:hint="default"/>
                <w:sz w:val="18"/>
                <w:szCs w:val="18"/>
              </w:rPr>
            </w:pPr>
            <w:r>
              <w:rPr>
                <w:rFonts w:ascii="宋体" w:hAnsi="宋体" w:cs="宋体" w:eastAsia="宋体" w:hint="default"/>
                <w:sz w:val="18"/>
                <w:szCs w:val="18"/>
              </w:rPr>
              <w:t>日至公司公 开发行可转 换公司债券 实施完毕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173"/>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5983pt;width:61.8pt;height:686.5pt;mso-position-horizontal-relative:page;mso-position-vertical-relative:page;z-index:-1118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制定的薪酬</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pt;mso-position-horizontal-relative:char;mso-position-vertical-relative:line" coordorigin="0,0" coordsize="1116,13730">
                  <v:group style="position:absolute;left:0;top:0;width:1116;height:13730" coordorigin="0,0" coordsize="1116,13730">
                    <v:shape style="position:absolute;left:0;top:0;width:1116;height:13730" coordorigin="0,0" coordsize="1116,13730"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制度与公司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若公司后续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推出股权激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励政策，本人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承诺拟公布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激励的行权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条件与公司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自本承诺出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具日至公司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本次发行可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转换公司债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券实施完毕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前，若证监会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作出关于填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其他新的监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管规定的，且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能满足中国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证监会该等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规定时，本人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承诺届时将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监会的最新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规定出具补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承诺切实履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行公司制定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的有关填补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回报措施以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及本人对此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有关填补回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报措施的承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诺，若违反该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25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等承诺并给 公司或者投 资者造成损 </w:t>
            </w:r>
            <w:r>
              <w:rPr>
                <w:rFonts w:ascii="宋体" w:hAnsi="宋体" w:cs="宋体" w:eastAsia="宋体" w:hint="default"/>
                <w:spacing w:val="-2"/>
                <w:sz w:val="18"/>
                <w:szCs w:val="18"/>
              </w:rPr>
              <w:t>失的，本人愿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意依法承担 对公司或者 投资者的补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128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09"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 开第四届董 事会第七次</w:t>
            </w:r>
          </w:p>
          <w:p>
            <w:pPr>
              <w:pStyle w:val="TableParagraph"/>
              <w:spacing w:line="316" w:lineRule="auto" w:before="24"/>
              <w:ind w:left="23" w:right="10"/>
              <w:jc w:val="left"/>
              <w:rPr>
                <w:rFonts w:ascii="宋体" w:hAnsi="宋体" w:cs="宋体" w:eastAsia="宋体" w:hint="default"/>
                <w:sz w:val="18"/>
                <w:szCs w:val="18"/>
              </w:rPr>
            </w:pPr>
            <w:r>
              <w:rPr>
                <w:rFonts w:ascii="宋体" w:hAnsi="宋体" w:cs="宋体" w:eastAsia="宋体" w:hint="default"/>
                <w:sz w:val="18"/>
                <w:szCs w:val="18"/>
              </w:rPr>
              <w:t>（临时）会 议，审议通过 公开发行可 转换公司债 券相关事项， 公司控股股 东、实际控制 人承诺：</w:t>
            </w:r>
            <w:r>
              <w:rPr>
                <w:rFonts w:ascii="Times New Roman" w:hAnsi="Times New Roman" w:cs="Times New Roman" w:eastAsia="Times New Roman" w:hint="default"/>
                <w:sz w:val="18"/>
                <w:szCs w:val="18"/>
              </w:rPr>
              <w:t>1</w:t>
            </w:r>
            <w:r>
              <w:rPr>
                <w:rFonts w:ascii="宋体" w:hAnsi="宋体" w:cs="宋体" w:eastAsia="宋体" w:hint="default"/>
                <w:sz w:val="18"/>
                <w:szCs w:val="18"/>
              </w:rPr>
              <w:t>、 不越权干预 公司经营管 理活动，不侵 占公司利益； </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 出具日至公 司本次发行 可转换公司 债券实施完 毕前，若中国 证券监督管 理委员会作 出关于填补 回报措施及 其承诺的其 他新的监管 规定的，且上 述承诺不能 满足中国证 监会该等规 定时，本人承 诺届时将按 照中国证监 会的最新规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p>
          <w:p>
            <w:pPr>
              <w:pStyle w:val="TableParagraph"/>
              <w:spacing w:line="319" w:lineRule="auto" w:before="60"/>
              <w:ind w:left="23" w:right="185"/>
              <w:jc w:val="both"/>
              <w:rPr>
                <w:rFonts w:ascii="宋体" w:hAnsi="宋体" w:cs="宋体" w:eastAsia="宋体" w:hint="default"/>
                <w:sz w:val="18"/>
                <w:szCs w:val="18"/>
              </w:rPr>
            </w:pPr>
            <w:r>
              <w:rPr>
                <w:rFonts w:ascii="宋体" w:hAnsi="宋体" w:cs="宋体" w:eastAsia="宋体" w:hint="default"/>
                <w:sz w:val="18"/>
                <w:szCs w:val="18"/>
              </w:rPr>
              <w:t>日至公司公 开发行可转 换公司债券 实施完毕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60"/>
              <w:ind w:left="23" w:right="173"/>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6"/>
      </w:tblGrid>
      <w:tr>
        <w:trPr>
          <w:trHeight w:val="691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定出具补充 承诺；</w:t>
            </w:r>
            <w:r>
              <w:rPr>
                <w:rFonts w:ascii="Times New Roman" w:hAnsi="Times New Roman" w:cs="Times New Roman" w:eastAsia="Times New Roman" w:hint="default"/>
                <w:sz w:val="18"/>
                <w:szCs w:val="18"/>
              </w:rPr>
              <w:t>3</w:t>
            </w:r>
            <w:r>
              <w:rPr>
                <w:rFonts w:ascii="宋体" w:hAnsi="宋体" w:cs="宋体" w:eastAsia="宋体" w:hint="default"/>
                <w:sz w:val="18"/>
                <w:szCs w:val="18"/>
              </w:rPr>
              <w:t>、承 诺切实履行 公司制定的 有关填补回 报措施以及 对此作出的 任何有关填 补回报措施 </w:t>
            </w:r>
            <w:r>
              <w:rPr>
                <w:rFonts w:ascii="宋体" w:hAnsi="宋体" w:cs="宋体" w:eastAsia="宋体" w:hint="default"/>
                <w:spacing w:val="-2"/>
                <w:sz w:val="18"/>
                <w:szCs w:val="18"/>
              </w:rPr>
              <w:t>的承诺。作为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填补回报措 施相关责任 </w:t>
            </w:r>
            <w:r>
              <w:rPr>
                <w:rFonts w:ascii="宋体" w:hAnsi="宋体" w:cs="宋体" w:eastAsia="宋体" w:hint="default"/>
                <w:spacing w:val="-2"/>
                <w:sz w:val="18"/>
                <w:szCs w:val="18"/>
              </w:rPr>
              <w:t>主体之一，若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本人违反上 述承诺并给 公司或者投 资者造成损 </w:t>
            </w:r>
            <w:r>
              <w:rPr>
                <w:rFonts w:ascii="宋体" w:hAnsi="宋体" w:cs="宋体" w:eastAsia="宋体" w:hint="default"/>
                <w:spacing w:val="-2"/>
                <w:sz w:val="18"/>
                <w:szCs w:val="18"/>
              </w:rPr>
              <w:t>失的，本人愿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意依法承担 对公司或者 投资者的补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公司因与欧 </w:t>
            </w:r>
            <w:r>
              <w:rPr>
                <w:rFonts w:ascii="宋体" w:hAnsi="宋体" w:cs="宋体" w:eastAsia="宋体" w:hint="default"/>
                <w:spacing w:val="-2"/>
                <w:sz w:val="18"/>
                <w:szCs w:val="18"/>
              </w:rPr>
              <w:t>阳宣、西藏新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天地投资合 </w:t>
            </w:r>
            <w:r>
              <w:rPr>
                <w:rFonts w:ascii="宋体" w:hAnsi="宋体" w:cs="宋体" w:eastAsia="宋体" w:hint="default"/>
                <w:spacing w:val="-2"/>
                <w:sz w:val="18"/>
                <w:szCs w:val="18"/>
              </w:rPr>
              <w:t>伙企业（有限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合伙）、金之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彩之间股权 转让合同纠 纷已于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日向深圳仲 裁委员会提 交了仲裁申 </w:t>
            </w:r>
            <w:r>
              <w:rPr>
                <w:rFonts w:ascii="宋体" w:hAnsi="宋体" w:cs="宋体" w:eastAsia="宋体" w:hint="default"/>
                <w:spacing w:val="-2"/>
                <w:sz w:val="18"/>
                <w:szCs w:val="18"/>
              </w:rPr>
              <w:t>请，公司又于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p>
            <w:pPr>
              <w:pStyle w:val="TableParagraph"/>
              <w:spacing w:line="314"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日收到 深圳仲裁委 员会送达的 关于欧阳宣 针对上述仲 裁申请提交 </w:t>
            </w:r>
            <w:r>
              <w:rPr>
                <w:rFonts w:ascii="宋体" w:hAnsi="宋体" w:cs="宋体" w:eastAsia="宋体" w:hint="default"/>
                <w:spacing w:val="-2"/>
                <w:sz w:val="18"/>
                <w:szCs w:val="18"/>
              </w:rPr>
              <w:t>的《反请求仲</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3" w:right="185"/>
              <w:jc w:val="both"/>
              <w:rPr>
                <w:rFonts w:ascii="宋体" w:hAnsi="宋体" w:cs="宋体" w:eastAsia="宋体" w:hint="default"/>
                <w:sz w:val="18"/>
                <w:szCs w:val="18"/>
              </w:rPr>
            </w:pPr>
            <w:r>
              <w:rPr>
                <w:rFonts w:ascii="宋体" w:hAnsi="宋体" w:cs="宋体" w:eastAsia="宋体" w:hint="default"/>
                <w:sz w:val="18"/>
                <w:szCs w:val="18"/>
              </w:rPr>
              <w:t>至仲裁裁决 结果执行完 毕</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70"/>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67.630005pt;margin-top:694.295959pt;width:55.8pt;height:69.25pt;mso-position-horizontal-relative:page;mso-position-vertical-relative:page;z-index:-1118728" coordorigin="7353,13886" coordsize="1116,1385">
            <v:shape style="position:absolute;left:7353;top:13886;width:1116;height:1385" coordorigin="7353,13886" coordsize="1116,1385" path="m7353,15271l8469,15271,8469,13886,7353,13886,7353,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1034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裁申请》相关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文件（申请仲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裁的事项详 见公司于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p>
            <w:pPr>
              <w:pStyle w:val="TableParagraph"/>
              <w:spacing w:line="314"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 巨潮资讯网 披露的</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 </w:t>
            </w:r>
            <w:r>
              <w:rPr>
                <w:rFonts w:ascii="宋体" w:hAnsi="宋体" w:cs="宋体" w:eastAsia="宋体" w:hint="default"/>
                <w:spacing w:val="-2"/>
                <w:sz w:val="18"/>
                <w:szCs w:val="18"/>
              </w:rPr>
              <w:t>与欧阳宣、新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天地、金之彩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公司股权转 让合同纠纷 仲裁案相关 事项的公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&gt;</w:t>
            </w:r>
            <w:r>
              <w:rPr>
                <w:rFonts w:ascii="宋体" w:hAnsi="宋体" w:cs="宋体" w:eastAsia="宋体" w:hint="default"/>
                <w:spacing w:val="-17"/>
                <w:sz w:val="18"/>
                <w:szCs w:val="18"/>
              </w:rPr>
              <w:t>）。王海鹏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先生作为公 司的控股股 </w:t>
            </w:r>
            <w:r>
              <w:rPr>
                <w:rFonts w:ascii="宋体" w:hAnsi="宋体" w:cs="宋体" w:eastAsia="宋体" w:hint="default"/>
                <w:spacing w:val="-2"/>
                <w:sz w:val="18"/>
                <w:szCs w:val="18"/>
              </w:rPr>
              <w:t>东，为积极维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护广大投资 者利益，于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p>
          <w:p>
            <w:pPr>
              <w:pStyle w:val="TableParagraph"/>
              <w:spacing w:line="316" w:lineRule="auto" w:before="1"/>
              <w:ind w:left="23" w:right="1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日作 出如下承诺： 如公司因本 次股权转让 合同纠纷仲 裁案仲裁结 果而需要支 付任何违约 金及仲裁相 关费用，王海 鹏先生将全 部承担。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深圳市金之 彩文化创意 </w:t>
            </w:r>
            <w:r>
              <w:rPr>
                <w:rFonts w:ascii="宋体" w:hAnsi="宋体" w:cs="宋体" w:eastAsia="宋体" w:hint="default"/>
                <w:spacing w:val="-2"/>
                <w:sz w:val="18"/>
                <w:szCs w:val="18"/>
              </w:rPr>
              <w:t>有限公司（以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金之 </w:t>
            </w:r>
            <w:r>
              <w:rPr>
                <w:rFonts w:ascii="宋体" w:hAnsi="宋体" w:cs="宋体" w:eastAsia="宋体" w:hint="default"/>
                <w:spacing w:val="-13"/>
                <w:w w:val="100"/>
                <w:sz w:val="18"/>
                <w:szCs w:val="18"/>
              </w:rPr>
              <w:t>彩公司</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）原股</w:t>
            </w:r>
            <w:r>
              <w:rPr>
                <w:rFonts w:ascii="宋体" w:hAnsi="宋体" w:cs="宋体" w:eastAsia="宋体" w:hint="default"/>
                <w:sz w:val="18"/>
                <w:szCs w:val="18"/>
              </w:rPr>
              <w:t> 东西藏新天 地投资合伙 </w:t>
            </w:r>
            <w:r>
              <w:rPr>
                <w:rFonts w:ascii="宋体" w:hAnsi="宋体" w:cs="宋体" w:eastAsia="宋体" w:hint="default"/>
                <w:spacing w:val="-2"/>
                <w:sz w:val="18"/>
                <w:szCs w:val="18"/>
              </w:rPr>
              <w:t>企业（有限合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伙）（以下简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 </w:t>
            </w:r>
            <w:r>
              <w:rPr>
                <w:rFonts w:ascii="Times New Roman" w:hAnsi="Times New Roman" w:cs="Times New Roman" w:eastAsia="Times New Roman" w:hint="default"/>
                <w:sz w:val="18"/>
                <w:szCs w:val="18"/>
              </w:rPr>
              <w:t>“</w:t>
            </w:r>
            <w:r>
              <w:rPr>
                <w:rFonts w:ascii="宋体" w:hAnsi="宋体" w:cs="宋体" w:eastAsia="宋体" w:hint="default"/>
                <w:sz w:val="18"/>
                <w:szCs w:val="18"/>
              </w:rPr>
              <w:t>新天地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因金之彩公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至仲裁裁决 结果执行完 毕</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173"/>
              <w:jc w:val="left"/>
              <w:rPr>
                <w:rFonts w:ascii="宋体" w:hAnsi="宋体" w:cs="宋体" w:eastAsia="宋体" w:hint="default"/>
                <w:sz w:val="18"/>
                <w:szCs w:val="18"/>
              </w:rPr>
            </w:pPr>
            <w:r>
              <w:rPr>
                <w:rFonts w:ascii="宋体" w:hAnsi="宋体" w:cs="宋体" w:eastAsia="宋体" w:hint="default"/>
                <w:sz w:val="18"/>
                <w:szCs w:val="18"/>
              </w:rPr>
              <w:t>正常履行过 程中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4"/>
        <w:gridCol w:w="1128"/>
        <w:gridCol w:w="1126"/>
        <w:gridCol w:w="1126"/>
        <w:gridCol w:w="1121"/>
        <w:gridCol w:w="1109"/>
      </w:tblGrid>
      <w:tr>
        <w:trPr>
          <w:trHeight w:val="1159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司股权转让 合同纠纷向 深圳仲裁委 员会提交了 </w:t>
            </w:r>
            <w:r>
              <w:rPr>
                <w:rFonts w:ascii="宋体" w:hAnsi="宋体" w:cs="宋体" w:eastAsia="宋体" w:hint="default"/>
                <w:spacing w:val="-2"/>
                <w:sz w:val="18"/>
                <w:szCs w:val="18"/>
              </w:rPr>
              <w:t>仲裁申请。公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司于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日收到了深 圳仲裁委员 </w:t>
            </w:r>
            <w:r>
              <w:rPr>
                <w:rFonts w:ascii="宋体" w:hAnsi="宋体" w:cs="宋体" w:eastAsia="宋体" w:hint="default"/>
                <w:spacing w:val="-2"/>
                <w:sz w:val="18"/>
                <w:szCs w:val="18"/>
              </w:rPr>
              <w:t>会送达的《仲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裁申请书》等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相关文件（申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请仲裁的事 项详见公司 于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 潮资讯网披 露的</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关于与 欧阳宣、新天 地、金之彩公 司股权转让 合同纠纷仲 裁案有关事 </w:t>
            </w:r>
            <w:r>
              <w:rPr>
                <w:rFonts w:ascii="宋体" w:hAnsi="宋体" w:cs="宋体" w:eastAsia="宋体" w:hint="default"/>
                <w:spacing w:val="-27"/>
                <w:sz w:val="18"/>
                <w:szCs w:val="18"/>
              </w:rPr>
              <w:t>项的公告</w:t>
            </w:r>
            <w:r>
              <w:rPr>
                <w:rFonts w:ascii="Times New Roman" w:hAnsi="Times New Roman" w:cs="Times New Roman" w:eastAsia="Times New Roman" w:hint="default"/>
                <w:spacing w:val="-27"/>
                <w:sz w:val="18"/>
                <w:szCs w:val="18"/>
              </w:rPr>
              <w:t>&gt;</w:t>
            </w:r>
            <w:r>
              <w:rPr>
                <w:rFonts w:ascii="宋体" w:hAnsi="宋体" w:cs="宋体" w:eastAsia="宋体" w:hint="default"/>
                <w:spacing w:val="-27"/>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王海鹏先生</w:t>
            </w:r>
            <w:r>
              <w:rPr>
                <w:rFonts w:ascii="宋体" w:hAnsi="宋体" w:cs="宋体" w:eastAsia="宋体" w:hint="default"/>
                <w:sz w:val="18"/>
                <w:szCs w:val="18"/>
              </w:rPr>
              <w:t> 为积极维护 广大投资者 利益，承诺如 公司因本次 新天地申请 的股权转让 合同纠纷仲 裁案仲裁结 果而需要支 付相关款项 及仲裁相关 费用，其本人 将全部承担。</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left"/>
              <w:rPr>
                <w:rFonts w:ascii="宋体" w:hAnsi="宋体" w:cs="宋体" w:eastAsia="宋体" w:hint="default"/>
                <w:sz w:val="18"/>
                <w:szCs w:val="18"/>
              </w:rPr>
            </w:pPr>
            <w:r>
              <w:rPr>
                <w:rFonts w:ascii="宋体" w:hAnsi="宋体" w:cs="宋体" w:eastAsia="宋体" w:hint="default"/>
                <w:sz w:val="18"/>
                <w:szCs w:val="18"/>
              </w:rPr>
              <w:t>承诺在增持 完成后即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pacing w:val="-3"/>
                <w:sz w:val="18"/>
                <w:szCs w:val="18"/>
              </w:rPr>
              <w:t>日起，</w:t>
            </w:r>
            <w:r>
              <w:rPr>
                <w:rFonts w:ascii="Times New Roman" w:hAnsi="Times New Roman" w:cs="Times New Roman" w:eastAsia="Times New Roman" w:hint="default"/>
                <w:spacing w:val="-3"/>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 月内不减持 所持有的公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6731"/>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12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w:t>
      </w:r>
    </w:p>
    <w:p>
      <w:pPr>
        <w:pStyle w:val="BodyText"/>
        <w:spacing w:line="230" w:lineRule="exact"/>
        <w:ind w:right="0"/>
        <w:jc w:val="both"/>
      </w:pPr>
      <w:r>
        <w:rPr/>
        <w:t>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日起施行。准则要求与企业日常活动相关的政府补助应当按照经济业务实质，计入其他收益或冲减相关成本</w:t>
      </w:r>
    </w:p>
    <w:p>
      <w:pPr>
        <w:pStyle w:val="BodyText"/>
        <w:spacing w:line="300" w:lineRule="auto" w:before="63"/>
        <w:ind w:right="148"/>
        <w:jc w:val="both"/>
      </w:pPr>
      <w:r>
        <w:rPr/>
        <w:t>费用；与企业日常活动无关的政府补助，应当计入营业外收支；企业应当在</w:t>
      </w:r>
      <w:r>
        <w:rPr>
          <w:rFonts w:ascii="Times New Roman" w:hAnsi="Times New Roman" w:cs="Times New Roman" w:eastAsia="Times New Roman" w:hint="default"/>
        </w:rPr>
        <w:t>“</w:t>
      </w:r>
      <w:r>
        <w:rPr/>
        <w:t>利润表</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项目之上单独列表</w:t>
      </w:r>
      <w:r>
        <w:rPr>
          <w:rFonts w:ascii="Times New Roman" w:hAnsi="Times New Roman" w:cs="Times New Roman" w:eastAsia="Times New Roman" w:hint="default"/>
        </w:rPr>
        <w:t>“</w:t>
      </w:r>
      <w:r>
        <w:rPr/>
        <w:t>其</w:t>
      </w:r>
      <w:r>
        <w:rPr>
          <w:spacing w:val="-36"/>
        </w:rPr>
        <w:t> </w:t>
      </w:r>
      <w:r>
        <w:rPr/>
        <w:t>他收益</w:t>
      </w:r>
      <w:r>
        <w:rPr>
          <w:rFonts w:ascii="Times New Roman" w:hAnsi="Times New Roman" w:cs="Times New Roman" w:eastAsia="Times New Roman" w:hint="default"/>
        </w:rPr>
        <w:t>”</w:t>
      </w:r>
      <w:r>
        <w:rPr/>
        <w:t>项目，反映计入其他收益的政府补助。由于上述会计准则的修订，公司需对原会计政策进行相应变更，从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日起执行上述企业会计准则，并采用未来适用法处理。</w:t>
      </w:r>
    </w:p>
    <w:p>
      <w:pPr>
        <w:pStyle w:val="BodyText"/>
        <w:spacing w:line="300" w:lineRule="auto" w:before="53"/>
        <w:ind w:right="148" w:firstLine="360"/>
        <w:jc w:val="both"/>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起施行，对于施行日存在的持有待售的非流动资产、处置组和终止经营，要求采用未来适用法处理。</w:t>
      </w:r>
    </w:p>
    <w:p>
      <w:pPr>
        <w:pStyle w:val="BodyText"/>
        <w:spacing w:line="300" w:lineRule="auto" w:before="72"/>
        <w:ind w:right="151" w:firstLine="360"/>
        <w:jc w:val="both"/>
      </w:pPr>
      <w:r>
        <w:rPr/>
        <w:t>财政部于</w:t>
      </w:r>
      <w:r>
        <w:rPr>
          <w:rFonts w:ascii="Times New Roman" w:hAnsi="Times New Roman" w:cs="Times New Roman" w:eastAsia="Times New Roman" w:hint="default"/>
        </w:rPr>
        <w:t>2017 </w:t>
      </w:r>
      <w:r>
        <w:rPr/>
        <w:t>年度发布了《财政部关于修订印发一般企业财务报表格式的通知》（财会【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号），对一般企业 </w:t>
      </w:r>
      <w:r>
        <w:rPr>
          <w:spacing w:val="-1"/>
        </w:rPr>
        <w:t>财务报表格式进行了修订。公司将部分原列报于</w:t>
      </w:r>
      <w:r>
        <w:rPr>
          <w:rFonts w:ascii="Times New Roman" w:hAnsi="Times New Roman" w:cs="Times New Roman" w:eastAsia="Times New Roman" w:hint="default"/>
          <w:spacing w:val="-1"/>
        </w:rPr>
        <w:t>“</w:t>
      </w:r>
      <w:r>
        <w:rPr>
          <w:spacing w:val="-1"/>
        </w:rPr>
        <w:t>营业外收入</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营业外支出</w:t>
      </w:r>
      <w:r>
        <w:rPr>
          <w:rFonts w:ascii="Times New Roman" w:hAnsi="Times New Roman" w:cs="Times New Roman" w:eastAsia="Times New Roman" w:hint="default"/>
          <w:spacing w:val="-1"/>
        </w:rPr>
        <w:t>”</w:t>
      </w:r>
      <w:r>
        <w:rPr>
          <w:spacing w:val="-1"/>
        </w:rPr>
        <w:t>的处置非流动资产的利得和损失变更为列报于</w:t>
      </w:r>
      <w:r>
        <w:rPr>
          <w:spacing w:val="-76"/>
        </w:rPr>
        <w:t> </w:t>
      </w:r>
      <w:r>
        <w:rPr>
          <w:spacing w:val="-76"/>
        </w:rPr>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。按照《企业会计准则第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财务报表列报》等的相关规定，此项会计政策变更要求采用追溯调整比较期</w:t>
      </w:r>
      <w:r>
        <w:rPr>
          <w:spacing w:val="-44"/>
        </w:rPr>
        <w:t> </w:t>
      </w:r>
      <w:r>
        <w:rPr>
          <w:spacing w:val="-44"/>
        </w:rPr>
      </w:r>
      <w:r>
        <w:rPr/>
        <w:t>财务报表列报，对</w:t>
      </w:r>
      <w:r>
        <w:rPr>
          <w:rFonts w:ascii="Times New Roman" w:hAnsi="Times New Roman" w:cs="Times New Roman" w:eastAsia="Times New Roman" w:hint="default"/>
        </w:rPr>
        <w:t>2016</w:t>
      </w:r>
      <w:r>
        <w:rPr/>
        <w:t>年的报表项目影响如下：</w:t>
      </w:r>
    </w:p>
    <w:tbl>
      <w:tblPr>
        <w:tblW w:w="0" w:type="auto"/>
        <w:jc w:val="left"/>
        <w:tblInd w:w="145" w:type="dxa"/>
        <w:tblLayout w:type="fixed"/>
        <w:tblCellMar>
          <w:top w:w="0" w:type="dxa"/>
          <w:left w:w="0" w:type="dxa"/>
          <w:bottom w:w="0" w:type="dxa"/>
          <w:right w:w="0" w:type="dxa"/>
        </w:tblCellMar>
        <w:tblLook w:val="01E0"/>
      </w:tblPr>
      <w:tblGrid>
        <w:gridCol w:w="4820"/>
        <w:gridCol w:w="1844"/>
        <w:gridCol w:w="2984"/>
      </w:tblGrid>
      <w:tr>
        <w:trPr>
          <w:trHeight w:val="346"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32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8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）在利润表中分别列示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持续经营净利润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终止经营净利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年度列示持续经营净利润本年金 额</w:t>
            </w:r>
            <w:r>
              <w:rPr>
                <w:rFonts w:ascii="Times New Roman" w:hAnsi="Times New Roman" w:cs="Times New Roman" w:eastAsia="Times New Roman" w:hint="default"/>
                <w:sz w:val="18"/>
                <w:szCs w:val="18"/>
              </w:rPr>
              <w:t>215,716,492.68</w:t>
            </w:r>
            <w:r>
              <w:rPr>
                <w:rFonts w:ascii="宋体" w:hAnsi="宋体" w:cs="宋体" w:eastAsia="宋体" w:hint="default"/>
                <w:sz w:val="18"/>
                <w:szCs w:val="18"/>
              </w:rPr>
              <w:t>元；列示终止经营净 利润本年金额</w:t>
            </w:r>
            <w:r>
              <w:rPr>
                <w:rFonts w:ascii="Times New Roman" w:hAnsi="Times New Roman" w:cs="Times New Roman" w:eastAsia="Times New Roman" w:hint="default"/>
                <w:sz w:val="18"/>
                <w:szCs w:val="18"/>
              </w:rPr>
              <w:t>2,665,978.50</w:t>
            </w:r>
            <w:r>
              <w:rPr>
                <w:rFonts w:ascii="宋体" w:hAnsi="宋体" w:cs="宋体" w:eastAsia="宋体" w:hint="default"/>
                <w:sz w:val="18"/>
                <w:szCs w:val="18"/>
              </w:rPr>
              <w:t>元。</w:t>
            </w:r>
          </w:p>
          <w:p>
            <w:pPr>
              <w:pStyle w:val="TableParagraph"/>
              <w:spacing w:line="300" w:lineRule="auto" w:before="53"/>
              <w:ind w:left="4" w:right="-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年度列示持续经营净利润本年金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348,644,087.43</w:t>
            </w:r>
            <w:r>
              <w:rPr>
                <w:rFonts w:ascii="宋体" w:hAnsi="宋体" w:cs="宋体" w:eastAsia="宋体" w:hint="default"/>
                <w:sz w:val="18"/>
                <w:szCs w:val="18"/>
              </w:rPr>
              <w:t>元；列示终止经营净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利润本年金额</w:t>
            </w:r>
            <w:r>
              <w:rPr>
                <w:rFonts w:ascii="Times New Roman" w:hAnsi="Times New Roman" w:cs="Times New Roman" w:eastAsia="Times New Roman" w:hint="default"/>
                <w:sz w:val="18"/>
                <w:szCs w:val="18"/>
              </w:rPr>
              <w:t>-3,823,944.17</w:t>
            </w:r>
            <w:r>
              <w:rPr>
                <w:rFonts w:ascii="宋体" w:hAnsi="宋体" w:cs="宋体" w:eastAsia="宋体" w:hint="default"/>
                <w:sz w:val="18"/>
                <w:szCs w:val="18"/>
              </w:rPr>
              <w:t>元。</w:t>
            </w:r>
          </w:p>
        </w:tc>
      </w:tr>
      <w:tr>
        <w:trPr>
          <w:trHeight w:val="972"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项目，将部分原列示为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w w:val="99"/>
                <w:sz w:val="18"/>
                <w:szCs w:val="18"/>
              </w:rPr>
              <w:t>营业外收入</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9"/>
                <w:w w:val="99"/>
                <w:sz w:val="18"/>
                <w:szCs w:val="18"/>
              </w:rPr>
              <w:t> </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营业外支出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的资产处置损益重分类至</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资产处</w:t>
            </w:r>
            <w:r>
              <w:rPr>
                <w:rFonts w:ascii="宋体" w:hAnsi="宋体" w:cs="宋体" w:eastAsia="宋体" w:hint="default"/>
                <w:spacing w:val="-86"/>
                <w:w w:val="99"/>
                <w:sz w:val="18"/>
                <w:szCs w:val="18"/>
              </w:rPr>
              <w:t> </w:t>
            </w:r>
            <w:r>
              <w:rPr>
                <w:rFonts w:ascii="宋体" w:hAnsi="宋体" w:cs="宋体" w:eastAsia="宋体" w:hint="default"/>
                <w:sz w:val="18"/>
                <w:szCs w:val="18"/>
              </w:rPr>
              <w:t>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4"/>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"61,147.64 </w:t>
            </w:r>
            <w:r>
              <w:rPr>
                <w:rFonts w:ascii="宋体" w:hAnsi="宋体" w:cs="宋体" w:eastAsia="宋体" w:hint="default"/>
                <w:sz w:val="18"/>
                <w:szCs w:val="18"/>
              </w:rPr>
              <w:t>元，调减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 </w:t>
            </w:r>
            <w:r>
              <w:rPr>
                <w:rFonts w:ascii="Times New Roman" w:hAnsi="Times New Roman" w:cs="Times New Roman" w:eastAsia="Times New Roman" w:hint="default"/>
                <w:sz w:val="18"/>
                <w:szCs w:val="18"/>
              </w:rPr>
              <w:t>"230,612.77</w:t>
            </w:r>
            <w:r>
              <w:rPr>
                <w:rFonts w:ascii="宋体" w:hAnsi="宋体" w:cs="宋体" w:eastAsia="宋体" w:hint="default"/>
                <w:sz w:val="18"/>
                <w:szCs w:val="18"/>
              </w:rPr>
              <w:t>元，调减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820"/>
        <w:gridCol w:w="1844"/>
        <w:gridCol w:w="2984"/>
      </w:tblGrid>
      <w:tr>
        <w:trPr>
          <w:trHeight w:val="1908" w:hRule="exact"/>
        </w:trPr>
        <w:tc>
          <w:tcPr>
            <w:tcW w:w="4820"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4"/>
              <w:jc w:val="left"/>
              <w:rPr>
                <w:rFonts w:ascii="宋体" w:hAnsi="宋体" w:cs="宋体" w:eastAsia="宋体" w:hint="default"/>
                <w:sz w:val="18"/>
                <w:szCs w:val="18"/>
              </w:rPr>
            </w:pPr>
            <w:r>
              <w:rPr>
                <w:rFonts w:ascii="宋体" w:hAnsi="宋体" w:cs="宋体" w:eastAsia="宋体" w:hint="default"/>
                <w:sz w:val="18"/>
                <w:szCs w:val="18"/>
              </w:rPr>
              <w:t>置收益</w:t>
            </w:r>
            <w:r>
              <w:rPr>
                <w:rFonts w:ascii="Times New Roman" w:hAnsi="Times New Roman" w:cs="Times New Roman" w:eastAsia="Times New Roman" w:hint="default"/>
                <w:sz w:val="18"/>
                <w:szCs w:val="18"/>
              </w:rPr>
              <w:t>"169,465.13</w:t>
            </w:r>
            <w:r>
              <w:rPr>
                <w:rFonts w:ascii="宋体" w:hAnsi="宋体" w:cs="宋体" w:eastAsia="宋体" w:hint="default"/>
                <w:sz w:val="18"/>
                <w:szCs w:val="18"/>
              </w:rPr>
              <w:t>元。 调减</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"211,630.03 </w:t>
            </w:r>
            <w:r>
              <w:rPr>
                <w:rFonts w:ascii="宋体" w:hAnsi="宋体" w:cs="宋体" w:eastAsia="宋体" w:hint="default"/>
                <w:sz w:val="18"/>
                <w:szCs w:val="18"/>
              </w:rPr>
              <w:t>元，调减</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 </w:t>
            </w:r>
            <w:r>
              <w:rPr>
                <w:rFonts w:ascii="Times New Roman" w:hAnsi="Times New Roman" w:cs="Times New Roman" w:eastAsia="Times New Roman" w:hint="default"/>
                <w:sz w:val="18"/>
                <w:szCs w:val="18"/>
              </w:rPr>
              <w:t>"1,242,138.46</w:t>
            </w:r>
            <w:r>
              <w:rPr>
                <w:rFonts w:ascii="宋体" w:hAnsi="宋体" w:cs="宋体" w:eastAsia="宋体" w:hint="default"/>
                <w:sz w:val="18"/>
                <w:szCs w:val="18"/>
              </w:rPr>
              <w:t>元，调减</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资产 处置收益</w:t>
            </w:r>
            <w:r>
              <w:rPr>
                <w:rFonts w:ascii="Times New Roman" w:hAnsi="Times New Roman" w:cs="Times New Roman" w:eastAsia="Times New Roman" w:hint="default"/>
                <w:sz w:val="18"/>
                <w:szCs w:val="18"/>
              </w:rPr>
              <w:t>"1,030,508.43</w:t>
            </w:r>
            <w:r>
              <w:rPr>
                <w:rFonts w:ascii="宋体" w:hAnsi="宋体" w:cs="宋体" w:eastAsia="宋体" w:hint="default"/>
                <w:sz w:val="18"/>
                <w:szCs w:val="18"/>
              </w:rPr>
              <w:t>元。</w:t>
            </w:r>
          </w:p>
        </w:tc>
      </w:tr>
      <w:tr>
        <w:trPr>
          <w:trHeight w:val="970"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项目，将相应政府补助金额</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6"/>
                <w:sz w:val="18"/>
                <w:szCs w:val="18"/>
              </w:rPr>
              <w:t>从利润表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营业外收入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项目调整为利润表</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其他收益</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项目列</w:t>
            </w:r>
            <w:r>
              <w:rPr>
                <w:rFonts w:ascii="宋体" w:hAnsi="宋体" w:cs="宋体" w:eastAsia="宋体" w:hint="default"/>
                <w:spacing w:val="-71"/>
                <w:sz w:val="18"/>
                <w:szCs w:val="18"/>
              </w:rPr>
              <w:t> </w:t>
            </w:r>
            <w:r>
              <w:rPr>
                <w:rFonts w:ascii="宋体" w:hAnsi="宋体" w:cs="宋体" w:eastAsia="宋体" w:hint="default"/>
                <w:sz w:val="18"/>
                <w:szCs w:val="18"/>
              </w:rPr>
              <w:t>报；</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298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69"/>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年度发生额 </w:t>
            </w:r>
            <w:r>
              <w:rPr>
                <w:rFonts w:ascii="Times New Roman" w:hAnsi="Times New Roman" w:cs="Times New Roman" w:eastAsia="Times New Roman" w:hint="default"/>
                <w:sz w:val="18"/>
                <w:szCs w:val="18"/>
              </w:rPr>
              <w:t>6,453,118.98</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年度发生额</w:t>
            </w:r>
            <w:r>
              <w:rPr>
                <w:rFonts w:ascii="Times New Roman" w:hAnsi="Times New Roman" w:cs="Times New Roman" w:eastAsia="Times New Roman" w:hint="default"/>
                <w:sz w:val="18"/>
                <w:szCs w:val="18"/>
              </w:rPr>
              <w:t>6,453,118.98</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94"/>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28"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在上年度财务报告编制的基础上，公司本年度将佛山美盈森、中大绿谷、湖南美盈森、苏州智谷、江苏美彩、越南美盈森、 美国美盈森、安徽美盈森纳入合并报表范围。</w:t>
      </w:r>
    </w:p>
    <w:p>
      <w:pPr>
        <w:pStyle w:val="BodyText"/>
        <w:spacing w:line="300" w:lineRule="auto" w:before="10"/>
        <w:ind w:right="189" w:firstLine="360"/>
        <w:jc w:val="both"/>
      </w:pPr>
      <w:r>
        <w:rPr>
          <w:spacing w:val="-2"/>
        </w:rPr>
        <w:t>（</w:t>
      </w:r>
      <w:r>
        <w:rPr>
          <w:rFonts w:ascii="Times New Roman" w:hAnsi="Times New Roman" w:cs="Times New Roman" w:eastAsia="Times New Roman" w:hint="default"/>
          <w:spacing w:val="-2"/>
        </w:rPr>
        <w:t>1</w:t>
      </w:r>
      <w:r>
        <w:rPr>
          <w:spacing w:val="-2"/>
        </w:rPr>
        <w:t>）本期公司设立佛山市美盈森绿谷科技有限公司，于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日完成办理工商设立登记手续，并取得统一社会信</w:t>
      </w:r>
      <w:r>
        <w:rPr/>
        <w:t> 用代码为</w:t>
      </w:r>
      <w:r>
        <w:rPr>
          <w:rFonts w:ascii="Times New Roman" w:hAnsi="Times New Roman" w:cs="Times New Roman" w:eastAsia="Times New Roman" w:hint="default"/>
        </w:rPr>
        <w:t>91440608MA4W8MXW9Q</w:t>
      </w:r>
      <w:r>
        <w:rPr/>
        <w:t>的企业法人营业执照；按照相应的会计报表编制规则，公司本期将佛山美盈森纳入合并 报表范围。</w:t>
      </w:r>
    </w:p>
    <w:p>
      <w:pPr>
        <w:pStyle w:val="BodyText"/>
        <w:spacing w:line="300" w:lineRule="auto" w:before="31"/>
        <w:ind w:right="191" w:firstLine="360"/>
        <w:jc w:val="both"/>
      </w:pPr>
      <w:r>
        <w:rPr>
          <w:spacing w:val="-2"/>
        </w:rPr>
        <w:t>（</w:t>
      </w:r>
      <w:r>
        <w:rPr>
          <w:rFonts w:ascii="Times New Roman" w:hAnsi="Times New Roman" w:cs="Times New Roman" w:eastAsia="Times New Roman" w:hint="default"/>
          <w:spacing w:val="-2"/>
        </w:rPr>
        <w:t>2</w:t>
      </w:r>
      <w:r>
        <w:rPr>
          <w:spacing w:val="-2"/>
        </w:rPr>
        <w:t>）本期由公司合资设立中大绿谷实业股份有限公司，于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日完成办理工商设立登记手续，并取得统一社会</w:t>
      </w:r>
      <w:r>
        <w:rPr/>
        <w:t> </w:t>
      </w:r>
      <w:r>
        <w:rPr>
          <w:spacing w:val="-1"/>
        </w:rPr>
        <w:t>信用代码为</w:t>
      </w:r>
      <w:r>
        <w:rPr>
          <w:rFonts w:ascii="Times New Roman" w:hAnsi="Times New Roman" w:cs="Times New Roman" w:eastAsia="Times New Roman" w:hint="default"/>
          <w:spacing w:val="-1"/>
        </w:rPr>
        <w:t>91440300MA5DT3RH50</w:t>
      </w:r>
      <w:r>
        <w:rPr>
          <w:spacing w:val="-1"/>
        </w:rPr>
        <w:t>的企业法人营业执照，该公司注册资本</w:t>
      </w:r>
      <w:r>
        <w:rPr>
          <w:rFonts w:ascii="Times New Roman" w:hAnsi="Times New Roman" w:cs="Times New Roman" w:eastAsia="Times New Roman" w:hint="default"/>
          <w:spacing w:val="-1"/>
        </w:rPr>
        <w:t>50000</w:t>
      </w:r>
      <w:r>
        <w:rPr>
          <w:spacing w:val="-1"/>
        </w:rPr>
        <w:t>万元，公司持股</w:t>
      </w:r>
      <w:r>
        <w:rPr>
          <w:rFonts w:ascii="Times New Roman" w:hAnsi="Times New Roman" w:cs="Times New Roman" w:eastAsia="Times New Roman" w:hint="default"/>
          <w:spacing w:val="-1"/>
        </w:rPr>
        <w:t>51%</w:t>
      </w:r>
      <w:r>
        <w:rPr>
          <w:spacing w:val="-1"/>
        </w:rPr>
        <w:t>；按照相应的会计报表</w:t>
      </w:r>
      <w:r>
        <w:rPr>
          <w:spacing w:val="-60"/>
        </w:rPr>
        <w:t> </w:t>
      </w:r>
      <w:r>
        <w:rPr>
          <w:spacing w:val="-60"/>
        </w:rPr>
      </w:r>
      <w:r>
        <w:rPr/>
        <w:t>编制规则，公司本期将中大绿谷纳入合并报表范围。</w:t>
      </w:r>
    </w:p>
    <w:p>
      <w:pPr>
        <w:pStyle w:val="BodyText"/>
        <w:spacing w:line="300" w:lineRule="auto" w:before="31"/>
        <w:ind w:right="191" w:firstLine="360"/>
        <w:jc w:val="both"/>
      </w:pPr>
      <w:r>
        <w:rPr/>
        <w:t>（</w:t>
      </w:r>
      <w:r>
        <w:rPr>
          <w:rFonts w:ascii="Times New Roman" w:hAnsi="Times New Roman" w:cs="Times New Roman" w:eastAsia="Times New Roman" w:hint="default"/>
        </w:rPr>
        <w:t>3</w:t>
      </w:r>
      <w:r>
        <w:rPr/>
        <w:t>）本期由公司合资设立湖南美盈森实业有限公司，于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日完成办理工商设立登记手续，并取得统一社会信 </w:t>
      </w:r>
      <w:r>
        <w:rPr>
          <w:spacing w:val="-2"/>
        </w:rPr>
        <w:t>用代码为</w:t>
      </w:r>
      <w:r>
        <w:rPr>
          <w:rFonts w:ascii="Times New Roman" w:hAnsi="Times New Roman" w:cs="Times New Roman" w:eastAsia="Times New Roman" w:hint="default"/>
          <w:spacing w:val="-2"/>
        </w:rPr>
        <w:t>91430600MA4LLUMJ5G</w:t>
      </w:r>
      <w:r>
        <w:rPr>
          <w:spacing w:val="-2"/>
        </w:rPr>
        <w:t>的企业法人营业执照，该公司注册资本</w:t>
      </w:r>
      <w:r>
        <w:rPr>
          <w:rFonts w:ascii="Times New Roman" w:hAnsi="Times New Roman" w:cs="Times New Roman" w:eastAsia="Times New Roman" w:hint="default"/>
          <w:spacing w:val="-2"/>
        </w:rPr>
        <w:t>10000</w:t>
      </w:r>
      <w:r>
        <w:rPr>
          <w:spacing w:val="-2"/>
        </w:rPr>
        <w:t>万元，公司持股</w:t>
      </w:r>
      <w:r>
        <w:rPr>
          <w:rFonts w:ascii="Times New Roman" w:hAnsi="Times New Roman" w:cs="Times New Roman" w:eastAsia="Times New Roman" w:hint="default"/>
          <w:spacing w:val="-2"/>
        </w:rPr>
        <w:t>80%</w:t>
      </w:r>
      <w:r>
        <w:rPr>
          <w:spacing w:val="-2"/>
        </w:rPr>
        <w:t>；按照相应的会计报表编</w:t>
      </w:r>
      <w:r>
        <w:rPr>
          <w:spacing w:val="-32"/>
        </w:rPr>
        <w:t> </w:t>
      </w:r>
      <w:r>
        <w:rPr>
          <w:spacing w:val="-32"/>
        </w:rPr>
      </w:r>
      <w:r>
        <w:rPr/>
        <w:t>制规则，公司本期将湖南美盈森纳入合并报表范围。</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）本期由公司全资子公司苏州美盈森与自然人孙娟芬分别以</w:t>
      </w:r>
      <w:r>
        <w:rPr>
          <w:rFonts w:ascii="Times New Roman" w:hAnsi="Times New Roman" w:cs="Times New Roman" w:eastAsia="Times New Roman" w:hint="default"/>
        </w:rPr>
        <w:t>68%</w:t>
      </w:r>
      <w:r>
        <w:rPr/>
        <w:t>、</w:t>
      </w:r>
      <w:r>
        <w:rPr>
          <w:rFonts w:ascii="Times New Roman" w:hAnsi="Times New Roman" w:cs="Times New Roman" w:eastAsia="Times New Roman" w:hint="default"/>
        </w:rPr>
        <w:t>32%</w:t>
      </w:r>
      <w:r>
        <w:rPr/>
        <w:t>的比例共同投资设立了美盈森智谷（苏州） </w:t>
      </w:r>
      <w:r>
        <w:rPr>
          <w:spacing w:val="-2"/>
        </w:rPr>
        <w:t>包装技术有限公司，于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日完成办理工商设立登记手续，并取得统一社会信用代码为</w:t>
      </w:r>
      <w:r>
        <w:rPr>
          <w:rFonts w:ascii="Times New Roman" w:hAnsi="Times New Roman" w:cs="Times New Roman" w:eastAsia="Times New Roman" w:hint="default"/>
          <w:spacing w:val="-2"/>
        </w:rPr>
        <w:t>91320509MAINRGLD02</w:t>
      </w:r>
      <w:r>
        <w:rPr>
          <w:spacing w:val="-2"/>
        </w:rPr>
        <w:t>的企</w:t>
      </w:r>
      <w:r>
        <w:rPr>
          <w:spacing w:val="-32"/>
        </w:rPr>
        <w:t> </w:t>
      </w:r>
      <w:r>
        <w:rPr>
          <w:spacing w:val="-2"/>
        </w:rPr>
        <w:t>业法人营业执照，该公司注册资本</w:t>
      </w:r>
      <w:r>
        <w:rPr>
          <w:rFonts w:ascii="Times New Roman" w:hAnsi="Times New Roman" w:cs="Times New Roman" w:eastAsia="Times New Roman" w:hint="default"/>
          <w:spacing w:val="-2"/>
        </w:rPr>
        <w:t>20000</w:t>
      </w:r>
      <w:r>
        <w:rPr>
          <w:spacing w:val="-2"/>
        </w:rPr>
        <w:t>万元人民币；全资子公司苏州美盈森与自然人何敏帆、仉露分别以</w:t>
      </w:r>
      <w:r>
        <w:rPr>
          <w:rFonts w:ascii="Times New Roman" w:hAnsi="Times New Roman" w:cs="Times New Roman" w:eastAsia="Times New Roman" w:hint="default"/>
          <w:spacing w:val="-2"/>
        </w:rPr>
        <w:t>70%</w:t>
      </w:r>
      <w:r>
        <w:rPr>
          <w:spacing w:val="-2"/>
        </w:rPr>
        <w:t>、</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的比例共同投资设立了江苏美彩供应链管理有限公司，于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日完成办理工商设立登记手续，并取得统一社会信用 代码为</w:t>
      </w:r>
      <w:r>
        <w:rPr>
          <w:rFonts w:ascii="Times New Roman" w:hAnsi="Times New Roman" w:cs="Times New Roman" w:eastAsia="Times New Roman" w:hint="default"/>
        </w:rPr>
        <w:t>91321300MA1P9NX38M</w:t>
      </w:r>
      <w:r>
        <w:rPr/>
        <w:t>的企业法人营业执照，该公司注册资本</w:t>
      </w:r>
      <w:r>
        <w:rPr>
          <w:rFonts w:ascii="Times New Roman" w:hAnsi="Times New Roman" w:cs="Times New Roman" w:eastAsia="Times New Roman" w:hint="default"/>
        </w:rPr>
        <w:t>1000</w:t>
      </w:r>
      <w:r>
        <w:rPr/>
        <w:t>万元人民币；按照相应的会计报表编制规则，公 司本期将苏州智谷、江苏美彩纳入合并报表范围。</w:t>
      </w:r>
    </w:p>
    <w:p>
      <w:pPr>
        <w:pStyle w:val="BodyText"/>
        <w:spacing w:line="300" w:lineRule="auto" w:before="31"/>
        <w:ind w:right="192" w:firstLine="360"/>
        <w:jc w:val="both"/>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 GROUP (VIETNAM) COMPANY</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，取得越南北宁省工业区</w:t>
      </w:r>
      <w:r>
        <w:rPr>
          <w:w w:val="99"/>
        </w:rPr>
        <w:t> </w:t>
      </w:r>
      <w:r>
        <w:rPr/>
        <w:t>管理委员会颁发的《投资证书》，于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日完成办理设立登记手续，并取得编号为</w:t>
      </w:r>
      <w:r>
        <w:rPr>
          <w:rFonts w:ascii="Times New Roman" w:hAnsi="Times New Roman" w:cs="Times New Roman" w:eastAsia="Times New Roman" w:hint="default"/>
        </w:rPr>
        <w:t>2300980762</w:t>
      </w:r>
      <w:r>
        <w:rPr/>
        <w:t>的企业注册证书，该</w:t>
      </w:r>
      <w:r>
        <w:rPr>
          <w:w w:val="99"/>
        </w:rPr>
        <w:t> </w:t>
      </w:r>
      <w:r>
        <w:rPr>
          <w:spacing w:val="-1"/>
        </w:rPr>
        <w:t>公司注册资本</w:t>
      </w:r>
      <w:r>
        <w:rPr>
          <w:rFonts w:ascii="Times New Roman" w:hAnsi="Times New Roman" w:cs="Times New Roman" w:eastAsia="Times New Roman" w:hint="default"/>
          <w:spacing w:val="-1"/>
        </w:rPr>
        <w:t>456.4</w:t>
      </w:r>
      <w:r>
        <w:rPr>
          <w:spacing w:val="-1"/>
        </w:rPr>
        <w:t>亿越南盾，香港美盈森持股</w:t>
      </w:r>
      <w:r>
        <w:rPr>
          <w:rFonts w:ascii="Times New Roman" w:hAnsi="Times New Roman" w:cs="Times New Roman" w:eastAsia="Times New Roman" w:hint="default"/>
          <w:spacing w:val="-1"/>
        </w:rPr>
        <w:t>100%</w:t>
      </w:r>
      <w:r>
        <w:rPr>
          <w:spacing w:val="-1"/>
        </w:rPr>
        <w:t>；按照相应的会计报表编制规则，公司本期将越南美盈森纳入合并报表</w:t>
      </w:r>
      <w:r>
        <w:rPr>
          <w:spacing w:val="-45"/>
        </w:rPr>
        <w:t> </w:t>
      </w:r>
      <w:r>
        <w:rPr>
          <w:spacing w:val="-45"/>
        </w:rPr>
      </w:r>
      <w:r>
        <w:rPr/>
        <w:t>范围。</w:t>
      </w:r>
    </w:p>
    <w:p>
      <w:pPr>
        <w:pStyle w:val="BodyText"/>
        <w:spacing w:line="300" w:lineRule="auto" w:before="31"/>
        <w:ind w:right="210" w:firstLine="360"/>
        <w:jc w:val="both"/>
      </w:pPr>
      <w:r>
        <w:rPr/>
        <w:t>（</w:t>
      </w:r>
      <w:r>
        <w:rPr>
          <w:rFonts w:ascii="Times New Roman" w:hAnsi="Times New Roman" w:cs="Times New Roman" w:eastAsia="Times New Roman" w:hint="default"/>
        </w:rPr>
        <w:t>6</w:t>
      </w:r>
      <w:r>
        <w:rPr/>
        <w:t>）公司设立的</w:t>
      </w:r>
      <w:r>
        <w:rPr>
          <w:rFonts w:ascii="Times New Roman" w:hAnsi="Times New Roman" w:cs="Times New Roman" w:eastAsia="Times New Roman" w:hint="default"/>
        </w:rPr>
        <w:t>MYS Global</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日取得深圳市发展和改革委员会出具的深发改函（</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1125</w:t>
      </w:r>
      <w:r>
        <w:rPr/>
        <w:t>号项目 备案通知书；按照相应的会计报表编制规则，公司本期将美国美盈森纳入合并报表范围。</w:t>
      </w:r>
    </w:p>
    <w:p>
      <w:pPr>
        <w:pStyle w:val="BodyText"/>
        <w:spacing w:line="300" w:lineRule="auto" w:before="31"/>
        <w:ind w:right="196"/>
        <w:jc w:val="left"/>
      </w:pPr>
      <w:r>
        <w:rPr/>
        <w:t>（</w:t>
      </w:r>
      <w:r>
        <w:rPr>
          <w:rFonts w:ascii="Times New Roman" w:hAnsi="Times New Roman" w:cs="Times New Roman" w:eastAsia="Times New Roman" w:hint="default"/>
        </w:rPr>
        <w:t>7</w:t>
      </w:r>
      <w:r>
        <w:rPr/>
        <w:t>）本期由公司合资设立安徽美盈森智谷科技有限公司，于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日完成办理工商设立登记手续，并取得统一社会信 用代码为</w:t>
      </w:r>
      <w:r>
        <w:rPr>
          <w:rFonts w:ascii="Times New Roman" w:hAnsi="Times New Roman" w:cs="Times New Roman" w:eastAsia="Times New Roman" w:hint="default"/>
        </w:rPr>
        <w:t>91341500MA2P0B7B8L(1-1)</w:t>
      </w:r>
      <w:r>
        <w:rPr/>
        <w:t>的企业法人营业执照，该公司注册资本</w:t>
      </w:r>
      <w:r>
        <w:rPr>
          <w:rFonts w:ascii="Times New Roman" w:hAnsi="Times New Roman" w:cs="Times New Roman" w:eastAsia="Times New Roman" w:hint="default"/>
        </w:rPr>
        <w:t>28000</w:t>
      </w:r>
      <w:r>
        <w:rPr/>
        <w:t>万元，公司持股</w:t>
      </w:r>
      <w:r>
        <w:rPr>
          <w:rFonts w:ascii="Times New Roman" w:hAnsi="Times New Roman" w:cs="Times New Roman" w:eastAsia="Times New Roman" w:hint="default"/>
        </w:rPr>
        <w:t>90%</w:t>
      </w:r>
      <w:r>
        <w:rPr/>
        <w:t>；按照相应的会计报</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表编制规则，公司本期将安徽美盈森纳入合并报表范围。</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年、胡宜鹏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0"/>
        <w:jc w:val="left"/>
      </w:pPr>
      <w:r>
        <w:rPr/>
        <w:t>当期是否改聘会计师事务所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9" w:right="77"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32" w:right="79"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70" w:right="107"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10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2" w:lineRule="auto"/>
              <w:ind w:left="24"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欧阳宣（公司收购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股权的金之彩 公司原股东，目前 其持有金之彩 </w:t>
            </w:r>
            <w:r>
              <w:rPr>
                <w:rFonts w:ascii="Times New Roman" w:hAnsi="Times New Roman" w:cs="Times New Roman" w:eastAsia="Times New Roman" w:hint="default"/>
                <w:sz w:val="18"/>
                <w:szCs w:val="18"/>
              </w:rPr>
              <w:t>20.57%</w:t>
            </w:r>
            <w:r>
              <w:rPr>
                <w:rFonts w:ascii="宋体" w:hAnsi="宋体" w:cs="宋体" w:eastAsia="宋体" w:hint="default"/>
                <w:sz w:val="18"/>
                <w:szCs w:val="18"/>
              </w:rPr>
              <w:t>股份）状告 公司及金之彩，向 宝安法院申请撤销 金之彩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日形成的董</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事会决议暨</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w:t>
            </w:r>
          </w:p>
          <w:p>
            <w:pPr>
              <w:pStyle w:val="TableParagraph"/>
              <w:spacing w:line="300" w:lineRule="auto" w:before="63"/>
              <w:ind w:left="24" w:right="17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日形 成的股东会决议</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撤销深圳金之彩</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日临时董事 </w:t>
            </w:r>
            <w:r>
              <w:rPr>
                <w:rFonts w:ascii="宋体" w:hAnsi="宋体" w:cs="宋体" w:eastAsia="宋体" w:hint="default"/>
                <w:spacing w:val="-4"/>
                <w:sz w:val="18"/>
                <w:szCs w:val="18"/>
              </w:rPr>
              <w:t>会决议、</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日股东 会决议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公司《关于收</w:t>
            </w:r>
            <w:r>
              <w:rPr>
                <w:rFonts w:ascii="宋体" w:hAnsi="宋体" w:cs="宋体" w:eastAsia="宋体" w:hint="default"/>
                <w:sz w:val="18"/>
                <w:szCs w:val="18"/>
              </w:rPr>
              <w:t> 到民事判决 </w:t>
            </w:r>
            <w:r>
              <w:rPr>
                <w:rFonts w:ascii="宋体" w:hAnsi="宋体" w:cs="宋体" w:eastAsia="宋体" w:hint="default"/>
                <w:spacing w:val="-12"/>
                <w:sz w:val="18"/>
                <w:szCs w:val="18"/>
              </w:rPr>
              <w:t>书的公告》于</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w:t>
            </w:r>
          </w:p>
          <w:p>
            <w:pPr>
              <w:pStyle w:val="TableParagraph"/>
              <w:spacing w:line="312" w:lineRule="auto"/>
              <w:ind w:left="23" w:right="23"/>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 </w:t>
            </w:r>
            <w:r>
              <w:rPr>
                <w:rFonts w:ascii="宋体" w:hAnsi="宋体" w:cs="宋体" w:eastAsia="宋体" w:hint="default"/>
                <w:spacing w:val="-12"/>
                <w:sz w:val="18"/>
                <w:szCs w:val="18"/>
              </w:rPr>
              <w:t>载于《证券时</w:t>
            </w:r>
            <w:r>
              <w:rPr>
                <w:rFonts w:ascii="宋体" w:hAnsi="宋体" w:cs="宋体" w:eastAsia="宋体" w:hint="default"/>
                <w:sz w:val="18"/>
                <w:szCs w:val="18"/>
              </w:rPr>
              <w:t> </w:t>
            </w:r>
            <w:r>
              <w:rPr>
                <w:rFonts w:ascii="宋体" w:hAnsi="宋体" w:cs="宋体" w:eastAsia="宋体" w:hint="default"/>
                <w:spacing w:val="-12"/>
                <w:sz w:val="18"/>
                <w:szCs w:val="18"/>
              </w:rPr>
              <w:t>报》及巨潮资</w:t>
            </w:r>
            <w:r>
              <w:rPr>
                <w:rFonts w:ascii="宋体" w:hAnsi="宋体" w:cs="宋体" w:eastAsia="宋体" w:hint="default"/>
                <w:sz w:val="18"/>
                <w:szCs w:val="18"/>
              </w:rPr>
              <w:t> 讯网</w:t>
            </w:r>
          </w:p>
          <w:p>
            <w:pPr>
              <w:pStyle w:val="TableParagraph"/>
              <w:spacing w:line="240" w:lineRule="auto" w:before="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07" w:lineRule="auto" w:before="105"/>
              <w:ind w:left="23" w:right="19"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 c n/</w:t>
            </w:r>
            <w:r>
              <w:rPr>
                <w:rFonts w:ascii="宋体" w:hAnsi="宋体" w:cs="宋体" w:eastAsia="宋体" w:hint="default"/>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7227"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公司《关于涉</w:t>
            </w:r>
            <w:r>
              <w:rPr>
                <w:rFonts w:ascii="宋体" w:hAnsi="宋体" w:cs="宋体" w:eastAsia="宋体" w:hint="default"/>
                <w:sz w:val="18"/>
                <w:szCs w:val="18"/>
              </w:rPr>
              <w:t> 及诉讼事项 的公告》于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pacing w:val="-12"/>
                <w:sz w:val="18"/>
                <w:szCs w:val="18"/>
              </w:rPr>
              <w:t>日刊载于《证</w:t>
            </w:r>
            <w:r>
              <w:rPr>
                <w:rFonts w:ascii="宋体" w:hAnsi="宋体" w:cs="宋体" w:eastAsia="宋体" w:hint="default"/>
                <w:sz w:val="18"/>
                <w:szCs w:val="18"/>
              </w:rPr>
              <w:t> </w:t>
            </w:r>
            <w:r>
              <w:rPr>
                <w:rFonts w:ascii="宋体" w:hAnsi="宋体" w:cs="宋体" w:eastAsia="宋体" w:hint="default"/>
                <w:spacing w:val="-12"/>
                <w:sz w:val="18"/>
                <w:szCs w:val="18"/>
              </w:rPr>
              <w:t>券时报》及巨</w:t>
            </w:r>
            <w:r>
              <w:rPr>
                <w:rFonts w:ascii="宋体" w:hAnsi="宋体" w:cs="宋体" w:eastAsia="宋体" w:hint="default"/>
                <w:sz w:val="18"/>
                <w:szCs w:val="18"/>
              </w:rPr>
              <w:t> 潮资讯网</w:t>
            </w:r>
          </w:p>
          <w:p>
            <w:pPr>
              <w:pStyle w:val="TableParagraph"/>
              <w:spacing w:line="300" w:lineRule="auto" w:before="19"/>
              <w:ind w:left="23" w:right="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9" w:lineRule="auto" w:before="63"/>
              <w:ind w:left="23" w:right="23"/>
              <w:jc w:val="left"/>
              <w:rPr>
                <w:rFonts w:ascii="宋体" w:hAnsi="宋体" w:cs="宋体" w:eastAsia="宋体" w:hint="default"/>
                <w:sz w:val="18"/>
                <w:szCs w:val="18"/>
              </w:rPr>
            </w:pPr>
            <w:r>
              <w:rPr>
                <w:rFonts w:ascii="宋体" w:hAnsi="宋体" w:cs="宋体" w:eastAsia="宋体" w:hint="default"/>
                <w:spacing w:val="-12"/>
                <w:sz w:val="18"/>
                <w:szCs w:val="18"/>
              </w:rPr>
              <w:t>公司《关于收</w:t>
            </w:r>
            <w:r>
              <w:rPr>
                <w:rFonts w:ascii="宋体" w:hAnsi="宋体" w:cs="宋体" w:eastAsia="宋体" w:hint="default"/>
                <w:sz w:val="18"/>
                <w:szCs w:val="18"/>
              </w:rPr>
              <w:t> 到民事判决 </w:t>
            </w:r>
            <w:r>
              <w:rPr>
                <w:rFonts w:ascii="宋体" w:hAnsi="宋体" w:cs="宋体" w:eastAsia="宋体" w:hint="default"/>
                <w:spacing w:val="-12"/>
                <w:sz w:val="18"/>
                <w:szCs w:val="18"/>
              </w:rPr>
              <w:t>书的公告》于</w:t>
            </w:r>
            <w:r>
              <w:rPr>
                <w:rFonts w:ascii="宋体" w:hAnsi="宋体" w:cs="宋体" w:eastAsia="宋体" w:hint="default"/>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p>
            <w:pPr>
              <w:pStyle w:val="TableParagraph"/>
              <w:spacing w:line="316" w:lineRule="auto" w:before="63"/>
              <w:ind w:left="23" w:right="-49"/>
              <w:jc w:val="left"/>
              <w:rPr>
                <w:rFonts w:ascii="宋体" w:hAnsi="宋体" w:cs="宋体" w:eastAsia="宋体" w:hint="default"/>
                <w:sz w:val="18"/>
                <w:szCs w:val="18"/>
              </w:rPr>
            </w:pPr>
            <w:r>
              <w:rPr>
                <w:rFonts w:ascii="宋体" w:hAnsi="宋体" w:cs="宋体" w:eastAsia="宋体" w:hint="default"/>
                <w:sz w:val="18"/>
                <w:szCs w:val="18"/>
              </w:rPr>
              <w:t>《证券时报》 及巨潮资讯</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300" w:lineRule="auto" w:before="76"/>
              <w:ind w:left="23" w:right="6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2017-048</w:t>
            </w:r>
            <w:r>
              <w:rPr>
                <w:rFonts w:ascii="宋体" w:hAnsi="宋体" w:cs="宋体" w:eastAsia="宋体" w:hint="default"/>
                <w:sz w:val="18"/>
                <w:szCs w:val="18"/>
              </w:rPr>
              <w:t>）</w:t>
            </w:r>
          </w:p>
        </w:tc>
      </w:tr>
      <w:tr>
        <w:trPr>
          <w:trHeight w:val="66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84"/>
              <w:jc w:val="both"/>
              <w:rPr>
                <w:rFonts w:ascii="宋体" w:hAnsi="宋体" w:cs="宋体" w:eastAsia="宋体" w:hint="default"/>
                <w:sz w:val="18"/>
                <w:szCs w:val="18"/>
              </w:rPr>
            </w:pPr>
            <w:r>
              <w:rPr>
                <w:rFonts w:ascii="宋体" w:hAnsi="宋体" w:cs="宋体" w:eastAsia="宋体" w:hint="default"/>
                <w:sz w:val="18"/>
                <w:szCs w:val="18"/>
              </w:rPr>
              <w:t>申请人：公司，被 申请人：金之彩、 西藏新天地、欧阳 宣。仲裁事由：金 之彩股权转让合同 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3,766.12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公司《控股股</w:t>
            </w:r>
            <w:r>
              <w:rPr>
                <w:rFonts w:ascii="宋体" w:hAnsi="宋体" w:cs="宋体" w:eastAsia="宋体" w:hint="default"/>
                <w:sz w:val="18"/>
                <w:szCs w:val="18"/>
              </w:rPr>
              <w:t> 东关于公司 仲裁相关事 项承诺的公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p>
            <w:pPr>
              <w:pStyle w:val="TableParagraph"/>
              <w:spacing w:line="312" w:lineRule="auto"/>
              <w:ind w:left="23" w:right="2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12"/>
                <w:sz w:val="18"/>
                <w:szCs w:val="18"/>
              </w:rPr>
              <w:t>刊载于《证券</w:t>
            </w:r>
            <w:r>
              <w:rPr>
                <w:rFonts w:ascii="宋体" w:hAnsi="宋体" w:cs="宋体" w:eastAsia="宋体" w:hint="default"/>
                <w:sz w:val="18"/>
                <w:szCs w:val="18"/>
              </w:rPr>
              <w:t> </w:t>
            </w:r>
            <w:r>
              <w:rPr>
                <w:rFonts w:ascii="宋体" w:hAnsi="宋体" w:cs="宋体" w:eastAsia="宋体" w:hint="default"/>
                <w:spacing w:val="-12"/>
                <w:sz w:val="18"/>
                <w:szCs w:val="18"/>
              </w:rPr>
              <w:t>时报》及巨潮</w:t>
            </w:r>
            <w:r>
              <w:rPr>
                <w:rFonts w:ascii="宋体" w:hAnsi="宋体" w:cs="宋体" w:eastAsia="宋体" w:hint="default"/>
                <w:sz w:val="18"/>
                <w:szCs w:val="18"/>
              </w:rPr>
              <w:t> 资讯网</w:t>
            </w:r>
          </w:p>
          <w:p>
            <w:pPr>
              <w:pStyle w:val="TableParagraph"/>
              <w:spacing w:line="240" w:lineRule="auto" w:before="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07" w:lineRule="auto" w:before="105"/>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6" w:lineRule="auto" w:before="63"/>
              <w:ind w:left="23" w:right="23"/>
              <w:jc w:val="left"/>
              <w:rPr>
                <w:rFonts w:ascii="宋体" w:hAnsi="宋体" w:cs="宋体" w:eastAsia="宋体" w:hint="default"/>
                <w:sz w:val="18"/>
                <w:szCs w:val="18"/>
              </w:rPr>
            </w:pPr>
            <w:r>
              <w:rPr>
                <w:rFonts w:ascii="宋体" w:hAnsi="宋体" w:cs="宋体" w:eastAsia="宋体" w:hint="default"/>
                <w:spacing w:val="-12"/>
                <w:sz w:val="18"/>
                <w:szCs w:val="18"/>
              </w:rPr>
              <w:t>公司《关于与</w:t>
            </w:r>
            <w:r>
              <w:rPr>
                <w:rFonts w:ascii="宋体" w:hAnsi="宋体" w:cs="宋体" w:eastAsia="宋体" w:hint="default"/>
                <w:sz w:val="18"/>
                <w:szCs w:val="18"/>
              </w:rPr>
              <w:t> </w:t>
            </w:r>
            <w:r>
              <w:rPr>
                <w:rFonts w:ascii="宋体" w:hAnsi="宋体" w:cs="宋体" w:eastAsia="宋体" w:hint="default"/>
                <w:spacing w:val="-12"/>
                <w:sz w:val="18"/>
                <w:szCs w:val="18"/>
              </w:rPr>
              <w:t>欧阳宣、新天</w:t>
            </w:r>
            <w:r>
              <w:rPr>
                <w:rFonts w:ascii="宋体" w:hAnsi="宋体" w:cs="宋体" w:eastAsia="宋体" w:hint="default"/>
                <w:sz w:val="18"/>
                <w:szCs w:val="18"/>
              </w:rPr>
              <w:t> </w:t>
            </w:r>
            <w:r>
              <w:rPr>
                <w:rFonts w:ascii="宋体" w:hAnsi="宋体" w:cs="宋体" w:eastAsia="宋体" w:hint="default"/>
                <w:spacing w:val="-12"/>
                <w:sz w:val="18"/>
                <w:szCs w:val="18"/>
              </w:rPr>
              <w:t>地、金之彩公</w:t>
            </w:r>
            <w:r>
              <w:rPr>
                <w:rFonts w:ascii="宋体" w:hAnsi="宋体" w:cs="宋体" w:eastAsia="宋体" w:hint="default"/>
                <w:sz w:val="18"/>
                <w:szCs w:val="18"/>
              </w:rPr>
              <w:t> 司股权转让 合同纠纷仲 裁案相关事 </w:t>
            </w:r>
            <w:r>
              <w:rPr>
                <w:rFonts w:ascii="宋体" w:hAnsi="宋体" w:cs="宋体" w:eastAsia="宋体" w:hint="default"/>
                <w:spacing w:val="-12"/>
                <w:sz w:val="18"/>
                <w:szCs w:val="18"/>
              </w:rPr>
              <w:t>项的公告》于</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816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p>
            <w:pPr>
              <w:pStyle w:val="TableParagraph"/>
              <w:spacing w:line="316" w:lineRule="auto" w:before="63"/>
              <w:ind w:left="23" w:right="-49"/>
              <w:jc w:val="left"/>
              <w:rPr>
                <w:rFonts w:ascii="宋体" w:hAnsi="宋体" w:cs="宋体" w:eastAsia="宋体" w:hint="default"/>
                <w:sz w:val="18"/>
                <w:szCs w:val="18"/>
              </w:rPr>
            </w:pPr>
            <w:r>
              <w:rPr>
                <w:rFonts w:ascii="宋体" w:hAnsi="宋体" w:cs="宋体" w:eastAsia="宋体" w:hint="default"/>
                <w:sz w:val="18"/>
                <w:szCs w:val="18"/>
              </w:rPr>
              <w:t>《证券时报》 及巨潮资讯</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07" w:lineRule="auto" w:before="105"/>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319" w:lineRule="auto" w:before="63"/>
              <w:ind w:left="23" w:right="-49"/>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公司《关于与</w:t>
            </w:r>
            <w:r>
              <w:rPr>
                <w:rFonts w:ascii="宋体" w:hAnsi="宋体" w:cs="宋体" w:eastAsia="宋体" w:hint="default"/>
                <w:sz w:val="18"/>
                <w:szCs w:val="18"/>
              </w:rPr>
              <w:t> </w:t>
            </w:r>
            <w:r>
              <w:rPr>
                <w:rFonts w:ascii="宋体" w:hAnsi="宋体" w:cs="宋体" w:eastAsia="宋体" w:hint="default"/>
                <w:spacing w:val="-12"/>
                <w:sz w:val="18"/>
                <w:szCs w:val="18"/>
              </w:rPr>
              <w:t>欧阳宣、新天</w:t>
            </w:r>
            <w:r>
              <w:rPr>
                <w:rFonts w:ascii="宋体" w:hAnsi="宋体" w:cs="宋体" w:eastAsia="宋体" w:hint="default"/>
                <w:sz w:val="18"/>
                <w:szCs w:val="18"/>
              </w:rPr>
              <w:t> </w:t>
            </w:r>
            <w:r>
              <w:rPr>
                <w:rFonts w:ascii="宋体" w:hAnsi="宋体" w:cs="宋体" w:eastAsia="宋体" w:hint="default"/>
                <w:spacing w:val="-12"/>
                <w:sz w:val="18"/>
                <w:szCs w:val="18"/>
              </w:rPr>
              <w:t>地、金之彩公</w:t>
            </w:r>
            <w:r>
              <w:rPr>
                <w:rFonts w:ascii="宋体" w:hAnsi="宋体" w:cs="宋体" w:eastAsia="宋体" w:hint="default"/>
                <w:sz w:val="18"/>
                <w:szCs w:val="18"/>
              </w:rPr>
              <w:t> 司股权转让 合同纠纷仲 裁案的公告》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2" w:lineRule="auto"/>
              <w:ind w:left="23"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日刊载 于《证券时 </w:t>
            </w:r>
            <w:r>
              <w:rPr>
                <w:rFonts w:ascii="宋体" w:hAnsi="宋体" w:cs="宋体" w:eastAsia="宋体" w:hint="default"/>
                <w:spacing w:val="-12"/>
                <w:sz w:val="18"/>
                <w:szCs w:val="18"/>
              </w:rPr>
              <w:t>报》及巨潮资</w:t>
            </w:r>
            <w:r>
              <w:rPr>
                <w:rFonts w:ascii="宋体" w:hAnsi="宋体" w:cs="宋体" w:eastAsia="宋体" w:hint="default"/>
                <w:sz w:val="18"/>
                <w:szCs w:val="18"/>
              </w:rPr>
              <w:t> 讯网</w:t>
            </w:r>
          </w:p>
          <w:p>
            <w:pPr>
              <w:pStyle w:val="TableParagraph"/>
              <w:spacing w:line="240" w:lineRule="auto" w:before="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07" w:lineRule="auto" w:before="105"/>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p>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50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84"/>
              <w:jc w:val="both"/>
              <w:rPr>
                <w:rFonts w:ascii="宋体" w:hAnsi="宋体" w:cs="宋体" w:eastAsia="宋体" w:hint="default"/>
                <w:sz w:val="18"/>
                <w:szCs w:val="18"/>
              </w:rPr>
            </w:pPr>
            <w:r>
              <w:rPr>
                <w:rFonts w:ascii="宋体" w:hAnsi="宋体" w:cs="宋体" w:eastAsia="宋体" w:hint="default"/>
                <w:sz w:val="18"/>
                <w:szCs w:val="18"/>
              </w:rPr>
              <w:t>申请人：西藏新天 地，被申请人：公 司。仲裁事由：金 之彩股权转让合同 纠纷</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w w:val="95"/>
                <w:sz w:val="18"/>
              </w:rPr>
              <w:t>8,627.49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尚在仲裁 中</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尚在仲裁中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公司《关于与</w:t>
            </w:r>
            <w:r>
              <w:rPr>
                <w:rFonts w:ascii="宋体" w:hAnsi="宋体" w:cs="宋体" w:eastAsia="宋体" w:hint="default"/>
                <w:sz w:val="18"/>
                <w:szCs w:val="18"/>
              </w:rPr>
              <w:t> </w:t>
            </w:r>
            <w:r>
              <w:rPr>
                <w:rFonts w:ascii="宋体" w:hAnsi="宋体" w:cs="宋体" w:eastAsia="宋体" w:hint="default"/>
                <w:spacing w:val="-12"/>
                <w:sz w:val="18"/>
                <w:szCs w:val="18"/>
              </w:rPr>
              <w:t>欧阳宣、新天</w:t>
            </w:r>
            <w:r>
              <w:rPr>
                <w:rFonts w:ascii="宋体" w:hAnsi="宋体" w:cs="宋体" w:eastAsia="宋体" w:hint="default"/>
                <w:sz w:val="18"/>
                <w:szCs w:val="18"/>
              </w:rPr>
              <w:t> </w:t>
            </w:r>
            <w:r>
              <w:rPr>
                <w:rFonts w:ascii="宋体" w:hAnsi="宋体" w:cs="宋体" w:eastAsia="宋体" w:hint="default"/>
                <w:spacing w:val="-12"/>
                <w:sz w:val="18"/>
                <w:szCs w:val="18"/>
              </w:rPr>
              <w:t>地、金之彩公</w:t>
            </w:r>
            <w:r>
              <w:rPr>
                <w:rFonts w:ascii="宋体" w:hAnsi="宋体" w:cs="宋体" w:eastAsia="宋体" w:hint="default"/>
                <w:sz w:val="18"/>
                <w:szCs w:val="18"/>
              </w:rPr>
              <w:t> 司股权转让 合同纠纷仲 裁案有关事 </w:t>
            </w:r>
            <w:r>
              <w:rPr>
                <w:rFonts w:ascii="宋体" w:hAnsi="宋体" w:cs="宋体" w:eastAsia="宋体" w:hint="default"/>
                <w:spacing w:val="-12"/>
                <w:sz w:val="18"/>
                <w:szCs w:val="18"/>
              </w:rPr>
              <w:t>项的公告》于</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p>
            <w:pPr>
              <w:pStyle w:val="TableParagraph"/>
              <w:spacing w:line="316" w:lineRule="auto"/>
              <w:ind w:left="23" w:right="23"/>
              <w:jc w:val="both"/>
              <w:rPr>
                <w:rFonts w:ascii="宋体" w:hAnsi="宋体" w:cs="宋体" w:eastAsia="宋体" w:hint="default"/>
                <w:sz w:val="18"/>
                <w:szCs w:val="18"/>
              </w:rPr>
            </w:pPr>
            <w:r>
              <w:rPr>
                <w:rFonts w:ascii="宋体" w:hAnsi="宋体" w:cs="宋体" w:eastAsia="宋体" w:hint="default"/>
                <w:spacing w:val="-12"/>
                <w:sz w:val="18"/>
                <w:szCs w:val="18"/>
              </w:rPr>
              <w:t>日刊载于《证</w:t>
            </w:r>
            <w:r>
              <w:rPr>
                <w:rFonts w:ascii="宋体" w:hAnsi="宋体" w:cs="宋体" w:eastAsia="宋体" w:hint="default"/>
                <w:sz w:val="18"/>
                <w:szCs w:val="18"/>
              </w:rPr>
              <w:t> </w:t>
            </w:r>
            <w:r>
              <w:rPr>
                <w:rFonts w:ascii="宋体" w:hAnsi="宋体" w:cs="宋体" w:eastAsia="宋体" w:hint="default"/>
                <w:spacing w:val="-12"/>
                <w:sz w:val="18"/>
                <w:szCs w:val="18"/>
              </w:rPr>
              <w:t>券时报》及巨</w:t>
            </w:r>
            <w:r>
              <w:rPr>
                <w:rFonts w:ascii="宋体" w:hAnsi="宋体" w:cs="宋体" w:eastAsia="宋体" w:hint="default"/>
                <w:sz w:val="18"/>
                <w:szCs w:val="18"/>
              </w:rPr>
              <w:t> 潮资讯网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p>
            <w:pPr>
              <w:pStyle w:val="TableParagraph"/>
              <w:spacing w:line="307" w:lineRule="auto" w:before="105"/>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n/</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（公告</w:t>
            </w:r>
            <w:r>
              <w:rPr>
                <w:rFonts w:ascii="宋体" w:hAnsi="宋体" w:cs="宋体" w:eastAsia="宋体" w:hint="default"/>
                <w:sz w:val="18"/>
                <w:szCs w:val="18"/>
              </w:rPr>
              <w:t> 编号</w:t>
            </w:r>
          </w:p>
          <w:p>
            <w:pPr>
              <w:pStyle w:val="TableParagraph"/>
              <w:spacing w:line="240" w:lineRule="auto" w:before="26"/>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欧阳宣（公司收购</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w:t>
            </w:r>
            <w:r>
              <w:rPr>
                <w:rFonts w:ascii="宋体" w:hAnsi="宋体" w:cs="宋体" w:eastAsia="宋体" w:hint="default"/>
                <w:sz w:val="18"/>
                <w:szCs w:val="18"/>
              </w:rPr>
              <w:t>股权的金之彩</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原告欧阳宣向宝 安法院申请撤诉</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2"/>
                <w:sz w:val="18"/>
                <w:szCs w:val="18"/>
              </w:rPr>
              <w:t>公司《关于收</w:t>
            </w:r>
            <w:r>
              <w:rPr>
                <w:rFonts w:ascii="宋体" w:hAnsi="宋体" w:cs="宋体" w:eastAsia="宋体" w:hint="default"/>
                <w:sz w:val="18"/>
                <w:szCs w:val="18"/>
              </w:rPr>
              <w:t> 到应诉通知</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9985pt;width:479.3pt;height:642.7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1070"/>
                    <w:gridCol w:w="1249"/>
                    <w:gridCol w:w="941"/>
                    <w:gridCol w:w="1373"/>
                    <w:gridCol w:w="1248"/>
                    <w:gridCol w:w="1064"/>
                    <w:gridCol w:w="1066"/>
                  </w:tblGrid>
                  <w:tr>
                    <w:trPr>
                      <w:trHeight w:val="320" w:hRule="exact"/>
                    </w:trPr>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公司原股东，目前</w:t>
                        </w:r>
                      </w:p>
                    </w:tc>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tc>
                    <w:tc>
                      <w:tcPr>
                        <w:tcW w:w="1249"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获准许</w:t>
                        </w:r>
                      </w:p>
                    </w:tc>
                    <w:tc>
                      <w:tcPr>
                        <w:tcW w:w="1248" w:type="dxa"/>
                        <w:vMerge w:val="restart"/>
                        <w:tcBorders>
                          <w:top w:val="single" w:sz="4" w:space="0" w:color="000000"/>
                          <w:left w:val="single" w:sz="4" w:space="0" w:color="000000"/>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其持有金之彩</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20.57%</w:t>
                        </w:r>
                        <w:r>
                          <w:rPr>
                            <w:rFonts w:ascii="宋体" w:hAnsi="宋体" w:cs="宋体" w:eastAsia="宋体" w:hint="default"/>
                            <w:sz w:val="18"/>
                            <w:szCs w:val="18"/>
                          </w:rPr>
                          <w:t>股份）状告</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日刊载于《证</w:t>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公司及金之彩，向</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券时报》及巨</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宝安法院申请：撤</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潮资讯网</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销金之彩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w:t>
                          </w:r>
                        </w:hyperlink>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日董事会决议</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.cninfo.com.c</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并在决议撤销后恢</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（公告编</w:t>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复其金之彩董事长</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职务和法定代表人</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身份；在欧阳宣与</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公司《关于收</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公司及西藏新天地</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到民事裁定</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投资合伙企业（有</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书的公告》于</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118"/>
                            <w:sz w:val="18"/>
                            <w:szCs w:val="18"/>
                          </w:rPr>
                          <w:t>）</w:t>
                        </w:r>
                        <w:r>
                          <w:rPr>
                            <w:rFonts w:ascii="宋体" w:hAnsi="宋体" w:cs="宋体" w:eastAsia="宋体" w:hint="default"/>
                            <w:sz w:val="18"/>
                            <w:szCs w:val="18"/>
                          </w:rPr>
                          <w:t>（以下简称</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西藏新天地</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日刊载于</w:t>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间的股权转让合同</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纠纷案裁决并执行</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及巨潮资讯</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完毕前，公司不得</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自行或通过提名金</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之彩董事行使：变</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o.com.cn</w:t>
                        </w:r>
                        <w:r>
                          <w:rPr>
                            <w:rFonts w:ascii="宋体" w:hAnsi="宋体" w:cs="宋体" w:eastAsia="宋体" w:hint="default"/>
                            <w:sz w:val="18"/>
                            <w:szCs w:val="18"/>
                          </w:rPr>
                          <w:t>）</w:t>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更金之彩董事长、</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tc>
                  </w:tr>
                  <w:tr>
                    <w:trPr>
                      <w:trHeight w:val="31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法定代表人、总经</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2017-086</w:t>
                        </w:r>
                        <w:r>
                          <w:rPr>
                            <w:rFonts w:ascii="宋体" w:hAnsi="宋体" w:cs="宋体" w:eastAsia="宋体" w:hint="default"/>
                            <w:sz w:val="18"/>
                            <w:szCs w:val="18"/>
                          </w:rPr>
                          <w:t>）</w:t>
                        </w:r>
                      </w:p>
                    </w:tc>
                  </w:tr>
                  <w:tr>
                    <w:trPr>
                      <w:trHeight w:val="307"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理以及监事的提案</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权、投票权；修改</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金之彩</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中关于董事、董事</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长、监事、法定代</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表人和总经理的提</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名、任命、职权及</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任期内容的提案、</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投票权；在欧阳宣</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与公司及西藏新天</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地之间的股权转让</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合同纠纷案裁决并</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执行完毕前，金之</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彩不得依据前述行</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为形成的董事会决</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议或股东会决议向</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深圳市市场监督管</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理局申请办理相应</w:t>
                        </w:r>
                      </w:p>
                    </w:tc>
                    <w:tc>
                      <w:tcPr>
                        <w:tcW w:w="1070" w:type="dxa"/>
                        <w:vMerge/>
                        <w:tcBorders>
                          <w:left w:val="single" w:sz="4" w:space="0" w:color="000000"/>
                          <w:right w:val="single" w:sz="4" w:space="0" w:color="000000"/>
                        </w:tcBorders>
                      </w:tcPr>
                      <w:p>
                        <w:pPr/>
                      </w:p>
                    </w:tc>
                    <w:tc>
                      <w:tcPr>
                        <w:tcW w:w="1249"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1248" w:type="dxa"/>
                        <w:vMerge/>
                        <w:tcBorders>
                          <w:left w:val="single" w:sz="4" w:space="0" w:color="000000"/>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变更登记手续</w:t>
                        </w:r>
                      </w:p>
                    </w:tc>
                    <w:tc>
                      <w:tcPr>
                        <w:tcW w:w="1070" w:type="dxa"/>
                        <w:vMerge/>
                        <w:tcBorders>
                          <w:left w:val="single" w:sz="4" w:space="0" w:color="000000"/>
                          <w:bottom w:val="single" w:sz="4" w:space="0" w:color="000000"/>
                          <w:right w:val="single" w:sz="4" w:space="0" w:color="000000"/>
                        </w:tcBorders>
                      </w:tcPr>
                      <w:p>
                        <w:pPr/>
                      </w:p>
                    </w:tc>
                    <w:tc>
                      <w:tcPr>
                        <w:tcW w:w="1249"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BodyText"/>
        <w:spacing w:line="240" w:lineRule="auto" w:before="44"/>
        <w:ind w:left="0" w:right="177"/>
        <w:jc w:val="right"/>
      </w:pPr>
      <w:r>
        <w:rPr/>
        <w:pict>
          <v:shape style="position:absolute;margin-left:83.757004pt;margin-top:-232.258316pt;width:104.35pt;height:641.75pt;mso-position-horizontal-relative:page;mso-position-vertical-relative:paragraph;z-index:-11187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BodyText"/>
                    <w:spacing w:line="240" w:lineRule="auto"/>
                    <w:ind w:left="0" w:right="0"/>
                    <w:jc w:val="left"/>
                  </w:pPr>
                  <w:r>
                    <w:rPr/>
                    <w:t>《公司章程》</w:t>
                  </w:r>
                </w:p>
              </w:txbxContent>
            </v:textbox>
            <w10:wrap type="none"/>
          </v:shape>
        </w:pict>
      </w:r>
      <w:r>
        <w:rPr/>
        <w:pict>
          <v:group style="position:absolute;margin-left:135.020004pt;margin-top:-232.258316pt;width:53.05pt;height:641.75pt;mso-position-horizontal-relative:page;mso-position-vertical-relative:paragraph;z-index:1288" coordorigin="2700,-4645" coordsize="1061,12835">
            <v:shape style="position:absolute;left:2700;top:-4645;width:1061;height:12835" coordorigin="2700,-4645" coordsize="1061,12835" path="m2700,8190l3761,8190,3761,-4645,2700,-4645,2700,8190xe" filled="true" fillcolor="#ffffff" stroked="false">
              <v:path arrowok="t"/>
              <v:fill type="solid"/>
            </v:shape>
            <w10:wrap type="none"/>
          </v:group>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before="44"/>
        <w:ind w:right="0"/>
        <w:jc w:val="left"/>
      </w:pPr>
      <w:r>
        <w:rPr/>
        <w:t>关于上述股权转让合同纠纷，公司收到控股股东王海鹏的告知，关于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25 </w:t>
      </w:r>
      <w:r>
        <w:rPr/>
        <w:t>日公司与西藏新天地、欧阳宣及金之</w:t>
      </w:r>
    </w:p>
    <w:p>
      <w:pPr>
        <w:pStyle w:val="BodyText"/>
        <w:spacing w:line="240" w:lineRule="auto" w:before="62"/>
        <w:ind w:right="0"/>
        <w:jc w:val="left"/>
      </w:pPr>
      <w:r>
        <w:rPr/>
        <w:t>彩签订</w:t>
      </w:r>
      <w:r>
        <w:rPr>
          <w:spacing w:val="-27"/>
        </w:rPr>
        <w:t>的</w:t>
      </w:r>
      <w:r>
        <w:rPr/>
        <w:t>《股权收购协议</w:t>
      </w:r>
      <w:r>
        <w:rPr>
          <w:spacing w:val="-118"/>
        </w:rPr>
        <w:t>》</w:t>
      </w:r>
      <w:r>
        <w:rPr/>
        <w:t>（详见公司于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w:t>
      </w:r>
      <w:r>
        <w:rPr>
          <w:spacing w:val="-3"/>
        </w:rPr>
        <w:t>披</w:t>
      </w:r>
      <w:r>
        <w:rPr/>
        <w:t>露于巨潮资讯网</w:t>
      </w:r>
      <w:r>
        <w:rPr>
          <w:spacing w:val="-27"/>
        </w:rPr>
        <w:t>的</w:t>
      </w:r>
      <w:r>
        <w:rPr/>
        <w:t>《关于收购深圳市金之彩文化创意有限公司</w:t>
      </w:r>
    </w:p>
    <w:p>
      <w:pPr>
        <w:pStyle w:val="BodyText"/>
        <w:spacing w:line="240" w:lineRule="auto" w:before="63"/>
        <w:ind w:right="0"/>
        <w:jc w:val="left"/>
      </w:pPr>
      <w:r>
        <w:rPr>
          <w:rFonts w:ascii="Times New Roman" w:hAnsi="Times New Roman" w:cs="Times New Roman" w:eastAsia="Times New Roman" w:hint="default"/>
          <w:spacing w:val="1"/>
          <w:w w:val="99"/>
        </w:rPr>
        <w:t>70</w:t>
      </w:r>
      <w:r>
        <w:rPr>
          <w:rFonts w:ascii="Times New Roman" w:hAnsi="Times New Roman" w:cs="Times New Roman" w:eastAsia="Times New Roman" w:hint="default"/>
          <w:spacing w:val="-1"/>
          <w:w w:val="99"/>
        </w:rPr>
        <w:t>%</w:t>
      </w:r>
      <w:r>
        <w:rPr>
          <w:w w:val="99"/>
        </w:rPr>
        <w:t>股权的公告</w:t>
      </w:r>
      <w:r>
        <w:rPr>
          <w:spacing w:val="-92"/>
          <w:w w:val="99"/>
        </w:rPr>
        <w:t>》）</w:t>
      </w:r>
      <w:r>
        <w:rPr>
          <w:spacing w:val="-3"/>
          <w:w w:val="99"/>
        </w:rPr>
        <w:t>，</w:t>
      </w:r>
      <w:r>
        <w:rPr>
          <w:w w:val="99"/>
        </w:rPr>
        <w:t>针对其中“转让方在收到约定的首期款后六个月内</w:t>
      </w:r>
      <w:r>
        <w:rPr>
          <w:spacing w:val="-3"/>
          <w:w w:val="99"/>
        </w:rPr>
        <w:t>，</w:t>
      </w:r>
      <w:r>
        <w:rPr>
          <w:w w:val="99"/>
        </w:rPr>
        <w:t>欧阳宣将使用资</w:t>
      </w:r>
      <w:r>
        <w:rPr>
          <w:spacing w:val="-3"/>
          <w:w w:val="99"/>
        </w:rPr>
        <w:t>金</w:t>
      </w:r>
      <w:r>
        <w:rPr>
          <w:w w:val="99"/>
        </w:rPr>
        <w:t>（不少于人民币</w:t>
      </w:r>
      <w:r>
        <w:rPr>
          <w:spacing w:val="-43"/>
          <w:w w:val="99"/>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2"/>
          <w:w w:val="99"/>
        </w:rPr>
        <w:t> </w:t>
      </w:r>
      <w:r>
        <w:rPr>
          <w:w w:val="99"/>
        </w:rPr>
        <w:t>万</w:t>
      </w:r>
      <w:r>
        <w:rPr>
          <w:spacing w:val="-3"/>
          <w:w w:val="99"/>
        </w:rPr>
        <w:t>元）</w:t>
      </w:r>
      <w:r>
        <w:rPr>
          <w:w w:val="99"/>
        </w:rPr>
        <w:t>通</w:t>
      </w:r>
      <w:r>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4" w:lineRule="auto" w:before="44"/>
        <w:ind w:right="85"/>
        <w:jc w:val="left"/>
      </w:pPr>
      <w:r>
        <w:rPr/>
        <w:t>过二级市场购买收购方股票，并自前述六个月（即收到约定的首期款后六个月）期满后的</w:t>
      </w:r>
      <w:r>
        <w:rPr>
          <w:spacing w:val="-44"/>
        </w:rPr>
        <w:t> </w:t>
      </w:r>
      <w:r>
        <w:rPr>
          <w:rFonts w:ascii="Times New Roman" w:hAnsi="Times New Roman" w:cs="Times New Roman" w:eastAsia="Times New Roman" w:hint="default"/>
        </w:rPr>
        <w:t>24 </w:t>
      </w:r>
      <w:r>
        <w:rPr/>
        <w:t>个月内不得转让或委托他人管 </w:t>
      </w:r>
      <w:r>
        <w:rPr>
          <w:spacing w:val="-5"/>
        </w:rPr>
        <w:t>理其购买的收购方股票。”以及金之彩和原股东的业绩保障条款约定，欧阳宣已与王海鹏签订《补充协议》。补充协议主要内</w:t>
      </w:r>
      <w:r>
        <w:rPr>
          <w:spacing w:val="-81"/>
        </w:rPr>
        <w:t> </w:t>
      </w:r>
      <w:r>
        <w:rPr>
          <w:spacing w:val="-81"/>
        </w:rPr>
      </w:r>
      <w:r>
        <w:rPr>
          <w:spacing w:val="-10"/>
        </w:rPr>
        <w:t>容如下：（</w:t>
      </w:r>
      <w:r>
        <w:rPr>
          <w:rFonts w:ascii="Times New Roman" w:hAnsi="Times New Roman" w:cs="Times New Roman" w:eastAsia="Times New Roman" w:hint="default"/>
          <w:spacing w:val="-10"/>
        </w:rPr>
        <w:t>1</w:t>
      </w:r>
      <w:r>
        <w:rPr>
          <w:spacing w:val="-10"/>
        </w:rPr>
        <w:t>）在金之彩</w:t>
      </w:r>
      <w:r>
        <w:rPr>
          <w:spacing w:val="-44"/>
        </w:rPr>
        <w:t> </w:t>
      </w:r>
      <w:r>
        <w:rPr>
          <w:rFonts w:ascii="Times New Roman" w:hAnsi="Times New Roman" w:cs="Times New Roman" w:eastAsia="Times New Roman" w:hint="default"/>
          <w:spacing w:val="-1"/>
        </w:rPr>
        <w:t>2013-2015</w:t>
      </w:r>
      <w:r>
        <w:rPr>
          <w:rFonts w:ascii="Times New Roman" w:hAnsi="Times New Roman" w:cs="Times New Roman" w:eastAsia="Times New Roman" w:hint="default"/>
          <w:spacing w:val="3"/>
        </w:rPr>
        <w:t> </w:t>
      </w:r>
      <w:r>
        <w:rPr>
          <w:spacing w:val="-1"/>
        </w:rPr>
        <w:t>年业绩达到《股权收购协议》中业绩保证条款约定的情况下，欧阳宣在规定的持股期满后</w:t>
      </w:r>
      <w:r>
        <w:rPr>
          <w:spacing w:val="-86"/>
        </w:rPr>
        <w:t> </w:t>
      </w:r>
      <w:r>
        <w:rPr>
          <w:spacing w:val="-86"/>
        </w:rPr>
      </w:r>
      <w:r>
        <w:rPr/>
        <w:t>通过二级市场出售其所持股票如果是亏损，则由王海鹏补偿欧阳宣的亏损。如果盈利则按照盈利部分的</w:t>
      </w:r>
      <w:r>
        <w:rPr>
          <w:spacing w:val="-51"/>
        </w:rPr>
        <w:t> </w:t>
      </w:r>
      <w:r>
        <w:rPr>
          <w:rFonts w:ascii="Times New Roman" w:hAnsi="Times New Roman" w:cs="Times New Roman" w:eastAsia="Times New Roman" w:hint="default"/>
        </w:rPr>
        <w:t>50%</w:t>
      </w:r>
      <w:r>
        <w:rPr/>
        <w:t>归欧阳宣所得， 另外</w:t>
      </w:r>
      <w:r>
        <w:rPr>
          <w:spacing w:val="-40"/>
        </w:rPr>
        <w:t> </w:t>
      </w:r>
      <w:r>
        <w:rPr>
          <w:rFonts w:ascii="Times New Roman" w:hAnsi="Times New Roman" w:cs="Times New Roman" w:eastAsia="Times New Roman" w:hint="default"/>
          <w:spacing w:val="-6"/>
        </w:rPr>
        <w:t>50%</w:t>
      </w:r>
      <w:r>
        <w:rPr>
          <w:spacing w:val="-6"/>
        </w:rPr>
        <w:t>的盈利部分归王海鹏公司所得。（</w:t>
      </w:r>
      <w:r>
        <w:rPr>
          <w:rFonts w:ascii="Times New Roman" w:hAnsi="Times New Roman" w:cs="Times New Roman" w:eastAsia="Times New Roman" w:hint="default"/>
          <w:spacing w:val="-6"/>
        </w:rPr>
        <w:t>2</w:t>
      </w:r>
      <w:r>
        <w:rPr>
          <w:spacing w:val="-6"/>
        </w:rPr>
        <w:t>）若金之彩</w:t>
      </w:r>
      <w:r>
        <w:rPr>
          <w:spacing w:val="-41"/>
        </w:rPr>
        <w:t> </w:t>
      </w:r>
      <w:r>
        <w:rPr>
          <w:rFonts w:ascii="Times New Roman" w:hAnsi="Times New Roman" w:cs="Times New Roman" w:eastAsia="Times New Roman" w:hint="default"/>
        </w:rPr>
        <w:t>2013-2015</w:t>
      </w:r>
      <w:r>
        <w:rPr>
          <w:rFonts w:ascii="Times New Roman" w:hAnsi="Times New Roman" w:cs="Times New Roman" w:eastAsia="Times New Roman" w:hint="default"/>
          <w:spacing w:val="6"/>
        </w:rPr>
        <w:t> </w:t>
      </w:r>
      <w:r>
        <w:rPr>
          <w:spacing w:val="-2"/>
        </w:rPr>
        <w:t>年业绩未达到《股权收购协议》中业绩保证条款约定，欧</w:t>
      </w:r>
      <w:r>
        <w:rPr>
          <w:spacing w:val="-79"/>
        </w:rPr>
        <w:t> </w:t>
      </w:r>
      <w:r>
        <w:rPr>
          <w:spacing w:val="-79"/>
        </w:rPr>
      </w:r>
      <w:r>
        <w:rPr>
          <w:spacing w:val="-2"/>
        </w:rPr>
        <w:t>阳宣在规定的持股期满后通过二级市场出售其所持股票如果是盈利，同样按照前款规定分配盈利所得，如果是亏损，则王海</w:t>
      </w:r>
      <w:r>
        <w:rPr>
          <w:spacing w:val="-66"/>
        </w:rPr>
        <w:t> </w:t>
      </w:r>
      <w:r>
        <w:rPr>
          <w:spacing w:val="-66"/>
        </w:rPr>
      </w:r>
      <w:r>
        <w:rPr/>
        <w:t>鹏不补偿欧阳宣的亏损。王海鹏告知，目前欧阳宣尚未履行补充协议约定，将盈利部分的</w:t>
      </w:r>
      <w:r>
        <w:rPr>
          <w:spacing w:val="-43"/>
        </w:rPr>
        <w:t> </w:t>
      </w:r>
      <w:r>
        <w:rPr>
          <w:rFonts w:ascii="Times New Roman" w:hAnsi="Times New Roman" w:cs="Times New Roman" w:eastAsia="Times New Roman" w:hint="default"/>
        </w:rPr>
        <w:t>50%</w:t>
      </w:r>
      <w:r>
        <w:rPr/>
        <w:t>进行分配；如未来欧阳宣履 行协议，则本公司将获得相应金额的资本公积。</w:t>
      </w:r>
    </w:p>
    <w:p>
      <w:pPr>
        <w:spacing w:line="240" w:lineRule="auto" w:before="7"/>
        <w:rPr>
          <w:rFonts w:ascii="宋体" w:hAnsi="宋体" w:cs="宋体" w:eastAsia="宋体" w:hint="default"/>
          <w:sz w:val="21"/>
          <w:szCs w:val="21"/>
        </w:rPr>
      </w:pPr>
    </w:p>
    <w:p>
      <w:pPr>
        <w:pStyle w:val="Heading2"/>
        <w:spacing w:line="240" w:lineRule="auto"/>
        <w:ind w:right="94"/>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9"/>
        <w:rPr>
          <w:rFonts w:ascii="宋体" w:hAnsi="宋体" w:cs="宋体" w:eastAsia="宋体" w:hint="default"/>
          <w:sz w:val="19"/>
          <w:szCs w:val="19"/>
        </w:rPr>
      </w:pPr>
    </w:p>
    <w:p>
      <w:pPr>
        <w:pStyle w:val="Heading2"/>
        <w:spacing w:line="240" w:lineRule="auto"/>
        <w:ind w:right="94"/>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94"/>
        <w:jc w:val="left"/>
      </w:pPr>
      <w:r>
        <w:rPr/>
        <w:t>公司部分董监高及核心骨干人员于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日通过成立的</w:t>
      </w:r>
      <w:r>
        <w:rPr>
          <w:rFonts w:ascii="Times New Roman" w:hAnsi="Times New Roman" w:cs="Times New Roman" w:eastAsia="Times New Roman" w:hint="default"/>
        </w:rPr>
        <w:t>“</w:t>
      </w:r>
      <w:r>
        <w:rPr/>
        <w:t>平安汇通</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成长</w:t>
      </w:r>
      <w:r>
        <w:rPr>
          <w:rFonts w:ascii="Times New Roman" w:hAnsi="Times New Roman" w:cs="Times New Roman" w:eastAsia="Times New Roman" w:hint="default"/>
        </w:rPr>
        <w:t>1</w:t>
      </w:r>
      <w:r>
        <w:rPr/>
        <w:t>号专项资产管理计划</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购入本公司股 </w:t>
      </w:r>
      <w:r>
        <w:rPr>
          <w:spacing w:val="-3"/>
        </w:rPr>
        <w:t>票</w:t>
      </w:r>
      <w:r>
        <w:rPr>
          <w:rFonts w:ascii="Times New Roman" w:hAnsi="Times New Roman" w:cs="Times New Roman" w:eastAsia="Times New Roman" w:hint="default"/>
          <w:spacing w:val="-3"/>
        </w:rPr>
        <w:t>859</w:t>
      </w:r>
      <w:r>
        <w:rPr>
          <w:spacing w:val="-3"/>
        </w:rPr>
        <w:t>万股（</w:t>
      </w:r>
      <w:r>
        <w:rPr>
          <w:rFonts w:ascii="Times New Roman" w:hAnsi="Times New Roman" w:cs="Times New Roman" w:eastAsia="Times New Roman" w:hint="default"/>
          <w:spacing w:val="-3"/>
        </w:rPr>
        <w:t>2014</w:t>
      </w:r>
      <w:r>
        <w:rPr>
          <w:spacing w:val="-3"/>
        </w:rPr>
        <w:t>年度资本公积转增股本方案实施后变为</w:t>
      </w:r>
      <w:r>
        <w:rPr>
          <w:rFonts w:ascii="Times New Roman" w:hAnsi="Times New Roman" w:cs="Times New Roman" w:eastAsia="Times New Roman" w:hint="default"/>
          <w:spacing w:val="-3"/>
        </w:rPr>
        <w:t>1718</w:t>
      </w:r>
      <w:r>
        <w:rPr>
          <w:spacing w:val="-3"/>
        </w:rPr>
        <w:t>万股），具体情况详见公司于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26</w:t>
      </w:r>
      <w:r>
        <w:rPr>
          <w:spacing w:val="-3"/>
        </w:rPr>
        <w:t>日刊载在《证券时报》</w:t>
      </w:r>
      <w:r>
        <w:rPr>
          <w:spacing w:val="-79"/>
        </w:rPr>
        <w:t> </w:t>
      </w:r>
      <w:r>
        <w:rPr>
          <w:spacing w:val="-79"/>
        </w:rPr>
      </w:r>
      <w:r>
        <w:rPr/>
        <w:t>及巨潮资讯网（</w:t>
      </w:r>
      <w:hyperlink r:id="rId10">
        <w:r>
          <w:rPr>
            <w:rFonts w:ascii="Times New Roman" w:hAnsi="Times New Roman" w:cs="Times New Roman" w:eastAsia="Times New Roman" w:hint="default"/>
          </w:rPr>
          <w:t>www.cninfo.com.cn</w:t>
        </w:r>
      </w:hyperlink>
      <w:r>
        <w:rPr/>
        <w:t>）上的《关于公司部分董监高及核心骨干人员融资增持公司股份的公告》及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rPr>
        <w:t>30</w:t>
      </w:r>
      <w:r>
        <w:rPr/>
        <w:t>日刊载在《证券时报》及巨潮资讯网（</w:t>
      </w:r>
      <w:hyperlink r:id="rId10">
        <w:r>
          <w:rPr>
            <w:rFonts w:ascii="Times New Roman" w:hAnsi="Times New Roman" w:cs="Times New Roman" w:eastAsia="Times New Roman" w:hint="default"/>
          </w:rPr>
          <w:t>www.cninfo.com.cn</w:t>
        </w:r>
      </w:hyperlink>
      <w:r>
        <w:rPr/>
        <w:t>）上《关于公司部分董监高及核心骨干人员融资增持公司股份 存续期展期的公告》。</w:t>
      </w:r>
    </w:p>
    <w:p>
      <w:pPr>
        <w:spacing w:line="240" w:lineRule="auto" w:before="11"/>
        <w:rPr>
          <w:rFonts w:ascii="宋体" w:hAnsi="宋体" w:cs="宋体" w:eastAsia="宋体" w:hint="default"/>
          <w:sz w:val="21"/>
          <w:szCs w:val="21"/>
        </w:rPr>
      </w:pPr>
    </w:p>
    <w:p>
      <w:pPr>
        <w:pStyle w:val="Heading2"/>
        <w:spacing w:line="240" w:lineRule="auto"/>
        <w:ind w:right="94"/>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公司报告期未发生与日常经营相关的重大关联交易。</w:t>
      </w:r>
    </w:p>
    <w:p>
      <w:pPr>
        <w:spacing w:line="240" w:lineRule="auto" w:before="3"/>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after="0" w:line="3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公司第三届董事会第二十七次（临时）会议及公司</w:t>
      </w:r>
      <w:r>
        <w:rPr>
          <w:rFonts w:ascii="Times New Roman" w:hAnsi="Times New Roman" w:cs="Times New Roman" w:eastAsia="Times New Roman" w:hint="default"/>
          <w:spacing w:val="-2"/>
        </w:rPr>
        <w:t>2016</w:t>
      </w:r>
      <w:r>
        <w:rPr>
          <w:spacing w:val="-2"/>
        </w:rPr>
        <w:t>年第二次临时股东大会分别审议通过了《关于与公司关联人共同投资</w:t>
      </w:r>
      <w:r>
        <w:rPr>
          <w:spacing w:val="-62"/>
        </w:rPr>
        <w:t> </w:t>
      </w:r>
      <w:r>
        <w:rPr>
          <w:spacing w:val="-62"/>
        </w:rPr>
      </w:r>
      <w:r>
        <w:rPr>
          <w:spacing w:val="-6"/>
          <w:w w:val="99"/>
        </w:rPr>
        <w:t>成立公司的议案》，关于本次关联交易的情况详见公司</w:t>
      </w:r>
      <w:r>
        <w:rPr>
          <w:rFonts w:ascii="Times New Roman" w:hAnsi="Times New Roman" w:cs="Times New Roman" w:eastAsia="Times New Roman" w:hint="default"/>
          <w:spacing w:val="-6"/>
          <w:w w:val="99"/>
        </w:rPr>
        <w:t>2016</w:t>
      </w:r>
      <w:r>
        <w:rPr>
          <w:spacing w:val="-6"/>
          <w:w w:val="99"/>
        </w:rPr>
        <w:t>年</w:t>
      </w:r>
      <w:r>
        <w:rPr>
          <w:rFonts w:ascii="Times New Roman" w:hAnsi="Times New Roman" w:cs="Times New Roman" w:eastAsia="Times New Roman" w:hint="default"/>
          <w:spacing w:val="-6"/>
          <w:w w:val="99"/>
        </w:rPr>
        <w:t>11</w:t>
      </w:r>
      <w:r>
        <w:rPr>
          <w:spacing w:val="-6"/>
          <w:w w:val="99"/>
        </w:rPr>
        <w:t>月</w:t>
      </w:r>
      <w:r>
        <w:rPr>
          <w:rFonts w:ascii="Times New Roman" w:hAnsi="Times New Roman" w:cs="Times New Roman" w:eastAsia="Times New Roman" w:hint="default"/>
          <w:spacing w:val="-6"/>
          <w:w w:val="99"/>
        </w:rPr>
        <w:t>11</w:t>
      </w:r>
      <w:r>
        <w:rPr>
          <w:spacing w:val="-6"/>
          <w:w w:val="99"/>
        </w:rPr>
        <w:t>日刊载于《证券时报》和巨潮资讯网（</w:t>
      </w:r>
      <w:hyperlink r:id="rId10">
        <w:r>
          <w:rPr>
            <w:rFonts w:ascii="Times New Roman" w:hAnsi="Times New Roman" w:cs="Times New Roman" w:eastAsia="Times New Roman" w:hint="default"/>
            <w:spacing w:val="-6"/>
            <w:w w:val="99"/>
          </w:rPr>
          <w:t>www.cninfo.com.cn</w:t>
        </w:r>
      </w:hyperlink>
      <w:r>
        <w:rPr>
          <w:spacing w:val="-6"/>
          <w:w w:val="99"/>
        </w:rPr>
        <w:t>）</w:t>
      </w:r>
    </w:p>
    <w:p>
      <w:pPr>
        <w:pStyle w:val="BodyText"/>
        <w:spacing w:line="300" w:lineRule="auto"/>
        <w:ind w:right="193"/>
        <w:jc w:val="both"/>
      </w:pPr>
      <w:r>
        <w:rPr/>
        <w:t>的《关于与公司关联人共同投资成立公司的公告》（公告编号：</w:t>
      </w:r>
      <w:r>
        <w:rPr>
          <w:rFonts w:ascii="Times New Roman" w:hAnsi="Times New Roman" w:cs="Times New Roman" w:eastAsia="Times New Roman" w:hint="default"/>
        </w:rPr>
        <w:t>2016-088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日，上述共同投资成立的公司取 </w:t>
      </w:r>
      <w:r>
        <w:rPr>
          <w:spacing w:val="-1"/>
        </w:rPr>
        <w:t>得了营业执照，详见公司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日刊载于《证券时报》和巨潮资讯网（</w:t>
      </w:r>
      <w:hyperlink r:id="rId10">
        <w:r>
          <w:rPr>
            <w:rFonts w:ascii="Times New Roman" w:hAnsi="Times New Roman" w:cs="Times New Roman" w:eastAsia="Times New Roman" w:hint="default"/>
            <w:spacing w:val="-1"/>
          </w:rPr>
          <w:t>www.cninfo.com.cn</w:t>
        </w:r>
      </w:hyperlink>
      <w:r>
        <w:rPr>
          <w:spacing w:val="-1"/>
        </w:rPr>
        <w:t>）的《关于控股子公司完成</w:t>
      </w:r>
      <w:r>
        <w:rPr>
          <w:spacing w:val="-50"/>
        </w:rPr>
        <w:t> </w:t>
      </w:r>
      <w:r>
        <w:rPr>
          <w:spacing w:val="-50"/>
        </w:rPr>
      </w:r>
      <w:r>
        <w:rPr/>
        <w:t>工商注册登记的公告》（公告编号：</w:t>
      </w:r>
      <w:r>
        <w:rPr>
          <w:rFonts w:ascii="Times New Roman" w:hAnsi="Times New Roman" w:cs="Times New Roman" w:eastAsia="Times New Roman" w:hint="default"/>
        </w:rPr>
        <w:t>2017-002</w:t>
      </w:r>
      <w:r>
        <w:rPr/>
        <w:t>）。</w:t>
      </w:r>
    </w:p>
    <w:p>
      <w:pPr>
        <w:pStyle w:val="BodyText"/>
        <w:spacing w:line="240" w:lineRule="auto" w:before="54"/>
        <w:ind w:right="94"/>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关于与公司关联人共同投资成立公司的公 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3"/>
        <w:rPr>
          <w:rFonts w:ascii="宋体" w:hAnsi="宋体" w:cs="宋体" w:eastAsia="宋体" w:hint="default"/>
          <w:sz w:val="21"/>
          <w:szCs w:val="21"/>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after="0" w:line="338"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公司自设立以来，一直非常重视并积极践行社会责任，努力实现公司与社会、利益相关方的和谐共赢。报告期内，公司</w:t>
      </w:r>
      <w:r>
        <w:rPr/>
        <w:t> </w:t>
      </w:r>
      <w:r>
        <w:rPr>
          <w:spacing w:val="-2"/>
        </w:rPr>
        <w:t>通过多种方式积极践行社会责任。公司建立了较为完善的公司治理结构，并按照相关法律法规的规定履行信息披露义务、持</w:t>
      </w:r>
      <w:r>
        <w:rPr>
          <w:spacing w:val="-63"/>
        </w:rPr>
        <w:t> </w:t>
      </w:r>
      <w:r>
        <w:rPr>
          <w:spacing w:val="-63"/>
        </w:rPr>
      </w:r>
      <w:r>
        <w:rPr/>
        <w:t>续提升公司规范运作水平，严格按照分红政策和回报规划的要求制定分红方案，以持续的经营业绩和现金分红回报投资者。 </w:t>
      </w:r>
      <w:r>
        <w:rPr>
          <w:spacing w:val="-4"/>
        </w:rPr>
        <w:t>报告期内，公司一如既往，持续提升公司服务水平，不断提高产品品质，提升客户满意度，为客户创造价值，从而实现股东、</w:t>
      </w:r>
      <w:r>
        <w:rPr>
          <w:spacing w:val="-44"/>
        </w:rPr>
        <w:t> </w:t>
      </w:r>
      <w:r>
        <w:rPr>
          <w:spacing w:val="-44"/>
        </w:rPr>
      </w:r>
      <w:r>
        <w:rPr>
          <w:spacing w:val="-2"/>
        </w:rPr>
        <w:t>员工、客户、供应商及有关利益相关方的共赢发展。报告期内，公司通过各种方式，帮助、关爱弱势群体，积极捐款助力抗</w:t>
      </w:r>
      <w:r>
        <w:rPr>
          <w:spacing w:val="-73"/>
        </w:rPr>
        <w:t> </w:t>
      </w:r>
      <w:r>
        <w:rPr>
          <w:spacing w:val="-73"/>
        </w:rPr>
      </w:r>
      <w:r>
        <w:rPr>
          <w:spacing w:val="-2"/>
        </w:rPr>
        <w:t>洪救灾、捐资助学，积极践行中央教育扶贫精神。报告期内，公司还组织为困难职工募捐等活动，与困难职工共渡难关，通</w:t>
      </w:r>
      <w:r>
        <w:rPr>
          <w:spacing w:val="-70"/>
        </w:rPr>
        <w:t> </w:t>
      </w:r>
      <w:r>
        <w:rPr>
          <w:spacing w:val="-70"/>
        </w:rPr>
      </w:r>
      <w:r>
        <w:rPr>
          <w:spacing w:val="-4"/>
        </w:rPr>
        <w:t>过自身实际行动帮助弱势群体解决实际困难。作为一家有数千名员工的大中型企业，公司十分关爱员工，通过提升员工福利、</w:t>
      </w:r>
      <w:r>
        <w:rPr>
          <w:spacing w:val="-44"/>
        </w:rPr>
        <w:t> </w:t>
      </w:r>
      <w:r>
        <w:rPr>
          <w:spacing w:val="-44"/>
        </w:rPr>
      </w:r>
      <w:r>
        <w:rPr/>
        <w:t>举办</w:t>
      </w:r>
      <w:r>
        <w:rPr>
          <w:rFonts w:ascii="Times New Roman" w:hAnsi="Times New Roman" w:cs="Times New Roman" w:eastAsia="Times New Roman" w:hint="default"/>
        </w:rPr>
        <w:t>“4</w:t>
      </w:r>
      <w:r>
        <w:rPr/>
        <w:t>点半</w:t>
      </w:r>
      <w:r>
        <w:rPr>
          <w:rFonts w:ascii="Times New Roman" w:hAnsi="Times New Roman" w:cs="Times New Roman" w:eastAsia="Times New Roman" w:hint="default"/>
        </w:rPr>
        <w:t>”</w:t>
      </w:r>
      <w:r>
        <w:rPr/>
        <w:t>课堂、优化员工锻炼、娱乐设施及场所等多种方式让员工共享公司发展的成果，为社会的和谐稳定贡献一份力 </w:t>
      </w:r>
      <w:r>
        <w:rPr>
          <w:spacing w:val="-2"/>
        </w:rPr>
        <w:t>量。报告期内，公司进一步提升绿色制造水平，通过产品的轻量减量化，产品结构的持续优化，实现节能减排，为社会环境</w:t>
      </w:r>
      <w:r>
        <w:rPr>
          <w:spacing w:val="-68"/>
        </w:rPr>
        <w:t> </w:t>
      </w:r>
      <w:r>
        <w:rPr>
          <w:spacing w:val="-68"/>
        </w:rPr>
      </w:r>
      <w:r>
        <w:rPr/>
        <w:t>的优化贡献一份力量。</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公司正积极响应中央扶贫开发有关精神</w:t>
      </w:r>
      <w:r>
        <w:rPr>
          <w:spacing w:val="-87"/>
        </w:rPr>
        <w:t>，</w:t>
      </w:r>
      <w:r>
        <w:rPr/>
        <w:t>不断研究和走出一条切合公司实际的产业发展脱贫</w:t>
      </w:r>
      <w:r>
        <w:rPr>
          <w:spacing w:val="-87"/>
        </w:rPr>
        <w:t>、</w:t>
      </w:r>
      <w:r>
        <w:rPr/>
        <w:t>转移就业脱贫的精准扶贫路子。</w:t>
      </w:r>
    </w:p>
    <w:p>
      <w:pPr>
        <w:spacing w:line="240" w:lineRule="auto" w:before="0"/>
        <w:rPr>
          <w:rFonts w:ascii="宋体" w:hAnsi="宋体" w:cs="宋体" w:eastAsia="宋体" w:hint="default"/>
          <w:sz w:val="18"/>
          <w:szCs w:val="18"/>
        </w:rPr>
      </w:pPr>
    </w:p>
    <w:p>
      <w:pPr>
        <w:pStyle w:val="Heading4"/>
        <w:spacing w:line="240" w:lineRule="auto" w:before="121"/>
        <w:ind w:right="94"/>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74" w:firstLine="360"/>
        <w:jc w:val="left"/>
      </w:pPr>
      <w:r>
        <w:rPr/>
        <w:t>公司与安徽省六安经济技术开发区管理委员会于 </w:t>
      </w:r>
      <w:r>
        <w:rPr>
          <w:rFonts w:ascii="Times New Roman" w:hAnsi="Times New Roman" w:cs="Times New Roman" w:eastAsia="Times New Roman" w:hint="default"/>
          <w:spacing w:val="-7"/>
        </w:rPr>
        <w:t>2017</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5</w:t>
      </w:r>
      <w:r>
        <w:rPr>
          <w:spacing w:val="-7"/>
        </w:rPr>
        <w:t>日完成了《投资协议书》的签署程序。公司计划总投资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亿 元人民币建设包装印刷工业 </w:t>
      </w:r>
      <w:r>
        <w:rPr>
          <w:rFonts w:ascii="Times New Roman" w:hAnsi="Times New Roman" w:cs="Times New Roman" w:eastAsia="Times New Roman" w:hint="default"/>
        </w:rPr>
        <w:t>4.0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项目。上述协议已经公司第四届董事会第八次会议审议通过。公司在六 安经济技术开发区投资建设包装印刷工业 </w:t>
      </w:r>
      <w:r>
        <w:rPr>
          <w:rFonts w:ascii="Times New Roman" w:hAnsi="Times New Roman" w:cs="Times New Roman" w:eastAsia="Times New Roman" w:hint="default"/>
        </w:rPr>
        <w:t>4.0</w:t>
      </w:r>
      <w:r>
        <w:rPr>
          <w:rFonts w:ascii="Times New Roman" w:hAnsi="Times New Roman" w:cs="Times New Roman" w:eastAsia="Times New Roman" w:hint="default"/>
          <w:spacing w:val="-20"/>
        </w:rPr>
        <w:t>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t>项目，有利于公司贴近服务安徽及周边区域客户，增加客户 </w:t>
      </w:r>
      <w:r>
        <w:rPr>
          <w:spacing w:val="-2"/>
        </w:rPr>
        <w:t>黏性，进一步布局华东区域市场，分享区域内包装市场需求带来的收益。同时，本次投资亦是公司积极响应中央扶贫开发有</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58"/>
        <w:jc w:val="left"/>
      </w:pPr>
      <w:r>
        <w:rPr>
          <w:spacing w:val="-2"/>
        </w:rPr>
        <w:t>关精神，支持革命老区产业及经济发展的重要举措。截至目前，上述项目已取得项目用地，并完成了项目备案手续等项目前</w:t>
      </w:r>
      <w:r>
        <w:rPr>
          <w:spacing w:val="-65"/>
        </w:rPr>
        <w:t> </w:t>
      </w:r>
      <w:r>
        <w:rPr>
          <w:spacing w:val="-65"/>
        </w:rPr>
      </w:r>
      <w:r>
        <w:rPr/>
        <w:t>期工作，项目正在推进当中。</w:t>
      </w:r>
    </w:p>
    <w:p>
      <w:pPr>
        <w:spacing w:line="240" w:lineRule="auto" w:before="9"/>
        <w:rPr>
          <w:rFonts w:ascii="宋体" w:hAnsi="宋体" w:cs="宋体" w:eastAsia="宋体" w:hint="default"/>
          <w:sz w:val="22"/>
          <w:szCs w:val="22"/>
        </w:rPr>
      </w:pPr>
    </w:p>
    <w:p>
      <w:pPr>
        <w:pStyle w:val="Heading4"/>
        <w:spacing w:line="240" w:lineRule="auto"/>
        <w:ind w:right="58"/>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4"/>
        <w:gridCol w:w="1471"/>
        <w:gridCol w:w="4503"/>
      </w:tblGrid>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宋体" w:hAnsi="宋体" w:cs="宋体" w:eastAsia="宋体" w:hint="default"/>
                <w:sz w:val="18"/>
                <w:szCs w:val="18"/>
              </w:rPr>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资助贫困学生投入金额</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w:t>
            </w:r>
          </w:p>
        </w:tc>
      </w:tr>
      <w:tr>
        <w:trPr>
          <w:trHeight w:val="161" w:hRule="exact"/>
        </w:trPr>
        <w:tc>
          <w:tcPr>
            <w:tcW w:w="3584"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12" w:right="4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 额</w:t>
            </w:r>
          </w:p>
        </w:tc>
        <w:tc>
          <w:tcPr>
            <w:tcW w:w="1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450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3584" w:type="dxa"/>
            <w:vMerge/>
            <w:tcBorders>
              <w:left w:val="single" w:sz="4" w:space="0" w:color="000000"/>
              <w:right w:val="single" w:sz="4" w:space="0" w:color="000000"/>
            </w:tcBorders>
            <w:shd w:val="clear" w:color="auto" w:fill="D2D2D2"/>
          </w:tcPr>
          <w:p>
            <w:pPr/>
          </w:p>
        </w:tc>
        <w:tc>
          <w:tcPr>
            <w:tcW w:w="14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3" w:type="dxa"/>
            <w:vMerge/>
            <w:tcBorders>
              <w:left w:val="single" w:sz="10" w:space="0" w:color="D2D2D2"/>
              <w:right w:val="single" w:sz="4" w:space="0" w:color="000000"/>
            </w:tcBorders>
          </w:tcPr>
          <w:p>
            <w:pPr/>
          </w:p>
        </w:tc>
      </w:tr>
      <w:tr>
        <w:trPr>
          <w:trHeight w:val="161" w:hRule="exact"/>
        </w:trPr>
        <w:tc>
          <w:tcPr>
            <w:tcW w:w="3584" w:type="dxa"/>
            <w:vMerge/>
            <w:tcBorders>
              <w:left w:val="single" w:sz="4" w:space="0" w:color="000000"/>
              <w:bottom w:val="single" w:sz="4" w:space="0" w:color="000000"/>
              <w:right w:val="single" w:sz="4" w:space="0" w:color="000000"/>
            </w:tcBorders>
            <w:shd w:val="clear" w:color="auto" w:fill="D2D2D2"/>
          </w:tcPr>
          <w:p>
            <w:pPr/>
          </w:p>
        </w:tc>
        <w:tc>
          <w:tcPr>
            <w:tcW w:w="1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4503" w:type="dxa"/>
            <w:vMerge/>
            <w:tcBorders>
              <w:left w:val="single" w:sz="10" w:space="0" w:color="D2D2D2"/>
              <w:bottom w:val="single" w:sz="4" w:space="0" w:color="000000"/>
              <w:right w:val="single" w:sz="4" w:space="0" w:color="000000"/>
            </w:tcBorders>
          </w:tcPr>
          <w:p>
            <w:pP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定点扶贫工作投入金额</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58"/>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58"/>
        <w:jc w:val="left"/>
      </w:pPr>
      <w:r>
        <w:rPr/>
        <w:t>加大力度推动包装印刷工业 </w:t>
      </w:r>
      <w:r>
        <w:rPr>
          <w:rFonts w:ascii="Times New Roman" w:hAnsi="Times New Roman" w:cs="Times New Roman" w:eastAsia="Times New Roman" w:hint="default"/>
        </w:rPr>
        <w:t>4.0 </w:t>
      </w:r>
      <w:r>
        <w:rPr/>
        <w:t>智慧型工厂</w:t>
      </w:r>
      <w:r>
        <w:rPr>
          <w:rFonts w:ascii="Times New Roman" w:hAnsi="Times New Roman" w:cs="Times New Roman" w:eastAsia="Times New Roman" w:hint="default"/>
        </w:rPr>
        <w:t>(</w:t>
      </w:r>
      <w:r>
        <w:rPr/>
        <w:t>六安</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项目早建成、早投产、早见效，为革命老区产业及经济发展贡献一份力 量。</w:t>
      </w:r>
    </w:p>
    <w:p>
      <w:pPr>
        <w:spacing w:line="240" w:lineRule="auto" w:before="10"/>
        <w:rPr>
          <w:rFonts w:ascii="宋体" w:hAnsi="宋体" w:cs="宋体" w:eastAsia="宋体" w:hint="default"/>
          <w:sz w:val="23"/>
          <w:szCs w:val="23"/>
        </w:rPr>
      </w:pPr>
    </w:p>
    <w:p>
      <w:pPr>
        <w:pStyle w:val="Heading4"/>
        <w:spacing w:line="240" w:lineRule="auto"/>
        <w:ind w:right="58"/>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854"/>
        <w:jc w:val="left"/>
      </w:pPr>
      <w:r>
        <w:rPr/>
        <w:t>上市公司及其子公司是否属于环境保护部门公布的重点排污单位 不适用</w:t>
      </w:r>
    </w:p>
    <w:p>
      <w:pPr>
        <w:pStyle w:val="BodyText"/>
        <w:spacing w:line="240" w:lineRule="auto" w:before="29"/>
        <w:ind w:right="58"/>
        <w:jc w:val="left"/>
      </w:pPr>
      <w:r>
        <w:rPr/>
        <w:t>公司不属于重点排污单位。</w:t>
      </w:r>
    </w:p>
    <w:p>
      <w:pPr>
        <w:spacing w:line="240" w:lineRule="auto" w:before="4"/>
        <w:rPr>
          <w:rFonts w:ascii="宋体" w:hAnsi="宋体" w:cs="宋体" w:eastAsia="宋体" w:hint="default"/>
          <w:sz w:val="25"/>
          <w:szCs w:val="25"/>
        </w:rPr>
      </w:pPr>
    </w:p>
    <w:p>
      <w:pPr>
        <w:pStyle w:val="Heading2"/>
        <w:spacing w:line="240" w:lineRule="auto"/>
        <w:ind w:right="58"/>
        <w:jc w:val="left"/>
        <w:rPr>
          <w:b w:val="0"/>
          <w:bCs w:val="0"/>
        </w:rPr>
      </w:pP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1" w:type="dxa"/>
        <w:tblLayout w:type="fixed"/>
        <w:tblCellMar>
          <w:top w:w="0" w:type="dxa"/>
          <w:left w:w="0" w:type="dxa"/>
          <w:bottom w:w="0" w:type="dxa"/>
          <w:right w:w="0" w:type="dxa"/>
        </w:tblCellMar>
        <w:tblLook w:val="01E0"/>
      </w:tblPr>
      <w:tblGrid>
        <w:gridCol w:w="429"/>
        <w:gridCol w:w="852"/>
        <w:gridCol w:w="864"/>
        <w:gridCol w:w="7658"/>
      </w:tblGrid>
      <w:tr>
        <w:trPr>
          <w:trHeight w:val="660" w:hRule="exact"/>
        </w:trPr>
        <w:tc>
          <w:tcPr>
            <w:tcW w:w="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40" w:right="55" w:hanging="180"/>
              <w:jc w:val="left"/>
              <w:rPr>
                <w:rFonts w:ascii="宋体" w:hAnsi="宋体" w:cs="宋体" w:eastAsia="宋体" w:hint="default"/>
                <w:sz w:val="18"/>
                <w:szCs w:val="18"/>
              </w:rPr>
            </w:pPr>
            <w:r>
              <w:rPr>
                <w:rFonts w:ascii="宋体" w:hAnsi="宋体" w:cs="宋体" w:eastAsia="宋体" w:hint="default"/>
                <w:sz w:val="18"/>
                <w:szCs w:val="18"/>
              </w:rPr>
              <w:t>重大事件 类型</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查询索引</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详见信息披露指定网站巨潮资讯网（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）的如下公告</w:t>
            </w: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860"/>
        </w:sectPr>
      </w:pPr>
    </w:p>
    <w:p>
      <w:pPr>
        <w:spacing w:line="240" w:lineRule="auto" w:before="0"/>
        <w:rPr>
          <w:rFonts w:ascii="宋体" w:hAnsi="宋体" w:cs="宋体" w:eastAsia="宋体" w:hint="default"/>
          <w:sz w:val="20"/>
          <w:szCs w:val="20"/>
        </w:rPr>
      </w:pPr>
      <w:r>
        <w:rPr/>
        <w:pict>
          <v:shape style="position:absolute;margin-left:56.279999pt;margin-top:71.999985pt;width:491.05pt;height:670.2pt;mso-position-horizontal-relative:page;mso-position-vertical-relative:page;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
                    <w:gridCol w:w="852"/>
                    <w:gridCol w:w="864"/>
                    <w:gridCol w:w="7658"/>
                  </w:tblGrid>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《关于控股子公司完成工商注册登记的公告》（公告编号：</w:t>
                        </w:r>
                        <w:r>
                          <w:rPr>
                            <w:rFonts w:ascii="Times New Roman" w:hAnsi="Times New Roman" w:cs="Times New Roman" w:eastAsia="Times New Roman" w:hint="default"/>
                            <w:sz w:val="18"/>
                            <w:szCs w:val="18"/>
                          </w:rPr>
                          <w:t>2017-002</w:t>
                        </w:r>
                        <w:r>
                          <w:rPr>
                            <w:rFonts w:ascii="宋体" w:hAnsi="宋体" w:cs="宋体" w:eastAsia="宋体" w:hint="default"/>
                            <w:sz w:val="18"/>
                            <w:szCs w:val="18"/>
                          </w:rPr>
                          <w:t>）</w:t>
                        </w:r>
                      </w:p>
                    </w:tc>
                  </w:tr>
                  <w:tr>
                    <w:trPr>
                      <w:trHeight w:val="65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《关于全资子公司完成工商注册登记的公告》（公告编号：</w:t>
                        </w:r>
                        <w:r>
                          <w:rPr>
                            <w:rFonts w:ascii="Times New Roman" w:hAnsi="Times New Roman" w:cs="Times New Roman" w:eastAsia="Times New Roman" w:hint="default"/>
                            <w:sz w:val="18"/>
                            <w:szCs w:val="18"/>
                          </w:rPr>
                          <w:t>2017-010</w:t>
                        </w: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0" w:right="0"/>
                          <w:jc w:val="lef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《关于签订招商合作协议书的公告》（公告编号：</w:t>
                        </w:r>
                        <w:r>
                          <w:rPr>
                            <w:rFonts w:ascii="Times New Roman" w:hAnsi="Times New Roman" w:cs="Times New Roman" w:eastAsia="Times New Roman" w:hint="default"/>
                            <w:sz w:val="18"/>
                            <w:szCs w:val="18"/>
                          </w:rPr>
                          <w:t>2017-012</w:t>
                        </w:r>
                        <w:r>
                          <w:rPr>
                            <w:rFonts w:ascii="宋体" w:hAnsi="宋体" w:cs="宋体" w:eastAsia="宋体" w:hint="default"/>
                            <w:sz w:val="18"/>
                            <w:szCs w:val="18"/>
                          </w:rPr>
                          <w:t>）</w:t>
                        </w:r>
                      </w:p>
                    </w:tc>
                  </w:tr>
                  <w:tr>
                    <w:trPr>
                      <w:trHeight w:val="65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《关于全资子公司苏州美盈森环保科技有限公司签订投资协议书的公告》（公告编号：</w:t>
                        </w:r>
                        <w:r>
                          <w:rPr>
                            <w:rFonts w:ascii="Times New Roman" w:hAnsi="Times New Roman" w:cs="Times New Roman" w:eastAsia="Times New Roman" w:hint="default"/>
                            <w:sz w:val="18"/>
                            <w:szCs w:val="18"/>
                          </w:rPr>
                          <w:t>2017-013</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0" w:right="0"/>
                          <w:jc w:val="left"/>
                          <w:rPr>
                            <w:rFonts w:ascii="Times New Roman" w:hAnsi="Times New Roman" w:cs="Times New Roman" w:eastAsia="Times New Roman" w:hint="default"/>
                            <w:sz w:val="18"/>
                            <w:szCs w:val="18"/>
                          </w:rPr>
                        </w:pPr>
                        <w:r>
                          <w:rPr>
                            <w:rFonts w:ascii="Times New Roman"/>
                            <w:sz w:val="18"/>
                          </w:rPr>
                          <w:t>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76"/>
                          <w:jc w:val="left"/>
                          <w:rPr>
                            <w:rFonts w:ascii="宋体" w:hAnsi="宋体" w:cs="宋体" w:eastAsia="宋体" w:hint="default"/>
                            <w:sz w:val="18"/>
                            <w:szCs w:val="18"/>
                          </w:rPr>
                        </w:pPr>
                        <w:r>
                          <w:rPr>
                            <w:rFonts w:ascii="宋体" w:hAnsi="宋体" w:cs="宋体" w:eastAsia="宋体" w:hint="default"/>
                            <w:sz w:val="18"/>
                            <w:szCs w:val="18"/>
                          </w:rPr>
                          <w:t>《关于全资子公司美盈森（香港）国际控股有限公司对外投资设立越南子公司的公告》（公告编 号：</w:t>
                        </w:r>
                        <w:r>
                          <w:rPr>
                            <w:rFonts w:ascii="Times New Roman" w:hAnsi="Times New Roman" w:cs="Times New Roman" w:eastAsia="Times New Roman" w:hint="default"/>
                            <w:sz w:val="18"/>
                            <w:szCs w:val="18"/>
                          </w:rPr>
                          <w:t>2017-015</w:t>
                        </w:r>
                        <w:r>
                          <w:rPr>
                            <w:rFonts w:ascii="宋体" w:hAnsi="宋体" w:cs="宋体" w:eastAsia="宋体" w:hint="default"/>
                            <w:sz w:val="18"/>
                            <w:szCs w:val="18"/>
                          </w:rPr>
                          <w:t>）</w:t>
                        </w:r>
                      </w:p>
                    </w:tc>
                  </w:tr>
                  <w:tr>
                    <w:trPr>
                      <w:trHeight w:val="97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0"/>
                          <w:jc w:val="both"/>
                          <w:rPr>
                            <w:rFonts w:ascii="宋体" w:hAnsi="宋体" w:cs="宋体" w:eastAsia="宋体" w:hint="default"/>
                            <w:sz w:val="18"/>
                            <w:szCs w:val="18"/>
                          </w:rPr>
                        </w:pPr>
                        <w:r>
                          <w:rPr>
                            <w:rFonts w:ascii="宋体" w:hAnsi="宋体" w:cs="宋体" w:eastAsia="宋体" w:hint="default"/>
                            <w:sz w:val="18"/>
                            <w:szCs w:val="18"/>
                          </w:rPr>
                          <w:t>控股股东 增持公司 股份</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《关于控股股东完成增持公司股份计划的公告》（公告编号：</w:t>
                        </w:r>
                        <w:r>
                          <w:rPr>
                            <w:rFonts w:ascii="Times New Roman" w:hAnsi="Times New Roman" w:cs="Times New Roman" w:eastAsia="Times New Roman" w:hint="default"/>
                            <w:sz w:val="18"/>
                            <w:szCs w:val="18"/>
                          </w:rPr>
                          <w:t>2017-017</w:t>
                        </w: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60" w:right="0"/>
                          <w:jc w:val="lef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《关于控股子公司完成工商注册登记的公告》（公告编号：</w:t>
                        </w:r>
                        <w:r>
                          <w:rPr>
                            <w:rFonts w:ascii="Times New Roman" w:hAnsi="Times New Roman" w:cs="Times New Roman" w:eastAsia="Times New Roman" w:hint="default"/>
                            <w:sz w:val="18"/>
                            <w:szCs w:val="18"/>
                          </w:rPr>
                          <w:t>2017-018</w:t>
                        </w: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《关于控股子公司完成工商注册登记的公告》（公告编号：</w:t>
                        </w:r>
                        <w:r>
                          <w:rPr>
                            <w:rFonts w:ascii="Times New Roman" w:hAnsi="Times New Roman" w:cs="Times New Roman" w:eastAsia="Times New Roman" w:hint="default"/>
                            <w:sz w:val="18"/>
                            <w:szCs w:val="18"/>
                          </w:rPr>
                          <w:t>2017-034</w:t>
                        </w:r>
                        <w:r>
                          <w:rPr>
                            <w:rFonts w:ascii="宋体" w:hAnsi="宋体" w:cs="宋体" w:eastAsia="宋体" w:hint="default"/>
                            <w:sz w:val="18"/>
                            <w:szCs w:val="18"/>
                          </w:rPr>
                          <w:t>）</w:t>
                        </w:r>
                      </w:p>
                    </w:tc>
                  </w:tr>
                  <w:tr>
                    <w:trPr>
                      <w:trHeight w:val="65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0" w:right="0"/>
                          <w:jc w:val="left"/>
                          <w:rPr>
                            <w:rFonts w:ascii="Times New Roman" w:hAnsi="Times New Roman" w:cs="Times New Roman" w:eastAsia="Times New Roman" w:hint="default"/>
                            <w:sz w:val="18"/>
                            <w:szCs w:val="18"/>
                          </w:rPr>
                        </w:pPr>
                        <w:r>
                          <w:rPr>
                            <w:rFonts w:ascii="Times New Roman"/>
                            <w:sz w:val="18"/>
                          </w:rPr>
                          <w:t>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《关于越南子公司完成注册设立的公告》（公告编号：</w:t>
                        </w:r>
                        <w:r>
                          <w:rPr>
                            <w:rFonts w:ascii="Times New Roman" w:hAnsi="Times New Roman" w:cs="Times New Roman" w:eastAsia="Times New Roman" w:hint="default"/>
                            <w:sz w:val="18"/>
                            <w:szCs w:val="18"/>
                          </w:rPr>
                          <w:t>2017-044</w:t>
                        </w:r>
                        <w:r>
                          <w:rPr>
                            <w:rFonts w:ascii="宋体" w:hAnsi="宋体" w:cs="宋体" w:eastAsia="宋体" w:hint="default"/>
                            <w:sz w:val="18"/>
                            <w:szCs w:val="18"/>
                          </w:rPr>
                          <w:t>）</w:t>
                        </w:r>
                      </w:p>
                    </w:tc>
                  </w:tr>
                  <w:tr>
                    <w:trPr>
                      <w:trHeight w:val="972"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7" w:right="0"/>
                          <w:jc w:val="left"/>
                          <w:rPr>
                            <w:rFonts w:ascii="Times New Roman" w:hAnsi="Times New Roman" w:cs="Times New Roman" w:eastAsia="Times New Roman" w:hint="default"/>
                            <w:sz w:val="18"/>
                            <w:szCs w:val="18"/>
                          </w:rPr>
                        </w:pPr>
                        <w:r>
                          <w:rPr>
                            <w:rFonts w:ascii="Times New Roman"/>
                            <w:sz w:val="18"/>
                          </w:rPr>
                          <w:t>10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0"/>
                          <w:jc w:val="both"/>
                          <w:rPr>
                            <w:rFonts w:ascii="宋体" w:hAnsi="宋体" w:cs="宋体" w:eastAsia="宋体" w:hint="default"/>
                            <w:sz w:val="18"/>
                            <w:szCs w:val="18"/>
                          </w:rPr>
                        </w:pPr>
                        <w:r>
                          <w:rPr>
                            <w:rFonts w:ascii="宋体" w:hAnsi="宋体" w:cs="宋体" w:eastAsia="宋体" w:hint="default"/>
                            <w:sz w:val="18"/>
                            <w:szCs w:val="18"/>
                          </w:rPr>
                          <w:t>终止非公 开发行股 票</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《关于终止</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年度非公开发行股票事项的公告》（公告编号：</w:t>
                        </w:r>
                        <w:r>
                          <w:rPr>
                            <w:rFonts w:ascii="Times New Roman" w:hAnsi="Times New Roman" w:cs="Times New Roman" w:eastAsia="Times New Roman" w:hint="default"/>
                            <w:sz w:val="18"/>
                            <w:szCs w:val="18"/>
                          </w:rPr>
                          <w:t>2017-037</w:t>
                        </w:r>
                        <w:r>
                          <w:rPr>
                            <w:rFonts w:ascii="宋体" w:hAnsi="宋体" w:cs="宋体" w:eastAsia="宋体" w:hint="default"/>
                            <w:sz w:val="18"/>
                            <w:szCs w:val="18"/>
                          </w:rPr>
                          <w:t>）</w:t>
                        </w:r>
                      </w:p>
                    </w:tc>
                  </w:tr>
                  <w:tr>
                    <w:trPr>
                      <w:trHeight w:val="97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11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10"/>
                          <w:jc w:val="both"/>
                          <w:rPr>
                            <w:rFonts w:ascii="宋体" w:hAnsi="宋体" w:cs="宋体" w:eastAsia="宋体" w:hint="default"/>
                            <w:sz w:val="18"/>
                            <w:szCs w:val="18"/>
                          </w:rPr>
                        </w:pPr>
                        <w:r>
                          <w:rPr>
                            <w:rFonts w:ascii="宋体" w:hAnsi="宋体" w:cs="宋体" w:eastAsia="宋体" w:hint="default"/>
                            <w:sz w:val="18"/>
                            <w:szCs w:val="18"/>
                          </w:rPr>
                          <w:t>公开发行 可转换公 司债券</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年度公开发行可转换公司债券预案》（公告编号：</w:t>
                        </w:r>
                        <w:r>
                          <w:rPr>
                            <w:rFonts w:ascii="Times New Roman" w:hAnsi="Times New Roman" w:cs="Times New Roman" w:eastAsia="Times New Roman" w:hint="default"/>
                            <w:sz w:val="18"/>
                            <w:szCs w:val="18"/>
                          </w:rPr>
                          <w:t>2017-038</w:t>
                        </w: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7" w:right="0"/>
                          <w:jc w:val="left"/>
                          <w:rPr>
                            <w:rFonts w:ascii="Times New Roman" w:hAnsi="Times New Roman" w:cs="Times New Roman" w:eastAsia="Times New Roman" w:hint="default"/>
                            <w:sz w:val="18"/>
                            <w:szCs w:val="18"/>
                          </w:rPr>
                        </w:pPr>
                        <w:r>
                          <w:rPr>
                            <w:rFonts w:ascii="Times New Roman"/>
                            <w:sz w:val="18"/>
                          </w:rPr>
                          <w:t>12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《关于签订投资协议书的公告》（公告编号：</w:t>
                        </w:r>
                        <w:r>
                          <w:rPr>
                            <w:rFonts w:ascii="Times New Roman" w:hAnsi="Times New Roman" w:cs="Times New Roman" w:eastAsia="Times New Roman" w:hint="default"/>
                            <w:sz w:val="18"/>
                            <w:szCs w:val="18"/>
                          </w:rPr>
                          <w:t>2017-050</w:t>
                        </w:r>
                        <w:r>
                          <w:rPr>
                            <w:rFonts w:ascii="宋体" w:hAnsi="宋体" w:cs="宋体" w:eastAsia="宋体" w:hint="default"/>
                            <w:sz w:val="18"/>
                            <w:szCs w:val="18"/>
                          </w:rPr>
                          <w:t>）</w:t>
                        </w:r>
                      </w:p>
                    </w:tc>
                  </w:tr>
                  <w:tr>
                    <w:trPr>
                      <w:trHeight w:val="66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13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5"/>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《关于控股子公司完成工商注册登记的公告》（</w:t>
                        </w:r>
                        <w:r>
                          <w:rPr>
                            <w:rFonts w:ascii="Times New Roman" w:hAnsi="Times New Roman" w:cs="Times New Roman" w:eastAsia="Times New Roman" w:hint="default"/>
                            <w:sz w:val="18"/>
                            <w:szCs w:val="18"/>
                          </w:rPr>
                          <w:t>2017-063</w:t>
                        </w:r>
                        <w:r>
                          <w:rPr>
                            <w:rFonts w:ascii="宋体" w:hAnsi="宋体" w:cs="宋体" w:eastAsia="宋体" w:hint="default"/>
                            <w:sz w:val="18"/>
                            <w:szCs w:val="18"/>
                          </w:rPr>
                          <w:t>）</w:t>
                        </w:r>
                      </w:p>
                    </w:tc>
                  </w:tr>
                  <w:tr>
                    <w:trPr>
                      <w:trHeight w:val="970"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14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10"/>
                          <w:jc w:val="both"/>
                          <w:rPr>
                            <w:rFonts w:ascii="宋体" w:hAnsi="宋体" w:cs="宋体" w:eastAsia="宋体" w:hint="default"/>
                            <w:sz w:val="18"/>
                            <w:szCs w:val="18"/>
                          </w:rPr>
                        </w:pPr>
                        <w:r>
                          <w:rPr>
                            <w:rFonts w:ascii="宋体" w:hAnsi="宋体" w:cs="宋体" w:eastAsia="宋体" w:hint="default"/>
                            <w:sz w:val="18"/>
                            <w:szCs w:val="18"/>
                          </w:rPr>
                          <w:t>控股子公 司股权回 购</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《关于转让汇天云网集团有限公司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股权暨股权回购的公告》（公告编号：</w:t>
                        </w:r>
                        <w:r>
                          <w:rPr>
                            <w:rFonts w:ascii="Times New Roman" w:hAnsi="Times New Roman" w:cs="Times New Roman" w:eastAsia="Times New Roman" w:hint="default"/>
                            <w:sz w:val="18"/>
                            <w:szCs w:val="18"/>
                          </w:rPr>
                          <w:t>2017-067</w:t>
                        </w:r>
                        <w:r>
                          <w:rPr>
                            <w:rFonts w:ascii="宋体" w:hAnsi="宋体" w:cs="宋体" w:eastAsia="宋体" w:hint="default"/>
                            <w:sz w:val="18"/>
                            <w:szCs w:val="18"/>
                          </w:rPr>
                          <w:t>）</w:t>
                        </w:r>
                      </w:p>
                    </w:tc>
                  </w:tr>
                  <w:tr>
                    <w:trPr>
                      <w:trHeight w:val="972"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7" w:right="0"/>
                          <w:jc w:val="left"/>
                          <w:rPr>
                            <w:rFonts w:ascii="Times New Roman" w:hAnsi="Times New Roman" w:cs="Times New Roman" w:eastAsia="Times New Roman" w:hint="default"/>
                            <w:sz w:val="18"/>
                            <w:szCs w:val="18"/>
                          </w:rPr>
                        </w:pPr>
                        <w:r>
                          <w:rPr>
                            <w:rFonts w:ascii="Times New Roman"/>
                            <w:sz w:val="18"/>
                          </w:rPr>
                          <w:t>15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10"/>
                          <w:jc w:val="both"/>
                          <w:rPr>
                            <w:rFonts w:ascii="宋体" w:hAnsi="宋体" w:cs="宋体" w:eastAsia="宋体" w:hint="default"/>
                            <w:sz w:val="18"/>
                            <w:szCs w:val="18"/>
                          </w:rPr>
                        </w:pPr>
                        <w:r>
                          <w:rPr>
                            <w:rFonts w:ascii="宋体" w:hAnsi="宋体" w:cs="宋体" w:eastAsia="宋体" w:hint="default"/>
                            <w:sz w:val="18"/>
                            <w:szCs w:val="18"/>
                          </w:rPr>
                          <w:t>部分变更 募集资用 途</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left="48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《关于部分变更募集资金用途的公告》（公告编号：</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r>
                    <w:trPr>
                      <w:trHeight w:val="658"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17" w:right="0"/>
                          <w:jc w:val="left"/>
                          <w:rPr>
                            <w:rFonts w:ascii="Times New Roman" w:hAnsi="Times New Roman" w:cs="Times New Roman" w:eastAsia="Times New Roman" w:hint="default"/>
                            <w:sz w:val="18"/>
                            <w:szCs w:val="18"/>
                          </w:rPr>
                        </w:pPr>
                        <w:r>
                          <w:rPr>
                            <w:rFonts w:ascii="Times New Roman"/>
                            <w:sz w:val="18"/>
                          </w:rPr>
                          <w:t>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110"/>
                          <w:jc w:val="left"/>
                          <w:rPr>
                            <w:rFonts w:ascii="宋体" w:hAnsi="宋体" w:cs="宋体" w:eastAsia="宋体" w:hint="default"/>
                            <w:sz w:val="18"/>
                            <w:szCs w:val="18"/>
                          </w:rPr>
                        </w:pPr>
                        <w:r>
                          <w:rPr>
                            <w:rFonts w:ascii="宋体" w:hAnsi="宋体" w:cs="宋体" w:eastAsia="宋体" w:hint="default"/>
                            <w:sz w:val="18"/>
                            <w:szCs w:val="18"/>
                          </w:rPr>
                          <w:t>其他重大 事项</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p>
                      <w:p>
                        <w:pPr>
                          <w:pStyle w:val="TableParagraph"/>
                          <w:spacing w:line="240" w:lineRule="auto" w:before="63"/>
                          <w:ind w:left="307" w:right="-1"/>
                          <w:jc w:val="center"/>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《关于公司部分董监高及核心骨干人员融资增持公司股份存续期展期的公告》（公告编号：</w:t>
                        </w:r>
                      </w:p>
                      <w:p>
                        <w:pPr>
                          <w:pStyle w:val="TableParagraph"/>
                          <w:spacing w:line="240" w:lineRule="auto" w:before="7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2017-076</w:t>
                        </w:r>
                        <w:r>
                          <w:rPr>
                            <w:rFonts w:ascii="宋体" w:hAnsi="宋体" w:cs="宋体" w:eastAsia="宋体" w:hint="default"/>
                            <w:sz w:val="18"/>
                            <w:szCs w:val="18"/>
                          </w:rPr>
                          <w:t>）</w:t>
                        </w:r>
                      </w:p>
                    </w:tc>
                  </w:tr>
                  <w:tr>
                    <w:trPr>
                      <w:trHeight w:val="1284" w:hRule="exact"/>
                    </w:trPr>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7" w:right="0"/>
                          <w:jc w:val="left"/>
                          <w:rPr>
                            <w:rFonts w:ascii="Times New Roman" w:hAnsi="Times New Roman" w:cs="Times New Roman" w:eastAsia="Times New Roman" w:hint="default"/>
                            <w:sz w:val="18"/>
                            <w:szCs w:val="18"/>
                          </w:rPr>
                        </w:pPr>
                        <w:r>
                          <w:rPr>
                            <w:rFonts w:ascii="Times New Roman"/>
                            <w:sz w:val="18"/>
                          </w:rPr>
                          <w:t>17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4"/>
                            <w:sz w:val="18"/>
                            <w:szCs w:val="18"/>
                          </w:rPr>
                          <w:t>董事、高级</w:t>
                        </w:r>
                        <w:r>
                          <w:rPr>
                            <w:rFonts w:ascii="宋体" w:hAnsi="宋体" w:cs="宋体" w:eastAsia="宋体" w:hint="default"/>
                            <w:sz w:val="18"/>
                            <w:szCs w:val="18"/>
                          </w:rPr>
                          <w:t> 管理人员 增持公司 股份</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p>
                      <w:p>
                        <w:pPr>
                          <w:pStyle w:val="TableParagraph"/>
                          <w:spacing w:line="240" w:lineRule="auto" w:before="63"/>
                          <w:ind w:left="396"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7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《关于董事长兼总经理增持公司股份的公告》（公告编号：</w:t>
                        </w:r>
                        <w:r>
                          <w:rPr>
                            <w:rFonts w:ascii="Times New Roman" w:hAnsi="Times New Roman" w:cs="Times New Roman" w:eastAsia="Times New Roman" w:hint="default"/>
                            <w:sz w:val="18"/>
                            <w:szCs w:val="18"/>
                          </w:rPr>
                          <w:t>2017-087</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left="0" w:right="105"/>
        <w:jc w:val="right"/>
      </w:pPr>
      <w:r>
        <w:rPr/>
        <w:t>）</w:t>
      </w:r>
    </w:p>
    <w:p>
      <w:pPr>
        <w:spacing w:after="0" w:line="240" w:lineRule="auto"/>
        <w:jc w:val="right"/>
        <w:sectPr>
          <w:pgSz w:w="11910" w:h="16840"/>
          <w:pgMar w:header="745" w:footer="980" w:top="1060" w:bottom="116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94"/>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94"/>
        <w:jc w:val="left"/>
      </w:pPr>
      <w:r>
        <w:rPr>
          <w:rFonts w:ascii="Times New Roman" w:hAnsi="Times New Roman" w:cs="Times New Roman" w:eastAsia="Times New Roman" w:hint="default"/>
        </w:rPr>
        <w:t>1</w:t>
      </w:r>
      <w:r>
        <w:rPr/>
        <w:t>、安徽美盈森</w:t>
      </w:r>
    </w:p>
    <w:p>
      <w:pPr>
        <w:pStyle w:val="BodyText"/>
        <w:spacing w:line="240" w:lineRule="auto" w:before="63"/>
        <w:ind w:right="94"/>
        <w:jc w:val="left"/>
      </w:pPr>
      <w:r>
        <w:rPr/>
        <w:t>（</w:t>
      </w:r>
      <w:r>
        <w:rPr>
          <w:rFonts w:ascii="Times New Roman" w:hAnsi="Times New Roman" w:cs="Times New Roman" w:eastAsia="Times New Roman" w:hint="default"/>
        </w:rPr>
        <w:t>1</w:t>
      </w:r>
      <w:r>
        <w:rPr/>
        <w:t>）安徽美盈森于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12 </w:t>
      </w:r>
      <w:r>
        <w:rPr/>
        <w:t>日收到六安经济技术开发区管理委员会拨发的固定资产投资补助款 </w:t>
      </w:r>
      <w:r>
        <w:rPr>
          <w:rFonts w:ascii="Times New Roman" w:hAnsi="Times New Roman" w:cs="Times New Roman" w:eastAsia="Times New Roman" w:hint="default"/>
        </w:rPr>
        <w:t>4600</w:t>
      </w:r>
      <w:r>
        <w:rPr>
          <w:rFonts w:ascii="Times New Roman" w:hAnsi="Times New Roman" w:cs="Times New Roman" w:eastAsia="Times New Roman" w:hint="default"/>
          <w:spacing w:val="20"/>
        </w:rPr>
        <w:t> </w:t>
      </w:r>
      <w:r>
        <w:rPr>
          <w:spacing w:val="-4"/>
        </w:rPr>
        <w:t>万元。该补</w:t>
      </w:r>
    </w:p>
    <w:p>
      <w:pPr>
        <w:pStyle w:val="BodyText"/>
        <w:spacing w:line="300" w:lineRule="auto" w:before="63"/>
        <w:ind w:right="194"/>
        <w:jc w:val="left"/>
      </w:pPr>
      <w:r>
        <w:rPr/>
        <w:t>助款相关内容详见公司于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日刊载于巨潮资讯网（</w:t>
      </w:r>
      <w:hyperlink r:id="rId10">
        <w:r>
          <w:rPr>
            <w:rFonts w:ascii="Times New Roman" w:hAnsi="Times New Roman" w:cs="Times New Roman" w:eastAsia="Times New Roman" w:hint="default"/>
          </w:rPr>
          <w:t>www.cninfo.com.cn</w:t>
        </w:r>
      </w:hyperlink>
      <w:r>
        <w:rPr/>
        <w:t>）及《证券时报》的《关于控股子公 司收到政府补助公告》（公告编号：</w:t>
      </w:r>
      <w:r>
        <w:rPr>
          <w:rFonts w:ascii="Times New Roman" w:hAnsi="Times New Roman" w:cs="Times New Roman" w:eastAsia="Times New Roman" w:hint="default"/>
        </w:rPr>
        <w:t>2017-082</w:t>
      </w:r>
      <w:r>
        <w:rPr/>
        <w:t>）。</w:t>
      </w:r>
    </w:p>
    <w:p>
      <w:pPr>
        <w:pStyle w:val="BodyText"/>
        <w:spacing w:line="300" w:lineRule="auto" w:before="13"/>
        <w:ind w:right="94"/>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日，安徽美盈森与六安市国土资源局、六安经济技术开发区管理委员会国土局签订了《国有建设用地使用</w:t>
      </w:r>
      <w:r>
        <w:rPr>
          <w:spacing w:val="-59"/>
        </w:rPr>
        <w:t> </w:t>
      </w:r>
      <w:r>
        <w:rPr>
          <w:spacing w:val="-59"/>
        </w:rPr>
      </w:r>
      <w:r>
        <w:rPr>
          <w:spacing w:val="-3"/>
        </w:rPr>
        <w:t>权出让合同》，安徽美盈森以</w:t>
      </w:r>
      <w:r>
        <w:rPr>
          <w:rFonts w:ascii="Times New Roman" w:hAnsi="Times New Roman" w:cs="Times New Roman" w:eastAsia="Times New Roman" w:hint="default"/>
          <w:spacing w:val="-3"/>
        </w:rPr>
        <w:t>47,930,000</w:t>
      </w:r>
      <w:r>
        <w:rPr>
          <w:spacing w:val="-3"/>
        </w:rPr>
        <w:t>元取得了位于六安经济开发区衡山路以南，九德路以东的一块面积为</w:t>
      </w:r>
      <w:r>
        <w:rPr>
          <w:rFonts w:ascii="Times New Roman" w:hAnsi="Times New Roman" w:cs="Times New Roman" w:eastAsia="Times New Roman" w:hint="default"/>
          <w:spacing w:val="-3"/>
        </w:rPr>
        <w:t>271,014</w:t>
      </w:r>
      <w:r>
        <w:rPr>
          <w:spacing w:val="-3"/>
        </w:rPr>
        <w:t>平方米，</w:t>
      </w:r>
      <w:r>
        <w:rPr>
          <w:spacing w:val="-32"/>
        </w:rPr>
        <w:t> </w:t>
      </w:r>
      <w:r>
        <w:rPr>
          <w:spacing w:val="-32"/>
        </w:rPr>
      </w:r>
      <w:r>
        <w:rPr/>
        <w:t>使用年限为</w:t>
      </w:r>
      <w:r>
        <w:rPr>
          <w:rFonts w:ascii="Times New Roman" w:hAnsi="Times New Roman" w:cs="Times New Roman" w:eastAsia="Times New Roman" w:hint="default"/>
        </w:rPr>
        <w:t>50</w:t>
      </w:r>
      <w:r>
        <w:rPr/>
        <w:t>年的工业用地。并于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日取得不动产权证书。</w:t>
      </w:r>
    </w:p>
    <w:p>
      <w:pPr>
        <w:pStyle w:val="BodyText"/>
        <w:spacing w:line="240" w:lineRule="auto" w:before="13"/>
        <w:ind w:right="94"/>
        <w:jc w:val="left"/>
      </w:pPr>
      <w:r>
        <w:rPr>
          <w:rFonts w:ascii="Times New Roman" w:hAnsi="Times New Roman" w:cs="Times New Roman" w:eastAsia="Times New Roman" w:hint="default"/>
        </w:rPr>
        <w:t>2</w:t>
      </w:r>
      <w:r>
        <w:rPr/>
        <w:t>、苏州美盈森</w:t>
      </w:r>
    </w:p>
    <w:p>
      <w:pPr>
        <w:pStyle w:val="BodyText"/>
        <w:spacing w:line="300" w:lineRule="auto" w:before="63"/>
        <w:ind w:right="184"/>
        <w:jc w:val="left"/>
      </w:pPr>
      <w:r>
        <w:rPr/>
        <w:t>（</w:t>
      </w:r>
      <w:r>
        <w:rPr>
          <w:rFonts w:ascii="Times New Roman" w:hAnsi="Times New Roman" w:cs="Times New Roman" w:eastAsia="Times New Roman" w:hint="default"/>
        </w:rPr>
        <w:t>1</w:t>
      </w:r>
      <w:r>
        <w:rPr/>
        <w:t>）报告期内，苏州美盈森通过了高新技术企业复审，并获得由江苏省科学技术厅、江苏省财政厅、江苏省国家税务局及 江苏省地方税务局联合颁发的编号为：</w:t>
      </w:r>
      <w:r>
        <w:rPr>
          <w:rFonts w:ascii="Times New Roman" w:hAnsi="Times New Roman" w:cs="Times New Roman" w:eastAsia="Times New Roman" w:hint="default"/>
        </w:rPr>
        <w:t>GR201732003893</w:t>
      </w:r>
      <w:r>
        <w:rPr/>
        <w:t>的高新企业证书。</w:t>
      </w:r>
    </w:p>
    <w:p>
      <w:pPr>
        <w:pStyle w:val="BodyText"/>
        <w:spacing w:line="300" w:lineRule="auto" w:before="13"/>
        <w:ind w:right="188"/>
        <w:jc w:val="both"/>
      </w:pP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4</w:t>
      </w:r>
      <w:r>
        <w:rPr>
          <w:spacing w:val="-6"/>
        </w:rPr>
        <w:t>日，苏州美盈森与苏州市吴江区国土资源局签订了《国有建设用地使用权出让合同》，苏州美盈森以</w:t>
      </w:r>
      <w:r>
        <w:rPr>
          <w:rFonts w:ascii="Times New Roman" w:hAnsi="Times New Roman" w:cs="Times New Roman" w:eastAsia="Times New Roman" w:hint="default"/>
          <w:spacing w:val="-6"/>
        </w:rPr>
        <w:t>2,755,417</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元取得位于经济技术开发区兴东路以西、南巷路以南的一块面积为</w:t>
      </w:r>
      <w:r>
        <w:rPr>
          <w:rFonts w:ascii="Times New Roman" w:hAnsi="Times New Roman" w:cs="Times New Roman" w:eastAsia="Times New Roman" w:hint="default"/>
        </w:rPr>
        <w:t>7,427</w:t>
      </w:r>
      <w:r>
        <w:rPr/>
        <w:t>平方米的使用年限为</w:t>
      </w:r>
      <w:r>
        <w:rPr>
          <w:rFonts w:ascii="Times New Roman" w:hAnsi="Times New Roman" w:cs="Times New Roman" w:eastAsia="Times New Roman" w:hint="default"/>
        </w:rPr>
        <w:t>50</w:t>
      </w:r>
      <w:r>
        <w:rPr/>
        <w:t>年的工业用地；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 </w:t>
      </w:r>
      <w:r>
        <w:rPr>
          <w:spacing w:val="-2"/>
        </w:rPr>
        <w:t>日，苏州美盈森与苏州市吴江区国土资源局签订了《国有建设用地使用权出让合同》，苏州美盈森以</w:t>
      </w:r>
      <w:r>
        <w:rPr>
          <w:rFonts w:ascii="Times New Roman" w:hAnsi="Times New Roman" w:cs="Times New Roman" w:eastAsia="Times New Roman" w:hint="default"/>
          <w:spacing w:val="-2"/>
        </w:rPr>
        <w:t>3,305,610</w:t>
      </w:r>
      <w:r>
        <w:rPr>
          <w:spacing w:val="-2"/>
        </w:rPr>
        <w:t>元取得位于经</w:t>
      </w:r>
      <w:r>
        <w:rPr>
          <w:spacing w:val="-55"/>
        </w:rPr>
        <w:t> </w:t>
      </w:r>
      <w:r>
        <w:rPr>
          <w:spacing w:val="-55"/>
        </w:rPr>
      </w:r>
      <w:r>
        <w:rPr/>
        <w:t>济技术开发区云津北路以东、南巷路以南的一块面积为</w:t>
      </w:r>
      <w:r>
        <w:rPr>
          <w:rFonts w:ascii="Times New Roman" w:hAnsi="Times New Roman" w:cs="Times New Roman" w:eastAsia="Times New Roman" w:hint="default"/>
        </w:rPr>
        <w:t>8,910</w:t>
      </w:r>
      <w:r>
        <w:rPr/>
        <w:t>平方米的使用年限为</w:t>
      </w:r>
      <w:r>
        <w:rPr>
          <w:rFonts w:ascii="Times New Roman" w:hAnsi="Times New Roman" w:cs="Times New Roman" w:eastAsia="Times New Roman" w:hint="default"/>
        </w:rPr>
        <w:t>50</w:t>
      </w:r>
      <w:r>
        <w:rPr/>
        <w:t>年的工业用地。上述地块均于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29</w:t>
      </w:r>
      <w:r>
        <w:rPr/>
        <w:t>日取得不动产权证书。</w:t>
      </w:r>
    </w:p>
    <w:p>
      <w:pPr>
        <w:pStyle w:val="BodyText"/>
        <w:spacing w:line="309" w:lineRule="auto" w:before="13"/>
        <w:ind w:right="1354"/>
        <w:jc w:val="left"/>
      </w:pPr>
      <w:r>
        <w:rPr>
          <w:rFonts w:ascii="Times New Roman" w:hAnsi="Times New Roman" w:cs="Times New Roman" w:eastAsia="Times New Roman" w:hint="default"/>
        </w:rPr>
        <w:t>3</w:t>
      </w:r>
      <w:r>
        <w:rPr/>
        <w:t>、东莞美盈森 报告期内，东莞美盈森进行了高新技术企业复审工作，相关复审工作已完成，高新技术企业证书尚未下发。 </w:t>
      </w:r>
      <w:r>
        <w:rPr>
          <w:rFonts w:ascii="Times New Roman" w:hAnsi="Times New Roman" w:cs="Times New Roman" w:eastAsia="Times New Roman" w:hint="default"/>
        </w:rPr>
        <w:t>4</w:t>
      </w:r>
      <w:r>
        <w:rPr/>
        <w:t>、东莞美芯龙</w:t>
      </w:r>
    </w:p>
    <w:p>
      <w:pPr>
        <w:pStyle w:val="BodyText"/>
        <w:spacing w:line="316" w:lineRule="auto" w:before="5"/>
        <w:ind w:right="94"/>
        <w:jc w:val="left"/>
      </w:pPr>
      <w:r>
        <w:rPr>
          <w:spacing w:val="-2"/>
        </w:rPr>
        <w:t>报告期内，东莞美芯龙通过了高新技术企业认定，并获得由广东省科学技术厅、广东省财政厅、广东省国家税务局及广东省</w:t>
      </w:r>
      <w:r>
        <w:rPr>
          <w:spacing w:val="-64"/>
        </w:rPr>
        <w:t> </w:t>
      </w:r>
      <w:r>
        <w:rPr>
          <w:spacing w:val="-64"/>
        </w:rPr>
      </w:r>
      <w:r>
        <w:rPr/>
        <w:t>地方税务局联合颁发的编号为：</w:t>
      </w:r>
      <w:r>
        <w:rPr>
          <w:rFonts w:ascii="Times New Roman" w:hAnsi="Times New Roman" w:cs="Times New Roman" w:eastAsia="Times New Roman" w:hint="default"/>
        </w:rPr>
        <w:t>GR201644001621</w:t>
      </w:r>
      <w:r>
        <w:rPr/>
        <w:t>的高新技术企业证书。</w:t>
      </w:r>
    </w:p>
    <w:p>
      <w:pPr>
        <w:pStyle w:val="BodyText"/>
        <w:spacing w:line="248" w:lineRule="exact"/>
        <w:ind w:right="94"/>
        <w:jc w:val="left"/>
      </w:pPr>
      <w:r>
        <w:rPr>
          <w:rFonts w:ascii="Times New Roman" w:hAnsi="Times New Roman" w:cs="Times New Roman" w:eastAsia="Times New Roman" w:hint="default"/>
        </w:rPr>
        <w:t>5</w:t>
      </w:r>
      <w:r>
        <w:rPr/>
        <w:t>、长沙美盈森</w:t>
      </w:r>
    </w:p>
    <w:p>
      <w:pPr>
        <w:pStyle w:val="BodyText"/>
        <w:spacing w:line="240" w:lineRule="auto" w:before="63"/>
        <w:ind w:right="94"/>
        <w:jc w:val="left"/>
      </w:pPr>
      <w:r>
        <w:rPr/>
        <w:t>长沙美盈森作为公司包装印刷工业 </w:t>
      </w:r>
      <w:r>
        <w:rPr>
          <w:rFonts w:ascii="Times New Roman" w:hAnsi="Times New Roman" w:cs="Times New Roman" w:eastAsia="Times New Roman" w:hint="default"/>
        </w:rPr>
        <w:t>4.0  </w:t>
      </w:r>
      <w:r>
        <w:rPr/>
        <w:t>智慧型工厂</w:t>
      </w:r>
      <w:r>
        <w:rPr>
          <w:rFonts w:ascii="Times New Roman" w:hAnsi="Times New Roman" w:cs="Times New Roman" w:eastAsia="Times New Roman" w:hint="default"/>
        </w:rPr>
        <w:t>(</w:t>
      </w:r>
      <w:r>
        <w:rPr/>
        <w:t>长沙</w:t>
      </w:r>
      <w:r>
        <w:rPr>
          <w:rFonts w:ascii="Times New Roman" w:hAnsi="Times New Roman" w:cs="Times New Roman" w:eastAsia="Times New Roman" w:hint="default"/>
        </w:rPr>
        <w:t>)</w:t>
      </w:r>
      <w:r>
        <w:rPr/>
        <w:t>项目的实施主体，于</w:t>
      </w:r>
      <w:r>
        <w:rPr>
          <w:spacing w:val="-56"/>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日与宁乡县国土资源局签订了</w:t>
      </w:r>
    </w:p>
    <w:p>
      <w:pPr>
        <w:pStyle w:val="BodyText"/>
        <w:spacing w:line="240" w:lineRule="auto" w:before="63"/>
        <w:ind w:right="94"/>
        <w:jc w:val="left"/>
      </w:pPr>
      <w:r>
        <w:rPr/>
        <w:t>《国有建设用地使用权出让合同》，以</w:t>
      </w:r>
      <w:r>
        <w:rPr>
          <w:rFonts w:ascii="Times New Roman" w:hAnsi="Times New Roman" w:cs="Times New Roman" w:eastAsia="Times New Roman" w:hint="default"/>
        </w:rPr>
        <w:t>3,835</w:t>
      </w:r>
      <w:r>
        <w:rPr/>
        <w:t>万元取得了位于宁乡县城郊街道木佳社区的一块</w:t>
      </w:r>
      <w:r>
        <w:rPr>
          <w:rFonts w:ascii="Times New Roman" w:hAnsi="Times New Roman" w:cs="Times New Roman" w:eastAsia="Times New Roman" w:hint="default"/>
        </w:rPr>
        <w:t>100,368.7</w:t>
      </w:r>
      <w:r>
        <w:rPr/>
        <w:t>平方米的使用年限为</w:t>
      </w:r>
    </w:p>
    <w:p>
      <w:pPr>
        <w:pStyle w:val="BodyText"/>
        <w:spacing w:line="240" w:lineRule="auto" w:before="63"/>
        <w:ind w:right="94"/>
        <w:jc w:val="left"/>
      </w:pPr>
      <w:r>
        <w:rPr>
          <w:rFonts w:ascii="Times New Roman" w:hAnsi="Times New Roman" w:cs="Times New Roman" w:eastAsia="Times New Roman" w:hint="default"/>
        </w:rPr>
        <w:t>50</w:t>
      </w:r>
      <w:r>
        <w:rPr/>
        <w:t>年的工业用地。</w:t>
      </w:r>
    </w:p>
    <w:p>
      <w:pPr>
        <w:pStyle w:val="BodyText"/>
        <w:spacing w:line="300" w:lineRule="auto" w:before="63"/>
        <w:ind w:right="182"/>
        <w:jc w:val="left"/>
      </w:pPr>
      <w:r>
        <w:rPr>
          <w:rFonts w:ascii="Times New Roman" w:hAnsi="Times New Roman" w:cs="Times New Roman" w:eastAsia="Times New Roman" w:hint="default"/>
        </w:rPr>
        <w:t>6</w:t>
      </w:r>
      <w:r>
        <w:rPr/>
        <w:t>、湖南美盈森 </w:t>
      </w:r>
      <w:r>
        <w:rPr>
          <w:spacing w:val="-1"/>
        </w:rPr>
        <w:t>湖南美盈森作为公司包装印刷工业进出口贸易及保税加工</w:t>
      </w:r>
      <w:r>
        <w:rPr>
          <w:rFonts w:ascii="Times New Roman" w:hAnsi="Times New Roman" w:cs="Times New Roman" w:eastAsia="Times New Roman" w:hint="default"/>
          <w:spacing w:val="-1"/>
        </w:rPr>
        <w:t>(</w:t>
      </w:r>
      <w:r>
        <w:rPr>
          <w:spacing w:val="-1"/>
        </w:rPr>
        <w:t>岳阳）项目的实施主体，于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30</w:t>
      </w:r>
      <w:r>
        <w:rPr>
          <w:spacing w:val="-1"/>
        </w:rPr>
        <w:t>日与湖南城陵矶新港区国</w:t>
      </w:r>
      <w:r>
        <w:rPr>
          <w:spacing w:val="-86"/>
        </w:rPr>
        <w:t> </w:t>
      </w:r>
      <w:r>
        <w:rPr>
          <w:spacing w:val="-86"/>
        </w:rPr>
      </w:r>
      <w:r>
        <w:rPr>
          <w:spacing w:val="-2"/>
        </w:rPr>
        <w:t>土资源管理处分别签订了《国有建设用地使用权出让合同》，以</w:t>
      </w:r>
      <w:r>
        <w:rPr>
          <w:rFonts w:ascii="Times New Roman" w:hAnsi="Times New Roman" w:cs="Times New Roman" w:eastAsia="Times New Roman" w:hint="default"/>
          <w:spacing w:val="-2"/>
        </w:rPr>
        <w:t>2,350</w:t>
      </w:r>
      <w:r>
        <w:rPr>
          <w:spacing w:val="-2"/>
        </w:rPr>
        <w:t>万元取得了位于湖南城陵矶新港区的一块</w:t>
      </w:r>
      <w:r>
        <w:rPr>
          <w:rFonts w:ascii="Times New Roman" w:hAnsi="Times New Roman" w:cs="Times New Roman" w:eastAsia="Times New Roman" w:hint="default"/>
          <w:spacing w:val="-2"/>
        </w:rPr>
        <w:t>67,737</w:t>
      </w:r>
      <w:r>
        <w:rPr>
          <w:spacing w:val="-2"/>
        </w:rPr>
        <w:t>平方米</w:t>
      </w:r>
      <w:r>
        <w:rPr>
          <w:spacing w:val="-57"/>
        </w:rPr>
        <w:t> </w:t>
      </w:r>
      <w:r>
        <w:rPr>
          <w:spacing w:val="-57"/>
        </w:rPr>
      </w:r>
      <w:r>
        <w:rPr/>
        <w:t>的使用年限为</w:t>
      </w:r>
      <w:r>
        <w:rPr>
          <w:rFonts w:ascii="Times New Roman" w:hAnsi="Times New Roman" w:cs="Times New Roman" w:eastAsia="Times New Roman" w:hint="default"/>
        </w:rPr>
        <w:t>50</w:t>
      </w:r>
      <w:r>
        <w:rPr/>
        <w:t>年的工业用地；以</w:t>
      </w:r>
      <w:r>
        <w:rPr>
          <w:rFonts w:ascii="Times New Roman" w:hAnsi="Times New Roman" w:cs="Times New Roman" w:eastAsia="Times New Roman" w:hint="default"/>
        </w:rPr>
        <w:t>1,860</w:t>
      </w:r>
      <w:r>
        <w:rPr/>
        <w:t>万元取得了位于湖南城陵矶新港区的一块</w:t>
      </w:r>
      <w:r>
        <w:rPr>
          <w:rFonts w:ascii="Times New Roman" w:hAnsi="Times New Roman" w:cs="Times New Roman" w:eastAsia="Times New Roman" w:hint="default"/>
        </w:rPr>
        <w:t>53,408</w:t>
      </w:r>
      <w:r>
        <w:rPr/>
        <w:t>平方米的使用年限为</w:t>
      </w:r>
      <w:r>
        <w:rPr>
          <w:rFonts w:ascii="Times New Roman" w:hAnsi="Times New Roman" w:cs="Times New Roman" w:eastAsia="Times New Roman" w:hint="default"/>
        </w:rPr>
        <w:t>50</w:t>
      </w:r>
      <w:r>
        <w:rPr/>
        <w:t>年的工业用 地。上述地块分别于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日取得了相关不动产权证书。</w:t>
      </w:r>
    </w:p>
    <w:p>
      <w:pPr>
        <w:pStyle w:val="BodyText"/>
        <w:spacing w:line="300" w:lineRule="auto" w:before="13"/>
        <w:ind w:right="94"/>
        <w:jc w:val="left"/>
      </w:pPr>
      <w:r>
        <w:rPr>
          <w:rFonts w:ascii="Times New Roman" w:hAnsi="Times New Roman" w:cs="Times New Roman" w:eastAsia="Times New Roman" w:hint="default"/>
        </w:rPr>
        <w:t>7</w:t>
      </w:r>
      <w:r>
        <w:rPr/>
        <w:t>、苏州智谷 </w:t>
      </w:r>
      <w:r>
        <w:rPr>
          <w:spacing w:val="-2"/>
        </w:rPr>
        <w:t>苏州智谷作为公司高端环保包装生产基地项目的实施主体，于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日与苏州市吴江区国土资源局签订了《国有建设用</w:t>
      </w:r>
      <w:r>
        <w:rPr>
          <w:spacing w:val="-59"/>
        </w:rPr>
        <w:t> </w:t>
      </w:r>
      <w:r>
        <w:rPr>
          <w:spacing w:val="-59"/>
        </w:rPr>
      </w:r>
      <w:r>
        <w:rPr>
          <w:spacing w:val="-3"/>
        </w:rPr>
        <w:t>地使用权出让合同》，美盈森智谷以</w:t>
      </w:r>
      <w:r>
        <w:rPr>
          <w:rFonts w:ascii="Times New Roman" w:hAnsi="Times New Roman" w:cs="Times New Roman" w:eastAsia="Times New Roman" w:hint="default"/>
          <w:spacing w:val="-3"/>
        </w:rPr>
        <w:t>18,785,088</w:t>
      </w:r>
      <w:r>
        <w:rPr>
          <w:spacing w:val="-3"/>
        </w:rPr>
        <w:t>元取得位于经济技术开发区同津大道东侧、云龙东路北侧的一块面积为</w:t>
      </w:r>
      <w:r>
        <w:rPr>
          <w:rFonts w:ascii="Times New Roman" w:hAnsi="Times New Roman" w:cs="Times New Roman" w:eastAsia="Times New Roman" w:hint="default"/>
          <w:spacing w:val="-3"/>
        </w:rPr>
        <w:t>49,696</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平方米的使用年限为</w:t>
      </w:r>
      <w:r>
        <w:rPr>
          <w:rFonts w:ascii="Times New Roman" w:hAnsi="Times New Roman" w:cs="Times New Roman" w:eastAsia="Times New Roman" w:hint="default"/>
        </w:rPr>
        <w:t>50</w:t>
      </w:r>
      <w:r>
        <w:rPr/>
        <w:t>年的工业用地。上述地块的不动产权证正在办理当中。</w:t>
      </w:r>
    </w:p>
    <w:p>
      <w:pPr>
        <w:pStyle w:val="BodyText"/>
        <w:spacing w:line="300" w:lineRule="auto" w:before="13"/>
        <w:ind w:right="94"/>
        <w:jc w:val="left"/>
      </w:pPr>
      <w:r>
        <w:rPr>
          <w:rFonts w:ascii="Times New Roman" w:hAnsi="Times New Roman" w:cs="Times New Roman" w:eastAsia="Times New Roman" w:hint="default"/>
        </w:rPr>
        <w:t>8</w:t>
      </w:r>
      <w:r>
        <w:rPr/>
        <w:t>、郑州美盈森 郑州美盈森作为战略性包装工业</w:t>
      </w:r>
      <w:r>
        <w:rPr>
          <w:rFonts w:ascii="Times New Roman" w:hAnsi="Times New Roman" w:cs="Times New Roman" w:eastAsia="Times New Roman" w:hint="default"/>
        </w:rPr>
        <w:t>4.0</w:t>
      </w:r>
      <w:r>
        <w:rPr/>
        <w:t>项目的实施主体，于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日与新郑市国土资源局签订了《国有建设用地使用权出 </w:t>
      </w:r>
      <w:r>
        <w:rPr>
          <w:spacing w:val="-1"/>
        </w:rPr>
        <w:t>让合同》，郑州美盈森以</w:t>
      </w:r>
      <w:r>
        <w:rPr>
          <w:rFonts w:ascii="Times New Roman" w:hAnsi="Times New Roman" w:cs="Times New Roman" w:eastAsia="Times New Roman" w:hint="default"/>
          <w:spacing w:val="-1"/>
        </w:rPr>
        <w:t>3180</w:t>
      </w:r>
      <w:r>
        <w:rPr>
          <w:spacing w:val="-1"/>
        </w:rPr>
        <w:t>万元的价格取得了位于新郑市新孟路西侧、郑州威纳食品有限公司南侧，面积为</w:t>
      </w:r>
      <w:r>
        <w:rPr>
          <w:rFonts w:ascii="Times New Roman" w:hAnsi="Times New Roman" w:cs="Times New Roman" w:eastAsia="Times New Roman" w:hint="default"/>
          <w:spacing w:val="-1"/>
        </w:rPr>
        <w:t>91774.37</w:t>
      </w:r>
      <w:r>
        <w:rPr>
          <w:spacing w:val="-1"/>
        </w:rPr>
        <w:t>平方</w:t>
      </w:r>
      <w:r>
        <w:rPr>
          <w:spacing w:val="-74"/>
        </w:rPr>
        <w:t> </w:t>
      </w:r>
      <w:r>
        <w:rPr/>
        <w:t>米，使用年限为</w:t>
      </w:r>
      <w:r>
        <w:rPr>
          <w:rFonts w:ascii="Times New Roman" w:hAnsi="Times New Roman" w:cs="Times New Roman" w:eastAsia="Times New Roman" w:hint="default"/>
        </w:rPr>
        <w:t>50</w:t>
      </w:r>
      <w:r>
        <w:rPr/>
        <w:t>年的工业用地。</w:t>
      </w:r>
    </w:p>
    <w:p>
      <w:pPr>
        <w:pStyle w:val="BodyText"/>
        <w:spacing w:line="240" w:lineRule="auto" w:before="13"/>
        <w:ind w:right="94"/>
        <w:jc w:val="left"/>
      </w:pPr>
      <w:r>
        <w:rPr>
          <w:rFonts w:ascii="Times New Roman" w:hAnsi="Times New Roman" w:cs="Times New Roman" w:eastAsia="Times New Roman" w:hint="default"/>
        </w:rPr>
        <w:t>9</w:t>
      </w:r>
      <w:r>
        <w:rPr/>
        <w:t>、泸美供应链</w:t>
      </w:r>
    </w:p>
    <w:p>
      <w:pPr>
        <w:pStyle w:val="BodyText"/>
        <w:spacing w:line="300" w:lineRule="auto" w:before="103"/>
        <w:ind w:right="191"/>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月，公司分别与四川中科玻璃有限公司、四川泸州丽鹏制盖有限公司、四川融圣投资管理股份有限公司签订《股权</w:t>
      </w:r>
      <w:r>
        <w:rPr>
          <w:spacing w:val="-86"/>
        </w:rPr>
        <w:t> </w:t>
      </w:r>
      <w:r>
        <w:rPr>
          <w:spacing w:val="-86"/>
        </w:rPr>
      </w:r>
      <w:r>
        <w:rPr>
          <w:spacing w:val="-1"/>
        </w:rPr>
        <w:t>转让协议》，约定分别均以</w:t>
      </w:r>
      <w:r>
        <w:rPr>
          <w:rFonts w:ascii="Times New Roman" w:hAnsi="Times New Roman" w:cs="Times New Roman" w:eastAsia="Times New Roman" w:hint="default"/>
          <w:spacing w:val="-1"/>
        </w:rPr>
        <w:t>150</w:t>
      </w:r>
      <w:r>
        <w:rPr>
          <w:spacing w:val="-1"/>
        </w:rPr>
        <w:t>万元受让各自持有的四川泸美供应链管理有限公司</w:t>
      </w:r>
      <w:r>
        <w:rPr>
          <w:rFonts w:ascii="Times New Roman" w:hAnsi="Times New Roman" w:cs="Times New Roman" w:eastAsia="Times New Roman" w:hint="default"/>
          <w:spacing w:val="-1"/>
        </w:rPr>
        <w:t>13.04%</w:t>
      </w:r>
      <w:r>
        <w:rPr>
          <w:spacing w:val="-1"/>
        </w:rPr>
        <w:t>的股权。并于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日完成前</w:t>
      </w:r>
      <w:r>
        <w:rPr>
          <w:spacing w:val="-42"/>
        </w:rPr>
        <w:t> </w:t>
      </w:r>
      <w:r>
        <w:rPr>
          <w:spacing w:val="-42"/>
        </w:rPr>
      </w:r>
      <w:r>
        <w:rPr/>
        <w:t>述股权转让的股东变更工商登记，公司持有四川泸美供应链管理有限公司股权由</w:t>
      </w:r>
      <w:r>
        <w:rPr>
          <w:rFonts w:ascii="Times New Roman" w:hAnsi="Times New Roman" w:cs="Times New Roman" w:eastAsia="Times New Roman" w:hint="default"/>
        </w:rPr>
        <w:t>60.87%</w:t>
      </w:r>
      <w:r>
        <w:rPr/>
        <w:t>变为</w:t>
      </w:r>
      <w:r>
        <w:rPr>
          <w:rFonts w:ascii="Times New Roman" w:hAnsi="Times New Roman" w:cs="Times New Roman" w:eastAsia="Times New Roman" w:hint="default"/>
        </w:rPr>
        <w:t>100%</w:t>
      </w:r>
      <w:r>
        <w:rPr/>
        <w:t>。</w:t>
      </w:r>
    </w:p>
    <w:p>
      <w:pPr>
        <w:spacing w:after="0" w:line="300"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94"/>
        <w:jc w:val="left"/>
        <w:rPr>
          <w:b w:val="0"/>
          <w:bCs w:val="0"/>
        </w:rPr>
      </w:pPr>
      <w:bookmarkStart w:name="_TOC_250006"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4"/>
        <w:gridCol w:w="821"/>
        <w:gridCol w:w="823"/>
        <w:gridCol w:w="795"/>
        <w:gridCol w:w="792"/>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7"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4"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795"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521,720,2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33.83%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-521,152,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-521,152,</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665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567,570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521,720,2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33.83%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-521,152,</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665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-521,152,</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665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567,570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96,059,61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6.23%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-96,059,6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425,660,6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27.60%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-425,093,</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049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-425,093,</w:t>
            </w:r>
          </w:p>
          <w:p>
            <w:pPr>
              <w:pStyle w:val="TableParagraph"/>
              <w:spacing w:line="240" w:lineRule="auto" w:before="102"/>
              <w:ind w:left="518" w:right="0"/>
              <w:jc w:val="left"/>
              <w:rPr>
                <w:rFonts w:ascii="Times New Roman" w:hAnsi="Times New Roman" w:cs="Times New Roman" w:eastAsia="Times New Roman" w:hint="default"/>
                <w:sz w:val="18"/>
                <w:szCs w:val="18"/>
              </w:rPr>
            </w:pPr>
            <w:r>
              <w:rPr>
                <w:rFonts w:ascii="Times New Roman"/>
                <w:sz w:val="18"/>
              </w:rPr>
              <w:t>049</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567,570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0.04%</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3"/>
              <w:ind w:left="20" w:right="0"/>
              <w:jc w:val="left"/>
              <w:rPr>
                <w:rFonts w:ascii="Times New Roman" w:hAnsi="Times New Roman" w:cs="Times New Roman" w:eastAsia="Times New Roman" w:hint="default"/>
                <w:sz w:val="18"/>
                <w:szCs w:val="18"/>
              </w:rPr>
            </w:pPr>
            <w:r>
              <w:rPr>
                <w:rFonts w:ascii="Times New Roman"/>
                <w:sz w:val="18"/>
              </w:rPr>
              <w:t>1,020,603,</w:t>
            </w:r>
          </w:p>
          <w:p>
            <w:pPr>
              <w:pStyle w:val="TableParagraph"/>
              <w:spacing w:line="240" w:lineRule="auto" w:before="102"/>
              <w:ind w:left="514" w:right="0"/>
              <w:jc w:val="left"/>
              <w:rPr>
                <w:rFonts w:ascii="Times New Roman" w:hAnsi="Times New Roman" w:cs="Times New Roman" w:eastAsia="Times New Roman" w:hint="default"/>
                <w:sz w:val="18"/>
                <w:szCs w:val="18"/>
              </w:rPr>
            </w:pPr>
            <w:r>
              <w:rPr>
                <w:rFonts w:ascii="Times New Roman"/>
                <w:sz w:val="18"/>
              </w:rPr>
              <w:t>450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66.17%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521,152,6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521,152,6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1,541,756</w:t>
            </w:r>
          </w:p>
          <w:p>
            <w:pPr>
              <w:pStyle w:val="TableParagraph"/>
              <w:spacing w:line="240" w:lineRule="auto" w:before="102"/>
              <w:ind w:left="454" w:right="0"/>
              <w:jc w:val="left"/>
              <w:rPr>
                <w:rFonts w:ascii="Times New Roman" w:hAnsi="Times New Roman" w:cs="Times New Roman" w:eastAsia="Times New Roman" w:hint="default"/>
                <w:sz w:val="18"/>
                <w:szCs w:val="18"/>
              </w:rPr>
            </w:pPr>
            <w:r>
              <w:rPr>
                <w:rFonts w:ascii="Times New Roman"/>
                <w:sz w:val="18"/>
              </w:rPr>
              <w:t>,115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1,020,603,</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450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66.17%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521,152,6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1,541,756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,115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99.96%</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1,542,323,</w:t>
            </w:r>
          </w:p>
          <w:p>
            <w:pPr>
              <w:pStyle w:val="TableParagraph"/>
              <w:spacing w:line="240" w:lineRule="auto" w:before="105"/>
              <w:ind w:left="514" w:right="0"/>
              <w:jc w:val="left"/>
              <w:rPr>
                <w:rFonts w:ascii="Times New Roman" w:hAnsi="Times New Roman" w:cs="Times New Roman" w:eastAsia="Times New Roman" w:hint="default"/>
                <w:sz w:val="18"/>
                <w:szCs w:val="18"/>
              </w:rPr>
            </w:pPr>
            <w:r>
              <w:rPr>
                <w:rFonts w:ascii="Times New Roman"/>
                <w:sz w:val="18"/>
              </w:rPr>
              <w:t>685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1,542,323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,685</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4"/>
        <w:jc w:val="left"/>
      </w:pPr>
      <w:r>
        <w:rPr/>
        <w:t>股份变动的原因</w:t>
      </w:r>
    </w:p>
    <w:p>
      <w:pPr>
        <w:pStyle w:val="BodyText"/>
        <w:spacing w:line="328"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4"/>
        </w:rPr>
        <w:t>根据有关规定，公司董事、监事及高级管理人员所持公司股份，自离任人员的离任信息申报之日起六个月后的第一个交易日，</w:t>
      </w:r>
      <w:r>
        <w:rPr>
          <w:spacing w:val="-44"/>
        </w:rPr>
        <w:t> </w:t>
      </w:r>
      <w:r>
        <w:rPr>
          <w:spacing w:val="-44"/>
        </w:rPr>
      </w:r>
      <w:r>
        <w:rPr/>
        <w:t>按</w:t>
      </w:r>
      <w:r>
        <w:rPr>
          <w:rFonts w:ascii="Times New Roman" w:hAnsi="Times New Roman" w:cs="Times New Roman" w:eastAsia="Times New Roman" w:hint="default"/>
        </w:rPr>
        <w:t>50%</w:t>
      </w:r>
      <w:r>
        <w:rPr/>
        <w:t>比例计算该人员在申报离任六个月后的十二个月内可以通过证券交易所挂牌交易出售的额度，自离任人员的离任信息</w:t>
      </w:r>
    </w:p>
    <w:p>
      <w:pPr>
        <w:spacing w:after="0" w:line="328"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4" w:lineRule="auto" w:before="44"/>
        <w:ind w:right="144"/>
        <w:jc w:val="left"/>
      </w:pPr>
      <w:r>
        <w:rPr>
          <w:spacing w:val="-2"/>
        </w:rPr>
        <w:t>申报之日起六个月后的十二个月期满，离任人员所持该公司无限售条件股份将全部解锁，报告期内因上述原因解除限售条件</w:t>
      </w:r>
      <w:r>
        <w:rPr>
          <w:spacing w:val="-62"/>
        </w:rPr>
        <w:t> </w:t>
      </w:r>
      <w:r>
        <w:rPr>
          <w:spacing w:val="-62"/>
        </w:rPr>
      </w:r>
      <w:r>
        <w:rPr/>
        <w:t>的股份共计</w:t>
      </w:r>
      <w:r>
        <w:rPr>
          <w:rFonts w:ascii="Times New Roman" w:hAnsi="Times New Roman" w:cs="Times New Roman" w:eastAsia="Times New Roman" w:hint="default"/>
        </w:rPr>
        <w:t>409,396,830</w:t>
      </w:r>
      <w:r>
        <w:rPr/>
        <w:t>股；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日，公司向符合中国证监会相关规定条件的</w:t>
      </w:r>
      <w:r>
        <w:rPr>
          <w:rFonts w:ascii="Times New Roman" w:hAnsi="Times New Roman" w:cs="Times New Roman" w:eastAsia="Times New Roman" w:hint="default"/>
        </w:rPr>
        <w:t>4</w:t>
      </w:r>
      <w:r>
        <w:rPr/>
        <w:t>家特定投资者非公开发行人民币普通股（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111,923,685</w:t>
      </w:r>
      <w:r>
        <w:rPr/>
        <w:t>股，</w:t>
      </w:r>
      <w:r>
        <w:rPr>
          <w:spacing w:val="-3"/>
        </w:rPr>
        <w:t> </w:t>
      </w:r>
      <w:r>
        <w:rPr/>
        <w:t>上述股份已于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日解除限售条件；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月，公司董事长兼总经理张珍义先生通过二级市场增持公司股份</w:t>
      </w:r>
      <w:r>
        <w:rPr>
          <w:rFonts w:ascii="Times New Roman" w:hAnsi="Times New Roman" w:cs="Times New Roman" w:eastAsia="Times New Roman" w:hint="default"/>
        </w:rPr>
        <w:t>223,800</w:t>
      </w:r>
      <w:r>
        <w:rPr/>
        <w:t>股，按照相关规则，上述股份中</w:t>
      </w:r>
      <w:r>
        <w:rPr>
          <w:rFonts w:ascii="Times New Roman" w:hAnsi="Times New Roman" w:cs="Times New Roman" w:eastAsia="Times New Roman" w:hint="default"/>
        </w:rPr>
        <w:t>167,850</w:t>
      </w:r>
      <w:r>
        <w:rPr/>
        <w:t>股 计入限售条件股。</w:t>
      </w:r>
    </w:p>
    <w:p>
      <w:pPr>
        <w:pStyle w:val="BodyText"/>
        <w:spacing w:line="340" w:lineRule="auto" w:before="28"/>
        <w:ind w:right="2394"/>
        <w:jc w:val="left"/>
      </w:pPr>
      <w:r>
        <w:rPr/>
        <w:t>以上，导致公司期末有限售条件股份减少</w:t>
      </w:r>
      <w:r>
        <w:rPr>
          <w:rFonts w:ascii="Times New Roman" w:hAnsi="Times New Roman" w:cs="Times New Roman" w:eastAsia="Times New Roman" w:hint="default"/>
        </w:rPr>
        <w:t>521,152,665</w:t>
      </w:r>
      <w:r>
        <w:rPr/>
        <w:t>股，无限售条件股份增加</w:t>
      </w:r>
      <w:r>
        <w:rPr>
          <w:rFonts w:ascii="Times New Roman" w:hAnsi="Times New Roman" w:cs="Times New Roman" w:eastAsia="Times New Roman" w:hint="default"/>
        </w:rPr>
        <w:t>521,152,665</w:t>
      </w:r>
      <w:r>
        <w:rPr/>
        <w:t>股。 股份变动的批准情况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327,250,050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327,250,050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股份解除限 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19"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82,144,560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82,144,560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离职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股份解除限 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红塔红土基金－ 浙商银行－渤海 国际信托－美盈 森平层投资单一 资金信托</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77,503,974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77,503,974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65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中国农业银行股 份有限公司－财 通多策略福享混 合型证券投资基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12,286,963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12,286,963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72"/>
              <w:jc w:val="both"/>
              <w:rPr>
                <w:rFonts w:ascii="宋体" w:hAnsi="宋体" w:cs="宋体" w:eastAsia="宋体" w:hint="default"/>
                <w:sz w:val="18"/>
                <w:szCs w:val="18"/>
              </w:rPr>
            </w:pPr>
            <w:r>
              <w:rPr>
                <w:rFonts w:ascii="宋体" w:hAnsi="宋体" w:cs="宋体" w:eastAsia="宋体" w:hint="default"/>
                <w:sz w:val="18"/>
                <w:szCs w:val="18"/>
              </w:rPr>
              <w:t>中国银行股份有 限公司－建信丰 裕定增灵活配置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3,179,650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3,179,650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0"/>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2"/>
              <w:jc w:val="left"/>
              <w:rPr>
                <w:rFonts w:ascii="宋体" w:hAnsi="宋体" w:cs="宋体" w:eastAsia="宋体" w:hint="default"/>
                <w:sz w:val="18"/>
                <w:szCs w:val="18"/>
              </w:rPr>
            </w:pPr>
            <w:r>
              <w:rPr>
                <w:rFonts w:ascii="宋体" w:hAnsi="宋体" w:cs="宋体" w:eastAsia="宋体" w:hint="default"/>
                <w:sz w:val="18"/>
                <w:szCs w:val="18"/>
              </w:rPr>
              <w:t>混合型证券投资 基金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财通基金－工商 银行－深圳朴素 资本管理有限公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2,384,737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2,384,737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财通基金－工商 银行－深圳朴素 资本管理有限公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2,106,518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2,106,518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泰达宏利基金－ 工商银行－方正 东亚信托－方正 东亚</w:t>
            </w:r>
            <w:r>
              <w:rPr>
                <w:rFonts w:ascii="Times New Roman" w:hAnsi="Times New Roman" w:cs="Times New Roman" w:eastAsia="Times New Roman" w:hint="default"/>
                <w:sz w:val="18"/>
                <w:szCs w:val="18"/>
              </w:rPr>
              <w:t>·</w:t>
            </w:r>
            <w:r>
              <w:rPr>
                <w:rFonts w:ascii="宋体" w:hAnsi="宋体" w:cs="宋体" w:eastAsia="宋体" w:hint="default"/>
                <w:sz w:val="18"/>
                <w:szCs w:val="18"/>
              </w:rPr>
              <w:t>东湖</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号 证券投资集合资 金信托计划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1,112,877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1,112,877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财通基金－工商 银行－富春定增 </w:t>
            </w:r>
            <w:r>
              <w:rPr>
                <w:rFonts w:ascii="Times New Roman" w:hAnsi="Times New Roman" w:cs="Times New Roman" w:eastAsia="Times New Roman" w:hint="default"/>
                <w:sz w:val="18"/>
                <w:szCs w:val="18"/>
              </w:rPr>
              <w:t>1092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 计划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858,506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858,506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泰达宏利基金－ 平安银行－泰达 宏利－宏泰定增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董事、高管持股 锁定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高管离任申报半 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 售；离任申报六 个月后的十二个 月后全部解除限 售</w:t>
            </w:r>
          </w:p>
        </w:tc>
      </w:tr>
      <w:tr>
        <w:trPr>
          <w:trHeight w:val="16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陈骏德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jc w:val="both"/>
              <w:rPr>
                <w:rFonts w:ascii="宋体" w:hAnsi="宋体" w:cs="宋体" w:eastAsia="宋体" w:hint="default"/>
                <w:sz w:val="18"/>
                <w:szCs w:val="18"/>
              </w:rPr>
            </w:pPr>
            <w:r>
              <w:rPr>
                <w:rFonts w:ascii="宋体" w:hAnsi="宋体" w:cs="宋体" w:eastAsia="宋体" w:hint="default"/>
                <w:sz w:val="18"/>
                <w:szCs w:val="18"/>
              </w:rPr>
              <w:t>董事离职后半年 内不得转让其所 持有股份。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300" w:lineRule="auto" w:before="63"/>
              <w:ind w:left="24"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股份解除 限售，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0" w:lineRule="auto" w:before="13"/>
              <w:ind w:left="24"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日全部股份 解除限售</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董事、高管持股 锁定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5"/>
              <w:jc w:val="both"/>
              <w:rPr>
                <w:rFonts w:ascii="宋体" w:hAnsi="宋体" w:cs="宋体" w:eastAsia="宋体" w:hint="default"/>
                <w:sz w:val="18"/>
                <w:szCs w:val="18"/>
              </w:rPr>
            </w:pPr>
            <w:r>
              <w:rPr>
                <w:rFonts w:ascii="宋体" w:hAnsi="宋体" w:cs="宋体" w:eastAsia="宋体" w:hint="default"/>
                <w:sz w:val="18"/>
                <w:szCs w:val="18"/>
              </w:rPr>
              <w:t>高管离任申报半 年后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解除限 售；离任申报六 个月后的十二个 月后全部解除限 售</w:t>
            </w:r>
          </w:p>
        </w:tc>
      </w:tr>
    </w:tbl>
    <w:p>
      <w:pPr>
        <w:spacing w:after="0" w:line="314"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其他限售股股东 限售股份变动情 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11,775,039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11,775,039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认购公司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 度非公开发行股 票，锁定期一年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日全部股份解除 限售</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521,720,235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521,320,515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567,570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274"/>
        <w:gridCol w:w="934"/>
        <w:gridCol w:w="478"/>
        <w:gridCol w:w="697"/>
        <w:gridCol w:w="92"/>
        <w:gridCol w:w="785"/>
        <w:gridCol w:w="341"/>
        <w:gridCol w:w="449"/>
        <w:gridCol w:w="756"/>
        <w:gridCol w:w="872"/>
        <w:gridCol w:w="317"/>
        <w:gridCol w:w="1032"/>
        <w:gridCol w:w="141"/>
        <w:gridCol w:w="1208"/>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58,529</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58,961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right w:val="single" w:sz="4" w:space="0" w:color="000000"/>
            </w:tcBorders>
            <w:shd w:val="clear" w:color="auto" w:fill="D2D2D2"/>
          </w:tcPr>
          <w:p>
            <w:pPr/>
          </w:p>
        </w:tc>
      </w:tr>
      <w:tr>
        <w:trPr>
          <w:trHeight w:val="142"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8"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43.09%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10,046,69</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664,546,7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3"/>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333,456,863</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4" w:right="0"/>
              <w:jc w:val="left"/>
              <w:rPr>
                <w:rFonts w:ascii="Times New Roman" w:hAnsi="Times New Roman" w:cs="Times New Roman" w:eastAsia="Times New Roman" w:hint="default"/>
                <w:sz w:val="18"/>
                <w:szCs w:val="18"/>
              </w:rPr>
            </w:pPr>
            <w:r>
              <w:rPr>
                <w:rFonts w:ascii="Times New Roman"/>
                <w:sz w:val="18"/>
              </w:rPr>
              <w:t>10.65%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164,289,1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红塔红土基金－ 浙商银行－渤海 国际信托－美盈 森平层投资单一</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5.03%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77,503,97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77,503,97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90.1pt;mso-position-horizontal-relative:page;mso-position-vertical-relative:page;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90"/>
                    <w:gridCol w:w="785"/>
                    <w:gridCol w:w="790"/>
                    <w:gridCol w:w="788"/>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资金信托</w:t>
                        </w:r>
                      </w:p>
                    </w:tc>
                    <w:tc>
                      <w:tcPr>
                        <w:tcW w:w="141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全国社保基金四 一三组合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-10,386,4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中国国际金融股 份有限公司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906,857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中国工商银行股 份有限公司－景 顺长城精选蓝筹 混合型证券投资 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份有限公司－景 顺长城核心竞争 力混合型证券投 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景顺长城基金－ 建设银行－中国 人寿－中国人寿 委托景顺长城基 金股票型组合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9,583,612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5,662,000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9,583,612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份有限公司－财 通多策略福享混 合型证券投资基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8,786,963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8,786,963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9" w:right="20"/>
                          <w:jc w:val="left"/>
                          <w:rPr>
                            <w:rFonts w:ascii="宋体" w:hAnsi="宋体" w:cs="宋体" w:eastAsia="宋体" w:hint="default"/>
                            <w:sz w:val="18"/>
                            <w:szCs w:val="18"/>
                          </w:rPr>
                        </w:pPr>
                        <w:r>
                          <w:rPr>
                            <w:rFonts w:ascii="宋体" w:hAnsi="宋体" w:cs="宋体" w:eastAsia="宋体" w:hint="default"/>
                            <w:spacing w:val="-1"/>
                            <w:sz w:val="18"/>
                            <w:szCs w:val="18"/>
                          </w:rPr>
                          <w:t>红塔红土基金－浙商银行－渤海国际信托－美盈森平层投资单一资金信托、中国农业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银行股份有限公司－财通多策略福享混合型证券投资基金因参与公司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w:t>
                        </w:r>
                      </w:p>
                      <w:p>
                        <w:pPr>
                          <w:pStyle w:val="TableParagraph"/>
                          <w:spacing w:line="248" w:lineRule="exact"/>
                          <w:ind w:left="19" w:right="0"/>
                          <w:jc w:val="left"/>
                          <w:rPr>
                            <w:rFonts w:ascii="宋体" w:hAnsi="宋体" w:cs="宋体" w:eastAsia="宋体" w:hint="default"/>
                            <w:sz w:val="18"/>
                            <w:szCs w:val="18"/>
                          </w:rPr>
                        </w:pPr>
                        <w:r>
                          <w:rPr>
                            <w:rFonts w:ascii="宋体" w:hAnsi="宋体" w:cs="宋体" w:eastAsia="宋体" w:hint="default"/>
                            <w:sz w:val="18"/>
                            <w:szCs w:val="18"/>
                          </w:rPr>
                          <w:t>开发行股票认购成为公司前</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w:t>
                        </w:r>
                        <w:r>
                          <w:rPr>
                            <w:rFonts w:ascii="宋体" w:hAnsi="宋体" w:cs="宋体" w:eastAsia="宋体" w:hint="default"/>
                            <w:spacing w:val="-92"/>
                            <w:sz w:val="18"/>
                            <w:szCs w:val="18"/>
                          </w:rPr>
                          <w:t>，</w:t>
                        </w:r>
                        <w:r>
                          <w:rPr>
                            <w:rFonts w:ascii="宋体" w:hAnsi="宋体" w:cs="宋体" w:eastAsia="宋体" w:hint="default"/>
                            <w:sz w:val="18"/>
                            <w:szCs w:val="18"/>
                          </w:rPr>
                          <w:t>该部分股票已于</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47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0" w:type="dxa"/>
                        <w:gridSpan w:val="7"/>
                        <w:vMerge w:val="restart"/>
                        <w:tcBorders>
                          <w:top w:val="single" w:sz="4" w:space="0" w:color="000000"/>
                          <w:left w:val="single" w:sz="10" w:space="0" w:color="D2D2D2"/>
                          <w:right w:val="single" w:sz="4" w:space="0" w:color="000000"/>
                        </w:tcBorders>
                      </w:tcPr>
                      <w:p>
                        <w:pPr>
                          <w:pStyle w:val="TableParagraph"/>
                          <w:spacing w:line="316" w:lineRule="auto" w:before="49"/>
                          <w:ind w:left="19" w:right="20"/>
                          <w:jc w:val="left"/>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顺长城基金－建设银行－中国人寿－中国人寿委托景顺长城基金股票型组合同属景 </w:t>
                        </w:r>
                        <w:r>
                          <w:rPr>
                            <w:rFonts w:ascii="宋体" w:hAnsi="宋体" w:cs="宋体" w:eastAsia="宋体" w:hint="default"/>
                            <w:spacing w:val="-1"/>
                            <w:sz w:val="18"/>
                            <w:szCs w:val="18"/>
                          </w:rPr>
                          <w:t>顺长城基金管理有限公司旗下基金；除此之外，公司未知其他股东之间是否存在关联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关系，也未知其他股东之间是否属于《上市公司收购管理办法》中规定的一致行动人</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vMerge/>
                        <w:tcBorders>
                          <w:left w:val="single" w:sz="10" w:space="0" w:color="D2D2D2"/>
                          <w:right w:val="single" w:sz="4" w:space="0" w:color="000000"/>
                        </w:tcBorders>
                      </w:tcPr>
                      <w:p>
                        <w:pPr/>
                      </w:p>
                    </w:tc>
                  </w:tr>
                  <w:tr>
                    <w:trPr>
                      <w:trHeight w:val="473"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0" w:type="dxa"/>
                        <w:gridSpan w:val="7"/>
                        <w:vMerge/>
                        <w:tcBorders>
                          <w:left w:val="single" w:sz="10" w:space="0" w:color="D2D2D2"/>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2"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664,546,796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664,546,796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王治军</w:t>
                        </w:r>
                      </w:p>
                    </w:tc>
                    <w:tc>
                      <w:tcPr>
                        <w:tcW w:w="39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164,289,120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164,289,120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0" w:right="15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57"/>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44"/>
        <w:ind w:left="0" w:right="157"/>
        <w:jc w:val="right"/>
      </w:pPr>
      <w:r>
        <w:rPr/>
        <w:pict>
          <v:shape style="position:absolute;margin-left:56.400002pt;margin-top:-348.77829pt;width:479.3pt;height:404.3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2"/>
                    <w:gridCol w:w="1349"/>
                    <w:gridCol w:w="1349"/>
                  </w:tblGrid>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红塔红土基金－浙商银行－渤海国 际信托－美盈森平层投资单一资金 信托</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77,503,974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77,503,974</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35,000,093</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鞠成立</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23,976,960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23,976,960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18,096,057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18,096,057</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中国工商银行股份有限公司－景顺 长城精选蓝筹混合型证券投资基金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both"/>
                          <w:rPr>
                            <w:rFonts w:ascii="宋体" w:hAnsi="宋体" w:cs="宋体" w:eastAsia="宋体" w:hint="default"/>
                            <w:sz w:val="18"/>
                            <w:szCs w:val="18"/>
                          </w:rPr>
                        </w:pPr>
                        <w:r>
                          <w:rPr>
                            <w:rFonts w:ascii="宋体" w:hAnsi="宋体" w:cs="宋体" w:eastAsia="宋体" w:hint="default"/>
                            <w:sz w:val="18"/>
                            <w:szCs w:val="18"/>
                          </w:rPr>
                          <w:t>中国农业银行股份有限公司－景顺 长城核心竞争力混合型证券投资基 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10,000,092</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景顺长城基金－建设银行－中国人 寿－中国人寿委托景顺长城基金股 票型组合</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9,583,612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9,583,612</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中国农业银行股份有限公司－财通 多策略福享混合型证券投资基金</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8,786,963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8,786,963</w:t>
                        </w:r>
                      </w:p>
                    </w:tc>
                  </w:tr>
                  <w:tr>
                    <w:trPr>
                      <w:trHeight w:val="164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jc w:val="left"/>
                          <w:rPr>
                            <w:rFonts w:ascii="宋体" w:hAnsi="宋体" w:cs="宋体" w:eastAsia="宋体" w:hint="default"/>
                            <w:sz w:val="18"/>
                            <w:szCs w:val="18"/>
                          </w:rPr>
                        </w:pPr>
                        <w:r>
                          <w:rPr>
                            <w:rFonts w:ascii="宋体" w:hAnsi="宋体" w:cs="宋体" w:eastAsia="宋体" w:hint="default"/>
                            <w:spacing w:val="-1"/>
                            <w:sz w:val="18"/>
                            <w:szCs w:val="18"/>
                          </w:rPr>
                          <w:t>王海鹏为王治军之兄；中国工商银行股份有限公司－景顺长城精选蓝筹混合型证券投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资基金、中国农业银行股份有限公司－景顺长城核心竞争力混合型证券投资基金、景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顺长城基金－建设银行－中国人寿－中国人寿委托景顺长城基金股票型组合同属景 </w:t>
                        </w:r>
                        <w:r>
                          <w:rPr>
                            <w:rFonts w:ascii="宋体" w:hAnsi="宋体" w:cs="宋体" w:eastAsia="宋体" w:hint="default"/>
                            <w:spacing w:val="-1"/>
                            <w:sz w:val="18"/>
                            <w:szCs w:val="18"/>
                          </w:rPr>
                          <w:t>顺长城基金管理有限公司旗下基金；除此之外，公司未知其他股东之间是否存在关联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关系，也未知其他股东之间是否属于《上市公司收购管理办法》中规定的一致行动人</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44"/>
        <w:ind w:left="0" w:right="159"/>
        <w:jc w:val="right"/>
      </w:pPr>
      <w:r>
        <w:rPr/>
        <w:pict>
          <v:shape style="position:absolute;margin-left:56.459999pt;margin-top:-56.558327pt;width:479.2pt;height:158.9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302"/>
                    <w:gridCol w:w="3850"/>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
                          <w:jc w:val="left"/>
                          <w:rPr>
                            <w:rFonts w:ascii="宋体" w:hAnsi="宋体" w:cs="宋体" w:eastAsia="宋体" w:hint="default"/>
                            <w:sz w:val="18"/>
                            <w:szCs w:val="18"/>
                          </w:rPr>
                        </w:pPr>
                        <w:r>
                          <w:rPr>
                            <w:rFonts w:ascii="宋体" w:hAnsi="宋体" w:cs="宋体" w:eastAsia="宋体" w:hint="default"/>
                            <w:spacing w:val="-1"/>
                            <w:sz w:val="18"/>
                            <w:szCs w:val="18"/>
                          </w:rPr>
                          <w:t>中共美盈森集团股份有限公司委员会书记、中国包装联合会副会长、东莞市环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保包装行业协会会长，并兼任东莞美盈森执行董事兼总经理、香港美盈森董事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苏州美盈森执行董事、武汉美盈森执行董事、泸美供应链执行董事兼总经理、 </w:t>
                        </w:r>
                        <w:r>
                          <w:rPr>
                            <w:rFonts w:ascii="宋体" w:hAnsi="宋体" w:cs="宋体" w:eastAsia="宋体" w:hint="default"/>
                            <w:spacing w:val="-1"/>
                            <w:sz w:val="18"/>
                            <w:szCs w:val="18"/>
                          </w:rPr>
                          <w:t>美莲检测执行董事兼总经理、深圳汇天云网执行董事兼总经理、深圳金之彩董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事、佳宝隆董事、中大绿谷董事长兼总经理等职务。</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before="44"/>
        <w:ind w:left="0" w:right="159"/>
        <w:jc w:val="right"/>
      </w:pPr>
      <w:r>
        <w:rPr/>
        <w:pict>
          <v:shape style="position:absolute;margin-left:56.459999pt;margin-top:-56.528263pt;width:479.2pt;height:143.3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302"/>
                    <w:gridCol w:w="3850"/>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pacing w:val="-1"/>
                            <w:sz w:val="18"/>
                            <w:szCs w:val="18"/>
                          </w:rPr>
                          <w:t>中共美盈森集团股份有限公司委员会书记、中国包装联合会副会长、东莞市环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保包装行业协会会长，并兼任东莞美盈森执行董事兼总经理、香港美盈森董事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苏州美盈森执行董事、武汉美盈森执行董事、泸美供应链执行董事兼总经理、</w:t>
                        </w:r>
                        <w:r>
                          <w:rPr>
                            <w:rFonts w:ascii="宋体" w:hAnsi="宋体" w:cs="宋体" w:eastAsia="宋体" w:hint="default"/>
                            <w:sz w:val="18"/>
                            <w:szCs w:val="18"/>
                          </w:rPr>
                          <w:t> </w:t>
                        </w:r>
                        <w:r>
                          <w:rPr>
                            <w:rFonts w:ascii="宋体" w:hAnsi="宋体" w:cs="宋体" w:eastAsia="宋体" w:hint="default"/>
                            <w:spacing w:val="-1"/>
                            <w:sz w:val="18"/>
                            <w:szCs w:val="18"/>
                          </w:rPr>
                          <w:t>美莲检测执行董事兼总经理、深圳汇天云网执行董事兼总经理、深圳金之彩董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事、佳宝隆董事、中大绿谷董事长兼总经理等职务。</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实际控制人报告期内变更</w:t>
      </w:r>
    </w:p>
    <w:p>
      <w:pPr>
        <w:pStyle w:val="BodyText"/>
        <w:spacing w:line="34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0"/>
        <w:rPr>
          <w:rFonts w:ascii="宋体" w:hAnsi="宋体" w:cs="宋体" w:eastAsia="宋体" w:hint="default"/>
          <w:sz w:val="18"/>
          <w:szCs w:val="18"/>
        </w:rPr>
      </w:pPr>
    </w:p>
    <w:p>
      <w:pPr>
        <w:spacing w:line="2391" w:lineRule="exact"/>
        <w:ind w:left="2562"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3074711" cy="151885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3074711" cy="1518856"/>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1"/>
        <w:rPr>
          <w:rFonts w:ascii="宋体" w:hAnsi="宋体" w:cs="宋体" w:eastAsia="宋体" w:hint="default"/>
          <w:sz w:val="16"/>
          <w:szCs w:val="16"/>
        </w:rPr>
      </w:pPr>
    </w:p>
    <w:p>
      <w:pPr>
        <w:pStyle w:val="Heading3"/>
        <w:spacing w:line="240" w:lineRule="auto"/>
        <w:ind w:left="152"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TOC_250005"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8"/>
      <w:r>
        <w:rPr/>
        <w:t>第八节</w:t>
      </w:r>
      <w:r>
        <w:rPr>
          <w:spacing w:val="-9"/>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223,800</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9"/>
        <w:gridCol w:w="796"/>
        <w:gridCol w:w="797"/>
        <w:gridCol w:w="800"/>
        <w:gridCol w:w="797"/>
        <w:gridCol w:w="799"/>
        <w:gridCol w:w="797"/>
        <w:gridCol w:w="800"/>
        <w:gridCol w:w="797"/>
      </w:tblGrid>
      <w:tr>
        <w:trPr>
          <w:trHeight w:val="40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left"/>
              <w:rPr>
                <w:rFonts w:ascii="Times New Roman" w:hAnsi="Times New Roman" w:cs="Times New Roman" w:eastAsia="Times New Roman" w:hint="default"/>
                <w:sz w:val="18"/>
                <w:szCs w:val="18"/>
              </w:rPr>
            </w:pPr>
            <w:r>
              <w:rPr>
                <w:rFonts w:ascii="Times New Roman"/>
                <w:sz w:val="18"/>
              </w:rPr>
              <w:t>530,000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223,800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753,800</w:t>
            </w:r>
          </w:p>
        </w:tc>
      </w:tr>
    </w:tbl>
    <w:p>
      <w:pPr>
        <w:spacing w:line="240" w:lineRule="auto" w:before="1"/>
        <w:rPr>
          <w:rFonts w:ascii="宋体" w:hAnsi="宋体" w:cs="宋体" w:eastAsia="宋体" w:hint="default"/>
          <w:b/>
          <w:bCs/>
          <w:sz w:val="18"/>
          <w:szCs w:val="18"/>
        </w:rPr>
      </w:pPr>
    </w:p>
    <w:p>
      <w:pPr>
        <w:pStyle w:val="Heading2"/>
        <w:spacing w:line="240" w:lineRule="auto" w:before="26"/>
        <w:ind w:right="94"/>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319" w:lineRule="auto" w:before="115"/>
        <w:ind w:right="94"/>
        <w:jc w:val="left"/>
      </w:pPr>
      <w:r>
        <w:rPr>
          <w:rFonts w:ascii="Times New Roman" w:hAnsi="Times New Roman" w:cs="Times New Roman" w:eastAsia="Times New Roman" w:hint="default"/>
        </w:rPr>
        <w:t>1</w:t>
      </w:r>
      <w:r>
        <w:rPr/>
        <w:t>、董事会成员 </w:t>
      </w:r>
      <w:r>
        <w:rPr>
          <w:spacing w:val="-2"/>
        </w:rPr>
        <w:t>张珍义先生，</w:t>
      </w:r>
      <w:r>
        <w:rPr>
          <w:rFonts w:ascii="Times New Roman" w:hAnsi="Times New Roman" w:cs="Times New Roman" w:eastAsia="Times New Roman" w:hint="default"/>
          <w:spacing w:val="-2"/>
        </w:rPr>
        <w:t>1958</w:t>
      </w:r>
      <w:r>
        <w:rPr>
          <w:spacing w:val="-2"/>
        </w:rPr>
        <w:t>年生，中国国籍，无境外永久居留权，毕业于沈阳广播电视大学，中专学历。</w:t>
      </w:r>
      <w:r>
        <w:rPr>
          <w:rFonts w:ascii="Times New Roman" w:hAnsi="Times New Roman" w:cs="Times New Roman" w:eastAsia="Times New Roman" w:hint="default"/>
          <w:spacing w:val="-2"/>
        </w:rPr>
        <w:t>1980</w:t>
      </w:r>
      <w:r>
        <w:rPr>
          <w:spacing w:val="-2"/>
        </w:rPr>
        <w:t>年至</w:t>
      </w:r>
      <w:r>
        <w:rPr>
          <w:rFonts w:ascii="Times New Roman" w:hAnsi="Times New Roman" w:cs="Times New Roman" w:eastAsia="Times New Roman" w:hint="default"/>
          <w:spacing w:val="-2"/>
        </w:rPr>
        <w:t>1992</w:t>
      </w:r>
      <w:r>
        <w:rPr>
          <w:spacing w:val="-2"/>
        </w:rPr>
        <w:t>年在中国人民</w:t>
      </w:r>
      <w:r>
        <w:rPr>
          <w:spacing w:val="-58"/>
        </w:rPr>
        <w:t> </w:t>
      </w:r>
      <w:r>
        <w:rPr>
          <w:spacing w:val="-58"/>
        </w:rPr>
      </w:r>
      <w:r>
        <w:rPr>
          <w:spacing w:val="-2"/>
        </w:rPr>
        <w:t>解放军第六四一二厂担任对外协助联络员；</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2002</w:t>
      </w:r>
      <w:r>
        <w:rPr>
          <w:spacing w:val="-2"/>
        </w:rPr>
        <w:t>年在深圳万事得服装有限公司担任经理职务；</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2015</w:t>
      </w:r>
      <w:r>
        <w:rPr>
          <w:spacing w:val="-2"/>
        </w:rPr>
        <w:t>年担任</w:t>
      </w:r>
    </w:p>
    <w:p>
      <w:pPr>
        <w:pStyle w:val="BodyText"/>
        <w:spacing w:line="307" w:lineRule="auto"/>
        <w:ind w:right="94"/>
        <w:jc w:val="left"/>
      </w:pPr>
      <w:r>
        <w:rPr>
          <w:spacing w:val="-2"/>
        </w:rPr>
        <w:t>公司销售业务总监和关务负责人；</w:t>
      </w:r>
      <w:r>
        <w:rPr>
          <w:rFonts w:ascii="Times New Roman" w:hAnsi="Times New Roman" w:cs="Times New Roman" w:eastAsia="Times New Roman" w:hint="default"/>
          <w:spacing w:val="-2"/>
        </w:rPr>
        <w:t>2015</w:t>
      </w:r>
      <w:r>
        <w:rPr>
          <w:spacing w:val="-2"/>
        </w:rPr>
        <w:t>年开始担任公司董事长兼总经理。现任公司董事长兼总经理，同时兼任苏州美盈森监</w:t>
      </w:r>
      <w:r>
        <w:rPr>
          <w:spacing w:val="-59"/>
        </w:rPr>
        <w:t> </w:t>
      </w:r>
      <w:r>
        <w:rPr>
          <w:spacing w:val="-59"/>
        </w:rPr>
      </w:r>
      <w:r>
        <w:rPr>
          <w:spacing w:val="-2"/>
        </w:rPr>
        <w:t>事、武汉美盈森总经理、郑州美盈森执行董事兼总经理、天津美盈森执行董事兼总经理、长沙美盈森董事长兼总经理、中山</w:t>
      </w:r>
      <w:r>
        <w:rPr>
          <w:spacing w:val="-67"/>
        </w:rPr>
        <w:t> </w:t>
      </w:r>
      <w:r>
        <w:rPr>
          <w:spacing w:val="-67"/>
        </w:rPr>
      </w:r>
      <w:r>
        <w:rPr>
          <w:spacing w:val="-2"/>
        </w:rPr>
        <w:t>美盈森执行董事兼总经理、成都美盈森执行董事兼总经理、重庆美盈森执行董事、宜美供应链执行董事、汇天云网董事、中</w:t>
      </w:r>
      <w:r>
        <w:rPr>
          <w:spacing w:val="-67"/>
        </w:rPr>
        <w:t> </w:t>
      </w:r>
      <w:r>
        <w:rPr>
          <w:spacing w:val="-67"/>
        </w:rPr>
      </w:r>
      <w:r>
        <w:rPr>
          <w:spacing w:val="-2"/>
        </w:rPr>
        <w:t>大绿谷董事、佛山美盈森执行董事兼总经理、湖南美盈森执行董事兼总经理、越南美盈森董事兼总经理、小美集执行董事兼</w:t>
      </w:r>
      <w:r>
        <w:rPr>
          <w:spacing w:val="-65"/>
        </w:rPr>
        <w:t> </w:t>
      </w:r>
      <w:r>
        <w:rPr>
          <w:spacing w:val="-65"/>
        </w:rPr>
      </w:r>
      <w:r>
        <w:rPr/>
        <w:t>总经理、西安美盈森执行董事兼总经理。 </w:t>
      </w:r>
      <w:r>
        <w:rPr>
          <w:spacing w:val="-2"/>
        </w:rPr>
        <w:t>黄琳女士，</w:t>
      </w:r>
      <w:r>
        <w:rPr>
          <w:rFonts w:ascii="Times New Roman" w:hAnsi="Times New Roman" w:cs="Times New Roman" w:eastAsia="Times New Roman" w:hint="default"/>
          <w:spacing w:val="-2"/>
        </w:rPr>
        <w:t>1969</w:t>
      </w:r>
      <w:r>
        <w:rPr>
          <w:spacing w:val="-2"/>
        </w:rPr>
        <w:t>年生，中国国籍，无境外永久居留权，毕业于江南大学，大学本科学历。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1996</w:t>
      </w:r>
      <w:r>
        <w:rPr>
          <w:spacing w:val="-2"/>
        </w:rPr>
        <w:t>年在深圳朗氏食品有</w:t>
      </w:r>
      <w:r>
        <w:rPr>
          <w:spacing w:val="-55"/>
        </w:rPr>
        <w:t> </w:t>
      </w:r>
      <w:r>
        <w:rPr>
          <w:spacing w:val="-55"/>
        </w:rPr>
      </w:r>
      <w:r>
        <w:rPr/>
        <w:t>限公司担任销售工程师；</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年在深圳怡宝食品饮料有限公司任</w:t>
      </w:r>
      <w:r>
        <w:rPr>
          <w:rFonts w:ascii="Times New Roman" w:hAnsi="Times New Roman" w:cs="Times New Roman" w:eastAsia="Times New Roman" w:hint="default"/>
        </w:rPr>
        <w:t>SQE</w:t>
      </w:r>
      <w:r>
        <w:rPr/>
        <w:t>（即供应商质量工程师）</w:t>
      </w:r>
      <w:r>
        <w:rPr>
          <w:rFonts w:ascii="Times New Roman" w:hAnsi="Times New Roman" w:cs="Times New Roman" w:eastAsia="Times New Roman" w:hint="default"/>
        </w:rPr>
        <w:t>/IQC</w:t>
      </w:r>
      <w:r>
        <w:rPr/>
        <w:t>（即来料质量控 </w:t>
      </w:r>
      <w:r>
        <w:rPr>
          <w:spacing w:val="-3"/>
        </w:rPr>
        <w:t>制）主管；</w:t>
      </w:r>
      <w:r>
        <w:rPr>
          <w:rFonts w:ascii="Times New Roman" w:hAnsi="Times New Roman" w:cs="Times New Roman" w:eastAsia="Times New Roman" w:hint="default"/>
          <w:spacing w:val="-3"/>
        </w:rPr>
        <w:t>2000</w:t>
      </w:r>
      <w:r>
        <w:rPr>
          <w:spacing w:val="-3"/>
        </w:rPr>
        <w:t>年至</w:t>
      </w:r>
      <w:r>
        <w:rPr>
          <w:rFonts w:ascii="Times New Roman" w:hAnsi="Times New Roman" w:cs="Times New Roman" w:eastAsia="Times New Roman" w:hint="default"/>
          <w:spacing w:val="-3"/>
        </w:rPr>
        <w:t>2007</w:t>
      </w:r>
      <w:r>
        <w:rPr>
          <w:spacing w:val="-3"/>
        </w:rPr>
        <w:t>年担任公司管理者代表、品质部经理；</w:t>
      </w:r>
      <w:r>
        <w:rPr>
          <w:rFonts w:ascii="Times New Roman" w:hAnsi="Times New Roman" w:cs="Times New Roman" w:eastAsia="Times New Roman" w:hint="default"/>
          <w:spacing w:val="-3"/>
        </w:rPr>
        <w:t>2007</w:t>
      </w:r>
      <w:r>
        <w:rPr>
          <w:spacing w:val="-3"/>
        </w:rPr>
        <w:t>年起担任公司的副总经理兼董事会秘书。现任公司董事、</w:t>
      </w:r>
      <w:r>
        <w:rPr>
          <w:spacing w:val="-88"/>
        </w:rPr>
        <w:t> </w:t>
      </w:r>
      <w:r>
        <w:rPr>
          <w:spacing w:val="-88"/>
        </w:rPr>
      </w:r>
      <w:r>
        <w:rPr>
          <w:spacing w:val="-2"/>
        </w:rPr>
        <w:t>副总经理兼董事会秘书，同时兼任重庆美盈森监事、深圳金之彩董事、中大绿谷董事、西安美盈森监事、广州信联智通实业</w:t>
      </w:r>
      <w:r>
        <w:rPr>
          <w:spacing w:val="-67"/>
        </w:rPr>
        <w:t> </w:t>
      </w:r>
      <w:r>
        <w:rPr>
          <w:spacing w:val="-67"/>
        </w:rPr>
      </w:r>
      <w:r>
        <w:rPr/>
        <w:t>股份有限公司董事。 </w:t>
      </w:r>
      <w:r>
        <w:rPr>
          <w:spacing w:val="-2"/>
        </w:rPr>
        <w:t>刘征兵先生，</w:t>
      </w:r>
      <w:r>
        <w:rPr>
          <w:rFonts w:ascii="Times New Roman" w:hAnsi="Times New Roman" w:cs="Times New Roman" w:eastAsia="Times New Roman" w:hint="default"/>
          <w:spacing w:val="-2"/>
        </w:rPr>
        <w:t>1969</w:t>
      </w:r>
      <w:r>
        <w:rPr>
          <w:spacing w:val="-2"/>
        </w:rPr>
        <w:t>年生，中国国籍，无境外永久居留权，毕业于中南大学，博士研究生学历。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2000</w:t>
      </w:r>
      <w:r>
        <w:rPr>
          <w:spacing w:val="-2"/>
        </w:rPr>
        <w:t>年担任深圳市龙</w:t>
      </w:r>
      <w:r>
        <w:rPr>
          <w:spacing w:val="-58"/>
        </w:rPr>
        <w:t> </w:t>
      </w:r>
      <w:r>
        <w:rPr>
          <w:spacing w:val="-58"/>
        </w:rPr>
      </w:r>
      <w:r>
        <w:rPr>
          <w:spacing w:val="-2"/>
        </w:rPr>
        <w:t>岗区委办公室副科长；</w:t>
      </w:r>
      <w:r>
        <w:rPr>
          <w:rFonts w:ascii="Times New Roman" w:hAnsi="Times New Roman" w:cs="Times New Roman" w:eastAsia="Times New Roman" w:hint="default"/>
          <w:spacing w:val="-2"/>
        </w:rPr>
        <w:t>2000</w:t>
      </w:r>
      <w:r>
        <w:rPr>
          <w:spacing w:val="-2"/>
        </w:rPr>
        <w:t>至</w:t>
      </w:r>
      <w:r>
        <w:rPr>
          <w:rFonts w:ascii="Times New Roman" w:hAnsi="Times New Roman" w:cs="Times New Roman" w:eastAsia="Times New Roman" w:hint="default"/>
          <w:spacing w:val="-2"/>
        </w:rPr>
        <w:t>2001</w:t>
      </w:r>
      <w:r>
        <w:rPr>
          <w:spacing w:val="-2"/>
        </w:rPr>
        <w:t>年担任中共深圳市委宣传部副主任科员；</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2007</w:t>
      </w:r>
      <w:r>
        <w:rPr>
          <w:spacing w:val="-2"/>
        </w:rPr>
        <w:t>年先后担任深圳市人居环境委员会</w:t>
      </w:r>
      <w:r>
        <w:rPr>
          <w:spacing w:val="-55"/>
        </w:rPr>
        <w:t> </w:t>
      </w:r>
      <w:r>
        <w:rPr>
          <w:spacing w:val="-55"/>
        </w:rPr>
      </w:r>
      <w:r>
        <w:rPr>
          <w:spacing w:val="-2"/>
        </w:rPr>
        <w:t>主任科员、副处长；</w:t>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2015</w:t>
      </w:r>
      <w:r>
        <w:rPr>
          <w:spacing w:val="-2"/>
        </w:rPr>
        <w:t>年先后担任深圳市光明新区城市建设局副局长、党支部副书记，深圳市光明新区城市建设</w:t>
      </w:r>
      <w:r>
        <w:rPr>
          <w:spacing w:val="-59"/>
        </w:rPr>
        <w:t> </w:t>
      </w:r>
      <w:r>
        <w:rPr>
          <w:spacing w:val="-59"/>
        </w:rPr>
      </w:r>
      <w:r>
        <w:rPr>
          <w:spacing w:val="-2"/>
        </w:rPr>
        <w:t>投资有限公司任董事长兼总经理；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月至今担任公司董事长助理。现任公司董事、董事长助理，兼任长沙美盈森董事、</w:t>
      </w:r>
      <w:r>
        <w:rPr>
          <w:spacing w:val="-60"/>
        </w:rPr>
        <w:t> </w:t>
      </w:r>
      <w:r>
        <w:rPr>
          <w:spacing w:val="-60"/>
        </w:rPr>
      </w:r>
      <w:r>
        <w:rPr/>
        <w:t>中大绿谷董事 </w:t>
      </w:r>
      <w:r>
        <w:rPr>
          <w:spacing w:val="-2"/>
        </w:rPr>
        <w:t>张建军先生，</w:t>
      </w:r>
      <w:r>
        <w:rPr>
          <w:rFonts w:ascii="Times New Roman" w:hAnsi="Times New Roman" w:cs="Times New Roman" w:eastAsia="Times New Roman" w:hint="default"/>
          <w:spacing w:val="-2"/>
        </w:rPr>
        <w:t>1964</w:t>
      </w:r>
      <w:r>
        <w:rPr>
          <w:spacing w:val="-2"/>
        </w:rPr>
        <w:t>年生，中国国籍，无境外永久居留权，毕业于上海财经大学，博士研究生学历，曾荣获深圳市财政局授予</w:t>
      </w:r>
      <w:r>
        <w:rPr>
          <w:spacing w:val="-64"/>
        </w:rPr>
        <w:t> </w:t>
      </w:r>
      <w:r>
        <w:rPr>
          <w:spacing w:val="-64"/>
        </w:rPr>
      </w:r>
      <w:r>
        <w:rPr/>
        <w:t>的</w:t>
      </w:r>
      <w:r>
        <w:rPr>
          <w:rFonts w:ascii="Times New Roman" w:hAnsi="Times New Roman" w:cs="Times New Roman" w:eastAsia="Times New Roman" w:hint="default"/>
        </w:rPr>
        <w:t>“</w:t>
      </w:r>
      <w:r>
        <w:rPr/>
        <w:t>深圳市先进会计工作者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1985</w:t>
      </w:r>
      <w:r>
        <w:rPr/>
        <w:t>年至</w:t>
      </w:r>
      <w:r>
        <w:rPr>
          <w:rFonts w:ascii="Times New Roman" w:hAnsi="Times New Roman" w:cs="Times New Roman" w:eastAsia="Times New Roman" w:hint="default"/>
        </w:rPr>
        <w:t>1989</w:t>
      </w:r>
      <w:r>
        <w:rPr/>
        <w:t>年在江西财经大学会计系担任助教；</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1996</w:t>
      </w:r>
      <w:r>
        <w:rPr/>
        <w:t>年先后于安徽财经大学、 </w:t>
      </w:r>
      <w:r>
        <w:rPr>
          <w:spacing w:val="-2"/>
        </w:rPr>
        <w:t>上海财经大学攻读硕士、博士学位；</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1999</w:t>
      </w:r>
      <w:r>
        <w:rPr>
          <w:spacing w:val="-2"/>
        </w:rPr>
        <w:t>年任江西财经大学会计学院副院长、教授；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年在鹏元资信评</w:t>
      </w:r>
      <w:r>
        <w:rPr>
          <w:spacing w:val="-52"/>
        </w:rPr>
        <w:t> </w:t>
      </w:r>
      <w:r>
        <w:rPr>
          <w:spacing w:val="-52"/>
        </w:rPr>
      </w:r>
      <w:r>
        <w:rPr>
          <w:spacing w:val="-2"/>
        </w:rPr>
        <w:t>估有限公司担任副总裁；</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2006</w:t>
      </w:r>
      <w:r>
        <w:rPr>
          <w:spacing w:val="-2"/>
        </w:rPr>
        <w:t>年在深圳大学经济学院任职院长、教授；</w:t>
      </w:r>
      <w:r>
        <w:rPr>
          <w:rFonts w:ascii="Times New Roman" w:hAnsi="Times New Roman" w:cs="Times New Roman" w:eastAsia="Times New Roman" w:hint="default"/>
          <w:spacing w:val="-2"/>
        </w:rPr>
        <w:t>2007</w:t>
      </w:r>
      <w:r>
        <w:rPr>
          <w:spacing w:val="-2"/>
        </w:rPr>
        <w:t>年至今在深圳大学会计与财务研究所任</w:t>
      </w:r>
      <w:r>
        <w:rPr>
          <w:spacing w:val="-56"/>
        </w:rPr>
        <w:t> </w:t>
      </w:r>
      <w:r>
        <w:rPr>
          <w:spacing w:val="-56"/>
        </w:rPr>
      </w:r>
      <w:r>
        <w:rPr/>
        <w:t>职所长、教授。现任公司独立董事，深圳大学会计与财务研究所所长、教授，兼任深圳市天威视讯股份有限公司独立董事、 </w:t>
      </w:r>
      <w:r>
        <w:rPr>
          <w:spacing w:val="-2"/>
        </w:rPr>
        <w:t>深圳市飞荣达科技股份有限公司独立董事、深圳市捷顺科技实业股份有限公司独立董事和佛山市燃气集团股份有限公司独立</w:t>
      </w:r>
      <w:r>
        <w:rPr>
          <w:spacing w:val="-63"/>
        </w:rPr>
        <w:t> </w:t>
      </w:r>
      <w:r>
        <w:rPr>
          <w:spacing w:val="-63"/>
        </w:rPr>
      </w:r>
      <w:r>
        <w:rPr/>
        <w:t>董事。 </w:t>
      </w:r>
      <w:r>
        <w:rPr>
          <w:spacing w:val="-2"/>
        </w:rPr>
        <w:t>李伟东先生，</w:t>
      </w:r>
      <w:r>
        <w:rPr>
          <w:rFonts w:ascii="Times New Roman" w:hAnsi="Times New Roman" w:cs="Times New Roman" w:eastAsia="Times New Roman" w:hint="default"/>
          <w:spacing w:val="-2"/>
        </w:rPr>
        <w:t>1968</w:t>
      </w:r>
      <w:r>
        <w:rPr>
          <w:spacing w:val="-2"/>
        </w:rPr>
        <w:t>年生，中国国籍，香港居留权，毕业于香港城市大学，博士研究生学历。</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1994</w:t>
      </w:r>
      <w:r>
        <w:rPr>
          <w:spacing w:val="-2"/>
        </w:rPr>
        <w:t>年在南京中山律师</w:t>
      </w:r>
      <w:r>
        <w:rPr>
          <w:spacing w:val="-59"/>
        </w:rPr>
        <w:t> </w:t>
      </w:r>
      <w:r>
        <w:rPr>
          <w:spacing w:val="-59"/>
        </w:rPr>
      </w:r>
      <w:r>
        <w:rPr/>
        <w:t>事务所任职律师；</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1997</w:t>
      </w:r>
      <w:r>
        <w:rPr/>
        <w:t>年在江苏经纬律师事务所任职律师；自</w:t>
      </w:r>
      <w:r>
        <w:rPr>
          <w:rFonts w:ascii="Times New Roman" w:hAnsi="Times New Roman" w:cs="Times New Roman" w:eastAsia="Times New Roman" w:hint="default"/>
        </w:rPr>
        <w:t>2003</w:t>
      </w:r>
      <w:r>
        <w:rPr/>
        <w:t>年至今担任广东海派律师事务所的执行合伙人。 </w:t>
      </w:r>
      <w:r>
        <w:rPr>
          <w:spacing w:val="-2"/>
        </w:rPr>
        <w:t>现任公司独立董事，兼任广东海派律师事务所执行合伙人、华泰期货有限公司独立董事、福建海西金融租赁有限公司独立董</w:t>
      </w:r>
      <w:r>
        <w:rPr>
          <w:spacing w:val="-63"/>
        </w:rPr>
        <w:t> </w:t>
      </w:r>
      <w:r>
        <w:rPr>
          <w:spacing w:val="-63"/>
        </w:rPr>
      </w:r>
      <w:r>
        <w:rPr/>
        <w:t>事和平安证券股份有限公司独立董事。</w:t>
      </w:r>
    </w:p>
    <w:p>
      <w:pPr>
        <w:pStyle w:val="BodyText"/>
        <w:spacing w:line="319" w:lineRule="auto" w:before="26"/>
        <w:ind w:right="94"/>
        <w:jc w:val="left"/>
      </w:pPr>
      <w:r>
        <w:rPr>
          <w:rFonts w:ascii="Times New Roman" w:hAnsi="Times New Roman" w:cs="Times New Roman" w:eastAsia="Times New Roman" w:hint="default"/>
        </w:rPr>
        <w:t>2</w:t>
      </w:r>
      <w:r>
        <w:rPr/>
        <w:t>、监事会成员 </w:t>
      </w:r>
      <w:r>
        <w:rPr>
          <w:spacing w:val="-2"/>
        </w:rPr>
        <w:t>蔡少龄先生，</w:t>
      </w:r>
      <w:r>
        <w:rPr>
          <w:rFonts w:ascii="Times New Roman" w:hAnsi="Times New Roman" w:cs="Times New Roman" w:eastAsia="Times New Roman" w:hint="default"/>
          <w:spacing w:val="-2"/>
        </w:rPr>
        <w:t>1942</w:t>
      </w:r>
      <w:r>
        <w:rPr>
          <w:spacing w:val="-2"/>
        </w:rPr>
        <w:t>年生，中国国籍，无永久境外居留权，本科学历，高级工程师，参与制定多项行业国家标准，出版了《运</w:t>
      </w:r>
      <w:r>
        <w:rPr>
          <w:spacing w:val="-63"/>
        </w:rPr>
        <w:t> </w:t>
      </w:r>
      <w:r>
        <w:rPr>
          <w:spacing w:val="-63"/>
        </w:rPr>
      </w:r>
      <w:r>
        <w:rPr>
          <w:spacing w:val="-2"/>
        </w:rPr>
        <w:t>输包装设计手册》、《包装技术手册》、《化工百科全书》之包装器材卷等专著。</w:t>
      </w:r>
      <w:r>
        <w:rPr>
          <w:rFonts w:ascii="Times New Roman" w:hAnsi="Times New Roman" w:cs="Times New Roman" w:eastAsia="Times New Roman" w:hint="default"/>
          <w:spacing w:val="-2"/>
        </w:rPr>
        <w:t>1978</w:t>
      </w:r>
      <w:r>
        <w:rPr>
          <w:spacing w:val="-2"/>
        </w:rPr>
        <w:t>至</w:t>
      </w:r>
      <w:r>
        <w:rPr>
          <w:rFonts w:ascii="Times New Roman" w:hAnsi="Times New Roman" w:cs="Times New Roman" w:eastAsia="Times New Roman" w:hint="default"/>
          <w:spacing w:val="-2"/>
        </w:rPr>
        <w:t>1987</w:t>
      </w:r>
      <w:r>
        <w:rPr>
          <w:spacing w:val="-2"/>
        </w:rPr>
        <w:t>年任中国出口商品包装研究所</w:t>
      </w:r>
    </w:p>
    <w:p>
      <w:pPr>
        <w:pStyle w:val="BodyText"/>
        <w:spacing w:line="300" w:lineRule="auto"/>
        <w:ind w:right="188"/>
        <w:jc w:val="both"/>
      </w:pPr>
      <w:r>
        <w:rPr>
          <w:spacing w:val="-2"/>
        </w:rPr>
        <w:t>工程师，</w:t>
      </w:r>
      <w:r>
        <w:rPr>
          <w:rFonts w:ascii="Times New Roman" w:hAnsi="Times New Roman" w:cs="Times New Roman" w:eastAsia="Times New Roman" w:hint="default"/>
          <w:spacing w:val="-2"/>
        </w:rPr>
        <w:t>1987</w:t>
      </w:r>
      <w:r>
        <w:rPr>
          <w:spacing w:val="-2"/>
        </w:rPr>
        <w:t>至</w:t>
      </w:r>
      <w:r>
        <w:rPr>
          <w:rFonts w:ascii="Times New Roman" w:hAnsi="Times New Roman" w:cs="Times New Roman" w:eastAsia="Times New Roman" w:hint="default"/>
          <w:spacing w:val="-2"/>
        </w:rPr>
        <w:t>1991</w:t>
      </w:r>
      <w:r>
        <w:rPr>
          <w:spacing w:val="-2"/>
        </w:rPr>
        <w:t>年担任中国包装科研测试中心、国家运输包装质量监督检测中心技术负责人，</w:t>
      </w:r>
      <w:r>
        <w:rPr>
          <w:rFonts w:ascii="Times New Roman" w:hAnsi="Times New Roman" w:cs="Times New Roman" w:eastAsia="Times New Roman" w:hint="default"/>
          <w:spacing w:val="-2"/>
        </w:rPr>
        <w:t>1991</w:t>
      </w:r>
      <w:r>
        <w:rPr>
          <w:spacing w:val="-2"/>
        </w:rPr>
        <w:t>至</w:t>
      </w:r>
      <w:r>
        <w:rPr>
          <w:rFonts w:ascii="Times New Roman" w:hAnsi="Times New Roman" w:cs="Times New Roman" w:eastAsia="Times New Roman" w:hint="default"/>
          <w:spacing w:val="-2"/>
        </w:rPr>
        <w:t>2001</w:t>
      </w:r>
      <w:r>
        <w:rPr>
          <w:spacing w:val="-2"/>
        </w:rPr>
        <w:t>年任美福瓦通</w:t>
      </w:r>
      <w:r>
        <w:rPr>
          <w:spacing w:val="-52"/>
        </w:rPr>
        <w:t> </w:t>
      </w:r>
      <w:r>
        <w:rPr>
          <w:spacing w:val="-52"/>
        </w:rPr>
      </w:r>
      <w:r>
        <w:rPr>
          <w:spacing w:val="-2"/>
        </w:rPr>
        <w:t>纸品（深圳）有限公司质管部经理，</w:t>
      </w:r>
      <w:r>
        <w:rPr>
          <w:rFonts w:ascii="Times New Roman" w:hAnsi="Times New Roman" w:cs="Times New Roman" w:eastAsia="Times New Roman" w:hint="default"/>
          <w:spacing w:val="-2"/>
        </w:rPr>
        <w:t>2001</w:t>
      </w:r>
      <w:r>
        <w:rPr>
          <w:spacing w:val="-2"/>
        </w:rPr>
        <w:t>至</w:t>
      </w:r>
      <w:r>
        <w:rPr>
          <w:rFonts w:ascii="Times New Roman" w:hAnsi="Times New Roman" w:cs="Times New Roman" w:eastAsia="Times New Roman" w:hint="default"/>
          <w:spacing w:val="-2"/>
        </w:rPr>
        <w:t>2002</w:t>
      </w:r>
      <w:r>
        <w:rPr>
          <w:spacing w:val="-2"/>
        </w:rPr>
        <w:t>年任深圳市诺恒管理策划有限公司顾问师，</w:t>
      </w:r>
      <w:r>
        <w:rPr>
          <w:rFonts w:ascii="Times New Roman" w:hAnsi="Times New Roman" w:cs="Times New Roman" w:eastAsia="Times New Roman" w:hint="default"/>
          <w:spacing w:val="-2"/>
        </w:rPr>
        <w:t>2002</w:t>
      </w:r>
      <w:r>
        <w:rPr>
          <w:spacing w:val="-2"/>
        </w:rPr>
        <w:t>至</w:t>
      </w:r>
      <w:r>
        <w:rPr>
          <w:rFonts w:ascii="Times New Roman" w:hAnsi="Times New Roman" w:cs="Times New Roman" w:eastAsia="Times New Roman" w:hint="default"/>
          <w:spacing w:val="-2"/>
        </w:rPr>
        <w:t>2004</w:t>
      </w:r>
      <w:r>
        <w:rPr>
          <w:spacing w:val="-2"/>
        </w:rPr>
        <w:t>年任深圳职业技术学</w:t>
      </w:r>
      <w:r>
        <w:rPr>
          <w:spacing w:val="-52"/>
        </w:rPr>
        <w:t> </w:t>
      </w:r>
      <w:r>
        <w:rPr/>
        <w:t>院印刷传播系教师，</w:t>
      </w:r>
      <w:r>
        <w:rPr>
          <w:rFonts w:ascii="Times New Roman" w:hAnsi="Times New Roman" w:cs="Times New Roman" w:eastAsia="Times New Roman" w:hint="default"/>
        </w:rPr>
        <w:t>2004</w:t>
      </w:r>
      <w:r>
        <w:rPr/>
        <w:t>年加入公司，现任公司监事会主席、技术部顾问。</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94"/>
        <w:jc w:val="left"/>
      </w:pPr>
      <w:r>
        <w:rPr>
          <w:spacing w:val="-2"/>
        </w:rPr>
        <w:t>陈利科先生，</w:t>
      </w:r>
      <w:r>
        <w:rPr>
          <w:rFonts w:ascii="Times New Roman" w:hAnsi="Times New Roman" w:cs="Times New Roman" w:eastAsia="Times New Roman" w:hint="default"/>
          <w:spacing w:val="-2"/>
        </w:rPr>
        <w:t>1976</w:t>
      </w:r>
      <w:r>
        <w:rPr>
          <w:spacing w:val="-2"/>
        </w:rPr>
        <w:t>年生，中国国籍，无永久境外居留权，本科学历。</w:t>
      </w:r>
      <w:r>
        <w:rPr>
          <w:rFonts w:ascii="Times New Roman" w:hAnsi="Times New Roman" w:cs="Times New Roman" w:eastAsia="Times New Roman" w:hint="default"/>
          <w:spacing w:val="-2"/>
        </w:rPr>
        <w:t>2003</w:t>
      </w:r>
      <w:r>
        <w:rPr>
          <w:spacing w:val="-2"/>
        </w:rPr>
        <w:t>年加入公司。现任公司监事、研发部副总监，兼任</w:t>
      </w:r>
      <w:r>
        <w:rPr>
          <w:spacing w:val="-61"/>
        </w:rPr>
        <w:t> </w:t>
      </w:r>
      <w:r>
        <w:rPr>
          <w:spacing w:val="-61"/>
        </w:rPr>
      </w:r>
      <w:r>
        <w:rPr/>
        <w:t>东莞美盈森监事、中山美盈森监事。</w:t>
      </w:r>
    </w:p>
    <w:p>
      <w:pPr>
        <w:pStyle w:val="BodyText"/>
        <w:spacing w:line="300" w:lineRule="auto" w:before="72"/>
        <w:ind w:right="94"/>
        <w:jc w:val="left"/>
      </w:pPr>
      <w:r>
        <w:rPr/>
        <w:t>刘兰芳女士，</w:t>
      </w:r>
      <w:r>
        <w:rPr>
          <w:rFonts w:ascii="Times New Roman" w:hAnsi="Times New Roman" w:cs="Times New Roman" w:eastAsia="Times New Roman" w:hint="default"/>
        </w:rPr>
        <w:t>1984</w:t>
      </w:r>
      <w:r>
        <w:rPr/>
        <w:t>年生，中国国籍，无境外永久居留权，大学本科学历。</w:t>
      </w:r>
      <w:r>
        <w:rPr>
          <w:rFonts w:ascii="Times New Roman" w:hAnsi="Times New Roman" w:cs="Times New Roman" w:eastAsia="Times New Roman" w:hint="default"/>
        </w:rPr>
        <w:t>2008 </w:t>
      </w:r>
      <w:r>
        <w:rPr/>
        <w:t>年加入公司。现任公司职工监事、报关部经</w:t>
      </w:r>
      <w:r>
        <w:rPr>
          <w:spacing w:val="-84"/>
        </w:rPr>
        <w:t> </w:t>
      </w:r>
      <w:r>
        <w:rPr>
          <w:spacing w:val="-84"/>
        </w:rPr>
      </w:r>
      <w:r>
        <w:rPr/>
        <w:t>理，工会主席，兼任苏州智谷监事、安徽美盈森监事、湖南美盈森监事。</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48" w:lineRule="auto"/>
        <w:ind w:right="4054"/>
        <w:jc w:val="left"/>
      </w:pPr>
      <w:r>
        <w:rPr>
          <w:rFonts w:ascii="Times New Roman" w:hAnsi="Times New Roman" w:cs="Times New Roman" w:eastAsia="Times New Roman" w:hint="default"/>
        </w:rPr>
        <w:t>3</w:t>
      </w:r>
      <w:r>
        <w:rPr/>
        <w:t>、高级管理人员 张珍义先生，任本公司总经理，详见前述董事会成员简历。 黄琳女士，任本公司副总经理、董事会秘书，详见前述董事会成员简历。</w:t>
      </w:r>
    </w:p>
    <w:p>
      <w:pPr>
        <w:pStyle w:val="BodyText"/>
        <w:spacing w:line="300" w:lineRule="auto" w:before="36"/>
        <w:ind w:right="94"/>
        <w:jc w:val="left"/>
      </w:pPr>
      <w:r>
        <w:rPr/>
        <w:t>冯达昌先生，</w:t>
      </w:r>
      <w:r>
        <w:rPr>
          <w:rFonts w:ascii="Times New Roman" w:hAnsi="Times New Roman" w:cs="Times New Roman" w:eastAsia="Times New Roman" w:hint="default"/>
        </w:rPr>
        <w:t>1962</w:t>
      </w:r>
      <w:r>
        <w:rPr/>
        <w:t>年生，中国香港籍，工商管理硕士。曾任美福瓦通纸品（深圳）有限公司营销总监。现任公司副总经理， </w:t>
      </w:r>
      <w:r>
        <w:rPr>
          <w:spacing w:val="-4"/>
        </w:rPr>
        <w:t>并兼任香港美盈森董事、重庆美盈森总经理、常富润企业（香港）董事长、常富润科技（深圳）有限公司执行董事和总经理。</w:t>
      </w:r>
    </w:p>
    <w:p>
      <w:pPr>
        <w:pStyle w:val="BodyText"/>
        <w:spacing w:line="300" w:lineRule="auto" w:before="72"/>
        <w:ind w:right="192"/>
        <w:jc w:val="both"/>
      </w:pPr>
      <w:r>
        <w:rPr>
          <w:spacing w:val="-2"/>
        </w:rPr>
        <w:t>袁宏贵先生，</w:t>
      </w:r>
      <w:r>
        <w:rPr>
          <w:rFonts w:ascii="Times New Roman" w:hAnsi="Times New Roman" w:cs="Times New Roman" w:eastAsia="Times New Roman" w:hint="default"/>
          <w:spacing w:val="-2"/>
        </w:rPr>
        <w:t>1979</w:t>
      </w:r>
      <w:r>
        <w:rPr>
          <w:spacing w:val="-2"/>
        </w:rPr>
        <w:t>年生，中国国籍，无永久境外居留权，大学专科学历，中国注册会计师协会非执业会员，曾任职深圳市鼎</w:t>
      </w:r>
      <w:r>
        <w:rPr>
          <w:spacing w:val="-64"/>
        </w:rPr>
        <w:t> </w:t>
      </w:r>
      <w:r>
        <w:rPr>
          <w:spacing w:val="-64"/>
        </w:rPr>
      </w:r>
      <w:r>
        <w:rPr>
          <w:spacing w:val="-2"/>
        </w:rPr>
        <w:t>益投资有限公司、同方股份有限公司。</w:t>
      </w:r>
      <w:r>
        <w:rPr>
          <w:rFonts w:ascii="Times New Roman" w:hAnsi="Times New Roman" w:cs="Times New Roman" w:eastAsia="Times New Roman" w:hint="default"/>
          <w:spacing w:val="-2"/>
        </w:rPr>
        <w:t>2010</w:t>
      </w:r>
      <w:r>
        <w:rPr>
          <w:spacing w:val="-2"/>
        </w:rPr>
        <w:t>年加入公司，曾任审计部经理。现任公司财务总监，并兼任小美集监事、美莲检</w:t>
      </w:r>
      <w:r>
        <w:rPr>
          <w:spacing w:val="-64"/>
        </w:rPr>
        <w:t> </w:t>
      </w:r>
      <w:r>
        <w:rPr>
          <w:spacing w:val="-64"/>
        </w:rPr>
      </w:r>
      <w:r>
        <w:rPr/>
        <w:t>测监事、东莞美之兰监事、深圳汇天云网监事和中大绿谷监事。</w:t>
      </w:r>
    </w:p>
    <w:p>
      <w:pPr>
        <w:pStyle w:val="BodyText"/>
        <w:spacing w:line="240" w:lineRule="auto" w:before="70"/>
        <w:ind w:right="94"/>
        <w:jc w:val="left"/>
      </w:pPr>
      <w:r>
        <w:rPr/>
        <w:t>在股东单位任职情况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98"/>
        <w:jc w:val="right"/>
      </w:pPr>
      <w:r>
        <w:rPr/>
        <w:pict>
          <v:shape style="position:absolute;margin-left:56.400002pt;margin-top:-72.128273pt;width:479.3pt;height:107.5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1"/>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4"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7" w:right="10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、公司控股股东王海鹏、第二大股东王治军分别持有广州信联智通实业股份有限公司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的股份</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、上述任期终止日期是指本届任期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94"/>
        <w:jc w:val="left"/>
      </w:pPr>
      <w:r>
        <w:rPr/>
        <w:t>在其他单位任职情况</w:t>
      </w:r>
    </w:p>
    <w:p>
      <w:pPr>
        <w:pStyle w:val="BodyText"/>
        <w:spacing w:line="240"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4"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深圳大学会计与财务研究所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所长、教授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深圳市天威视讯股份有限公司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深圳市飞荣达科技股份有限公司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华泰期货有限公司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福建海西金融租赁有限责任公司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常富润企业（香港）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上述任期终止日期指本届任期。</w:t>
            </w:r>
          </w:p>
        </w:tc>
      </w:tr>
    </w:tbl>
    <w:p>
      <w:pPr>
        <w:pStyle w:val="BodyText"/>
        <w:spacing w:line="240" w:lineRule="auto" w:before="49"/>
        <w:ind w:right="0"/>
        <w:jc w:val="both"/>
      </w:pPr>
      <w:r>
        <w:rPr/>
        <w:t>公司现任及报告期内离任董事、监事和高级管理人员近三年证券监管机构处罚的情况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240" w:lineRule="auto" w:before="115"/>
        <w:ind w:right="0"/>
        <w:jc w:val="both"/>
      </w:pPr>
      <w:r>
        <w:rPr>
          <w:rFonts w:ascii="Times New Roman" w:hAnsi="Times New Roman" w:cs="Times New Roman" w:eastAsia="Times New Roman" w:hint="default"/>
        </w:rPr>
        <w:t>1</w:t>
      </w:r>
      <w:r>
        <w:rPr/>
        <w:t>、根据《公司章程》的有关规定，公司董事、监事的津贴由股东大会审议决定；公司高管的报酬由董事会审议决定。</w:t>
      </w:r>
    </w:p>
    <w:p>
      <w:pPr>
        <w:pStyle w:val="BodyText"/>
        <w:spacing w:line="240" w:lineRule="auto" w:before="63"/>
        <w:ind w:right="0"/>
        <w:jc w:val="both"/>
      </w:pPr>
      <w:r>
        <w:rPr>
          <w:rFonts w:ascii="Times New Roman" w:hAnsi="Times New Roman" w:cs="Times New Roman" w:eastAsia="Times New Roman" w:hint="default"/>
        </w:rPr>
        <w:t>2</w:t>
      </w:r>
      <w:r>
        <w:rPr/>
        <w:t>、公司董事、监事、高管人员的报酬综合考虑公司经营情况、同行上市公司及地区薪酬标准确定。具体决策情况如下：</w:t>
      </w:r>
    </w:p>
    <w:p>
      <w:pPr>
        <w:spacing w:line="240" w:lineRule="auto" w:before="13"/>
        <w:rPr>
          <w:rFonts w:ascii="宋体" w:hAnsi="宋体" w:cs="宋体" w:eastAsia="宋体" w:hint="default"/>
          <w:sz w:val="13"/>
          <w:szCs w:val="13"/>
        </w:rPr>
      </w:pPr>
    </w:p>
    <w:p>
      <w:pPr>
        <w:pStyle w:val="BodyText"/>
        <w:spacing w:line="300" w:lineRule="auto"/>
        <w:ind w:right="151"/>
        <w:jc w:val="both"/>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2016</w:t>
      </w:r>
      <w:r>
        <w:rPr/>
        <w:t>年第二次临时股东大会审议通过了《关于审议第四届董事会董事津贴的议案》、《关于审议第四届监事会监</w:t>
      </w:r>
      <w:r>
        <w:rPr>
          <w:spacing w:val="-85"/>
        </w:rPr>
        <w:t> </w:t>
      </w:r>
      <w:r>
        <w:rPr>
          <w:spacing w:val="-85"/>
        </w:rPr>
      </w:r>
      <w:r>
        <w:rPr/>
        <w:t>事津贴的议案》，同意支付给第四届董事会董事的津贴为每年</w:t>
      </w:r>
      <w:r>
        <w:rPr>
          <w:rFonts w:ascii="Times New Roman" w:hAnsi="Times New Roman" w:cs="Times New Roman" w:eastAsia="Times New Roman" w:hint="default"/>
        </w:rPr>
        <w:t>12</w:t>
      </w:r>
      <w:r>
        <w:rPr/>
        <w:t>万元（含税），支付给第四届监事会监事的津贴为每年</w:t>
      </w:r>
      <w:r>
        <w:rPr>
          <w:rFonts w:ascii="Times New Roman" w:hAnsi="Times New Roman" w:cs="Times New Roman" w:eastAsia="Times New Roman" w:hint="default"/>
        </w:rPr>
        <w:t>1</w:t>
      </w:r>
      <w:r>
        <w:rPr/>
        <w:t>万</w:t>
      </w:r>
      <w:r>
        <w:rPr>
          <w:spacing w:val="-82"/>
        </w:rPr>
        <w:t> </w:t>
      </w:r>
      <w:r>
        <w:rPr/>
        <w:t>元（含税）；（</w:t>
      </w:r>
      <w:r>
        <w:rPr>
          <w:rFonts w:ascii="Times New Roman" w:hAnsi="Times New Roman" w:cs="Times New Roman" w:eastAsia="Times New Roman" w:hint="default"/>
        </w:rPr>
        <w:t>2</w:t>
      </w:r>
      <w:r>
        <w:rPr/>
        <w:t>）公司第四届董事会第一次会议审议通过公司高级管理人员基本年薪为：总经理张珍义：</w:t>
      </w:r>
      <w:r>
        <w:rPr>
          <w:rFonts w:ascii="Times New Roman" w:hAnsi="Times New Roman" w:cs="Times New Roman" w:eastAsia="Times New Roman" w:hint="default"/>
        </w:rPr>
        <w:t>52</w:t>
      </w:r>
      <w:r>
        <w:rPr/>
        <w:t>万元，副总经</w:t>
      </w:r>
      <w:r>
        <w:rPr>
          <w:spacing w:val="-82"/>
        </w:rPr>
        <w:t> </w:t>
      </w:r>
      <w:r>
        <w:rPr>
          <w:spacing w:val="-2"/>
        </w:rPr>
        <w:t>理兼董事会秘书黄琳：</w:t>
      </w:r>
      <w:r>
        <w:rPr>
          <w:rFonts w:ascii="Times New Roman" w:hAnsi="Times New Roman" w:cs="Times New Roman" w:eastAsia="Times New Roman" w:hint="default"/>
          <w:spacing w:val="-2"/>
        </w:rPr>
        <w:t>50</w:t>
      </w:r>
      <w:r>
        <w:rPr>
          <w:spacing w:val="-2"/>
        </w:rPr>
        <w:t>万元，副总经理冯达昌：</w:t>
      </w:r>
      <w:r>
        <w:rPr>
          <w:rFonts w:ascii="Times New Roman" w:hAnsi="Times New Roman" w:cs="Times New Roman" w:eastAsia="Times New Roman" w:hint="default"/>
          <w:spacing w:val="-2"/>
        </w:rPr>
        <w:t>38</w:t>
      </w:r>
      <w:r>
        <w:rPr>
          <w:spacing w:val="-2"/>
        </w:rPr>
        <w:t>万元，财务总监袁宏贵：</w:t>
      </w:r>
      <w:r>
        <w:rPr>
          <w:rFonts w:ascii="Times New Roman" w:hAnsi="Times New Roman" w:cs="Times New Roman" w:eastAsia="Times New Roman" w:hint="default"/>
          <w:spacing w:val="-2"/>
        </w:rPr>
        <w:t>38</w:t>
      </w:r>
      <w:r>
        <w:rPr>
          <w:spacing w:val="-2"/>
        </w:rPr>
        <w:t>万元。（前述兼任董事的高管人员年薪含董</w:t>
      </w:r>
      <w:r>
        <w:rPr>
          <w:spacing w:val="-64"/>
        </w:rPr>
        <w:t> </w:t>
      </w:r>
      <w:r>
        <w:rPr>
          <w:spacing w:val="-64"/>
        </w:rPr>
      </w:r>
      <w:r>
        <w:rPr/>
        <w:t>事津贴）</w:t>
      </w:r>
    </w:p>
    <w:p>
      <w:pPr>
        <w:pStyle w:val="BodyText"/>
        <w:spacing w:line="240" w:lineRule="auto" w:before="72"/>
        <w:ind w:right="0"/>
        <w:jc w:val="both"/>
      </w:pPr>
      <w:r>
        <w:rPr/>
        <w:t>公司报告期内董事、监事和高级管理人员报酬情况</w:t>
      </w:r>
    </w:p>
    <w:p>
      <w:pPr>
        <w:pStyle w:val="BodyText"/>
        <w:spacing w:line="240" w:lineRule="auto" w:before="117"/>
        <w:ind w:left="0" w:right="151"/>
        <w:jc w:val="right"/>
      </w:pPr>
      <w:r>
        <w:rPr/>
        <w:pict>
          <v:group style="position:absolute;margin-left:193.820007pt;margin-top:79.241707pt;width:67.850pt;height:28.05pt;mso-position-horizontal-relative:page;mso-position-vertical-relative:paragraph;z-index:-1118488" coordorigin="3876,1585" coordsize="1357,561">
            <v:group style="position:absolute;left:3876;top:1585;width:1357;height:156" coordorigin="3876,1585" coordsize="1357,156">
              <v:shape style="position:absolute;left:3876;top:1585;width:1357;height:156" coordorigin="3876,1585" coordsize="1357,156" path="m3876,1741l5233,1741,5233,1585,3876,1585,3876,1741xe" filled="true" fillcolor="#ffffff" stroked="false">
                <v:path arrowok="t"/>
                <v:fill type="solid"/>
              </v:shape>
            </v:group>
            <v:group style="position:absolute;left:3887;top:1741;width:2;height:394" coordorigin="3887,1741" coordsize="2,394">
              <v:shape style="position:absolute;left:3887;top:1741;width:2;height:394" coordorigin="3887,1741" coordsize="0,394" path="m3887,1741l3887,2134e" filled="false" stroked="true" strokeweight="1.08pt" strokecolor="#ffffff">
                <v:path arrowok="t"/>
              </v:shape>
            </v:group>
            <v:group style="position:absolute;left:3898;top:1741;width:1311;height:394" coordorigin="3898,1741" coordsize="1311,394">
              <v:shape style="position:absolute;left:3898;top:1741;width:1311;height:394" coordorigin="3898,1741" coordsize="1311,394" path="m3898,2134l5209,2134,5209,1741,3898,1741,3898,2134xe" filled="true" fillcolor="#ffffff" stroked="false">
                <v:path arrowok="t"/>
                <v:fill type="solid"/>
              </v:shape>
            </v:group>
            <w10:wrap type="none"/>
          </v:group>
        </w:pict>
      </w: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张珍义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8"/>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刘征兵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蔡少龄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陈利科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刘兰芳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冯达昌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袁宏贵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78"/>
        <w:gridCol w:w="135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7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316.45</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3,489</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451</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w:t>
            </w:r>
          </w:p>
        </w:tc>
      </w:tr>
      <w:tr>
        <w:trPr>
          <w:trHeight w:val="39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3474"/>
        <w:jc w:val="left"/>
      </w:pPr>
      <w:r>
        <w:rPr/>
        <w:t>薪资福利： 公司提供有市场竞争力的薪酬待遇，并依绩效考核结果每年提供一次加薪机会。 福利及保险： 公司为员工提供医疗保险、养老保险、失业保险、住房公积金及其他相关福利。</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t>教育培训： </w:t>
      </w:r>
      <w:r>
        <w:rPr>
          <w:spacing w:val="-2"/>
        </w:rPr>
        <w:t>公司高度重视员工的培训工作，在加强对全体员工高素质培训的同时，有重点有选择地对优秀员工进行培养，并大力支持对</w:t>
      </w:r>
    </w:p>
    <w:p>
      <w:pPr>
        <w:spacing w:after="0" w:line="316"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494"/>
        <w:jc w:val="left"/>
      </w:pPr>
      <w:r>
        <w:rPr/>
        <w:t>管理和技术人员的各类高级培训。 对于新加入的大学生，公司为其提供全方位培训计划，包括集中培训学习、不同岗位实习、岗位实践等。 职业发展：</w:t>
      </w:r>
    </w:p>
    <w:p>
      <w:pPr>
        <w:pStyle w:val="BodyText"/>
        <w:spacing w:line="240" w:lineRule="auto" w:before="17"/>
        <w:ind w:right="0"/>
        <w:jc w:val="left"/>
      </w:pPr>
      <w:r>
        <w:rPr/>
        <w:t>公司重视员工职业发展，不断完善员工的职业发展体系，建立有效的绩效评估管理。</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962"/>
        <w:jc w:val="center"/>
        <w:rPr>
          <w:b w:val="0"/>
          <w:bCs w:val="0"/>
        </w:rPr>
      </w:pPr>
      <w:bookmarkStart w:name="_TOC_250003" w:id="9"/>
      <w:r>
        <w:rPr/>
        <w:t>第九节</w:t>
      </w:r>
      <w:r>
        <w:rPr>
          <w:spacing w:val="-2"/>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4" w:firstLine="300"/>
        <w:jc w:val="both"/>
      </w:pPr>
      <w:r>
        <w:rPr>
          <w:spacing w:val="-1"/>
        </w:rPr>
        <w:t>公司上市以来，严格按照《公司法》、《证券法》、《上市公司治理准则》和深圳证券交易所《股票上市规则》及《中</w:t>
      </w:r>
      <w:r>
        <w:rPr/>
        <w:t> </w:t>
      </w:r>
      <w:r>
        <w:rPr>
          <w:spacing w:val="-2"/>
        </w:rPr>
        <w:t>小企业板上市公司规范运作指引》等相关法律、法规的规定，认真学习和落实中国证监会、深圳证监局、深圳证券交易所等</w:t>
      </w:r>
      <w:r>
        <w:rPr>
          <w:spacing w:val="-66"/>
        </w:rPr>
        <w:t> </w:t>
      </w:r>
      <w:r>
        <w:rPr>
          <w:spacing w:val="-66"/>
        </w:rPr>
      </w:r>
      <w:r>
        <w:rPr/>
        <w:t>监管机构的相关要求，不断完善公司法人治理结构，建立现代企业制度，持续深入规范公司运作。</w:t>
      </w:r>
    </w:p>
    <w:p>
      <w:pPr>
        <w:pStyle w:val="BodyText"/>
        <w:spacing w:line="240" w:lineRule="auto" w:before="139"/>
        <w:ind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4"/>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749"/>
        <w:gridCol w:w="2600"/>
        <w:gridCol w:w="5041"/>
        <w:gridCol w:w="1270"/>
      </w:tblGrid>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制度名称</w:t>
            </w:r>
            <w:r>
              <w:rPr>
                <w:rFonts w:ascii="宋体" w:hAnsi="宋体" w:cs="宋体" w:eastAsia="宋体" w:hint="default"/>
                <w:sz w:val="18"/>
                <w:szCs w:val="18"/>
              </w:rPr>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b/>
                <w:bCs/>
                <w:sz w:val="18"/>
                <w:szCs w:val="18"/>
              </w:rPr>
              <w:t>公开信息披露情况</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生效时间</w:t>
            </w:r>
            <w:r>
              <w:rPr>
                <w:rFonts w:ascii="宋体" w:hAnsi="宋体" w:cs="宋体" w:eastAsia="宋体" w:hint="default"/>
                <w:sz w:val="18"/>
                <w:szCs w:val="18"/>
              </w:rPr>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对外投资管理制度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经第一届董事会第二次会议制定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2007.10.15</w:t>
            </w:r>
          </w:p>
        </w:tc>
      </w:tr>
      <w:tr>
        <w:trPr>
          <w:trHeight w:val="349"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资金管理制度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经第一届董事会第八次会议制定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2009.1.18</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突发事件处理制度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2009.11.15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2009.11.15</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2009.12.24</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信息披露管理办法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经第一届董事会第十二次会议修订并公告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2009.12.24</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董事、监事、高管人员所持本公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司股份及其变动管理制度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2010.1.10</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印章使用管理办法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经第二届董事会第二次会议制定并公告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2010.10.26</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会计师事务所选聘制度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年第二次临时股东大会制定并公告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2010.2.9</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年报信息披露重大差错责任追究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2010.3.23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审计委员会年报工作规程</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2010.3.23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远期结售汇交易内部控制制度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经第一届董事会第十五次会议制定并公告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2010.4.14</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独立董事工作制度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对外担保管理办法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关联交易管理办法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累积投票制实施细则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年第三次临时股东大会制定并公告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2010.9.21</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可能接触内幕信息的关键岗位人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员买卖公司股票相关规定</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经第二届董事会第四次（临时）会议制定并公告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2011.1.26</w:t>
            </w:r>
          </w:p>
        </w:tc>
      </w:tr>
      <w:tr>
        <w:trPr>
          <w:trHeight w:val="661"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防范控股股东及关联方资金占用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经第二届董事会第六次会议制定并公告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2011.4.25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投资者关系管理制度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2011.9.17</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内幕信息知情人报备及登记管理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经第二届董事会第十三次（临时）会议修订并公告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2012.1.15</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财务会计相关负责人管理制度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2012.4.23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49"/>
        <w:gridCol w:w="2600"/>
        <w:gridCol w:w="5041"/>
        <w:gridCol w:w="1270"/>
      </w:tblGrid>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2012.4.23</w:t>
            </w:r>
          </w:p>
        </w:tc>
      </w:tr>
      <w:tr>
        <w:trPr>
          <w:trHeight w:val="65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0"/>
              <w:jc w:val="left"/>
              <w:rPr>
                <w:rFonts w:ascii="宋体" w:hAnsi="宋体" w:cs="宋体" w:eastAsia="宋体" w:hint="default"/>
                <w:sz w:val="18"/>
                <w:szCs w:val="18"/>
              </w:rPr>
            </w:pPr>
            <w:r>
              <w:rPr>
                <w:rFonts w:ascii="宋体" w:hAnsi="宋体" w:cs="宋体" w:eastAsia="宋体" w:hint="default"/>
                <w:spacing w:val="3"/>
                <w:sz w:val="18"/>
                <w:szCs w:val="18"/>
              </w:rPr>
              <w:t>董事会薪酬与考核委员会议事规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2012.4.23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内部审计制度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经第二届董事会第十五次（临时）会议修订并公告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2012.4.23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财务管理制度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2012.8.3</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总经理工作细则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经第二届董事会第十六次（临时）会议修订并公告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2012.8.3</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投资理财管理制度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经第三届董事会第四次会议制定并公告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2014.3.27</w:t>
            </w:r>
          </w:p>
        </w:tc>
      </w:tr>
      <w:tr>
        <w:trPr>
          <w:trHeight w:val="660"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未来三年股东回报规划</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2015.5.20</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股东大会议事规则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2015.5.20</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年度第三次临时股东大会修订并公告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2015.12.28</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子公司管理制度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经第三届董事会第二十三次（临时）会议修订并公告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2016.3.12</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经第三届董事会第二十七次（临时）会议修订并公告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2016.11.9</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2016.11.22</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信息披露委员会实施细则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经第四届董事会第一次会议制订并公告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2016.11.22</w:t>
            </w:r>
          </w:p>
        </w:tc>
      </w:tr>
      <w:tr>
        <w:trPr>
          <w:trHeight w:val="346"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38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募集资金管理制度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年第二次临时股东大会修订并公告</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2016.11.22</w:t>
            </w:r>
          </w:p>
        </w:tc>
      </w:tr>
    </w:tbl>
    <w:p>
      <w:pPr>
        <w:pStyle w:val="BodyText"/>
        <w:spacing w:line="316" w:lineRule="auto" w:before="8"/>
        <w:ind w:right="202" w:firstLine="72"/>
        <w:jc w:val="left"/>
      </w:pPr>
      <w:r>
        <w:rPr/>
        <w:t>截至报告期末，公司认为，公司治理的实际情况基本符合规范性文件的要求，已经形成了决策机构、监督机构与管理层之 间权责分明、各司其职、相互制衡、科学决策、协调运作的法人治理结构。</w:t>
      </w:r>
    </w:p>
    <w:p>
      <w:pPr>
        <w:pStyle w:val="BodyText"/>
        <w:spacing w:line="432" w:lineRule="exact" w:before="3"/>
        <w:ind w:left="453" w:right="94" w:hanging="301"/>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1"/>
        </w:rPr>
        <w:t>报告期内，公司严格按照《公司法》、《上市公司股东大会规则》、《公司章程》、《股东大会议事规则》等法律法规</w:t>
      </w:r>
    </w:p>
    <w:p>
      <w:pPr>
        <w:pStyle w:val="BodyText"/>
        <w:spacing w:line="316" w:lineRule="auto" w:before="15"/>
        <w:ind w:right="194"/>
        <w:jc w:val="both"/>
      </w:pPr>
      <w:r>
        <w:rPr>
          <w:spacing w:val="-2"/>
        </w:rPr>
        <w:t>的要求，规范股东大会的召集、召开及表决程序，确保所有股东享有平等地位，充分行使自己权利，并通过聘请律师见证保</w:t>
      </w:r>
      <w:r>
        <w:rPr>
          <w:spacing w:val="-67"/>
        </w:rPr>
        <w:t> </w:t>
      </w:r>
      <w:r>
        <w:rPr>
          <w:spacing w:val="-67"/>
        </w:rPr>
      </w:r>
      <w:r>
        <w:rPr/>
        <w:t>证会议召集、召开和表决程序的合法性，维护了公司和股东的合法权益。</w:t>
      </w:r>
    </w:p>
    <w:p>
      <w:pPr>
        <w:spacing w:line="432" w:lineRule="exact" w:before="3"/>
        <w:ind w:left="453" w:right="94" w:hanging="30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、关于控股股东与公司关系</w:t>
      </w:r>
      <w:r>
        <w:rPr>
          <w:rFonts w:ascii="宋体" w:hAnsi="宋体" w:cs="宋体" w:eastAsia="宋体" w:hint="default"/>
          <w:b/>
          <w:bCs/>
          <w:w w:val="99"/>
          <w:sz w:val="18"/>
          <w:szCs w:val="18"/>
        </w:rPr>
        <w:t> </w:t>
      </w:r>
      <w:r>
        <w:rPr>
          <w:rFonts w:ascii="宋体" w:hAnsi="宋体" w:cs="宋体" w:eastAsia="宋体" w:hint="default"/>
          <w:spacing w:val="-1"/>
          <w:sz w:val="18"/>
          <w:szCs w:val="18"/>
        </w:rPr>
        <w:t>公司控股股东为自然人王海鹏先生，作为控股股东，王海鹏先生对公司依法通过股东大会行使出资人的权利；王海鹏先</w:t>
      </w:r>
    </w:p>
    <w:p>
      <w:pPr>
        <w:pStyle w:val="BodyText"/>
        <w:spacing w:line="316" w:lineRule="auto" w:before="15"/>
        <w:ind w:right="104"/>
        <w:jc w:val="both"/>
      </w:pPr>
      <w:r>
        <w:rPr>
          <w:spacing w:val="-4"/>
        </w:rPr>
        <w:t>生还在公司有关子公司担任董事长、执行董事等职务，在任职期间，王海鹏先生严格履行公司有关制度所赋予的权利和义务，</w:t>
      </w:r>
      <w:r>
        <w:rPr>
          <w:spacing w:val="-44"/>
        </w:rPr>
        <w:t> </w:t>
      </w:r>
      <w:r>
        <w:rPr>
          <w:spacing w:val="-44"/>
        </w:rPr>
      </w:r>
      <w:r>
        <w:rPr/>
        <w:t>参与日常经营管理。公司重大事项的决策及生产经营均按照公司内部控制制度由公司经营层、董事会、股东大会讨论决定， 不存在控股股东及实际控制人控制公司的情况。</w:t>
      </w:r>
    </w:p>
    <w:p>
      <w:pPr>
        <w:pStyle w:val="BodyText"/>
        <w:spacing w:line="432" w:lineRule="exact" w:before="3"/>
        <w:ind w:left="453" w:right="153" w:hanging="301"/>
        <w:jc w:val="left"/>
      </w:pPr>
      <w:r>
        <w:rPr>
          <w:rFonts w:ascii="Times New Roman" w:hAnsi="Times New Roman" w:cs="Times New Roman" w:eastAsia="Times New Roman" w:hint="default"/>
          <w:b/>
          <w:bCs/>
        </w:rPr>
        <w:t>3</w:t>
      </w:r>
      <w:r>
        <w:rPr>
          <w:rFonts w:ascii="宋体" w:hAnsi="宋体" w:cs="宋体" w:eastAsia="宋体" w:hint="default"/>
          <w:b/>
          <w:bCs/>
        </w:rPr>
        <w:t>、关于董事与董事会</w:t>
      </w:r>
      <w:r>
        <w:rPr>
          <w:rFonts w:ascii="宋体" w:hAnsi="宋体" w:cs="宋体" w:eastAsia="宋体" w:hint="default"/>
          <w:b/>
          <w:bCs/>
          <w:w w:val="99"/>
        </w:rPr>
        <w:t> </w:t>
      </w:r>
      <w:r>
        <w:rPr/>
        <w:t>报告期内，公司董事会成员</w:t>
      </w:r>
      <w:r>
        <w:rPr>
          <w:rFonts w:ascii="Times New Roman" w:hAnsi="Times New Roman" w:cs="Times New Roman" w:eastAsia="Times New Roman" w:hint="default"/>
        </w:rPr>
        <w:t>5</w:t>
      </w:r>
      <w:r>
        <w:rPr/>
        <w:t>人，其中独立董事</w:t>
      </w:r>
      <w:r>
        <w:rPr>
          <w:rFonts w:ascii="Times New Roman" w:hAnsi="Times New Roman" w:cs="Times New Roman" w:eastAsia="Times New Roman" w:hint="default"/>
        </w:rPr>
        <w:t>2</w:t>
      </w:r>
      <w:r>
        <w:rPr/>
        <w:t>人，董事会的人数及人员构成符合法律、法规和《公司章程》的要求。</w:t>
      </w:r>
    </w:p>
    <w:p>
      <w:pPr>
        <w:pStyle w:val="BodyText"/>
        <w:spacing w:line="316" w:lineRule="auto" w:before="15"/>
        <w:ind w:right="111"/>
        <w:jc w:val="both"/>
      </w:pPr>
      <w:r>
        <w:rPr/>
        <w:t>公司全体董事能够依据《董事会议事规则》、深圳证券交易所《中小企业板上市公司规范运作指引》等法律法规开展工作， 认真出席董事会和股东大会，积极参加培训，学习有关法律法规。独立董事能够不受影响地独立履行职责。</w:t>
      </w:r>
    </w:p>
    <w:p>
      <w:pPr>
        <w:pStyle w:val="BodyText"/>
        <w:spacing w:line="316" w:lineRule="auto" w:before="139"/>
        <w:ind w:right="94" w:firstLine="300"/>
        <w:jc w:val="left"/>
      </w:pPr>
      <w:r>
        <w:rPr>
          <w:spacing w:val="-1"/>
        </w:rPr>
        <w:t>截至报告期末，公司董事会下设四个专门委员会，即审计委员会、提名委员会、薪酬与考核委员会及战略委员会，并制</w:t>
      </w:r>
      <w:r>
        <w:rPr/>
        <w:t> 定各委员会议事规则，指导各委员会有效运行。</w:t>
      </w:r>
    </w:p>
    <w:p>
      <w:pPr>
        <w:pStyle w:val="BodyText"/>
        <w:spacing w:line="432" w:lineRule="exact" w:before="4"/>
        <w:ind w:left="453" w:right="189" w:hanging="301"/>
        <w:jc w:val="left"/>
      </w:pPr>
      <w:r>
        <w:rPr>
          <w:rFonts w:ascii="Times New Roman" w:hAnsi="Times New Roman" w:cs="Times New Roman" w:eastAsia="Times New Roman" w:hint="default"/>
          <w:b/>
          <w:bCs/>
        </w:rPr>
        <w:t>4</w:t>
      </w:r>
      <w:r>
        <w:rPr>
          <w:rFonts w:ascii="宋体" w:hAnsi="宋体" w:cs="宋体" w:eastAsia="宋体" w:hint="default"/>
          <w:b/>
          <w:bCs/>
        </w:rPr>
        <w:t>、关于监事与监事会</w:t>
      </w:r>
      <w:r>
        <w:rPr>
          <w:rFonts w:ascii="宋体" w:hAnsi="宋体" w:cs="宋体" w:eastAsia="宋体" w:hint="default"/>
          <w:b/>
          <w:bCs/>
          <w:w w:val="99"/>
        </w:rPr>
        <w:t> </w:t>
      </w:r>
      <w:r>
        <w:rPr>
          <w:spacing w:val="-4"/>
        </w:rPr>
        <w:t>报告期内，公司监事会成员</w:t>
      </w:r>
      <w:r>
        <w:rPr>
          <w:rFonts w:ascii="Times New Roman" w:hAnsi="Times New Roman" w:cs="Times New Roman" w:eastAsia="Times New Roman" w:hint="default"/>
          <w:spacing w:val="-4"/>
        </w:rPr>
        <w:t>3</w:t>
      </w:r>
      <w:r>
        <w:rPr>
          <w:spacing w:val="-4"/>
        </w:rPr>
        <w:t>人，其中</w:t>
      </w:r>
      <w:r>
        <w:rPr>
          <w:rFonts w:ascii="Times New Roman" w:hAnsi="Times New Roman" w:cs="Times New Roman" w:eastAsia="Times New Roman" w:hint="default"/>
          <w:spacing w:val="-4"/>
        </w:rPr>
        <w:t>1</w:t>
      </w:r>
      <w:r>
        <w:rPr>
          <w:spacing w:val="-4"/>
        </w:rPr>
        <w:t>人为职工代表，监事会的人数及构成符合法律、法规的要求。公司监事会依据《公</w:t>
      </w:r>
    </w:p>
    <w:p>
      <w:pPr>
        <w:pStyle w:val="BodyText"/>
        <w:spacing w:line="316" w:lineRule="auto" w:before="15"/>
        <w:ind w:right="101"/>
        <w:jc w:val="both"/>
      </w:pPr>
      <w:r>
        <w:rPr>
          <w:spacing w:val="-4"/>
        </w:rPr>
        <w:t>司章程》、《监事会议事规则》等法律法规认真履行自己的职责，按规定的程序召开了监事会，对公司重大事项、财务状况、</w:t>
      </w:r>
      <w:r>
        <w:rPr>
          <w:spacing w:val="-42"/>
        </w:rPr>
        <w:t> </w:t>
      </w:r>
      <w:r>
        <w:rPr>
          <w:spacing w:val="-42"/>
        </w:rPr>
      </w:r>
      <w:r>
        <w:rPr/>
        <w:t>董事和高级管理人员履行职责的合法合规性进行监督，维护公司及股东的合法权益。</w:t>
      </w:r>
    </w:p>
    <w:p>
      <w:pPr>
        <w:spacing w:line="415" w:lineRule="auto" w:before="138"/>
        <w:ind w:left="453" w:right="94" w:hanging="30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、关于绩效评价与激励约束机制</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公司董事、监事和高级管理人员的聘任公开、透明，符合相关法律法规的规定，并已初步建立董事、监事和高级管理人</w:t>
      </w:r>
    </w:p>
    <w:p>
      <w:pPr>
        <w:spacing w:after="0" w:line="415"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员的绩效评价标准和激励约束机制。</w:t>
      </w:r>
    </w:p>
    <w:p>
      <w:pPr>
        <w:spacing w:line="240" w:lineRule="auto" w:before="1"/>
        <w:rPr>
          <w:rFonts w:ascii="宋体" w:hAnsi="宋体" w:cs="宋体" w:eastAsia="宋体" w:hint="default"/>
          <w:sz w:val="15"/>
          <w:szCs w:val="15"/>
        </w:rPr>
      </w:pPr>
    </w:p>
    <w:p>
      <w:pPr>
        <w:spacing w:before="0"/>
        <w:ind w:left="152"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、关于相关利益者</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pStyle w:val="BodyText"/>
        <w:spacing w:line="316" w:lineRule="auto"/>
        <w:ind w:right="94" w:firstLine="480"/>
        <w:jc w:val="left"/>
      </w:pPr>
      <w:r>
        <w:rPr/>
        <w:t>公司充分尊重和维护相关利益者的合法权益，加强与各方的沟通与交流，实现社会、股东、公司、员工等各方面利益 </w:t>
      </w:r>
      <w:r>
        <w:rPr>
          <w:spacing w:val="-4"/>
        </w:rPr>
        <w:t>的协调平衡，诚信对待客户和供应商，认真培养每一位员工，坚持与相关利益者互利共赢的原则，共同推动公司持续、健康、</w:t>
      </w:r>
      <w:r>
        <w:rPr>
          <w:spacing w:val="-45"/>
        </w:rPr>
        <w:t> </w:t>
      </w:r>
      <w:r>
        <w:rPr>
          <w:spacing w:val="-45"/>
        </w:rPr>
      </w:r>
      <w:r>
        <w:rPr/>
        <w:t>快速发展。</w:t>
      </w:r>
    </w:p>
    <w:p>
      <w:pPr>
        <w:pStyle w:val="BodyText"/>
        <w:spacing w:line="432" w:lineRule="exact" w:before="3"/>
        <w:ind w:left="453" w:right="153" w:hanging="301"/>
        <w:jc w:val="left"/>
      </w:pPr>
      <w:r>
        <w:rPr>
          <w:rFonts w:ascii="Times New Roman" w:hAnsi="Times New Roman" w:cs="Times New Roman" w:eastAsia="Times New Roman" w:hint="default"/>
          <w:b/>
          <w:bCs/>
        </w:rPr>
        <w:t>7</w:t>
      </w:r>
      <w:r>
        <w:rPr>
          <w:rFonts w:ascii="宋体" w:hAnsi="宋体" w:cs="宋体" w:eastAsia="宋体" w:hint="default"/>
          <w:b/>
          <w:bCs/>
        </w:rPr>
        <w:t>、关于信息披露与透明度</w:t>
      </w:r>
      <w:r>
        <w:rPr>
          <w:rFonts w:ascii="宋体" w:hAnsi="宋体" w:cs="宋体" w:eastAsia="宋体" w:hint="default"/>
          <w:b/>
          <w:bCs/>
          <w:w w:val="99"/>
        </w:rPr>
        <w:t> </w:t>
      </w:r>
      <w:r>
        <w:rPr/>
        <w:t>公司严格按照有关法律法规及公司《信息披露管理办法》、《投资者关系管理制度》、《信息披露委员会实施细则》、</w:t>
      </w:r>
    </w:p>
    <w:p>
      <w:pPr>
        <w:pStyle w:val="BodyText"/>
        <w:spacing w:line="316" w:lineRule="auto" w:before="15"/>
        <w:ind w:right="94"/>
        <w:jc w:val="left"/>
      </w:pPr>
      <w:r>
        <w:rPr>
          <w:spacing w:val="-2"/>
        </w:rPr>
        <w:t>《内幕信息知情人报备和登记管理制度》等系列制度的要求，真实、准确、完整、及时、公平地披露信息，确保所有股东有</w:t>
      </w:r>
      <w:r>
        <w:rPr>
          <w:spacing w:val="-70"/>
        </w:rPr>
        <w:t> </w:t>
      </w:r>
      <w:r>
        <w:rPr>
          <w:spacing w:val="-70"/>
        </w:rPr>
      </w:r>
      <w:r>
        <w:rPr/>
        <w:t>平等的机会获得信息。</w:t>
      </w:r>
    </w:p>
    <w:p>
      <w:pPr>
        <w:pStyle w:val="BodyText"/>
        <w:spacing w:line="319" w:lineRule="auto" w:before="139"/>
        <w:ind w:right="192"/>
        <w:jc w:val="both"/>
      </w:pPr>
      <w:r>
        <w:rPr>
          <w:spacing w:val="-2"/>
        </w:rPr>
        <w:t>公司指定董事会秘书负责公司的信息披露事务与投资者关系的管理，证券部为信息披露事务和投资者关系管理执行部门。公</w:t>
      </w:r>
      <w:r>
        <w:rPr>
          <w:spacing w:val="-63"/>
        </w:rPr>
        <w:t> </w:t>
      </w:r>
      <w:r>
        <w:rPr>
          <w:spacing w:val="-63"/>
        </w:rPr>
      </w:r>
      <w:r>
        <w:rPr>
          <w:spacing w:val="-2"/>
        </w:rPr>
        <w:t>司注重与投资者沟通交流，通过电话、电子邮件、投资者关系互动平台等各种方式，加强与投资者的沟通。公司指定《证券</w:t>
      </w:r>
      <w:r>
        <w:rPr>
          <w:spacing w:val="-68"/>
        </w:rPr>
        <w:t> </w:t>
      </w:r>
      <w:r>
        <w:rPr>
          <w:spacing w:val="-68"/>
        </w:rPr>
      </w:r>
      <w:r>
        <w:rPr>
          <w:spacing w:val="-2"/>
        </w:rPr>
        <w:t>时报》和巨潮资讯网为公司信息披露媒体，接受各方监督，不断加强信息披露管理，确保信息披露的透明度、完整性和公平</w:t>
      </w:r>
      <w:r>
        <w:rPr>
          <w:spacing w:val="-67"/>
        </w:rPr>
        <w:t> </w:t>
      </w:r>
      <w:r>
        <w:rPr>
          <w:spacing w:val="-67"/>
        </w:rPr>
      </w:r>
      <w:r>
        <w:rPr/>
        <w:t>性。</w:t>
      </w:r>
    </w:p>
    <w:p>
      <w:pPr>
        <w:pStyle w:val="BodyText"/>
        <w:spacing w:line="240" w:lineRule="auto" w:before="58"/>
        <w:ind w:right="94"/>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94"/>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jc w:val="left"/>
      </w:pPr>
      <w:r>
        <w:rPr>
          <w:rFonts w:ascii="Times New Roman" w:hAnsi="Times New Roman" w:cs="Times New Roman" w:eastAsia="Times New Roman" w:hint="default"/>
        </w:rPr>
        <w:t>1</w:t>
      </w:r>
      <w:r>
        <w:rPr/>
        <w:t>、资产独立 </w:t>
      </w:r>
      <w:r>
        <w:rPr>
          <w:spacing w:val="-2"/>
        </w:rPr>
        <w:t>本公司资产独立，不存在资产、资金被控股股东占用的情形，不存在以资产、权益为控股股东担保的情形，本公司现有的资</w:t>
      </w:r>
      <w:r>
        <w:rPr>
          <w:spacing w:val="-67"/>
        </w:rPr>
        <w:t> </w:t>
      </w:r>
      <w:r>
        <w:rPr>
          <w:spacing w:val="-67"/>
        </w:rPr>
      </w:r>
      <w:r>
        <w:rPr/>
        <w:t>产独立、完整，没有以其资产为股东或个人债务以及其他法人或自然人提供任何形式的担保。</w:t>
      </w:r>
    </w:p>
    <w:p>
      <w:pPr>
        <w:pStyle w:val="BodyText"/>
        <w:spacing w:line="312" w:lineRule="auto" w:before="24"/>
        <w:ind w:right="94"/>
        <w:jc w:val="left"/>
      </w:pPr>
      <w:r>
        <w:rPr>
          <w:rFonts w:ascii="Times New Roman" w:hAnsi="Times New Roman" w:cs="Times New Roman" w:eastAsia="Times New Roman" w:hint="default"/>
        </w:rPr>
        <w:t>2</w:t>
      </w:r>
      <w:r>
        <w:rPr/>
        <w:t>、人员独立 </w:t>
      </w:r>
      <w:r>
        <w:rPr>
          <w:spacing w:val="-2"/>
        </w:rPr>
        <w:t>本公司总经理、副总经理、财务总监、董事会秘书等高级管理人员专职在公司工作、领取薪酬，不存在在控股股东及其控制</w:t>
      </w:r>
      <w:r>
        <w:rPr>
          <w:spacing w:val="-67"/>
        </w:rPr>
        <w:t> </w:t>
      </w:r>
      <w:r>
        <w:rPr>
          <w:spacing w:val="-67"/>
        </w:rPr>
      </w:r>
      <w:r>
        <w:rPr>
          <w:spacing w:val="-2"/>
        </w:rPr>
        <w:t>的其他企业中兼任除董事、监事之外职务及领取薪酬的情形。本公司财务人员不存在在控股股东及其控制的其他企业中兼职</w:t>
      </w:r>
      <w:r>
        <w:rPr>
          <w:spacing w:val="-64"/>
        </w:rPr>
        <w:t> </w:t>
      </w:r>
      <w:r>
        <w:rPr>
          <w:spacing w:val="-64"/>
        </w:rPr>
      </w:r>
      <w:r>
        <w:rPr/>
        <w:t>的情形。</w:t>
      </w:r>
    </w:p>
    <w:p>
      <w:pPr>
        <w:pStyle w:val="BodyText"/>
        <w:spacing w:line="309" w:lineRule="auto" w:before="22"/>
        <w:ind w:right="94"/>
        <w:jc w:val="left"/>
      </w:pPr>
      <w:r>
        <w:rPr>
          <w:rFonts w:ascii="Times New Roman" w:hAnsi="Times New Roman" w:cs="Times New Roman" w:eastAsia="Times New Roman" w:hint="default"/>
        </w:rPr>
        <w:t>3</w:t>
      </w:r>
      <w:r>
        <w:rPr/>
        <w:t>、财务独立 </w:t>
      </w:r>
      <w:r>
        <w:rPr>
          <w:spacing w:val="-2"/>
        </w:rPr>
        <w:t>本公司设有独立的财务会计部门，配备了专门的财务人员，建立了独立的会计核算体系和财务管理制度。本公司独立在银行</w:t>
      </w:r>
      <w:r>
        <w:rPr>
          <w:spacing w:val="-65"/>
        </w:rPr>
        <w:t> </w:t>
      </w:r>
      <w:r>
        <w:rPr>
          <w:spacing w:val="-65"/>
        </w:rPr>
      </w:r>
      <w:r>
        <w:rPr/>
        <w:t>开户，依法独立纳税，独立做出财务决策，不存在资金被控股股东及其控制的其他企业占用的情形。</w:t>
      </w:r>
    </w:p>
    <w:p>
      <w:pPr>
        <w:pStyle w:val="BodyText"/>
        <w:spacing w:line="309" w:lineRule="auto" w:before="24"/>
        <w:ind w:right="94"/>
        <w:jc w:val="left"/>
      </w:pPr>
      <w:r>
        <w:rPr>
          <w:rFonts w:ascii="Times New Roman" w:hAnsi="Times New Roman" w:cs="Times New Roman" w:eastAsia="Times New Roman" w:hint="default"/>
        </w:rPr>
        <w:t>4</w:t>
      </w:r>
      <w:r>
        <w:rPr/>
        <w:t>、机构独立 </w:t>
      </w:r>
      <w:r>
        <w:rPr>
          <w:spacing w:val="-4"/>
        </w:rPr>
        <w:t>本公司依法设立股东大会、董事会、监事会等机构，各项规章制度完善，法人治理结构规范有效。本公司建立了独立于股东、</w:t>
      </w:r>
      <w:r>
        <w:rPr>
          <w:spacing w:val="-43"/>
        </w:rPr>
        <w:t> </w:t>
      </w:r>
      <w:r>
        <w:rPr>
          <w:spacing w:val="-43"/>
        </w:rPr>
      </w:r>
      <w:r>
        <w:rPr/>
        <w:t>适应自身发展需要的组织机构，各部门职能明确，形成了独立且完善的管理机构。</w:t>
      </w:r>
    </w:p>
    <w:p>
      <w:pPr>
        <w:pStyle w:val="BodyText"/>
        <w:spacing w:line="328" w:lineRule="auto" w:before="24"/>
        <w:ind w:right="94"/>
        <w:jc w:val="left"/>
      </w:pPr>
      <w:r>
        <w:rPr>
          <w:rFonts w:ascii="Times New Roman" w:hAnsi="Times New Roman" w:cs="Times New Roman" w:eastAsia="Times New Roman" w:hint="default"/>
        </w:rPr>
        <w:t>5</w:t>
      </w:r>
      <w:r>
        <w:rPr/>
        <w:t>、业务独立 </w:t>
      </w:r>
      <w:r>
        <w:rPr>
          <w:spacing w:val="-2"/>
        </w:rPr>
        <w:t>本公司具有独立完整的业务体系和直接面向市场经营的能力，拥有独立的生产经营场所，独立对外签订合同，开展业务，不</w:t>
      </w:r>
      <w:r>
        <w:rPr>
          <w:spacing w:val="-66"/>
        </w:rPr>
        <w:t> </w:t>
      </w:r>
      <w:r>
        <w:rPr>
          <w:spacing w:val="-66"/>
        </w:rPr>
      </w:r>
      <w:r>
        <w:rPr/>
        <w:t>存在对公司控股股东及其控制的其他企业或者第三方重大依赖的情形，与控股股东及其控制的其他企业不存在同业竞争。</w:t>
      </w:r>
    </w:p>
    <w:p>
      <w:pPr>
        <w:spacing w:line="240" w:lineRule="auto" w:before="3"/>
        <w:rPr>
          <w:rFonts w:ascii="宋体" w:hAnsi="宋体" w:cs="宋体" w:eastAsia="宋体" w:hint="default"/>
          <w:sz w:val="20"/>
          <w:szCs w:val="20"/>
        </w:rPr>
      </w:pPr>
    </w:p>
    <w:p>
      <w:pPr>
        <w:pStyle w:val="Heading2"/>
        <w:spacing w:line="240" w:lineRule="auto"/>
        <w:ind w:right="9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44"/>
        <w:ind w:left="0" w:right="160"/>
        <w:jc w:val="right"/>
      </w:pPr>
      <w:r>
        <w:rPr/>
        <w:pict>
          <v:shape style="position:absolute;margin-left:56.400002pt;margin-top:-98.768318pt;width:479.15pt;height:361.7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p>
                        <w:pPr>
                          <w:pStyle w:val="TableParagraph"/>
                          <w:spacing w:line="307" w:lineRule="auto" w:before="74"/>
                          <w:ind w:left="23" w:right="-50"/>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第一次临时股东大 </w:t>
                        </w:r>
                        <w:r>
                          <w:rPr>
                            <w:rFonts w:ascii="宋体" w:hAnsi="宋体" w:cs="宋体" w:eastAsia="宋体" w:hint="default"/>
                            <w:spacing w:val="-20"/>
                            <w:sz w:val="18"/>
                            <w:szCs w:val="18"/>
                          </w:rPr>
                          <w:t>会决议》（公告编号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2017-001</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p>
                        <w:pPr>
                          <w:pStyle w:val="TableParagraph"/>
                          <w:spacing w:line="300" w:lineRule="auto" w:before="77"/>
                          <w:ind w:left="23" w:right="-50"/>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2017-046</w:t>
                        </w:r>
                        <w:r>
                          <w:rPr>
                            <w:rFonts w:ascii="宋体" w:hAnsi="宋体" w:cs="宋体" w:eastAsia="宋体" w:hint="default"/>
                            <w:sz w:val="18"/>
                            <w:szCs w:val="18"/>
                          </w:rPr>
                          <w:t>）</w:t>
                        </w: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公司于巨潮资讯网</w:t>
                        </w:r>
                      </w:p>
                      <w:p>
                        <w:pPr>
                          <w:pStyle w:val="TableParagraph"/>
                          <w:spacing w:line="300" w:lineRule="auto" w:before="74"/>
                          <w:ind w:left="23" w:right="-50"/>
                          <w:jc w:val="left"/>
                          <w:rPr>
                            <w:rFonts w:ascii="宋体" w:hAnsi="宋体" w:cs="宋体" w:eastAsia="宋体"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www.cninfo.com.</w:t>
                          </w:r>
                        </w:hyperlink>
                        <w:r>
                          <w:rPr>
                            <w:rFonts w:ascii="Times New Roman" w:hAnsi="Times New Roman" w:cs="Times New Roman" w:eastAsia="Times New Roman" w:hint="default"/>
                            <w:sz w:val="18"/>
                            <w:szCs w:val="18"/>
                          </w:rPr>
                          <w:t> cn</w:t>
                        </w:r>
                        <w:r>
                          <w:rPr>
                            <w:rFonts w:ascii="宋体" w:hAnsi="宋体" w:cs="宋体" w:eastAsia="宋体" w:hint="default"/>
                            <w:sz w:val="18"/>
                            <w:szCs w:val="18"/>
                          </w:rPr>
                          <w:t>）及《证券时报》 披露的《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股东大会决议公告</w:t>
                        </w:r>
                      </w:p>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2017-072</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1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2"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李伟东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连续两次未亲自出席董事会的说明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独立董事对公司有关事项是否提出异议</w:t>
      </w:r>
    </w:p>
    <w:p>
      <w:pPr>
        <w:pStyle w:val="BodyText"/>
        <w:spacing w:line="340" w:lineRule="auto" w:before="115"/>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独立董事对公司有关建议是否被采纳</w:t>
      </w:r>
    </w:p>
    <w:p>
      <w:pPr>
        <w:pStyle w:val="BodyText"/>
        <w:spacing w:line="340" w:lineRule="auto" w:before="117"/>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40"/>
        <w:ind w:right="94"/>
        <w:jc w:val="left"/>
      </w:pPr>
      <w:r>
        <w:rPr>
          <w:spacing w:val="-2"/>
        </w:rPr>
        <w:t>报告期内，公司独立董事忠实勤勉、依法严格履行了职责，亲自出席或委托其他独立董事代为出席了公司召开的历次董事会</w:t>
      </w:r>
      <w:r>
        <w:rPr>
          <w:spacing w:val="-65"/>
        </w:rPr>
        <w:t> </w:t>
      </w:r>
      <w:r>
        <w:rPr>
          <w:spacing w:val="-65"/>
        </w:rPr>
      </w:r>
      <w:r>
        <w:rPr>
          <w:spacing w:val="-4"/>
        </w:rPr>
        <w:t>会议并独立、客观的发表独立董事意见；定期了解公司经营情况，关注外部环境变化对公司造成的影响，对公司的发展战略、</w:t>
      </w:r>
      <w:r>
        <w:rPr>
          <w:spacing w:val="-46"/>
        </w:rPr>
        <w:t> </w:t>
      </w:r>
      <w:r>
        <w:rPr>
          <w:spacing w:val="-46"/>
        </w:rPr>
      </w:r>
      <w:r>
        <w:rPr/>
        <w:t>内部控制、重大经营决策等提供了专业性意见，提高了决策的科学性。</w:t>
      </w:r>
    </w:p>
    <w:p>
      <w:pPr>
        <w:pStyle w:val="BodyText"/>
        <w:spacing w:line="304" w:lineRule="auto" w:before="19"/>
        <w:ind w:right="83"/>
        <w:jc w:val="left"/>
      </w:pPr>
      <w:r>
        <w:rPr/>
        <w:t>报告期内，独立董事张建军、李伟东对公司 </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t>年度计提资产减值准备事项、累计和当期对外担保情况、关于</w:t>
      </w:r>
      <w:r>
        <w:rPr>
          <w:rFonts w:ascii="Times New Roman" w:hAnsi="Times New Roman" w:cs="Times New Roman" w:eastAsia="Times New Roman" w:hint="default"/>
        </w:rPr>
        <w:t>2016</w:t>
      </w:r>
      <w:r>
        <w:rPr/>
        <w:t>年度内 </w:t>
      </w:r>
      <w:r>
        <w:rPr>
          <w:spacing w:val="-2"/>
        </w:rPr>
        <w:t>部控制自我评价报告、</w:t>
      </w:r>
      <w:r>
        <w:rPr>
          <w:rFonts w:ascii="Times New Roman" w:hAnsi="Times New Roman" w:cs="Times New Roman" w:eastAsia="Times New Roman" w:hint="default"/>
          <w:spacing w:val="-2"/>
        </w:rPr>
        <w:t>2016</w:t>
      </w:r>
      <w:r>
        <w:rPr>
          <w:spacing w:val="-2"/>
        </w:rPr>
        <w:t>年度募集资金存放与使用、实际控制人与其他关联方占用资金情况、</w:t>
      </w:r>
      <w:r>
        <w:rPr>
          <w:rFonts w:ascii="Times New Roman" w:hAnsi="Times New Roman" w:cs="Times New Roman" w:eastAsia="Times New Roman" w:hint="default"/>
          <w:spacing w:val="-2"/>
        </w:rPr>
        <w:t>2016</w:t>
      </w:r>
      <w:r>
        <w:rPr>
          <w:spacing w:val="-2"/>
        </w:rPr>
        <w:t>年度利润分配、续聘会</w:t>
      </w:r>
      <w:r>
        <w:rPr>
          <w:spacing w:val="-57"/>
        </w:rPr>
        <w:t> </w:t>
      </w:r>
      <w:r>
        <w:rPr>
          <w:spacing w:val="-57"/>
        </w:rPr>
      </w:r>
      <w:r>
        <w:rPr>
          <w:spacing w:val="-2"/>
        </w:rPr>
        <w:t>计师事务所、会计政策变更、终止非公开发行股票、前次募集资金使用情况报告、公开发行可转换公司债券、公开发行可转</w:t>
      </w:r>
      <w:r>
        <w:rPr>
          <w:spacing w:val="-67"/>
        </w:rPr>
        <w:t> </w:t>
      </w:r>
      <w:r>
        <w:rPr>
          <w:spacing w:val="-67"/>
        </w:rPr>
      </w:r>
      <w:r>
        <w:rPr/>
        <w:t>换公司债券摊薄即期回报事项、</w:t>
      </w:r>
      <w:r>
        <w:rPr>
          <w:rFonts w:ascii="Times New Roman" w:hAnsi="Times New Roman" w:cs="Times New Roman" w:eastAsia="Times New Roman" w:hint="default"/>
        </w:rPr>
        <w:t>2017</w:t>
      </w:r>
      <w:r>
        <w:rPr/>
        <w:t>年半年度募集资金存放与使用、转让汇天云网集团有限公司</w:t>
      </w:r>
      <w:r>
        <w:rPr>
          <w:spacing w:val="-49"/>
        </w:rPr>
        <w:t> </w:t>
      </w:r>
      <w:r>
        <w:rPr>
          <w:rFonts w:ascii="Times New Roman" w:hAnsi="Times New Roman" w:cs="Times New Roman" w:eastAsia="Times New Roman" w:hint="default"/>
        </w:rPr>
        <w:t>51%</w:t>
      </w:r>
      <w:r>
        <w:rPr/>
        <w:t>股权暨股权回购事项、 部分变更募集资金用途等事项发表了独立意见。</w:t>
      </w:r>
    </w:p>
    <w:p>
      <w:pPr>
        <w:spacing w:line="240" w:lineRule="auto" w:before="7"/>
        <w:rPr>
          <w:rFonts w:ascii="宋体" w:hAnsi="宋体" w:cs="宋体" w:eastAsia="宋体" w:hint="default"/>
          <w:sz w:val="21"/>
          <w:szCs w:val="21"/>
        </w:rPr>
      </w:pPr>
    </w:p>
    <w:p>
      <w:pPr>
        <w:pStyle w:val="Heading2"/>
        <w:spacing w:line="240" w:lineRule="auto"/>
        <w:ind w:right="94"/>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1</w:t>
      </w:r>
      <w:r>
        <w:rPr/>
        <w:t>、审计委员会的履职情况</w:t>
      </w:r>
    </w:p>
    <w:p>
      <w:pPr>
        <w:pStyle w:val="BodyText"/>
        <w:spacing w:line="240" w:lineRule="auto" w:before="63"/>
        <w:ind w:right="94"/>
        <w:jc w:val="left"/>
      </w:pPr>
      <w:r>
        <w:rPr/>
        <w:t>（</w:t>
      </w:r>
      <w:r>
        <w:rPr>
          <w:rFonts w:ascii="Times New Roman" w:hAnsi="Times New Roman" w:cs="Times New Roman" w:eastAsia="Times New Roman" w:hint="default"/>
        </w:rPr>
        <w:t>1</w:t>
      </w:r>
      <w:r>
        <w:rPr/>
        <w:t>）报告期召开会议的情况</w:t>
      </w:r>
    </w:p>
    <w:p>
      <w:pPr>
        <w:pStyle w:val="BodyText"/>
        <w:spacing w:line="240" w:lineRule="auto" w:before="63"/>
        <w:ind w:right="94"/>
        <w:jc w:val="left"/>
      </w:pPr>
      <w:r>
        <w:rPr>
          <w:rFonts w:ascii="Times New Roman" w:hAnsi="Times New Roman" w:cs="Times New Roman" w:eastAsia="Times New Roman" w:hint="default"/>
        </w:rPr>
        <w:t>2017</w:t>
      </w:r>
      <w:r>
        <w:rPr/>
        <w:t>年，董事会审计委员会共召开</w:t>
      </w:r>
      <w:r>
        <w:rPr>
          <w:rFonts w:ascii="Times New Roman" w:hAnsi="Times New Roman" w:cs="Times New Roman" w:eastAsia="Times New Roman" w:hint="default"/>
        </w:rPr>
        <w:t>8</w:t>
      </w:r>
      <w:r>
        <w:rPr/>
        <w:t>次会议，分别如下：</w:t>
      </w:r>
    </w:p>
    <w:p>
      <w:pPr>
        <w:pStyle w:val="BodyText"/>
        <w:spacing w:line="300" w:lineRule="auto" w:before="63"/>
        <w:ind w:right="18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日召开第四届董事会审计委员会第一次会议，审议通过《审计部</w:t>
      </w:r>
      <w:r>
        <w:rPr>
          <w:rFonts w:ascii="Times New Roman" w:hAnsi="Times New Roman" w:cs="Times New Roman" w:eastAsia="Times New Roman" w:hint="default"/>
        </w:rPr>
        <w:t>2016</w:t>
      </w:r>
      <w:r>
        <w:rPr/>
        <w:t>年度工作总结及</w:t>
      </w:r>
      <w:r>
        <w:rPr>
          <w:rFonts w:ascii="Times New Roman" w:hAnsi="Times New Roman" w:cs="Times New Roman" w:eastAsia="Times New Roman" w:hint="default"/>
        </w:rPr>
        <w:t>2017</w:t>
      </w:r>
      <w:r>
        <w:rPr/>
        <w:t>年度工作计划》的议 案</w:t>
      </w:r>
    </w:p>
    <w:p>
      <w:pPr>
        <w:pStyle w:val="BodyText"/>
        <w:spacing w:line="300" w:lineRule="auto" w:before="31"/>
        <w:ind w:right="360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日召开第四届董事会审计委员会第二次会议，审议通过以下议案：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2016</w:t>
      </w:r>
      <w:r>
        <w:rPr/>
        <w:t>年年度财务报告》</w:t>
      </w:r>
    </w:p>
    <w:p>
      <w:pPr>
        <w:pStyle w:val="BodyText"/>
        <w:spacing w:line="300" w:lineRule="auto" w:before="13"/>
        <w:ind w:right="360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2016</w:t>
      </w:r>
      <w:r>
        <w:rPr/>
        <w:t>年第四季度有关事项的检查报告》 </w:t>
      </w:r>
      <w:r>
        <w:rPr>
          <w:rFonts w:ascii="Times New Roman" w:hAnsi="Times New Roman" w:cs="Times New Roman" w:eastAsia="Times New Roman" w:hint="default"/>
        </w:rPr>
        <w:t>C</w:t>
      </w:r>
      <w:r>
        <w:rPr/>
        <w:t>《关于大信会计师事务所（特殊普通合伙）</w:t>
      </w:r>
      <w:r>
        <w:rPr>
          <w:rFonts w:ascii="Times New Roman" w:hAnsi="Times New Roman" w:cs="Times New Roman" w:eastAsia="Times New Roman" w:hint="default"/>
        </w:rPr>
        <w:t>2016</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2016</w:t>
      </w:r>
      <w:r>
        <w:rPr/>
        <w:t>年度内部控制自我评价报告》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日召开第四届董事会审计委员会第三次会议，审议通过以下议案：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t>年第一季度财务报告》</w:t>
      </w:r>
    </w:p>
    <w:p>
      <w:pPr>
        <w:pStyle w:val="BodyText"/>
        <w:spacing w:line="300" w:lineRule="auto" w:before="13"/>
        <w:ind w:right="447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2017</w:t>
      </w:r>
      <w:r>
        <w:rPr/>
        <w:t>年第一季度有关事项的检查报告》 </w:t>
      </w:r>
      <w:r>
        <w:rPr>
          <w:rFonts w:ascii="Times New Roman" w:hAnsi="Times New Roman" w:cs="Times New Roman" w:eastAsia="Times New Roman" w:hint="default"/>
        </w:rPr>
        <w:t>C</w:t>
      </w:r>
      <w:r>
        <w:rPr/>
        <w:t>《审计部</w:t>
      </w:r>
      <w:r>
        <w:rPr>
          <w:rFonts w:ascii="Times New Roman" w:hAnsi="Times New Roman" w:cs="Times New Roman" w:eastAsia="Times New Roman" w:hint="default"/>
        </w:rPr>
        <w:t>2017</w:t>
      </w:r>
      <w:r>
        <w:rPr/>
        <w:t>年第一季度工作总结及</w:t>
      </w:r>
      <w:r>
        <w:rPr>
          <w:rFonts w:ascii="Times New Roman" w:hAnsi="Times New Roman" w:cs="Times New Roman" w:eastAsia="Times New Roman" w:hint="default"/>
        </w:rPr>
        <w:t>2017</w:t>
      </w:r>
      <w:r>
        <w:rPr/>
        <w:t>年第二季度工作计划》；</w:t>
      </w:r>
    </w:p>
    <w:p>
      <w:pPr>
        <w:pStyle w:val="BodyText"/>
        <w:spacing w:line="300" w:lineRule="auto" w:before="13"/>
        <w:ind w:right="94"/>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日召开第四届董事会审计委员会第四次会议，审议通过《审计部</w:t>
      </w:r>
      <w:r>
        <w:rPr>
          <w:rFonts w:ascii="Times New Roman" w:hAnsi="Times New Roman" w:cs="Times New Roman" w:eastAsia="Times New Roman" w:hint="default"/>
          <w:spacing w:val="-2"/>
        </w:rPr>
        <w:t>2017</w:t>
      </w:r>
      <w:r>
        <w:rPr>
          <w:spacing w:val="-2"/>
        </w:rPr>
        <w:t>年第二季度工作总结及</w:t>
      </w:r>
      <w:r>
        <w:rPr>
          <w:rFonts w:ascii="Times New Roman" w:hAnsi="Times New Roman" w:cs="Times New Roman" w:eastAsia="Times New Roman" w:hint="default"/>
          <w:spacing w:val="-2"/>
        </w:rPr>
        <w:t>2017</w:t>
      </w:r>
      <w:r>
        <w:rPr>
          <w:spacing w:val="-2"/>
        </w:rPr>
        <w:t>年第三季度工作</w:t>
      </w:r>
      <w:r>
        <w:rPr>
          <w:spacing w:val="-56"/>
        </w:rPr>
        <w:t> </w:t>
      </w:r>
      <w:r>
        <w:rPr>
          <w:spacing w:val="-56"/>
        </w:rPr>
      </w:r>
      <w:r>
        <w:rPr/>
        <w:t>计划》的议案；</w:t>
      </w:r>
    </w:p>
    <w:p>
      <w:pPr>
        <w:pStyle w:val="BodyText"/>
        <w:spacing w:line="300" w:lineRule="auto" w:before="31"/>
        <w:ind w:right="360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日召开第四届董事会审计委员会第五次会议，审议通过以下议案：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t>年半年度财务报告》</w:t>
      </w:r>
    </w:p>
    <w:p>
      <w:pPr>
        <w:pStyle w:val="BodyText"/>
        <w:spacing w:line="300" w:lineRule="auto" w:before="13"/>
        <w:ind w:right="9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2017</w:t>
      </w:r>
      <w:r>
        <w:rPr/>
        <w:t>年第二季度有关事项的检查报告》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13</w:t>
      </w:r>
      <w:r>
        <w:rPr>
          <w:spacing w:val="-2"/>
        </w:rPr>
        <w:t>日召开第四届董事会审计委员会第六次会议，审议通过《审计部</w:t>
      </w:r>
      <w:r>
        <w:rPr>
          <w:rFonts w:ascii="Times New Roman" w:hAnsi="Times New Roman" w:cs="Times New Roman" w:eastAsia="Times New Roman" w:hint="default"/>
          <w:spacing w:val="-2"/>
        </w:rPr>
        <w:t>2017</w:t>
      </w:r>
      <w:r>
        <w:rPr>
          <w:spacing w:val="-2"/>
        </w:rPr>
        <w:t>年第三季度工作总结及</w:t>
      </w:r>
      <w:r>
        <w:rPr>
          <w:rFonts w:ascii="Times New Roman" w:hAnsi="Times New Roman" w:cs="Times New Roman" w:eastAsia="Times New Roman" w:hint="default"/>
          <w:spacing w:val="-2"/>
        </w:rPr>
        <w:t>2017</w:t>
      </w:r>
      <w:r>
        <w:rPr>
          <w:spacing w:val="-2"/>
        </w:rPr>
        <w:t>年第四季度工</w:t>
      </w:r>
    </w:p>
    <w:p>
      <w:pPr>
        <w:spacing w:after="0" w:line="30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3514"/>
        <w:jc w:val="left"/>
      </w:pPr>
      <w:r>
        <w:rPr/>
        <w:t>作计划》的议案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日召开第四届董事会审计委员会第七次会议，审议通过以下议案：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2017</w:t>
      </w:r>
      <w:r>
        <w:rPr/>
        <w:t>年第三季度财务报告》</w:t>
      </w:r>
    </w:p>
    <w:p>
      <w:pPr>
        <w:pStyle w:val="BodyText"/>
        <w:spacing w:line="300" w:lineRule="auto" w:before="5"/>
        <w:ind w:right="1534"/>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2017</w:t>
      </w:r>
      <w:r>
        <w:rPr/>
        <w:t>年第三季度有关事项的检查报告》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日召开第四届董事会审计委员会第八次会议，审议通过《审计部</w:t>
      </w:r>
      <w:r>
        <w:rPr>
          <w:rFonts w:ascii="Times New Roman" w:hAnsi="Times New Roman" w:cs="Times New Roman" w:eastAsia="Times New Roman" w:hint="default"/>
        </w:rPr>
        <w:t>2018</w:t>
      </w:r>
      <w:r>
        <w:rPr/>
        <w:t>年度工作计划》的议案</w:t>
      </w:r>
    </w:p>
    <w:p>
      <w:pPr>
        <w:pStyle w:val="BodyText"/>
        <w:spacing w:line="307" w:lineRule="auto" w:before="13"/>
        <w:ind w:right="94"/>
        <w:jc w:val="left"/>
      </w:pPr>
      <w:r>
        <w:rPr/>
        <w:t>（</w:t>
      </w:r>
      <w:r>
        <w:rPr>
          <w:rFonts w:ascii="Times New Roman" w:hAnsi="Times New Roman" w:cs="Times New Roman" w:eastAsia="Times New Roman" w:hint="default"/>
        </w:rPr>
        <w:t>2</w:t>
      </w:r>
      <w:r>
        <w:rPr/>
        <w:t>）开展年报工作的情况 </w:t>
      </w:r>
      <w:r>
        <w:rPr>
          <w:spacing w:val="-2"/>
        </w:rPr>
        <w:t>公司</w:t>
      </w:r>
      <w:r>
        <w:rPr>
          <w:rFonts w:ascii="Times New Roman" w:hAnsi="Times New Roman" w:cs="Times New Roman" w:eastAsia="Times New Roman" w:hint="default"/>
          <w:spacing w:val="-2"/>
        </w:rPr>
        <w:t>2017</w:t>
      </w:r>
      <w:r>
        <w:rPr>
          <w:spacing w:val="-2"/>
        </w:rPr>
        <w:t>年度报告审计工作期间，公司审计委员会与年报审计会计师事务所公司高管财务人员就年报审计事项保持沟通，并</w:t>
      </w:r>
      <w:r>
        <w:rPr>
          <w:spacing w:val="-63"/>
        </w:rPr>
        <w:t> </w:t>
      </w:r>
      <w:r>
        <w:rPr>
          <w:spacing w:val="-63"/>
        </w:rPr>
      </w:r>
      <w:r>
        <w:rPr>
          <w:spacing w:val="-2"/>
        </w:rPr>
        <w:t>就相关问题深入交换意见。审计委员会分别在年审注册会计师进场前年审注册会计师出具初步意见后年审注册会计师出具审</w:t>
      </w:r>
      <w:r>
        <w:rPr>
          <w:spacing w:val="-64"/>
        </w:rPr>
        <w:t> </w:t>
      </w:r>
      <w:r>
        <w:rPr>
          <w:spacing w:val="-64"/>
        </w:rPr>
      </w:r>
      <w:r>
        <w:rPr/>
        <w:t>计报告后召开会议，对报表发表书面意见。</w:t>
      </w:r>
    </w:p>
    <w:p>
      <w:pPr>
        <w:pStyle w:val="BodyText"/>
        <w:spacing w:line="314" w:lineRule="auto" w:before="26"/>
        <w:ind w:right="94"/>
        <w:jc w:val="left"/>
      </w:pPr>
      <w:r>
        <w:rPr/>
        <w:t>（</w:t>
      </w:r>
      <w:r>
        <w:rPr>
          <w:rFonts w:ascii="Times New Roman" w:hAnsi="Times New Roman" w:cs="Times New Roman" w:eastAsia="Times New Roman" w:hint="default"/>
        </w:rPr>
        <w:t>3</w:t>
      </w:r>
      <w:r>
        <w:rPr/>
        <w:t>）关于会计师事务所从事上年度公司审计工作的总结和续聘建议 大信会计师事务所（特殊普通合伙）在为公司提供审计服务的过程中，审计人员能够严格遵守《中国注册会计师审计准则》 相关要求，保持独立性和严谨性，在审计过程中，注册会计师积极保持与审计委员会委员独立董事公司高管等人员的沟通， </w:t>
      </w:r>
      <w:r>
        <w:rPr>
          <w:spacing w:val="-2"/>
        </w:rPr>
        <w:t>坚持以公允客观的态度进行审计，完成了所有必要的审计程序，表现了良好的职业操守和专业素质。为保持审计工作开展的</w:t>
      </w:r>
      <w:r>
        <w:rPr>
          <w:spacing w:val="-63"/>
        </w:rPr>
        <w:t> </w:t>
      </w:r>
      <w:r>
        <w:rPr>
          <w:spacing w:val="-63"/>
        </w:rPr>
      </w:r>
      <w:r>
        <w:rPr/>
        <w:t>连续性，董事会审计委员会建议续聘大信会计师事务所（特殊普通合伙）为公司</w:t>
      </w:r>
      <w:r>
        <w:rPr>
          <w:rFonts w:ascii="Times New Roman" w:hAnsi="Times New Roman" w:cs="Times New Roman" w:eastAsia="Times New Roman" w:hint="default"/>
        </w:rPr>
        <w:t>2018</w:t>
      </w:r>
      <w:r>
        <w:rPr/>
        <w:t>年度财务审计机构。</w:t>
      </w:r>
    </w:p>
    <w:p>
      <w:pPr>
        <w:spacing w:line="240" w:lineRule="auto" w:before="12"/>
        <w:rPr>
          <w:rFonts w:ascii="宋体" w:hAnsi="宋体" w:cs="宋体" w:eastAsia="宋体" w:hint="default"/>
          <w:sz w:val="23"/>
          <w:szCs w:val="23"/>
        </w:rPr>
      </w:pPr>
    </w:p>
    <w:p>
      <w:pPr>
        <w:pStyle w:val="BodyText"/>
        <w:spacing w:line="240" w:lineRule="auto"/>
        <w:ind w:right="94"/>
        <w:jc w:val="left"/>
      </w:pPr>
      <w:r>
        <w:rPr>
          <w:rFonts w:ascii="Times New Roman" w:hAnsi="Times New Roman" w:cs="Times New Roman" w:eastAsia="Times New Roman" w:hint="default"/>
        </w:rPr>
        <w:t>2</w:t>
      </w:r>
      <w:r>
        <w:rPr/>
        <w:t>、战略委员会的履职情况</w:t>
      </w:r>
    </w:p>
    <w:p>
      <w:pPr>
        <w:pStyle w:val="BodyText"/>
        <w:spacing w:line="240" w:lineRule="auto" w:before="63"/>
        <w:ind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日召开的战略委员会</w:t>
      </w:r>
      <w:r>
        <w:rPr>
          <w:rFonts w:ascii="Times New Roman" w:hAnsi="Times New Roman" w:cs="Times New Roman" w:eastAsia="Times New Roman" w:hint="default"/>
        </w:rPr>
        <w:t>2017</w:t>
      </w:r>
      <w:r>
        <w:rPr/>
        <w:t>年第一次会议，审议通过如下议案：</w:t>
      </w:r>
    </w:p>
    <w:p>
      <w:pPr>
        <w:pStyle w:val="BodyText"/>
        <w:spacing w:line="300" w:lineRule="auto" w:before="63"/>
        <w:ind w:right="1154"/>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《关于实施美盈森包装印刷工业进出口贸易及保税加工（岳阳）项目暨计划签署招商合作协议书的议案》； </w:t>
      </w:r>
      <w:r>
        <w:rPr>
          <w:rFonts w:ascii="Times New Roman" w:hAnsi="Times New Roman" w:cs="Times New Roman" w:eastAsia="Times New Roman" w:hint="default"/>
        </w:rPr>
        <w:t>B</w:t>
      </w:r>
      <w:r>
        <w:rPr/>
        <w:t>《关于实施高端环保包装生产基地项目暨计划签署投资协议书的议案》； </w:t>
      </w:r>
      <w:r>
        <w:rPr>
          <w:rFonts w:ascii="Times New Roman" w:hAnsi="Times New Roman" w:cs="Times New Roman" w:eastAsia="Times New Roman" w:hint="default"/>
        </w:rPr>
        <w:t>C</w:t>
      </w:r>
      <w:r>
        <w:rPr/>
        <w:t>《关于全资子公司美盈森（香港）国际控股有限公司拟于越南投资设立子公司的议案》；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日召开的战略委员会</w:t>
      </w:r>
      <w:r>
        <w:rPr>
          <w:rFonts w:ascii="Times New Roman" w:hAnsi="Times New Roman" w:cs="Times New Roman" w:eastAsia="Times New Roman" w:hint="default"/>
        </w:rPr>
        <w:t>2017</w:t>
      </w:r>
      <w:r>
        <w:rPr/>
        <w:t>年第二次会议，审议通过如下议案： </w:t>
      </w:r>
      <w:r>
        <w:rPr>
          <w:rFonts w:ascii="Times New Roman" w:hAnsi="Times New Roman" w:cs="Times New Roman" w:eastAsia="Times New Roman" w:hint="default"/>
        </w:rPr>
        <w:t>A</w:t>
      </w:r>
      <w:r>
        <w:rPr/>
        <w:t>《关于终止</w:t>
      </w:r>
      <w:r>
        <w:rPr>
          <w:rFonts w:ascii="Times New Roman" w:hAnsi="Times New Roman" w:cs="Times New Roman" w:eastAsia="Times New Roman" w:hint="default"/>
        </w:rPr>
        <w:t>2016</w:t>
      </w:r>
      <w:r>
        <w:rPr/>
        <w:t>年度非公开发行股票事项的议案》； </w:t>
      </w:r>
      <w:r>
        <w:rPr>
          <w:rFonts w:ascii="Times New Roman" w:hAnsi="Times New Roman" w:cs="Times New Roman" w:eastAsia="Times New Roman" w:hint="default"/>
        </w:rPr>
        <w:t>B</w:t>
      </w:r>
      <w:r>
        <w:rPr/>
        <w:t>《关于公司符合公开发行可转换公司债券条件的议案》； </w:t>
      </w:r>
      <w:r>
        <w:rPr>
          <w:rFonts w:ascii="Times New Roman" w:hAnsi="Times New Roman" w:cs="Times New Roman" w:eastAsia="Times New Roman" w:hint="default"/>
        </w:rPr>
        <w:t>C</w:t>
      </w:r>
      <w:r>
        <w:rPr/>
        <w:t>《关于公司</w:t>
      </w:r>
      <w:r>
        <w:rPr>
          <w:rFonts w:ascii="Times New Roman" w:hAnsi="Times New Roman" w:cs="Times New Roman" w:eastAsia="Times New Roman" w:hint="default"/>
        </w:rPr>
        <w:t>2017</w:t>
      </w:r>
      <w:r>
        <w:rPr/>
        <w:t>年度公开发行可转换公司债券发行方案的议案》； </w:t>
      </w:r>
      <w:r>
        <w:rPr>
          <w:rFonts w:ascii="Times New Roman" w:hAnsi="Times New Roman" w:cs="Times New Roman" w:eastAsia="Times New Roman" w:hint="default"/>
        </w:rPr>
        <w:t>D</w:t>
      </w:r>
      <w:r>
        <w:rPr/>
        <w:t>《关于公司</w:t>
      </w:r>
      <w:r>
        <w:rPr>
          <w:rFonts w:ascii="Times New Roman" w:hAnsi="Times New Roman" w:cs="Times New Roman" w:eastAsia="Times New Roman" w:hint="default"/>
        </w:rPr>
        <w:t>2017</w:t>
      </w:r>
      <w:r>
        <w:rPr/>
        <w:t>年度公开发行可转换公司债券预案的议案》； </w:t>
      </w:r>
      <w:r>
        <w:rPr>
          <w:rFonts w:ascii="Times New Roman" w:hAnsi="Times New Roman" w:cs="Times New Roman" w:eastAsia="Times New Roman" w:hint="default"/>
        </w:rPr>
        <w:t>E</w:t>
      </w:r>
      <w:r>
        <w:rPr/>
        <w:t>《关于公司公开发行可转换公司债券募集资金运用可行性分析研究报告的议案》； </w:t>
      </w:r>
      <w:r>
        <w:rPr>
          <w:rFonts w:ascii="Times New Roman" w:hAnsi="Times New Roman" w:cs="Times New Roman" w:eastAsia="Times New Roman" w:hint="default"/>
        </w:rPr>
        <w:t>F</w:t>
      </w:r>
      <w:r>
        <w:rPr/>
        <w:t>《关于公司制定</w:t>
      </w:r>
      <w:r>
        <w:rPr>
          <w:rFonts w:ascii="Times New Roman" w:hAnsi="Times New Roman" w:cs="Times New Roman" w:eastAsia="Times New Roman" w:hint="default"/>
        </w:rPr>
        <w:t>&lt;</w:t>
      </w:r>
      <w:r>
        <w:rPr/>
        <w:t>可转换公司债券持有人会议规则</w:t>
      </w:r>
      <w:r>
        <w:rPr>
          <w:rFonts w:ascii="Times New Roman" w:hAnsi="Times New Roman" w:cs="Times New Roman" w:eastAsia="Times New Roman" w:hint="default"/>
        </w:rPr>
        <w:t>&gt;</w:t>
      </w:r>
      <w:r>
        <w:rPr/>
        <w:t>的议案》。</w:t>
      </w:r>
    </w:p>
    <w:p>
      <w:pPr>
        <w:pStyle w:val="BodyText"/>
        <w:spacing w:line="240" w:lineRule="auto" w:before="13"/>
        <w:ind w:right="94"/>
        <w:jc w:val="left"/>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5</w:t>
      </w:r>
      <w:r>
        <w:rPr>
          <w:spacing w:val="-3"/>
        </w:rPr>
        <w:t>日召开的战略委员会</w:t>
      </w:r>
      <w:r>
        <w:rPr>
          <w:rFonts w:ascii="Times New Roman" w:hAnsi="Times New Roman" w:cs="Times New Roman" w:eastAsia="Times New Roman" w:hint="default"/>
          <w:spacing w:val="-3"/>
        </w:rPr>
        <w:t>2017</w:t>
      </w:r>
      <w:r>
        <w:rPr>
          <w:spacing w:val="-3"/>
        </w:rPr>
        <w:t>年第三次会议，审议通过《关于拟实施包装印刷工业</w:t>
      </w:r>
      <w:r>
        <w:rPr>
          <w:rFonts w:ascii="Times New Roman" w:hAnsi="Times New Roman" w:cs="Times New Roman" w:eastAsia="Times New Roman" w:hint="default"/>
          <w:spacing w:val="-3"/>
        </w:rPr>
        <w:t>4.0</w:t>
      </w:r>
      <w:r>
        <w:rPr>
          <w:spacing w:val="-3"/>
        </w:rPr>
        <w:t>智慧型工厂</w:t>
      </w:r>
      <w:r>
        <w:rPr>
          <w:rFonts w:ascii="Times New Roman" w:hAnsi="Times New Roman" w:cs="Times New Roman" w:eastAsia="Times New Roman" w:hint="default"/>
          <w:spacing w:val="-3"/>
        </w:rPr>
        <w:t>(</w:t>
      </w:r>
      <w:r>
        <w:rPr>
          <w:spacing w:val="-3"/>
        </w:rPr>
        <w:t>六安</w:t>
      </w:r>
      <w:r>
        <w:rPr>
          <w:rFonts w:ascii="Times New Roman" w:hAnsi="Times New Roman" w:cs="Times New Roman" w:eastAsia="Times New Roman" w:hint="default"/>
          <w:spacing w:val="-3"/>
        </w:rPr>
        <w:t>)</w:t>
      </w:r>
      <w:r>
        <w:rPr>
          <w:spacing w:val="-3"/>
        </w:rPr>
        <w:t>项目的议案》。</w:t>
      </w:r>
    </w:p>
    <w:p>
      <w:pPr>
        <w:pStyle w:val="BodyText"/>
        <w:spacing w:line="300" w:lineRule="auto" w:before="63"/>
        <w:ind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日召开的战略委员会</w:t>
      </w:r>
      <w:r>
        <w:rPr>
          <w:rFonts w:ascii="Times New Roman" w:hAnsi="Times New Roman" w:cs="Times New Roman" w:eastAsia="Times New Roman" w:hint="default"/>
        </w:rPr>
        <w:t>2017</w:t>
      </w:r>
      <w:r>
        <w:rPr/>
        <w:t>年第四次会议，审议通过《关于转让汇天云网集团有限公司</w:t>
      </w:r>
      <w:r>
        <w:rPr>
          <w:rFonts w:ascii="Times New Roman" w:hAnsi="Times New Roman" w:cs="Times New Roman" w:eastAsia="Times New Roman" w:hint="default"/>
        </w:rPr>
        <w:t>51%</w:t>
      </w:r>
      <w:r>
        <w:rPr/>
        <w:t>股权暨股权回购的议</w:t>
      </w:r>
      <w:r>
        <w:rPr>
          <w:spacing w:val="-60"/>
        </w:rPr>
        <w:t> </w:t>
      </w:r>
      <w:r>
        <w:rPr>
          <w:spacing w:val="-60"/>
        </w:rPr>
      </w:r>
      <w:r>
        <w:rPr/>
        <w:t>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9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2"/>
        </w:rPr>
        <w:t>公司建立了高级管理人员的选择、考评、激励与约束机制，公司高管人员全部由董事会聘任，对董事会负责，承担董事会下</w:t>
      </w:r>
      <w:r>
        <w:rPr>
          <w:spacing w:val="-65"/>
        </w:rPr>
        <w:t> </w:t>
      </w:r>
      <w:r>
        <w:rPr>
          <w:spacing w:val="-65"/>
        </w:rPr>
      </w:r>
      <w:r>
        <w:rPr/>
        <w:t>达的经营指标，董事会负责对高级管理人员进行考评、确定薪酬。</w:t>
      </w:r>
    </w:p>
    <w:p>
      <w:pPr>
        <w:spacing w:after="0" w:line="316"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300" w:lineRule="auto" w:before="49"/>
              <w:ind w:left="18" w:right="24"/>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日刊载于巨潮资讯网的《内部控制评价报告》（公告编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2018-013</w:t>
            </w:r>
            <w:r>
              <w:rPr>
                <w:rFonts w:ascii="宋体" w:hAnsi="宋体" w:cs="宋体" w:eastAsia="宋体"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85.24%</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85.33%</w:t>
            </w:r>
          </w:p>
        </w:tc>
      </w:tr>
      <w:tr>
        <w:trPr>
          <w:trHeight w:val="396"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4" w:lineRule="auto"/>
              <w:ind w:left="18" w:right="20"/>
              <w:jc w:val="left"/>
              <w:rPr>
                <w:rFonts w:ascii="宋体" w:hAnsi="宋体" w:cs="宋体" w:eastAsia="宋体" w:hint="default"/>
                <w:sz w:val="18"/>
                <w:szCs w:val="18"/>
              </w:rPr>
            </w:pPr>
            <w:r>
              <w:rPr>
                <w:rFonts w:ascii="宋体" w:hAnsi="宋体" w:cs="宋体" w:eastAsia="宋体" w:hint="default"/>
                <w:sz w:val="18"/>
                <w:szCs w:val="18"/>
              </w:rPr>
              <w:t>公司若发生以下情况，则表明可能存在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迹象：</w:t>
            </w:r>
            <w:r>
              <w:rPr>
                <w:rFonts w:ascii="Times New Roman" w:hAnsi="Times New Roman" w:cs="Times New Roman" w:eastAsia="Times New Roman" w:hint="default"/>
                <w:sz w:val="18"/>
                <w:szCs w:val="18"/>
              </w:rPr>
              <w:t>A</w:t>
            </w:r>
            <w:r>
              <w:rPr>
                <w:rFonts w:ascii="宋体" w:hAnsi="宋体" w:cs="宋体" w:eastAsia="宋体" w:hint="default"/>
                <w:sz w:val="18"/>
                <w:szCs w:val="18"/>
              </w:rPr>
              <w:t>、由于财务工作出现重 大失误，导致对已公布的财务报告进行重 大更正；</w:t>
            </w:r>
            <w:r>
              <w:rPr>
                <w:rFonts w:ascii="Times New Roman" w:hAnsi="Times New Roman" w:cs="Times New Roman" w:eastAsia="Times New Roman" w:hint="default"/>
                <w:sz w:val="18"/>
                <w:szCs w:val="18"/>
              </w:rPr>
              <w:t>B</w:t>
            </w:r>
            <w:r>
              <w:rPr>
                <w:rFonts w:ascii="宋体" w:hAnsi="宋体" w:cs="宋体" w:eastAsia="宋体" w:hint="default"/>
                <w:sz w:val="18"/>
                <w:szCs w:val="18"/>
              </w:rPr>
              <w:t>、董事、监事和高级管理层的 舞弊行为，给公司造成重大影响；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、审 计委员会对财务报告内部控制监督无效； </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、内部审计职能无效；</w:t>
            </w:r>
            <w:r>
              <w:rPr>
                <w:rFonts w:ascii="Times New Roman" w:hAnsi="Times New Roman" w:cs="Times New Roman" w:eastAsia="Times New Roman" w:hint="default"/>
                <w:spacing w:val="-2"/>
                <w:sz w:val="18"/>
                <w:szCs w:val="18"/>
              </w:rPr>
              <w:t>E</w:t>
            </w:r>
            <w:r>
              <w:rPr>
                <w:rFonts w:ascii="宋体" w:hAnsi="宋体" w:cs="宋体" w:eastAsia="宋体" w:hint="default"/>
                <w:spacing w:val="-2"/>
                <w:sz w:val="18"/>
                <w:szCs w:val="18"/>
              </w:rPr>
              <w:t>、重大缺陷没有</w:t>
            </w:r>
            <w:r>
              <w:rPr>
                <w:rFonts w:ascii="宋体" w:hAnsi="宋体" w:cs="宋体" w:eastAsia="宋体" w:hint="default"/>
                <w:sz w:val="18"/>
                <w:szCs w:val="18"/>
              </w:rPr>
              <w:t> 得到整改。</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43"/>
              <w:jc w:val="left"/>
              <w:rPr>
                <w:rFonts w:ascii="宋体" w:hAnsi="宋体" w:cs="宋体" w:eastAsia="宋体" w:hint="default"/>
                <w:sz w:val="18"/>
                <w:szCs w:val="18"/>
              </w:rPr>
            </w:pPr>
            <w:r>
              <w:rPr>
                <w:rFonts w:ascii="宋体" w:hAnsi="宋体" w:cs="宋体" w:eastAsia="宋体" w:hint="default"/>
                <w:spacing w:val="-4"/>
                <w:sz w:val="18"/>
                <w:szCs w:val="18"/>
              </w:rPr>
              <w:t>公司若存在以下迹象，则表明非财务报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告内部控制可能存在</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r>
              <w:rPr>
                <w:rFonts w:ascii="宋体" w:hAnsi="宋体" w:cs="宋体" w:eastAsia="宋体" w:hint="default"/>
                <w:spacing w:val="-4"/>
                <w:sz w:val="18"/>
                <w:szCs w:val="18"/>
              </w:rPr>
              <w:t>违反国家法律、法规或规范性文件，造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成恶劣后果；</w:t>
            </w:r>
            <w:r>
              <w:rPr>
                <w:rFonts w:ascii="Times New Roman" w:hAnsi="Times New Roman" w:cs="Times New Roman" w:eastAsia="Times New Roman" w:hint="default"/>
                <w:sz w:val="18"/>
                <w:szCs w:val="18"/>
              </w:rPr>
              <w:t>B</w:t>
            </w:r>
            <w:r>
              <w:rPr>
                <w:rFonts w:ascii="宋体" w:hAnsi="宋体" w:cs="宋体" w:eastAsia="宋体" w:hint="default"/>
                <w:sz w:val="18"/>
                <w:szCs w:val="18"/>
              </w:rPr>
              <w:t>、重要业务模块缺乏制 </w:t>
            </w:r>
            <w:r>
              <w:rPr>
                <w:rFonts w:ascii="宋体" w:hAnsi="宋体" w:cs="宋体" w:eastAsia="宋体" w:hint="default"/>
                <w:spacing w:val="-4"/>
                <w:sz w:val="18"/>
                <w:szCs w:val="18"/>
              </w:rPr>
              <w:t>度管控或制度系统性失效，导致经营管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理过程中出现重大漏洞，对公司持续经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营能力造成恶劣影响；</w:t>
            </w:r>
            <w:r>
              <w:rPr>
                <w:rFonts w:ascii="Times New Roman" w:hAnsi="Times New Roman" w:cs="Times New Roman" w:eastAsia="Times New Roman" w:hint="default"/>
                <w:sz w:val="18"/>
                <w:szCs w:val="18"/>
              </w:rPr>
              <w:t>C</w:t>
            </w:r>
            <w:r>
              <w:rPr>
                <w:rFonts w:ascii="宋体" w:hAnsi="宋体" w:cs="宋体" w:eastAsia="宋体" w:hint="default"/>
                <w:sz w:val="18"/>
                <w:szCs w:val="18"/>
              </w:rPr>
              <w:t>、决策程序不 科学导致的重大决策失误；</w:t>
            </w:r>
            <w:r>
              <w:rPr>
                <w:rFonts w:ascii="Times New Roman" w:hAnsi="Times New Roman" w:cs="Times New Roman" w:eastAsia="Times New Roman" w:hint="default"/>
                <w:sz w:val="18"/>
                <w:szCs w:val="18"/>
              </w:rPr>
              <w:t>D</w:t>
            </w:r>
            <w:r>
              <w:rPr>
                <w:rFonts w:ascii="宋体" w:hAnsi="宋体" w:cs="宋体" w:eastAsia="宋体" w:hint="default"/>
                <w:sz w:val="18"/>
                <w:szCs w:val="18"/>
              </w:rPr>
              <w:t>、高级管 理人员及核心技术人员流失异常严重； </w:t>
            </w:r>
            <w:r>
              <w:rPr>
                <w:rFonts w:ascii="Times New Roman" w:hAnsi="Times New Roman" w:cs="Times New Roman" w:eastAsia="Times New Roman" w:hint="default"/>
                <w:sz w:val="18"/>
                <w:szCs w:val="18"/>
              </w:rPr>
              <w:t>E</w:t>
            </w:r>
            <w:r>
              <w:rPr>
                <w:rFonts w:ascii="宋体" w:hAnsi="宋体" w:cs="宋体" w:eastAsia="宋体" w:hint="default"/>
                <w:sz w:val="18"/>
                <w:szCs w:val="18"/>
              </w:rPr>
              <w:t>、内部审计评价结果为</w:t>
            </w:r>
            <w:r>
              <w:rPr>
                <w:rFonts w:ascii="Times New Roman" w:hAnsi="Times New Roman" w:cs="Times New Roman" w:eastAsia="Times New Roman" w:hint="default"/>
                <w:sz w:val="18"/>
                <w:szCs w:val="18"/>
              </w:rPr>
              <w:t>"</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的 事项没有得到整改。</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56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78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10" w:space="0" w:color="FFFFFF"/>
            </w:tcBorders>
          </w:tcPr>
          <w:p>
            <w:pPr>
              <w:pStyle w:val="TableParagraph"/>
              <w:spacing w:line="304" w:lineRule="auto" w:before="49"/>
              <w:ind w:left="18" w:right="-32"/>
              <w:jc w:val="left"/>
              <w:rPr>
                <w:rFonts w:ascii="宋体" w:hAnsi="宋体" w:cs="宋体" w:eastAsia="宋体" w:hint="default"/>
                <w:sz w:val="18"/>
                <w:szCs w:val="18"/>
              </w:rPr>
            </w:pPr>
            <w:r>
              <w:rPr>
                <w:rFonts w:ascii="宋体" w:hAnsi="宋体" w:cs="宋体" w:eastAsia="宋体" w:hint="default"/>
                <w:sz w:val="18"/>
                <w:szCs w:val="18"/>
              </w:rPr>
              <w:t>一般缺陷：错报金额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 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 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。备注：定量标准中所指的财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务指标值均为公司最近一期经审计的合并 报表数据。</w:t>
            </w:r>
          </w:p>
        </w:tc>
        <w:tc>
          <w:tcPr>
            <w:tcW w:w="3053" w:type="dxa"/>
            <w:vMerge w:val="restart"/>
            <w:tcBorders>
              <w:top w:val="single" w:sz="4" w:space="0" w:color="000000"/>
              <w:left w:val="single" w:sz="10" w:space="0" w:color="FFFFFF"/>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9" w:right="0"/>
              <w:jc w:val="both"/>
              <w:rPr>
                <w:rFonts w:ascii="宋体" w:hAnsi="宋体" w:cs="宋体" w:eastAsia="宋体" w:hint="default"/>
                <w:sz w:val="18"/>
                <w:szCs w:val="18"/>
              </w:rPr>
            </w:pPr>
            <w:r>
              <w:rPr>
                <w:rFonts w:ascii="宋体" w:hAnsi="宋体" w:cs="宋体" w:eastAsia="宋体" w:hint="default"/>
                <w:sz w:val="18"/>
                <w:szCs w:val="18"/>
              </w:rPr>
              <w:t>一般缺陷：损失金额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p>
          <w:p>
            <w:pPr>
              <w:pStyle w:val="TableParagraph"/>
              <w:spacing w:line="240" w:lineRule="auto" w:before="63"/>
              <w:ind w:left="19"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；重要缺陷：营业收入总额的</w:t>
            </w:r>
          </w:p>
          <w:p>
            <w:pPr>
              <w:pStyle w:val="TableParagraph"/>
              <w:spacing w:line="300" w:lineRule="auto" w:before="63"/>
              <w:ind w:left="19"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10" w:space="0" w:color="FFFFFF"/>
            </w:tcBorders>
          </w:tcPr>
          <w:p>
            <w:pPr/>
          </w:p>
        </w:tc>
        <w:tc>
          <w:tcPr>
            <w:tcW w:w="3053" w:type="dxa"/>
            <w:vMerge/>
            <w:tcBorders>
              <w:left w:val="single" w:sz="10" w:space="0" w:color="FFFFFF"/>
              <w:right w:val="single" w:sz="4" w:space="0" w:color="000000"/>
            </w:tcBorders>
          </w:tcPr>
          <w:p>
            <w:pPr/>
          </w:p>
        </w:tc>
      </w:tr>
      <w:tr>
        <w:trPr>
          <w:trHeight w:val="78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日在所有重大方面保持了有效的财务报 告内部控制。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日刊载于巨潮资讯网（</w:t>
            </w:r>
            <w:r>
              <w:rPr>
                <w:rFonts w:ascii="Times New Roman" w:hAnsi="Times New Roman" w:cs="Times New Roman" w:eastAsia="Times New Roman" w:hint="default"/>
                <w:spacing w:val="-3"/>
                <w:sz w:val="18"/>
                <w:szCs w:val="18"/>
              </w:rPr>
              <w:t>www.cninfo.com.cn)</w:t>
            </w:r>
            <w:r>
              <w:rPr>
                <w:rFonts w:ascii="宋体" w:hAnsi="宋体" w:cs="宋体" w:eastAsia="宋体" w:hint="default"/>
                <w:spacing w:val="-3"/>
                <w:sz w:val="18"/>
                <w:szCs w:val="18"/>
              </w:rPr>
              <w:t>的《内部控制鉴证</w:t>
            </w:r>
            <w:r>
              <w:rPr>
                <w:rFonts w:ascii="宋体" w:hAnsi="宋体" w:cs="宋体" w:eastAsia="宋体" w:hint="default"/>
                <w:sz w:val="18"/>
                <w:szCs w:val="18"/>
              </w:rPr>
              <w:t> 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TOC_250002" w:id="10"/>
      <w:r>
        <w:rPr/>
        <w:t>第十节</w:t>
      </w:r>
      <w:r>
        <w:rPr>
          <w:spacing w:val="-6"/>
        </w:rPr>
        <w:t> </w:t>
      </w:r>
      <w:r>
        <w:rPr/>
        <w:t>公司债券相关情况</w:t>
      </w:r>
      <w:bookmarkEnd w:id="10"/>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964"/>
        <w:jc w:val="center"/>
        <w:rPr>
          <w:b w:val="0"/>
          <w:bCs w:val="0"/>
        </w:rPr>
      </w:pPr>
      <w:bookmarkStart w:name="_TOC_250001" w:id="11"/>
      <w:r>
        <w:rPr/>
        <w:t>第十一节</w:t>
      </w:r>
      <w:r>
        <w:rPr>
          <w:spacing w:val="-6"/>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陈鹏、胡宜鹏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3"/>
        <w:rPr>
          <w:rFonts w:ascii="宋体" w:hAnsi="宋体" w:cs="宋体" w:eastAsia="宋体" w:hint="default"/>
          <w:b/>
          <w:bCs/>
          <w:sz w:val="29"/>
          <w:szCs w:val="29"/>
        </w:rPr>
      </w:pPr>
    </w:p>
    <w:p>
      <w:pPr>
        <w:spacing w:line="312" w:lineRule="exact" w:before="0"/>
        <w:ind w:left="633" w:right="0" w:hanging="481"/>
        <w:jc w:val="left"/>
        <w:rPr>
          <w:rFonts w:ascii="宋体" w:hAnsi="宋体" w:cs="宋体" w:eastAsia="宋体" w:hint="default"/>
          <w:sz w:val="24"/>
          <w:szCs w:val="24"/>
        </w:rPr>
      </w:pPr>
      <w:r>
        <w:rPr>
          <w:rFonts w:ascii="宋体" w:hAnsi="宋体" w:cs="宋体" w:eastAsia="宋体" w:hint="default"/>
          <w:b/>
          <w:bCs/>
          <w:w w:val="95"/>
          <w:sz w:val="24"/>
          <w:szCs w:val="24"/>
        </w:rPr>
        <w:t>美盈森集团股份有限公司全体股东：</w:t>
      </w:r>
      <w:r>
        <w:rPr>
          <w:rFonts w:ascii="宋体" w:hAnsi="宋体" w:cs="宋体" w:eastAsia="宋体" w:hint="default"/>
          <w:b/>
          <w:bCs/>
          <w:spacing w:val="74"/>
          <w:w w:val="95"/>
          <w:sz w:val="24"/>
          <w:szCs w:val="24"/>
        </w:rPr>
        <w:t> </w:t>
      </w:r>
      <w:r>
        <w:rPr>
          <w:rFonts w:ascii="宋体" w:hAnsi="宋体" w:cs="宋体" w:eastAsia="宋体" w:hint="default"/>
          <w:b/>
          <w:bCs/>
          <w:spacing w:val="74"/>
          <w:w w:val="95"/>
          <w:sz w:val="24"/>
          <w:szCs w:val="24"/>
        </w:rPr>
      </w:r>
      <w:r>
        <w:rPr>
          <w:rFonts w:ascii="宋体" w:hAnsi="宋体" w:cs="宋体" w:eastAsia="宋体" w:hint="default"/>
          <w:sz w:val="24"/>
          <w:szCs w:val="24"/>
        </w:rPr>
        <w:t>一、审计意见</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80"/>
          <w:cols w:num="2" w:equalWidth="0">
            <w:col w:w="4006" w:space="274"/>
            <w:col w:w="5670"/>
          </w:cols>
        </w:sectPr>
      </w:pPr>
    </w:p>
    <w:p>
      <w:pPr>
        <w:pStyle w:val="Heading5"/>
        <w:spacing w:line="256" w:lineRule="auto" w:before="0"/>
        <w:ind w:right="146" w:firstLine="420"/>
        <w:jc w:val="both"/>
      </w:pPr>
      <w:r>
        <w:rPr>
          <w:spacing w:val="-2"/>
        </w:rPr>
        <w:t>我们审计了美盈森集团股份有限公司（以下简称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w w:val="100"/>
        </w:rPr>
        <w:t> </w:t>
      </w:r>
      <w:r>
        <w:rPr>
          <w:spacing w:val="-2"/>
        </w:rPr>
        <w:t>及母公司资产负债表，</w:t>
      </w:r>
      <w:r>
        <w:rPr>
          <w:rFonts w:ascii="Times New Roman" w:hAnsi="Times New Roman" w:cs="Times New Roman" w:eastAsia="Times New Roman" w:hint="default"/>
          <w:spacing w:val="-2"/>
        </w:rPr>
        <w:t>2017</w:t>
      </w:r>
      <w:r>
        <w:rPr>
          <w:spacing w:val="-2"/>
        </w:rPr>
        <w:t>年度的合并及母公司利润表、合并及母公司现金流量表、合并及母公司股东权</w:t>
      </w:r>
      <w:r>
        <w:rPr>
          <w:spacing w:val="-44"/>
        </w:rPr>
        <w:t> </w:t>
      </w:r>
      <w:r>
        <w:rPr>
          <w:spacing w:val="-44"/>
        </w:rPr>
      </w:r>
      <w:r>
        <w:rPr/>
        <w:t>益变动表，以及财务报表附注。</w:t>
      </w:r>
    </w:p>
    <w:p>
      <w:pPr>
        <w:pStyle w:val="Heading5"/>
        <w:spacing w:line="240" w:lineRule="auto" w:before="22"/>
        <w:ind w:left="573" w:right="0"/>
        <w:jc w:val="left"/>
      </w:pPr>
      <w:r>
        <w:rPr/>
        <w:t>我们认为，后附的财务报表在所有重大方面按照企业会计准则的规定编制，公允反映了贵公司</w:t>
      </w:r>
      <w:r>
        <w:rPr>
          <w:rFonts w:ascii="Times New Roman" w:hAnsi="Times New Roman" w:cs="Times New Roman" w:eastAsia="Times New Roman" w:hint="default"/>
        </w:rPr>
        <w:t>2017</w:t>
      </w:r>
      <w:r>
        <w:rPr/>
        <w:t>年</w:t>
      </w:r>
    </w:p>
    <w:p>
      <w:pPr>
        <w:pStyle w:val="Heading5"/>
        <w:spacing w:line="240" w:lineRule="auto" w:before="21"/>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p>
    <w:p>
      <w:pPr>
        <w:spacing w:line="240" w:lineRule="auto" w:before="4"/>
        <w:rPr>
          <w:rFonts w:ascii="宋体" w:hAnsi="宋体" w:cs="宋体" w:eastAsia="宋体" w:hint="default"/>
          <w:sz w:val="23"/>
          <w:szCs w:val="23"/>
        </w:rPr>
      </w:pPr>
    </w:p>
    <w:p>
      <w:pPr>
        <w:pStyle w:val="Heading3"/>
        <w:spacing w:line="240" w:lineRule="auto"/>
        <w:ind w:right="0"/>
        <w:jc w:val="left"/>
      </w:pPr>
      <w:r>
        <w:rPr/>
        <w:t>二、形成审计意见的基础</w:t>
      </w:r>
    </w:p>
    <w:p>
      <w:pPr>
        <w:pStyle w:val="Heading5"/>
        <w:spacing w:line="256" w:lineRule="auto" w:before="25"/>
        <w:ind w:right="150" w:firstLine="42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r>
        <w:rPr>
          <w:w w:val="100"/>
        </w:rPr>
        <w:t>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部分进一步阐述了我们在这些准则下的责任。按照中国注册会计师职业道德守则，我们独立于贵</w:t>
      </w:r>
      <w:r>
        <w:rPr>
          <w:spacing w:val="-13"/>
        </w:rPr>
        <w:t> </w:t>
      </w:r>
      <w:r>
        <w:rPr>
          <w:spacing w:val="-13"/>
        </w:rPr>
      </w:r>
      <w:r>
        <w:rPr/>
        <w:t>公司，并履行了职业道德方面的其他责任。</w:t>
      </w:r>
    </w:p>
    <w:p>
      <w:pPr>
        <w:pStyle w:val="Heading5"/>
        <w:spacing w:line="240" w:lineRule="auto" w:before="22"/>
        <w:ind w:left="573" w:right="0"/>
        <w:jc w:val="left"/>
      </w:pPr>
      <w:r>
        <w:rPr/>
        <w:t>我们相信，我们获取的审计证据是充分、适当的，为发表审计意见提供了基础。</w:t>
      </w:r>
    </w:p>
    <w:p>
      <w:pPr>
        <w:spacing w:line="240" w:lineRule="auto" w:before="7"/>
        <w:rPr>
          <w:rFonts w:ascii="宋体" w:hAnsi="宋体" w:cs="宋体" w:eastAsia="宋体" w:hint="default"/>
          <w:sz w:val="24"/>
          <w:szCs w:val="24"/>
        </w:rPr>
      </w:pPr>
    </w:p>
    <w:p>
      <w:pPr>
        <w:pStyle w:val="Heading3"/>
        <w:spacing w:line="240" w:lineRule="auto"/>
        <w:ind w:right="0"/>
        <w:jc w:val="left"/>
      </w:pPr>
      <w:r>
        <w:rPr/>
        <w:t>三、关键审计事项</w:t>
      </w:r>
    </w:p>
    <w:p>
      <w:pPr>
        <w:pStyle w:val="Heading5"/>
        <w:spacing w:line="273" w:lineRule="auto" w:before="25"/>
        <w:ind w:right="146" w:firstLine="420"/>
        <w:jc w:val="both"/>
      </w:pPr>
      <w:r>
        <w:rPr>
          <w:spacing w:val="-2"/>
        </w:rPr>
        <w:t>关键审计事项是我们根据职业判断，认为对本期财务报表审计最为重要的事项。这些事项的应对以对</w:t>
      </w:r>
      <w:r>
        <w:rPr>
          <w:w w:val="100"/>
        </w:rPr>
        <w:t> </w:t>
      </w:r>
      <w:r>
        <w:rPr>
          <w:spacing w:val="-2"/>
        </w:rPr>
        <w:t>财务报表整体进行审计并形成审计意见为背景，我们不对这些事项单独发表意见。我们在审计中识别的关</w:t>
      </w:r>
      <w:r>
        <w:rPr>
          <w:spacing w:val="-43"/>
        </w:rPr>
        <w:t> </w:t>
      </w:r>
      <w:r>
        <w:rPr>
          <w:spacing w:val="-43"/>
        </w:rPr>
      </w:r>
      <w:r>
        <w:rPr/>
        <w:t>键审计事项如下：</w:t>
      </w:r>
    </w:p>
    <w:p>
      <w:pPr>
        <w:pStyle w:val="Heading5"/>
        <w:spacing w:line="240" w:lineRule="auto"/>
        <w:ind w:left="573" w:right="0"/>
        <w:jc w:val="left"/>
      </w:pPr>
      <w:r>
        <w:rPr/>
        <w:t>（一）营业收入确认</w:t>
      </w:r>
    </w:p>
    <w:p>
      <w:pPr>
        <w:pStyle w:val="Heading5"/>
        <w:spacing w:line="256" w:lineRule="auto" w:before="37"/>
        <w:ind w:left="678" w:right="0" w:hanging="106"/>
        <w:jc w:val="left"/>
      </w:pPr>
      <w:r>
        <w:rPr>
          <w:rFonts w:ascii="Times New Roman" w:hAnsi="Times New Roman" w:cs="Times New Roman" w:eastAsia="Times New Roman" w:hint="default"/>
        </w:rPr>
        <w:t>1</w:t>
      </w:r>
      <w:r>
        <w:rPr/>
        <w:t>、事项描述</w:t>
      </w:r>
      <w:r>
        <w:rPr>
          <w:w w:val="100"/>
        </w:rPr>
        <w:t> </w:t>
      </w:r>
      <w:r>
        <w:rPr>
          <w:spacing w:val="-2"/>
        </w:rPr>
        <w:t>如贵公司财务报表附注五（三十四）所述，贵公司</w:t>
      </w:r>
      <w:r>
        <w:rPr>
          <w:rFonts w:ascii="Times New Roman" w:hAnsi="Times New Roman" w:cs="Times New Roman" w:eastAsia="Times New Roman" w:hint="default"/>
          <w:spacing w:val="-2"/>
        </w:rPr>
        <w:t>2017</w:t>
      </w:r>
      <w:r>
        <w:rPr>
          <w:spacing w:val="-2"/>
        </w:rPr>
        <w:t>年度实现营业收入</w:t>
      </w:r>
      <w:r>
        <w:rPr>
          <w:rFonts w:ascii="Times New Roman" w:hAnsi="Times New Roman" w:cs="Times New Roman" w:eastAsia="Times New Roman" w:hint="default"/>
          <w:spacing w:val="-2"/>
        </w:rPr>
        <w:t>285,741.93</w:t>
      </w:r>
      <w:r>
        <w:rPr>
          <w:spacing w:val="-2"/>
        </w:rPr>
        <w:t>万元，较上年同</w:t>
      </w:r>
    </w:p>
    <w:p>
      <w:pPr>
        <w:pStyle w:val="Heading5"/>
        <w:spacing w:line="256" w:lineRule="auto" w:before="5"/>
        <w:ind w:right="0"/>
        <w:jc w:val="left"/>
      </w:pPr>
      <w:r>
        <w:rPr>
          <w:spacing w:val="-3"/>
        </w:rPr>
        <w:t>期增长</w:t>
      </w:r>
      <w:r>
        <w:rPr>
          <w:rFonts w:ascii="Times New Roman" w:hAnsi="Times New Roman" w:cs="Times New Roman" w:eastAsia="Times New Roman" w:hint="default"/>
          <w:spacing w:val="-3"/>
        </w:rPr>
        <w:t>28.75%</w:t>
      </w:r>
      <w:r>
        <w:rPr>
          <w:spacing w:val="-3"/>
        </w:rPr>
        <w:t>。由于营业收入是贵公司的关键业绩指标之一，且收入规模继续扩大，产生错报的固有风险</w:t>
      </w:r>
      <w:r>
        <w:rPr>
          <w:spacing w:val="-9"/>
        </w:rPr>
        <w:t> </w:t>
      </w:r>
      <w:r>
        <w:rPr>
          <w:spacing w:val="-9"/>
        </w:rPr>
      </w:r>
      <w:r>
        <w:rPr/>
        <w:t>较高，因此我们将营业收入确认确定为关键审计事项。</w:t>
      </w:r>
    </w:p>
    <w:p>
      <w:pPr>
        <w:pStyle w:val="Heading5"/>
        <w:spacing w:line="240" w:lineRule="auto" w:before="23"/>
        <w:ind w:left="573" w:right="0"/>
        <w:jc w:val="left"/>
      </w:pPr>
      <w:r>
        <w:rPr>
          <w:rFonts w:ascii="Times New Roman" w:hAnsi="Times New Roman" w:cs="Times New Roman" w:eastAsia="Times New Roman" w:hint="default"/>
        </w:rPr>
        <w:t>2</w:t>
      </w:r>
      <w:r>
        <w:rPr/>
        <w:t>、审计应对</w:t>
      </w:r>
    </w:p>
    <w:p>
      <w:pPr>
        <w:pStyle w:val="Heading5"/>
        <w:spacing w:line="256" w:lineRule="auto" w:before="21"/>
        <w:ind w:right="156" w:firstLine="420"/>
        <w:jc w:val="both"/>
      </w:pPr>
      <w:r>
        <w:rPr/>
        <w:t>（</w:t>
      </w:r>
      <w:r>
        <w:rPr>
          <w:rFonts w:ascii="Times New Roman" w:hAnsi="Times New Roman" w:cs="Times New Roman" w:eastAsia="Times New Roman" w:hint="default"/>
        </w:rPr>
        <w:t>1</w:t>
      </w:r>
      <w:r>
        <w:rPr/>
        <w:t>）对贵公司销售与收款内部控制循环实施控制测试，评价控制的设计有效性，并执行测试程序，</w:t>
      </w:r>
      <w:r>
        <w:rPr>
          <w:w w:val="100"/>
        </w:rPr>
        <w:t> </w:t>
      </w:r>
      <w:r>
        <w:rPr/>
        <w:t>确定相关控制是否得到有效执行；</w:t>
      </w:r>
    </w:p>
    <w:p>
      <w:pPr>
        <w:pStyle w:val="Heading5"/>
        <w:spacing w:line="256" w:lineRule="auto" w:before="22"/>
        <w:ind w:right="156" w:firstLine="420"/>
        <w:jc w:val="both"/>
      </w:pPr>
      <w:r>
        <w:rPr/>
        <w:t>（</w:t>
      </w:r>
      <w:r>
        <w:rPr>
          <w:rFonts w:ascii="Times New Roman" w:hAnsi="Times New Roman" w:cs="Times New Roman" w:eastAsia="Times New Roman" w:hint="default"/>
        </w:rPr>
        <w:t>2</w:t>
      </w:r>
      <w:r>
        <w:rPr/>
        <w:t>）了解贵公司的财务核算制度的设计和执行情况，复核收入确认政策，检查贵公司报告期内财务</w:t>
      </w:r>
      <w:r>
        <w:rPr>
          <w:w w:val="100"/>
        </w:rPr>
        <w:t> </w:t>
      </w:r>
      <w:r>
        <w:rPr/>
        <w:t>核算政策、收入确认政策的一贯性；</w:t>
      </w:r>
    </w:p>
    <w:p>
      <w:pPr>
        <w:pStyle w:val="Heading5"/>
        <w:spacing w:line="240" w:lineRule="auto" w:before="22"/>
        <w:ind w:left="573" w:right="0"/>
        <w:jc w:val="left"/>
      </w:pPr>
      <w:r>
        <w:rPr/>
        <w:t>（</w:t>
      </w:r>
      <w:r>
        <w:rPr>
          <w:rFonts w:ascii="Times New Roman" w:hAnsi="Times New Roman" w:cs="Times New Roman" w:eastAsia="Times New Roman" w:hint="default"/>
        </w:rPr>
        <w:t>3</w:t>
      </w:r>
      <w:r>
        <w:rPr/>
        <w:t>）了解行业动态，分析前后端市场的变化对公司所处行业的总体影响；</w:t>
      </w:r>
    </w:p>
    <w:p>
      <w:pPr>
        <w:pStyle w:val="Heading5"/>
        <w:spacing w:line="240" w:lineRule="auto" w:before="21"/>
        <w:ind w:left="573" w:right="0"/>
        <w:jc w:val="left"/>
      </w:pPr>
      <w:r>
        <w:rPr/>
        <w:t>（</w:t>
      </w:r>
      <w:r>
        <w:rPr>
          <w:rFonts w:ascii="Times New Roman" w:hAnsi="Times New Roman" w:cs="Times New Roman" w:eastAsia="Times New Roman" w:hint="default"/>
        </w:rPr>
        <w:t>4</w:t>
      </w:r>
      <w:r>
        <w:rPr/>
        <w:t>）对营业收入实施分析性程序，结合销售合同、订单所销售的产品类别，对比分析营业收入的月</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pPr>
      <w:r>
        <w:rPr/>
        <w:t>份、年度、分产品、分客户的变化，分析主要产品的售价、成本及毛利变动的合理性；</w:t>
      </w:r>
    </w:p>
    <w:p>
      <w:pPr>
        <w:pStyle w:val="Heading5"/>
        <w:spacing w:line="256" w:lineRule="auto" w:before="37"/>
        <w:ind w:right="216" w:firstLine="420"/>
        <w:jc w:val="both"/>
      </w:pPr>
      <w:r>
        <w:rPr/>
        <w:t>（</w:t>
      </w:r>
      <w:r>
        <w:rPr>
          <w:rFonts w:ascii="Times New Roman" w:hAnsi="Times New Roman" w:cs="Times New Roman" w:eastAsia="Times New Roman" w:hint="default"/>
        </w:rPr>
        <w:t>5</w:t>
      </w:r>
      <w:r>
        <w:rPr/>
        <w:t>）结合对应收账款的审计，选择主要客户对报告期销售额实施独立函证程序，并结合期后回款等</w:t>
      </w:r>
      <w:r>
        <w:rPr>
          <w:w w:val="100"/>
        </w:rPr>
        <w:t> </w:t>
      </w:r>
      <w:r>
        <w:rPr/>
        <w:t>分析其真实性；</w:t>
      </w:r>
    </w:p>
    <w:p>
      <w:pPr>
        <w:pStyle w:val="Heading5"/>
        <w:spacing w:line="266" w:lineRule="auto" w:before="22"/>
        <w:ind w:right="186" w:firstLine="420"/>
        <w:jc w:val="both"/>
      </w:pPr>
      <w:r>
        <w:rPr/>
        <w:t>（</w:t>
      </w:r>
      <w:r>
        <w:rPr>
          <w:rFonts w:ascii="Times New Roman" w:hAnsi="Times New Roman" w:cs="Times New Roman" w:eastAsia="Times New Roman" w:hint="default"/>
        </w:rPr>
        <w:t>6</w:t>
      </w:r>
      <w:r>
        <w:rPr/>
        <w:t>）采用抽样测试方式抽取检查样本，依据抽样总体、实际执行的重要性水平、保证系数等测算抽</w:t>
      </w:r>
      <w:r>
        <w:rPr>
          <w:w w:val="100"/>
        </w:rPr>
        <w:t> </w:t>
      </w:r>
      <w:r>
        <w:rPr>
          <w:spacing w:val="-2"/>
        </w:rPr>
        <w:t>样规模，抽样检查产品的出库单、运输单、客户签收单、报关单、发票等内外部证据，对营业收入的真实</w:t>
      </w:r>
      <w:r>
        <w:rPr>
          <w:spacing w:val="-42"/>
        </w:rPr>
        <w:t> </w:t>
      </w:r>
      <w:r>
        <w:rPr>
          <w:spacing w:val="-42"/>
        </w:rPr>
      </w:r>
      <w:r>
        <w:rPr>
          <w:spacing w:val="-2"/>
        </w:rPr>
        <w:t>性、完整性及是否存在收入跨期现象等执行细节测试。选取样本检查销售合同或订单，识别与商品所有权</w:t>
      </w:r>
      <w:r>
        <w:rPr>
          <w:spacing w:val="-43"/>
        </w:rPr>
        <w:t> </w:t>
      </w:r>
      <w:r>
        <w:rPr>
          <w:spacing w:val="-43"/>
        </w:rPr>
      </w:r>
      <w:r>
        <w:rPr>
          <w:spacing w:val="-2"/>
        </w:rPr>
        <w:t>上的风险和报酬转移相关的合同条款与条件，评价营业收入确认时点是否符合企业会计准则的相关规定。</w:t>
      </w:r>
    </w:p>
    <w:p>
      <w:pPr>
        <w:pStyle w:val="Heading5"/>
        <w:spacing w:line="240" w:lineRule="auto" w:before="14"/>
        <w:ind w:left="467" w:right="0"/>
        <w:jc w:val="left"/>
      </w:pPr>
      <w:r>
        <w:rPr/>
        <w:t>（二）存货的账面价值</w:t>
      </w:r>
    </w:p>
    <w:p>
      <w:pPr>
        <w:pStyle w:val="Heading5"/>
        <w:spacing w:line="256" w:lineRule="auto" w:before="37"/>
        <w:ind w:left="573" w:right="0"/>
        <w:jc w:val="left"/>
      </w:pPr>
      <w:r>
        <w:rPr>
          <w:rFonts w:ascii="Times New Roman" w:hAnsi="Times New Roman" w:cs="Times New Roman" w:eastAsia="Times New Roman" w:hint="default"/>
        </w:rPr>
        <w:t>1</w:t>
      </w:r>
      <w:r>
        <w:rPr/>
        <w:t>、事项描述</w:t>
      </w:r>
      <w:r>
        <w:rPr>
          <w:w w:val="100"/>
        </w:rPr>
        <w:t> </w:t>
      </w:r>
      <w:r>
        <w:rPr>
          <w:spacing w:val="-2"/>
        </w:rPr>
        <w:t>如贵公司财务报表附注五（七）所述，贵公司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日存货余额为</w:t>
      </w:r>
      <w:r>
        <w:rPr>
          <w:rFonts w:ascii="Times New Roman" w:hAnsi="Times New Roman" w:cs="Times New Roman" w:eastAsia="Times New Roman" w:hint="default"/>
          <w:spacing w:val="-2"/>
        </w:rPr>
        <w:t>65,401.78</w:t>
      </w:r>
      <w:r>
        <w:rPr>
          <w:spacing w:val="-2"/>
        </w:rPr>
        <w:t>万元，较年初增加</w:t>
      </w:r>
    </w:p>
    <w:p>
      <w:pPr>
        <w:pStyle w:val="Heading5"/>
        <w:spacing w:line="264" w:lineRule="auto" w:before="5"/>
        <w:ind w:right="208"/>
        <w:jc w:val="both"/>
      </w:pPr>
      <w:r>
        <w:rPr>
          <w:rFonts w:ascii="Times New Roman" w:hAnsi="Times New Roman" w:cs="Times New Roman" w:eastAsia="Times New Roman" w:hint="default"/>
          <w:spacing w:val="-3"/>
        </w:rPr>
        <w:t>69.53%</w:t>
      </w:r>
      <w:r>
        <w:rPr>
          <w:spacing w:val="-3"/>
        </w:rPr>
        <w:t>。由于贵公司的存货期末余额大幅增长，其增长幅度是否能与贵公司的生产能力相匹配，与收入对</w:t>
      </w:r>
      <w:r>
        <w:rPr>
          <w:spacing w:val="-9"/>
        </w:rPr>
        <w:t> </w:t>
      </w:r>
      <w:r>
        <w:rPr>
          <w:spacing w:val="-9"/>
        </w:rPr>
      </w:r>
      <w:r>
        <w:rPr>
          <w:spacing w:val="-2"/>
        </w:rPr>
        <w:t>应的销售成本结转是否完整准确，存货的存在认定是否可以确认，因此，我们将存货的存在性、计价和分</w:t>
      </w:r>
      <w:r>
        <w:rPr>
          <w:spacing w:val="-47"/>
        </w:rPr>
        <w:t> </w:t>
      </w:r>
      <w:r>
        <w:rPr>
          <w:spacing w:val="-47"/>
        </w:rPr>
      </w:r>
      <w:r>
        <w:rPr/>
        <w:t>摊确定为关键审计事项。</w:t>
      </w:r>
    </w:p>
    <w:p>
      <w:pPr>
        <w:pStyle w:val="Heading5"/>
        <w:spacing w:line="240" w:lineRule="auto" w:before="16"/>
        <w:ind w:left="573" w:right="0"/>
        <w:jc w:val="left"/>
      </w:pPr>
      <w:r>
        <w:rPr>
          <w:rFonts w:ascii="Times New Roman" w:hAnsi="Times New Roman" w:cs="Times New Roman" w:eastAsia="Times New Roman" w:hint="default"/>
        </w:rPr>
        <w:t>2</w:t>
      </w:r>
      <w:r>
        <w:rPr/>
        <w:t>、审计应对</w:t>
      </w:r>
    </w:p>
    <w:p>
      <w:pPr>
        <w:pStyle w:val="Heading5"/>
        <w:spacing w:line="256" w:lineRule="auto" w:before="21"/>
        <w:ind w:right="211" w:firstLine="420"/>
        <w:jc w:val="both"/>
      </w:pPr>
      <w:r>
        <w:rPr/>
        <w:t>（</w:t>
      </w:r>
      <w:r>
        <w:rPr>
          <w:rFonts w:ascii="Times New Roman" w:hAnsi="Times New Roman" w:cs="Times New Roman" w:eastAsia="Times New Roman" w:hint="default"/>
        </w:rPr>
        <w:t>1</w:t>
      </w:r>
      <w:r>
        <w:rPr/>
        <w:t>）对贵公司采购与付款循环、生产与仓储内部控制循环实施控制测试，评价控制的设计有效性，</w:t>
      </w:r>
      <w:r>
        <w:rPr>
          <w:w w:val="100"/>
        </w:rPr>
        <w:t> </w:t>
      </w:r>
      <w:r>
        <w:rPr/>
        <w:t>并执行测试程序，确定相关控制是否得到有效执行；</w:t>
      </w:r>
    </w:p>
    <w:p>
      <w:pPr>
        <w:pStyle w:val="Heading5"/>
        <w:spacing w:line="256" w:lineRule="auto" w:before="22"/>
        <w:ind w:right="216" w:firstLine="420"/>
        <w:jc w:val="both"/>
      </w:pPr>
      <w:r>
        <w:rPr/>
        <w:t>（</w:t>
      </w:r>
      <w:r>
        <w:rPr>
          <w:rFonts w:ascii="Times New Roman" w:hAnsi="Times New Roman" w:cs="Times New Roman" w:eastAsia="Times New Roman" w:hint="default"/>
        </w:rPr>
        <w:t>2</w:t>
      </w:r>
      <w:r>
        <w:rPr/>
        <w:t>）根据贵公司所处的行业状况，前端供应链、后端销售链条对其存货采购的影响，结合贵公司存</w:t>
      </w:r>
      <w:r>
        <w:rPr>
          <w:w w:val="100"/>
        </w:rPr>
        <w:t> </w:t>
      </w:r>
      <w:r>
        <w:rPr/>
        <w:t>货的分类构成情况，分析存货前后期结构变化情况是否合理；</w:t>
      </w:r>
    </w:p>
    <w:p>
      <w:pPr>
        <w:pStyle w:val="Heading5"/>
        <w:spacing w:line="240" w:lineRule="auto" w:before="22"/>
        <w:ind w:left="573" w:right="0"/>
        <w:jc w:val="left"/>
      </w:pPr>
      <w:r>
        <w:rPr/>
        <w:t>（</w:t>
      </w:r>
      <w:r>
        <w:rPr>
          <w:rFonts w:ascii="Times New Roman" w:hAnsi="Times New Roman" w:cs="Times New Roman" w:eastAsia="Times New Roman" w:hint="default"/>
        </w:rPr>
        <w:t>3</w:t>
      </w:r>
      <w:r>
        <w:rPr/>
        <w:t>）对贵公司期末存货执行监盘程序；</w:t>
      </w:r>
    </w:p>
    <w:p>
      <w:pPr>
        <w:pStyle w:val="Heading5"/>
        <w:spacing w:line="256" w:lineRule="auto" w:before="21"/>
        <w:ind w:right="216" w:firstLine="420"/>
        <w:jc w:val="both"/>
      </w:pPr>
      <w:r>
        <w:rPr/>
        <w:t>（</w:t>
      </w:r>
      <w:r>
        <w:rPr>
          <w:rFonts w:ascii="Times New Roman" w:hAnsi="Times New Roman" w:cs="Times New Roman" w:eastAsia="Times New Roman" w:hint="default"/>
        </w:rPr>
        <w:t>4</w:t>
      </w:r>
      <w:r>
        <w:rPr/>
        <w:t>）查阅公司使用主要原材料的市场价格变化情况，结合应付账款审计，核实采购成本的正确性以</w:t>
      </w:r>
      <w:r>
        <w:rPr>
          <w:w w:val="100"/>
        </w:rPr>
        <w:t> </w:t>
      </w:r>
      <w:r>
        <w:rPr/>
        <w:t>及期末存货的合理性；</w:t>
      </w:r>
    </w:p>
    <w:p>
      <w:pPr>
        <w:pStyle w:val="Heading5"/>
        <w:spacing w:line="256" w:lineRule="auto" w:before="22"/>
        <w:ind w:right="0" w:firstLine="420"/>
        <w:jc w:val="left"/>
      </w:pPr>
      <w:r>
        <w:rPr>
          <w:spacing w:val="-2"/>
        </w:rPr>
        <w:t>（</w:t>
      </w:r>
      <w:r>
        <w:rPr>
          <w:rFonts w:ascii="Times New Roman" w:hAnsi="Times New Roman" w:cs="Times New Roman" w:eastAsia="Times New Roman" w:hint="default"/>
          <w:spacing w:val="-2"/>
        </w:rPr>
        <w:t>5</w:t>
      </w:r>
      <w:r>
        <w:rPr>
          <w:spacing w:val="-2"/>
        </w:rPr>
        <w:t>）根据签署的销售合同、订单情况，结合公司的销售计划、生产能力、生产周期、客户备货需求，</w:t>
      </w:r>
      <w:r>
        <w:rPr>
          <w:w w:val="100"/>
        </w:rPr>
        <w:t> </w:t>
      </w:r>
      <w:r>
        <w:rPr/>
        <w:t>分析公司前后各期的主要库存产品周转率，核实期末存货的合理性；</w:t>
      </w:r>
    </w:p>
    <w:p>
      <w:pPr>
        <w:pStyle w:val="Heading5"/>
        <w:spacing w:line="240" w:lineRule="auto" w:before="22"/>
        <w:ind w:left="573" w:right="0"/>
        <w:jc w:val="left"/>
      </w:pPr>
      <w:r>
        <w:rPr/>
        <w:t>（</w:t>
      </w:r>
      <w:r>
        <w:rPr>
          <w:rFonts w:ascii="Times New Roman" w:hAnsi="Times New Roman" w:cs="Times New Roman" w:eastAsia="Times New Roman" w:hint="default"/>
        </w:rPr>
        <w:t>6</w:t>
      </w:r>
      <w:r>
        <w:rPr/>
        <w:t>）对贵公司各项存货入库及出库执行截止性测试，选取样本，对各项存货的发出进行计价测试；</w:t>
      </w:r>
    </w:p>
    <w:p>
      <w:pPr>
        <w:pStyle w:val="Heading5"/>
        <w:spacing w:line="256" w:lineRule="auto" w:before="21"/>
        <w:ind w:right="216" w:firstLine="420"/>
        <w:jc w:val="both"/>
      </w:pPr>
      <w:r>
        <w:rPr/>
        <w:t>（</w:t>
      </w:r>
      <w:r>
        <w:rPr>
          <w:rFonts w:ascii="Times New Roman" w:hAnsi="Times New Roman" w:cs="Times New Roman" w:eastAsia="Times New Roman" w:hint="default"/>
        </w:rPr>
        <w:t>7</w:t>
      </w:r>
      <w:r>
        <w:rPr/>
        <w:t>）复核贵公司的生产成本计算过程及销售成本结转过程，是否存在存货结转和销售出库是否匹配</w:t>
      </w:r>
      <w:r>
        <w:rPr>
          <w:w w:val="100"/>
        </w:rPr>
        <w:t> </w:t>
      </w:r>
      <w:r>
        <w:rPr/>
        <w:t>之情形；</w:t>
      </w:r>
    </w:p>
    <w:p>
      <w:pPr>
        <w:pStyle w:val="Heading5"/>
        <w:spacing w:line="240" w:lineRule="auto" w:before="22"/>
        <w:ind w:left="573" w:right="0"/>
        <w:jc w:val="left"/>
      </w:pPr>
      <w:r>
        <w:rPr/>
        <w:t>（</w:t>
      </w:r>
      <w:r>
        <w:rPr>
          <w:rFonts w:ascii="Times New Roman" w:hAnsi="Times New Roman" w:cs="Times New Roman" w:eastAsia="Times New Roman" w:hint="default"/>
        </w:rPr>
        <w:t>8</w:t>
      </w:r>
      <w:r>
        <w:rPr/>
        <w:t>）结合监盘程序和存货计价测试程序，对贵公司期末存货执行减值测试。</w:t>
      </w:r>
    </w:p>
    <w:p>
      <w:pPr>
        <w:pStyle w:val="Heading5"/>
        <w:spacing w:line="240" w:lineRule="auto" w:before="21"/>
        <w:ind w:left="573" w:right="0"/>
        <w:jc w:val="left"/>
      </w:pPr>
      <w:r>
        <w:rPr/>
        <w:t>（三）投资性房地产的估值</w:t>
      </w:r>
    </w:p>
    <w:p>
      <w:pPr>
        <w:pStyle w:val="Heading5"/>
        <w:spacing w:line="256" w:lineRule="auto" w:before="37"/>
        <w:ind w:left="573" w:right="0"/>
        <w:jc w:val="left"/>
      </w:pPr>
      <w:r>
        <w:rPr>
          <w:rFonts w:ascii="Times New Roman" w:hAnsi="Times New Roman" w:cs="Times New Roman" w:eastAsia="Times New Roman" w:hint="default"/>
        </w:rPr>
        <w:t>1</w:t>
      </w:r>
      <w:r>
        <w:rPr/>
        <w:t>、事项描述</w:t>
      </w:r>
      <w:r>
        <w:rPr>
          <w:w w:val="100"/>
        </w:rPr>
        <w:t> </w:t>
      </w:r>
      <w:r>
        <w:rPr>
          <w:spacing w:val="-2"/>
        </w:rPr>
        <w:t>如贵公司财务报表附注五（十）所述，贵公司投资性房地产期末余额为</w:t>
      </w:r>
      <w:r>
        <w:rPr>
          <w:rFonts w:ascii="Times New Roman" w:hAnsi="Times New Roman" w:cs="Times New Roman" w:eastAsia="Times New Roman" w:hint="default"/>
          <w:spacing w:val="-2"/>
        </w:rPr>
        <w:t>44,362.55</w:t>
      </w:r>
      <w:r>
        <w:rPr>
          <w:spacing w:val="-2"/>
        </w:rPr>
        <w:t>万元。贵公司投资性</w:t>
      </w:r>
    </w:p>
    <w:p>
      <w:pPr>
        <w:pStyle w:val="Heading5"/>
        <w:spacing w:line="273" w:lineRule="auto" w:before="5"/>
        <w:ind w:right="206"/>
        <w:jc w:val="both"/>
      </w:pPr>
      <w:r>
        <w:rPr>
          <w:spacing w:val="-2"/>
        </w:rPr>
        <w:t>房地产采用公允价值模式进行后续计量。公允价值的确定受各种因素的影响且需要依赖专业评估机构的评</w:t>
      </w:r>
      <w:r>
        <w:rPr>
          <w:spacing w:val="-43"/>
        </w:rPr>
        <w:t> </w:t>
      </w:r>
      <w:r>
        <w:rPr>
          <w:spacing w:val="-43"/>
        </w:rPr>
      </w:r>
      <w:r>
        <w:rPr/>
        <w:t>估结果，因此，我们将投资性房地产按公允价值变动产生损益的准确性及合理性确定为关键审计事项。</w:t>
      </w:r>
    </w:p>
    <w:p>
      <w:pPr>
        <w:pStyle w:val="Heading5"/>
        <w:spacing w:line="240" w:lineRule="auto"/>
        <w:ind w:left="573" w:right="0"/>
        <w:jc w:val="left"/>
      </w:pPr>
      <w:r>
        <w:rPr>
          <w:rFonts w:ascii="Times New Roman" w:hAnsi="Times New Roman" w:cs="Times New Roman" w:eastAsia="Times New Roman" w:hint="default"/>
        </w:rPr>
        <w:t>2</w:t>
      </w:r>
      <w:r>
        <w:rPr/>
        <w:t>、审计应对</w:t>
      </w:r>
    </w:p>
    <w:p>
      <w:pPr>
        <w:pStyle w:val="Heading5"/>
        <w:spacing w:line="264" w:lineRule="auto" w:before="21"/>
        <w:ind w:right="206" w:firstLine="420"/>
        <w:jc w:val="both"/>
      </w:pPr>
      <w:r>
        <w:rPr/>
        <w:t>（</w:t>
      </w:r>
      <w:r>
        <w:rPr>
          <w:rFonts w:ascii="Times New Roman" w:hAnsi="Times New Roman" w:cs="Times New Roman" w:eastAsia="Times New Roman" w:hint="default"/>
        </w:rPr>
        <w:t>1</w:t>
      </w:r>
      <w:r>
        <w:rPr/>
        <w:t>）根据贵公司管理层的管理能力和相关意图，检查贵公司对投资性房地产的分类和采用的计量属</w:t>
      </w:r>
      <w:r>
        <w:rPr>
          <w:w w:val="100"/>
        </w:rPr>
        <w:t> </w:t>
      </w:r>
      <w:r>
        <w:rPr>
          <w:spacing w:val="-2"/>
        </w:rPr>
        <w:t>性是否适当，是否符合企业会计准则的相关规定；与贵公司管理层讨论投资性房地产后续计量模式选用的</w:t>
      </w:r>
      <w:r>
        <w:rPr>
          <w:spacing w:val="-43"/>
        </w:rPr>
        <w:t> </w:t>
      </w:r>
      <w:r>
        <w:rPr>
          <w:spacing w:val="-43"/>
        </w:rPr>
      </w:r>
      <w:r>
        <w:rPr/>
        <w:t>依据是否充分；</w:t>
      </w:r>
    </w:p>
    <w:p>
      <w:pPr>
        <w:pStyle w:val="Heading5"/>
        <w:spacing w:line="259" w:lineRule="auto" w:before="16"/>
        <w:ind w:right="216" w:firstLine="420"/>
        <w:jc w:val="both"/>
      </w:pPr>
      <w:r>
        <w:rPr/>
        <w:t>（</w:t>
      </w:r>
      <w:r>
        <w:rPr>
          <w:rFonts w:ascii="Times New Roman" w:hAnsi="Times New Roman" w:cs="Times New Roman" w:eastAsia="Times New Roman" w:hint="default"/>
        </w:rPr>
        <w:t>2</w:t>
      </w:r>
      <w:r>
        <w:rPr/>
        <w:t>）获取投资性房地产明细表，结合实地盘点及查阅产权证书等相关文件资料，检查测试投资性房</w:t>
      </w:r>
      <w:r>
        <w:rPr>
          <w:w w:val="100"/>
        </w:rPr>
        <w:t> </w:t>
      </w:r>
      <w:r>
        <w:rPr/>
        <w:t>地产期末的存在及权利和义务认定；</w:t>
      </w:r>
    </w:p>
    <w:p>
      <w:pPr>
        <w:pStyle w:val="Heading5"/>
        <w:spacing w:line="240" w:lineRule="auto" w:before="20"/>
        <w:ind w:left="573" w:right="0"/>
        <w:jc w:val="left"/>
      </w:pPr>
      <w:r>
        <w:rPr/>
        <w:t>（</w:t>
      </w:r>
      <w:r>
        <w:rPr>
          <w:rFonts w:ascii="Times New Roman" w:hAnsi="Times New Roman" w:cs="Times New Roman" w:eastAsia="Times New Roman" w:hint="default"/>
        </w:rPr>
        <w:t>3</w:t>
      </w:r>
      <w:r>
        <w:rPr/>
        <w:t>）评价由贵公司管理层聘请的外部评估机构的独立性、客观性、经验、资质及专业胜任能力等；</w:t>
      </w:r>
    </w:p>
    <w:p>
      <w:pPr>
        <w:pStyle w:val="Heading5"/>
        <w:spacing w:line="264" w:lineRule="auto" w:before="21"/>
        <w:ind w:right="214" w:firstLine="420"/>
        <w:jc w:val="both"/>
      </w:pPr>
      <w:r>
        <w:rPr/>
        <w:t>（</w:t>
      </w:r>
      <w:r>
        <w:rPr>
          <w:rFonts w:ascii="Times New Roman" w:hAnsi="Times New Roman" w:cs="Times New Roman" w:eastAsia="Times New Roman" w:hint="default"/>
        </w:rPr>
        <w:t>4</w:t>
      </w:r>
      <w:r>
        <w:rPr/>
        <w:t>）获取并复核沃克森（北京）国际资产评估有限公司出具的评估报告，对评估选用的评估方法及</w:t>
      </w:r>
      <w:r>
        <w:rPr>
          <w:w w:val="100"/>
        </w:rPr>
        <w:t> </w:t>
      </w:r>
      <w:r>
        <w:rPr>
          <w:spacing w:val="2"/>
        </w:rPr>
        <w:t>重要的评估参数与评估师进行沟通，并结合当地房地产市场的实际情况了解公允价值的确定依据是否充</w:t>
      </w:r>
      <w:r>
        <w:rPr>
          <w:spacing w:val="-30"/>
        </w:rPr>
        <w:t> </w:t>
      </w:r>
      <w:r>
        <w:rPr>
          <w:spacing w:val="-30"/>
        </w:rPr>
      </w:r>
      <w:r>
        <w:rPr/>
        <w:t>分、合理；</w:t>
      </w:r>
    </w:p>
    <w:p>
      <w:pPr>
        <w:pStyle w:val="Heading5"/>
        <w:spacing w:line="240" w:lineRule="auto" w:before="16"/>
        <w:ind w:left="573" w:right="0"/>
        <w:jc w:val="left"/>
      </w:pPr>
      <w:r>
        <w:rPr/>
        <w:t>（</w:t>
      </w:r>
      <w:r>
        <w:rPr>
          <w:rFonts w:ascii="Times New Roman" w:hAnsi="Times New Roman" w:cs="Times New Roman" w:eastAsia="Times New Roman" w:hint="default"/>
        </w:rPr>
        <w:t>5</w:t>
      </w:r>
      <w:r>
        <w:rPr/>
        <w:t>）评估管理层对投资性房地产的估计结果，以及在财务报表附注中披露的充分性。</w:t>
      </w:r>
    </w:p>
    <w:p>
      <w:pPr>
        <w:spacing w:after="0" w:line="240" w:lineRule="auto"/>
        <w:jc w:val="left"/>
        <w:sectPr>
          <w:pgSz w:w="11910" w:h="16840"/>
          <w:pgMar w:header="745" w:footer="980" w:top="1060" w:bottom="1160" w:left="980" w:right="920"/>
        </w:sectPr>
      </w:pPr>
    </w:p>
    <w:p>
      <w:pPr>
        <w:spacing w:line="240" w:lineRule="auto" w:before="6"/>
        <w:rPr>
          <w:rFonts w:ascii="宋体" w:hAnsi="宋体" w:cs="宋体" w:eastAsia="宋体" w:hint="default"/>
          <w:sz w:val="23"/>
          <w:szCs w:val="23"/>
        </w:rPr>
      </w:pPr>
    </w:p>
    <w:p>
      <w:pPr>
        <w:pStyle w:val="Heading3"/>
        <w:spacing w:line="240" w:lineRule="auto" w:before="26"/>
        <w:ind w:right="0"/>
        <w:jc w:val="left"/>
      </w:pPr>
      <w:r>
        <w:rPr/>
        <w:t>四、其他信息</w:t>
      </w:r>
    </w:p>
    <w:p>
      <w:pPr>
        <w:pStyle w:val="Heading5"/>
        <w:spacing w:line="256" w:lineRule="auto" w:before="26"/>
        <w:ind w:right="0" w:firstLine="420"/>
        <w:jc w:val="left"/>
      </w:pPr>
      <w:r>
        <w:rPr>
          <w:spacing w:val="-2"/>
        </w:rPr>
        <w:t>贵公司管理层（以下简称管理层）对其他信息负责。其他信息包括贵公司</w:t>
      </w:r>
      <w:r>
        <w:rPr>
          <w:rFonts w:ascii="Times New Roman" w:hAnsi="Times New Roman" w:cs="Times New Roman" w:eastAsia="Times New Roman" w:hint="default"/>
          <w:spacing w:val="-2"/>
        </w:rPr>
        <w:t>2017</w:t>
      </w:r>
      <w:r>
        <w:rPr>
          <w:spacing w:val="-2"/>
        </w:rPr>
        <w:t>年年度报告中涵盖的信</w:t>
      </w:r>
      <w:r>
        <w:rPr>
          <w:w w:val="100"/>
        </w:rPr>
        <w:t> </w:t>
      </w:r>
      <w:r>
        <w:rPr/>
        <w:t>息，但不包括财务报表和我们的审计报告。</w:t>
      </w:r>
    </w:p>
    <w:p>
      <w:pPr>
        <w:pStyle w:val="Heading5"/>
        <w:spacing w:line="273" w:lineRule="auto" w:before="22"/>
        <w:ind w:left="573" w:right="0"/>
        <w:jc w:val="left"/>
      </w:pPr>
      <w:r>
        <w:rPr>
          <w:spacing w:val="-2"/>
        </w:rPr>
        <w:t>我们对财务报表发表的审计意见并不涵盖其他信息，我们也不对其他信息发表任何形式的鉴证结论。</w:t>
      </w:r>
      <w:r>
        <w:rPr>
          <w:spacing w:val="-28"/>
        </w:rPr>
        <w:t> </w:t>
      </w:r>
      <w:r>
        <w:rPr>
          <w:spacing w:val="-28"/>
        </w:rPr>
      </w:r>
      <w:r>
        <w:rPr>
          <w:spacing w:val="-2"/>
        </w:rPr>
        <w:t>结合我们对财务报表的审计，我们的责任是阅读其他信息，在此过程中，考虑其他信息是否与财务报</w:t>
      </w:r>
    </w:p>
    <w:p>
      <w:pPr>
        <w:pStyle w:val="Heading5"/>
        <w:spacing w:line="273" w:lineRule="auto"/>
        <w:ind w:left="573" w:right="0" w:hanging="421"/>
        <w:jc w:val="left"/>
      </w:pPr>
      <w:r>
        <w:rPr/>
        <w:t>表或我们在审计过程中了解到的情况存在重大不一致或者似乎存在重大错报。</w:t>
      </w:r>
      <w:r>
        <w:rPr>
          <w:w w:val="100"/>
        </w:rPr>
        <w:t> </w:t>
      </w:r>
      <w:r>
        <w:rPr>
          <w:spacing w:val="-2"/>
        </w:rPr>
        <w:t>基于我们已执行的工作，如果我们确定其他信息存在重大错报，我们应当报告该事实。在这方面，我</w:t>
      </w:r>
    </w:p>
    <w:p>
      <w:pPr>
        <w:pStyle w:val="Heading5"/>
        <w:spacing w:line="240" w:lineRule="auto"/>
        <w:ind w:right="0"/>
        <w:jc w:val="left"/>
      </w:pPr>
      <w:r>
        <w:rPr/>
        <w:t>们无任何事项需要报告。</w:t>
      </w:r>
    </w:p>
    <w:p>
      <w:pPr>
        <w:spacing w:line="240" w:lineRule="auto" w:before="7"/>
        <w:rPr>
          <w:rFonts w:ascii="宋体" w:hAnsi="宋体" w:cs="宋体" w:eastAsia="宋体" w:hint="default"/>
          <w:sz w:val="24"/>
          <w:szCs w:val="24"/>
        </w:rPr>
      </w:pPr>
    </w:p>
    <w:p>
      <w:pPr>
        <w:pStyle w:val="Heading3"/>
        <w:spacing w:line="240" w:lineRule="auto"/>
        <w:ind w:right="0"/>
        <w:jc w:val="left"/>
      </w:pPr>
      <w:r>
        <w:rPr/>
        <w:t>五、管理层和治理层对财务报表的责任</w:t>
      </w:r>
    </w:p>
    <w:p>
      <w:pPr>
        <w:pStyle w:val="Heading5"/>
        <w:spacing w:line="273" w:lineRule="auto" w:before="25"/>
        <w:ind w:right="0" w:firstLine="420"/>
        <w:jc w:val="left"/>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p>
    <w:p>
      <w:pPr>
        <w:pStyle w:val="Heading5"/>
        <w:spacing w:line="273" w:lineRule="auto"/>
        <w:ind w:right="0" w:firstLine="420"/>
        <w:jc w:val="left"/>
      </w:pPr>
      <w:r>
        <w:rPr>
          <w:spacing w:val="-5"/>
        </w:rPr>
        <w:t>在编制财务报表时，管理层负责评估贵公司的持续经营能力，披露与持续经营相关的事项（如适用），</w:t>
      </w:r>
      <w:r>
        <w:rPr>
          <w:w w:val="100"/>
        </w:rPr>
        <w:t> </w:t>
      </w:r>
      <w:r>
        <w:rPr/>
        <w:t>并运用持续经营假设，除非管理层计划清算贵公司、终止运营或别无其他现实的选择。</w:t>
      </w:r>
    </w:p>
    <w:p>
      <w:pPr>
        <w:pStyle w:val="Heading5"/>
        <w:spacing w:line="240" w:lineRule="auto"/>
        <w:ind w:left="573" w:right="0"/>
        <w:jc w:val="left"/>
      </w:pPr>
      <w:r>
        <w:rPr/>
        <w:t>治理层负责监督贵公司的财务报告过程。</w:t>
      </w:r>
    </w:p>
    <w:p>
      <w:pPr>
        <w:pStyle w:val="Heading3"/>
        <w:spacing w:line="240" w:lineRule="auto" w:before="110"/>
        <w:ind w:left="633" w:right="0"/>
        <w:jc w:val="left"/>
      </w:pPr>
      <w:r>
        <w:rPr/>
        <w:t>六、注册会计师对财务报表审计的责任</w:t>
      </w:r>
    </w:p>
    <w:p>
      <w:pPr>
        <w:pStyle w:val="Heading5"/>
        <w:spacing w:line="273" w:lineRule="auto" w:before="25"/>
        <w:ind w:right="206" w:firstLine="420"/>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3"/>
        </w:rPr>
        <w:t> </w:t>
      </w:r>
      <w:r>
        <w:rPr>
          <w:spacing w:val="-43"/>
        </w:rPr>
      </w:r>
      <w:r>
        <w:rPr>
          <w:spacing w:val="-2"/>
        </w:rPr>
        <w:t>存在时总能发现。错报可能由于舞弊或错误导致，如果合理预期错报单独或汇总起来可能影响财务报表使</w:t>
      </w:r>
      <w:r>
        <w:rPr>
          <w:spacing w:val="-43"/>
        </w:rPr>
        <w:t> </w:t>
      </w:r>
      <w:r>
        <w:rPr>
          <w:spacing w:val="-43"/>
        </w:rPr>
      </w:r>
      <w:r>
        <w:rPr/>
        <w:t>用者依据财务报表作出的经济决策，则通常认为错报是重大的。</w:t>
      </w:r>
    </w:p>
    <w:p>
      <w:pPr>
        <w:pStyle w:val="Heading5"/>
        <w:spacing w:line="273" w:lineRule="auto"/>
        <w:ind w:right="0" w:firstLine="420"/>
        <w:jc w:val="left"/>
      </w:pPr>
      <w:r>
        <w:rPr>
          <w:spacing w:val="-2"/>
        </w:rPr>
        <w:t>在按照审计准则执行审计工作的过程中，我们运用职业判断，并保持职业怀疑。同时，我们也执行以</w:t>
      </w:r>
      <w:r>
        <w:rPr>
          <w:w w:val="100"/>
        </w:rPr>
        <w:t> </w:t>
      </w:r>
      <w:r>
        <w:rPr/>
        <w:t>下工作：</w:t>
      </w:r>
    </w:p>
    <w:p>
      <w:pPr>
        <w:pStyle w:val="Heading5"/>
        <w:spacing w:line="273" w:lineRule="auto"/>
        <w:ind w:right="0" w:firstLine="420"/>
        <w:jc w:val="left"/>
      </w:pPr>
      <w:r>
        <w:rPr/>
        <w:t>（一）识别和评估由于舞弊或错误导致的财务报表重大错报风险，设计和实施审计程序以应对这些风</w:t>
      </w:r>
      <w:r>
        <w:rPr>
          <w:w w:val="100"/>
        </w:rPr>
        <w:t> </w:t>
      </w:r>
      <w:r>
        <w:rPr>
          <w:spacing w:val="-5"/>
        </w:rPr>
        <w:t>险，并获取充分、适当的审计证据，作为发表审计意见的基础。由于舞弊可能涉及串通、伪造、故意遗漏、</w:t>
      </w:r>
      <w:r>
        <w:rPr>
          <w:spacing w:val="-6"/>
        </w:rPr>
        <w:t> </w:t>
      </w:r>
      <w:r>
        <w:rPr>
          <w:spacing w:val="-6"/>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p>
    <w:p>
      <w:pPr>
        <w:pStyle w:val="Heading5"/>
        <w:spacing w:line="240" w:lineRule="auto"/>
        <w:ind w:left="573" w:right="0"/>
        <w:jc w:val="left"/>
      </w:pPr>
      <w:r>
        <w:rPr/>
        <w:t>（二）了解与审计相关的内部控制，以设计恰当的审计程序。</w:t>
      </w:r>
    </w:p>
    <w:p>
      <w:pPr>
        <w:pStyle w:val="Heading5"/>
        <w:spacing w:line="240" w:lineRule="auto" w:before="37"/>
        <w:ind w:left="573" w:right="0"/>
        <w:jc w:val="left"/>
      </w:pPr>
      <w:r>
        <w:rPr/>
        <w:t>（三）评价管理层选用会计政策的恰当性和作出会计估计及相关披露的合理性。</w:t>
      </w:r>
    </w:p>
    <w:p>
      <w:pPr>
        <w:pStyle w:val="Heading5"/>
        <w:spacing w:line="273" w:lineRule="auto" w:before="37"/>
        <w:ind w:right="206" w:firstLine="420"/>
        <w:jc w:val="both"/>
      </w:pPr>
      <w:r>
        <w:rPr>
          <w:spacing w:val="-2"/>
        </w:rPr>
        <w:t>（四）对管理层使用持续经营假设的恰当性得出结论。同时，根据获取的审计证据，就可能导致对贵</w:t>
      </w:r>
      <w:r>
        <w:rPr>
          <w:w w:val="100"/>
        </w:rPr>
        <w:t> </w:t>
      </w:r>
      <w:r>
        <w:rPr>
          <w:spacing w:val="-2"/>
        </w:rPr>
        <w:t>公司持续经营能力产生重大疑虑的事项或情况是否存在重大不确定性得出结论。如果我们得出结论认为存</w:t>
      </w:r>
      <w:r>
        <w:rPr>
          <w:spacing w:val="-43"/>
        </w:rPr>
        <w:t> </w:t>
      </w:r>
      <w:r>
        <w:rPr>
          <w:spacing w:val="-43"/>
        </w:rPr>
      </w:r>
      <w:r>
        <w:rPr>
          <w:spacing w:val="-2"/>
        </w:rPr>
        <w:t>在重大不确定性，审计准则要求我们在审计报告中提请报表使用者注意财务报表中的相关披露；如果披露</w:t>
      </w:r>
      <w:r>
        <w:rPr>
          <w:spacing w:val="-43"/>
        </w:rPr>
        <w:t> </w:t>
      </w:r>
      <w:r>
        <w:rPr>
          <w:spacing w:val="-43"/>
        </w:rPr>
      </w:r>
      <w:r>
        <w:rPr>
          <w:spacing w:val="-2"/>
        </w:rPr>
        <w:t>不充分，我们应当发表非无保留意见。我们的结论基于截至审计报告日可获得的信息。然而，未来的事项</w:t>
      </w:r>
      <w:r>
        <w:rPr>
          <w:spacing w:val="-47"/>
        </w:rPr>
        <w:t> </w:t>
      </w:r>
      <w:r>
        <w:rPr>
          <w:spacing w:val="-47"/>
        </w:rPr>
      </w:r>
      <w:r>
        <w:rPr/>
        <w:t>或情况可能导致贵公司不能持续经营。</w:t>
      </w:r>
    </w:p>
    <w:p>
      <w:pPr>
        <w:pStyle w:val="Heading5"/>
        <w:spacing w:line="273" w:lineRule="auto"/>
        <w:ind w:right="0" w:firstLine="420"/>
        <w:jc w:val="left"/>
      </w:pPr>
      <w:r>
        <w:rPr>
          <w:spacing w:val="-2"/>
        </w:rPr>
        <w:t>（五）评价财务报表的总体列报、结构和内容（包括披露），并评价财务报表是否公允反映相关交易</w:t>
      </w:r>
      <w:r>
        <w:rPr>
          <w:w w:val="100"/>
        </w:rPr>
        <w:t> </w:t>
      </w:r>
      <w:r>
        <w:rPr/>
        <w:t>和事项。</w:t>
      </w:r>
    </w:p>
    <w:p>
      <w:pPr>
        <w:pStyle w:val="Heading5"/>
        <w:spacing w:line="273" w:lineRule="auto"/>
        <w:ind w:right="0" w:firstLine="420"/>
        <w:jc w:val="left"/>
      </w:pPr>
      <w:r>
        <w:rPr>
          <w:spacing w:val="-2"/>
        </w:rPr>
        <w:t>（六）就贵公司中实体或业务活动的财务信息获取充分、恰当的审计证据，以对财务报表发表审计意</w:t>
      </w:r>
      <w:r>
        <w:rPr>
          <w:w w:val="100"/>
        </w:rPr>
        <w:t> </w:t>
      </w:r>
      <w:r>
        <w:rPr/>
        <w:t>见。我们负责指导、监督和执行集团审计，并对审计意见承担全部责任。</w:t>
      </w:r>
    </w:p>
    <w:p>
      <w:pPr>
        <w:pStyle w:val="Heading5"/>
        <w:spacing w:line="273" w:lineRule="auto" w:before="8"/>
        <w:ind w:right="0" w:firstLine="420"/>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Heading5"/>
        <w:spacing w:line="273" w:lineRule="auto"/>
        <w:ind w:right="0" w:firstLine="420"/>
        <w:jc w:val="left"/>
      </w:pPr>
      <w:r>
        <w:rPr>
          <w:spacing w:val="-2"/>
        </w:rPr>
        <w:t>我们还就遵守与独立性相关的职业道德要求向治理层提供声明，并与治理层沟通可能被合理认为影响</w:t>
      </w:r>
      <w:r>
        <w:rPr>
          <w:w w:val="100"/>
        </w:rPr>
        <w:t> </w:t>
      </w:r>
      <w:r>
        <w:rPr/>
        <w:t>我们独立性的所有关系和其他事项，以及相关的防范措施（如适用）。</w:t>
      </w:r>
    </w:p>
    <w:p>
      <w:pPr>
        <w:pStyle w:val="Heading5"/>
        <w:spacing w:line="273" w:lineRule="auto"/>
        <w:ind w:right="206" w:firstLine="420"/>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46"/>
        </w:rPr>
        <w:t> </w:t>
      </w:r>
      <w:r>
        <w:rPr>
          <w:spacing w:val="-46"/>
        </w:rPr>
      </w:r>
      <w:r>
        <w:rPr>
          <w:spacing w:val="-2"/>
        </w:rPr>
        <w:t>理预期在审计报告中沟通某事项造成的负面后果超过在公众利益方面产生的益处，我们确定不应在审计报</w:t>
      </w:r>
    </w:p>
    <w:p>
      <w:pPr>
        <w:spacing w:after="0" w:line="273"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pP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5"/>
        <w:tabs>
          <w:tab w:pos="5203" w:val="left" w:leader="none"/>
        </w:tabs>
        <w:spacing w:line="240" w:lineRule="auto" w:before="0"/>
        <w:ind w:left="578" w:right="0"/>
        <w:jc w:val="left"/>
      </w:pPr>
      <w:r>
        <w:rPr>
          <w:spacing w:val="-2"/>
        </w:rPr>
        <w:t>大信会计师事务所（特殊普通合伙）</w:t>
        <w:tab/>
        <w:t>中国注册会计师：</w:t>
      </w:r>
    </w:p>
    <w:p>
      <w:pPr>
        <w:pStyle w:val="Heading5"/>
        <w:spacing w:line="240" w:lineRule="auto" w:before="37"/>
        <w:ind w:left="2963" w:right="2376"/>
        <w:jc w:val="center"/>
      </w:pPr>
      <w:r>
        <w:rPr/>
        <w:t>（项目合伙人）</w:t>
      </w:r>
    </w:p>
    <w:p>
      <w:pPr>
        <w:spacing w:line="240" w:lineRule="auto" w:before="9"/>
        <w:rPr>
          <w:rFonts w:ascii="宋体" w:hAnsi="宋体" w:cs="宋体" w:eastAsia="宋体" w:hint="default"/>
          <w:sz w:val="26"/>
          <w:szCs w:val="26"/>
        </w:rPr>
      </w:pPr>
    </w:p>
    <w:p>
      <w:pPr>
        <w:pStyle w:val="Heading5"/>
        <w:tabs>
          <w:tab w:pos="4764" w:val="left" w:leader="none"/>
        </w:tabs>
        <w:spacing w:line="240" w:lineRule="auto" w:before="0"/>
        <w:ind w:left="1413" w:right="0"/>
        <w:jc w:val="left"/>
      </w:pPr>
      <w:r>
        <w:rPr>
          <w:spacing w:val="-1"/>
        </w:rPr>
        <w:t>中国</w:t>
      </w:r>
      <w:r>
        <w:rPr>
          <w:rFonts w:ascii="Times New Roman" w:hAnsi="Times New Roman" w:cs="Times New Roman" w:eastAsia="Times New Roman" w:hint="default"/>
          <w:spacing w:val="-1"/>
        </w:rPr>
        <w:t>·</w:t>
      </w:r>
      <w:r>
        <w:rPr>
          <w:spacing w:val="-1"/>
        </w:rPr>
        <w:t>北京</w:t>
        <w:tab/>
      </w:r>
      <w:r>
        <w:rPr>
          <w:spacing w:val="-2"/>
        </w:rPr>
        <w:t>中国注册会计师：</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5"/>
        <w:spacing w:line="240" w:lineRule="auto" w:before="36"/>
        <w:ind w:left="0" w:right="149"/>
        <w:jc w:val="right"/>
      </w:pPr>
      <w:r>
        <w:rPr>
          <w:spacing w:val="-2"/>
        </w:rPr>
        <w:t>二</w:t>
      </w:r>
      <w:r>
        <w:rPr>
          <w:rFonts w:ascii="Times New Roman" w:hAnsi="Times New Roman" w:cs="Times New Roman" w:eastAsia="Times New Roman" w:hint="default"/>
          <w:spacing w:val="-2"/>
        </w:rPr>
        <w:t>○</w:t>
      </w:r>
      <w:r>
        <w:rPr>
          <w:spacing w:val="-2"/>
        </w:rPr>
        <w:t>一八年三月二十八日</w:t>
      </w:r>
    </w:p>
    <w:p>
      <w:pPr>
        <w:spacing w:line="240" w:lineRule="auto" w:before="9"/>
        <w:rPr>
          <w:rFonts w:ascii="宋体" w:hAnsi="宋体" w:cs="宋体" w:eastAsia="宋体" w:hint="default"/>
          <w:sz w:val="20"/>
          <w:szCs w:val="20"/>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编制单位：美盈森集团股份有限公司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033" w:space="1043"/>
            <w:col w:w="1641" w:space="3203"/>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2,076,527,592.23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49,895,560.78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23,273,037.85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862,931,335.28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680,775,119.20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8,409,621.27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10,541,962.41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13,741,592.64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5,178,796.61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64,425,496.32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62,484,680.34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654,017,797.83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385,777,201.17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54,378,871.46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5,856,858.88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3,861,155,485.53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3,250,415,248.69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443,625,472.96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324,619,773.29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869,341,393.02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798,834,051.73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239,139,776.49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78,583,123.53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898,195.61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393,082,038.34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244,561,582.35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29,979,249.25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51,550,216.78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21,376,467.49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14,926,050.67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13,552,508.18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11,695,848.41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58,068,958.54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39,615,717.21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2,070,064,059.88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1,565,286,363.97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5,931,219,545.41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4,815,701,612.66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353,833,483.99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440,195,708.94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321,890,402.38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484,840,134.89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314,830,028.41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14,418,270.55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9,378,059.69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33,791,110.57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21,476,620.02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35,734,764.86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40,523,478.31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35,532,061.41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19,534,503.77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5,727,696.59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1,398,345,535.21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735,360,789.17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2,283,485.31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2,063,410.94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55,387,556.34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10,387,130.21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22,060,223.58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21,623,971.18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77,447,779.92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36,357,997.64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1,475,793,315.13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771,718,786.81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1,542,323,685.00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1,542,323,685.00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1,292,346,249.52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1,292,346,249.52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65,491,525.17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9,914,858.08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122,519,041.42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114,206,726.21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1,307,039,303.05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1,001,096,424.14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4,329,719,804.16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3,959,887,942.95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125,706,426.12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84,094,882.90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4,455,426,230.28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4,043,982,825.85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5,931,219,545.41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4,815,701,612.66</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3"/>
        <w:jc w:val="right"/>
      </w:pPr>
      <w:r>
        <w:rPr/>
        <w:t>法定代表人：张珍义</w:t>
        <w:tab/>
      </w:r>
      <w:r>
        <w:rPr>
          <w:spacing w:val="-1"/>
        </w:rPr>
        <w:t>主管会计工作负责人：袁宏贵</w:t>
        <w:tab/>
      </w:r>
      <w:r>
        <w:rPr/>
        <w:t>会计机构负责人：袁宏贵</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353,543,335.70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786,823,753.06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39,040,513.76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12,728,660.94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293,969,650.14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240,576,818.46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1,689,769.64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262,200.82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953,436.21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3,043,633.96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289,441,912.12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195,254,213.81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125,031,618.52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72,778,566.82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11,603,245.21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1,115,273,481.30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1,311,467,847.87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2,828,179,770.00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2,326,874,470.00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400,191,742.00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301,683,378.00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42,407,759.17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95,587,997.00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152,328,322.37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26,008,338.04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10,627,862.45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11,118,566.39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2,222,518.13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2,753,422.49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2,707,708.52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2,043,557.14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3,778,026.77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2,237,106.77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3,443,443,709.41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2,768,306,835.83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4,558,717,190.71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4,079,774,683.70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303,833,483.99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220,385,770.41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59,992,574.21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221,858,720.52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250,577,794.56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2,615,651.25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319,357.21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9,459,292.97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6,609,049.51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6,666,200.96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9,451,373.88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98,616,313.22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153,065,732.91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863,435,433.32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480,015,882.28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5,545,334.33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6,275,334.32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19,786,822.10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19,403,870.60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25,332,156.43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25,679,204.92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888,767,589.75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505,695,087.20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1,542,323,685.00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1,542,323,685.00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1,292,346,249.52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1,292,346,249.52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46,677,973.38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122,519,041.42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114,206,726.21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666,082,651.64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625,202,935.77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3,669,949,600.96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3,574,079,596.50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4,558,717,190.71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4,079,774,683.70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1.009995pt;margin-top:629.409973pt;width:158.9pt;height:20.65pt;mso-position-horizontal-relative:page;mso-position-vertical-relative:page;z-index:-1118440" coordorigin="4220,12588" coordsize="3178,413">
            <v:group style="position:absolute;left:4231;top:12599;width:2;height:392" coordorigin="4231,12599" coordsize="2,392">
              <v:shape style="position:absolute;left:4231;top:12599;width:2;height:392" coordorigin="4231,12599" coordsize="0,392" path="m4231,12599l4231,12990e" filled="false" stroked="true" strokeweight="1.08pt" strokecolor="#ffffff">
                <v:path arrowok="t"/>
              </v:shape>
            </v:group>
            <v:group style="position:absolute;left:4242;top:12599;width:3157;height:392" coordorigin="4242,12599" coordsize="3157,392">
              <v:shape style="position:absolute;left:4242;top:12599;width:3157;height:392" coordorigin="4242,12599" coordsize="3157,392" path="m4242,12990l7398,12990,7398,12599,4242,12599,4242,12990xe" filled="true" fillcolor="#ffffff" stroked="false">
                <v:path arrowok="t"/>
                <v:fill type="solid"/>
              </v:shape>
            </v:group>
            <w10:wrap type="none"/>
          </v:group>
        </w:pict>
      </w: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2,857,419,302.97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2,219,276,356.96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2,857,419,302.97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2,219,276,356.96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2,466,547,450.01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2,027,320,596.65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1,871,965,806.93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1,565,689,641.62</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28,900,381.93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19,601,854.72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221,410,455.45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154,595,365.46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321,204,115.79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234,406,346.93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-2,055,215.49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-37,279,044.69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25,121,905.40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90,306,432.61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5,094,445.69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74,946,266.99</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7,798,221.01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-4,410,365.51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-1,030,508.43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-169,465.13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6,453,118.98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409,187,130.21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262,322,196.66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1,803,176.59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12,631,474.24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3,047,182.89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2,391,757.23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9980pt;width:158.9pt;height:20.65pt;mso-position-horizontal-relative:page;mso-position-vertical-relative:page;z-index:-1118416" coordorigin="4220,1439" coordsize="3178,413">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407,943,123.91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272,561,913.67</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63,122,980.65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54,179,442.49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344,820,143.26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218,382,471.18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348,644,087.43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215,716,492.68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-3,823,944.17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2,665,978.50</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348,186,315.19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223,397,139.15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-3,366,171.93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-5,014,667.97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55,576,667.09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6,171,394.62</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55,576,667.09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6,171,394.62</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55,576,667.09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6,171,394.62</w:t>
            </w:r>
          </w:p>
        </w:tc>
      </w:tr>
      <w:tr>
        <w:trPr>
          <w:trHeight w:val="102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-2,992,619.35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3,831,244.52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58,569,286.44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2,340,150.10</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400,396,810.35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224,553,865.80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403,762,982.28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229,568,533.77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-3,366,171.93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-5,014,667.97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0.2258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0.1542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0.1542</w:t>
            </w:r>
          </w:p>
        </w:tc>
      </w:tr>
    </w:tbl>
    <w:p>
      <w:pPr>
        <w:pStyle w:val="BodyText"/>
        <w:tabs>
          <w:tab w:pos="3578" w:val="left" w:leader="none"/>
          <w:tab w:pos="7721" w:val="left" w:leader="none"/>
        </w:tabs>
        <w:spacing w:line="595" w:lineRule="auto" w:before="49"/>
        <w:ind w:right="24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法定代表人：张珍义</w:t>
        <w:tab/>
      </w:r>
      <w:r>
        <w:rPr>
          <w:spacing w:val="-1"/>
        </w:rPr>
        <w:t>主管会计工作负责人：袁宏贵</w:t>
        <w:tab/>
      </w:r>
      <w:r>
        <w:rPr/>
        <w:t>会计机构负责人：袁宏贵</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803,439,317.01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524,932,110.31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563,571,564.29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367,860,905.90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4,829,542.32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3,942,890.76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55,610,078.09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39,111,806.62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80,218,206.14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62,472,701.79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188,917.83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-21,227,461.65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5,586,624.01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4,534,637.46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2,553,010.00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74,654,266.99</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-556,058.94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16,561.00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1,947,637.91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97,378,973.30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142,907,457.42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407,283.29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6,608,422.86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751,174.60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60,141.03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97,035,081.99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149,455,739.25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13,911,929.84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21,442,318.20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83,123,152.15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128,013,421.05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83,123,152.15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128,013,421.05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46,677,973.38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46,677,973.38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46,677,973.38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129,801,125.53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128,013,421.05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2,706,429,698.32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2,182,469,002.30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14,195,795.85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13,577,068.15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122,376,547.28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51,774,415.90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2,843,002,041.45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2,247,820,486.35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1,772,353,118.06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1,537,185,442.85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476,914,365.48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338,620,323.11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199,941,839.53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131,888,867.88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129,637,400.83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140,474,403.52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2,578,846,723.90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2,148,169,037.36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264,155,317.55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99,651,448.99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15,942,563.82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638,420.00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-21,068,377.94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-4,338,294.12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638,420.00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561,540,699.29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169,792,218.65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0"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38,460,949.72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562,540,699.29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208,253,168.37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-566,878,993.41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-207,614,748.37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1,390,348,957.81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373,833,483.99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447,933,483.99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1,392,348,957.81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6,797,556.34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5,614,266.49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40,216,559.39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34,475,431.94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2,101,687.87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4,095,823.76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49,115,803.60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44,185,522.19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398,817,680.39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1,348,163,435.62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-19,324,386.81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12,536,786.58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76,769,617.72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1,252,736,922.82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2,076,527,592.23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823,790,669.41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2,153,297,209.95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2,076,527,592.23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777,545,708.35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469,581,406.32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355,702.11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41,426,790.57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35,867,724.52</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0"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819,066,726.23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505,804,832.95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534,547,402.98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315,971,775.41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74,261,327.53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61,272,269.71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52,963,920.77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30,221,876.13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48,818,400.88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67,527,547.77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710,591,052.16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474,993,469.02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108,475,674.07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30,811,363.93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72,672,592.08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72,874,092.08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149,182,612.37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32,863,141.14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502,305,300.00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877,997,500.00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38,460,949.72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354,883,704.75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191,622,592.08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1,006,371,617.12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1,140,944,182.94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-1,006,001,917.12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-1,068,070,090.86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1,390,103,957.81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303,833,483.99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201,437,776.68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505,271,260.67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1,390,103,957.81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37,488,020.60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33,697,635.84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1,448,440.05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2,034,743.77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38,936,460.65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35,732,379.61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466,334,800.02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1,354,371,578.20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-2,088,974.33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1,307,918.96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-433,280,417.36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318,420,770.23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786,823,753.06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468,402,982.83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353,543,335.70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786,823,753.06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46,249.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9,914,8</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58.08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,726.21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96,424.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84,094,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882.90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82,825.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9,914,8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58.08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,726.21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96,424.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84,094,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882.90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82,825.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85</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55,576,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667.09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305,942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,878.91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41,611,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543.22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411,443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,404.43</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55,576,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667.09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348,186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,315.19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-3,366,1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71.93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400,396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,810.35</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715.15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715.15</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715.15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44,977,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715.15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-42,243,</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436.28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121.07</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15.21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121.07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121.07</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46,249.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65,491,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525.17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122,519</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,041.42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39,303.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125,706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,426.12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26,230.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7"/>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3"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401"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36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3,743,4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63.46</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,384.10</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824,830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,227.10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86,901,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506.37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38,481.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1,430,</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900.40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3,743,4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63.46</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,384.10</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824,830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,227.10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86,901,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506.37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38,481.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111,92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3,685.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6,171,3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12,801,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342.11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176,266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,197.04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-2,806,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623.47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44,344.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6,171,3</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94.62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223,397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,139.15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-3,051,</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623.47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226,516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,910.30</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3,685.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111,92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3,685.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245,000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57,034.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706"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12,801,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342.11</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-47,130,</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942.11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-34,329,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600.00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12,801,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342.11</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-12,801,</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342.11</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-34,329,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600.00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-34,329,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5" w:right="0"/>
              <w:jc w:val="center"/>
              <w:rPr>
                <w:rFonts w:ascii="Times New Roman" w:hAnsi="Times New Roman" w:cs="Times New Roman" w:eastAsia="Times New Roman" w:hint="default"/>
                <w:sz w:val="18"/>
                <w:szCs w:val="18"/>
              </w:rPr>
            </w:pPr>
            <w:r>
              <w:rPr>
                <w:rFonts w:ascii="Times New Roman"/>
                <w:sz w:val="18"/>
              </w:rPr>
              <w:t>323,68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9,914,8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58.08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114,206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,726.21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84,094,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882.90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8"/>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4"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3,685.00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,249.52</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26.21</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625,202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,935.77</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3,574,079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,596.50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3,685.00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,249.52</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625,202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,935.77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3,574,079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,596.50</w:t>
            </w: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40,879,</w:t>
            </w:r>
          </w:p>
          <w:p>
            <w:pPr>
              <w:pStyle w:val="TableParagraph"/>
              <w:spacing w:line="240" w:lineRule="auto" w:before="102"/>
              <w:ind w:left="149" w:right="0"/>
              <w:jc w:val="left"/>
              <w:rPr>
                <w:rFonts w:ascii="Times New Roman" w:hAnsi="Times New Roman" w:cs="Times New Roman" w:eastAsia="Times New Roman" w:hint="default"/>
                <w:sz w:val="18"/>
                <w:szCs w:val="18"/>
              </w:rPr>
            </w:pPr>
            <w:r>
              <w:rPr>
                <w:rFonts w:ascii="Times New Roman"/>
                <w:sz w:val="18"/>
              </w:rPr>
              <w:t>715.87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95,870,00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4.46</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7"/>
                <w:sz w:val="18"/>
                <w:szCs w:val="18"/>
              </w:rPr>
              <w:t>（一）综合收益总</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46,677,97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83,123,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129,801,1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9" w:right="0"/>
              <w:jc w:val="left"/>
              <w:rPr>
                <w:rFonts w:ascii="Times New Roman" w:hAnsi="Times New Roman" w:cs="Times New Roman" w:eastAsia="Times New Roman" w:hint="default"/>
                <w:sz w:val="18"/>
                <w:szCs w:val="18"/>
              </w:rPr>
            </w:pPr>
            <w:r>
              <w:rPr>
                <w:rFonts w:ascii="Times New Roman"/>
                <w:sz w:val="18"/>
              </w:rPr>
              <w:t>152.15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25.53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-42,243,</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436.28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-33,931,1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-8,312,3</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15.21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-33,931,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121.07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-33,931,1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21.07</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46,677,97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122,519,0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41.42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666,082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,651.64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3,669,949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,600.96</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1997"/>
        <w:gridCol w:w="797"/>
        <w:gridCol w:w="797"/>
        <w:gridCol w:w="797"/>
        <w:gridCol w:w="799"/>
        <w:gridCol w:w="797"/>
        <w:gridCol w:w="677"/>
        <w:gridCol w:w="780"/>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8"/>
        <w:gridCol w:w="665"/>
        <w:gridCol w:w="797"/>
        <w:gridCol w:w="797"/>
        <w:gridCol w:w="797"/>
        <w:gridCol w:w="799"/>
        <w:gridCol w:w="797"/>
        <w:gridCol w:w="677"/>
        <w:gridCol w:w="780"/>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4"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4"/>
              <w:ind w:left="34" w:right="0"/>
              <w:jc w:val="left"/>
              <w:rPr>
                <w:rFonts w:ascii="Times New Roman" w:hAnsi="Times New Roman" w:cs="Times New Roman" w:eastAsia="Times New Roman" w:hint="default"/>
                <w:sz w:val="18"/>
                <w:szCs w:val="18"/>
              </w:rPr>
            </w:pPr>
            <w:r>
              <w:rPr>
                <w:rFonts w:ascii="Times New Roman"/>
                <w:sz w:val="18"/>
              </w:rPr>
              <w:t>1,430,40</w:t>
            </w:r>
          </w:p>
          <w:p>
            <w:pPr>
              <w:pStyle w:val="TableParagraph"/>
              <w:spacing w:line="240" w:lineRule="auto" w:before="102"/>
              <w:ind w:left="34"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16,157,90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101,405,3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84.10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544,320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,456.83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4"/>
              <w:ind w:left="7" w:right="0"/>
              <w:jc w:val="center"/>
              <w:rPr>
                <w:rFonts w:ascii="Times New Roman" w:hAnsi="Times New Roman" w:cs="Times New Roman" w:eastAsia="Times New Roman" w:hint="default"/>
                <w:sz w:val="18"/>
                <w:szCs w:val="18"/>
              </w:rPr>
            </w:pPr>
            <w:r>
              <w:rPr>
                <w:rFonts w:ascii="Times New Roman"/>
                <w:sz w:val="18"/>
              </w:rPr>
              <w:t>2,092,283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,741.33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1,430,40</w:t>
            </w:r>
          </w:p>
          <w:p>
            <w:pPr>
              <w:pStyle w:val="TableParagraph"/>
              <w:spacing w:line="240" w:lineRule="auto" w:before="102"/>
              <w:ind w:left="34" w:right="0"/>
              <w:jc w:val="left"/>
              <w:rPr>
                <w:rFonts w:ascii="Times New Roman" w:hAnsi="Times New Roman" w:cs="Times New Roman" w:eastAsia="Times New Roman" w:hint="default"/>
                <w:sz w:val="18"/>
                <w:szCs w:val="18"/>
              </w:rPr>
            </w:pPr>
            <w:r>
              <w:rPr>
                <w:rFonts w:ascii="Times New Roman"/>
                <w:sz w:val="18"/>
              </w:rPr>
              <w:t>0,000.00</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16,157,90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0.40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101,405,3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84.10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544,320</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,456.83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2,092,283</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,741.33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111,923,</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1,276,188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,349.12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12,801,34</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80,882,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478.94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1,481,795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,855.17</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128,013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,421.05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128,013,4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21.05</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111,923,</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1,276,188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,349.12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1,388,112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,034.12</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111,923,</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1,276,188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,349.12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1,388,112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,034.12</w:t>
            </w: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12,801,34</w:t>
            </w:r>
          </w:p>
          <w:p>
            <w:pPr>
              <w:pStyle w:val="TableParagraph"/>
              <w:spacing w:line="240" w:lineRule="auto" w:before="102"/>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-47,130,</w:t>
            </w:r>
          </w:p>
          <w:p>
            <w:pPr>
              <w:pStyle w:val="TableParagraph"/>
              <w:spacing w:line="240" w:lineRule="auto" w:before="102"/>
              <w:ind w:left="133" w:right="0"/>
              <w:jc w:val="center"/>
              <w:rPr>
                <w:rFonts w:ascii="Times New Roman" w:hAnsi="Times New Roman" w:cs="Times New Roman" w:eastAsia="Times New Roman" w:hint="default"/>
                <w:sz w:val="18"/>
                <w:szCs w:val="18"/>
              </w:rPr>
            </w:pPr>
            <w:r>
              <w:rPr>
                <w:rFonts w:ascii="Times New Roman"/>
                <w:sz w:val="18"/>
              </w:rPr>
              <w:t>942.11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-34,329,6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12,801,34</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2.11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-12,801,</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342.11</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-34,329,</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-34,329,6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8"/>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1,542,32</w:t>
            </w:r>
          </w:p>
          <w:p>
            <w:pPr>
              <w:pStyle w:val="TableParagraph"/>
              <w:spacing w:line="240" w:lineRule="auto" w:before="105"/>
              <w:ind w:left="31" w:right="0"/>
              <w:jc w:val="left"/>
              <w:rPr>
                <w:rFonts w:ascii="Times New Roman" w:hAnsi="Times New Roman" w:cs="Times New Roman" w:eastAsia="Times New Roman" w:hint="default"/>
                <w:sz w:val="18"/>
                <w:szCs w:val="18"/>
              </w:rPr>
            </w:pPr>
            <w:r>
              <w:rPr>
                <w:rFonts w:ascii="Times New Roman"/>
                <w:sz w:val="18"/>
              </w:rPr>
              <w:t>3,685.00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1,292,346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,249.52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114,206,7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625,202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,935.77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3,574,079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,596.50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1" w:firstLine="360"/>
        <w:jc w:val="both"/>
      </w:pPr>
      <w:r>
        <w:rPr>
          <w:spacing w:val="-1"/>
        </w:rPr>
        <w:t>美盈森集团股份有限公司（以下简称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）是由深圳市美盈森环保包装技术有限公司整体变更设立的股份</w:t>
      </w:r>
      <w:r>
        <w:rPr/>
        <w:t> </w:t>
      </w:r>
      <w:r>
        <w:rPr>
          <w:spacing w:val="-1"/>
        </w:rPr>
        <w:t>有限公司，公司设立时股本为</w:t>
      </w:r>
      <w:r>
        <w:rPr>
          <w:rFonts w:ascii="Times New Roman" w:hAnsi="Times New Roman" w:cs="Times New Roman" w:eastAsia="Times New Roman" w:hint="default"/>
          <w:spacing w:val="-1"/>
        </w:rPr>
        <w:t>13,380.00</w:t>
      </w:r>
      <w:r>
        <w:rPr>
          <w:spacing w:val="-1"/>
        </w:rPr>
        <w:t>万股</w:t>
      </w:r>
      <w:r>
        <w:rPr>
          <w:rFonts w:ascii="Times New Roman" w:hAnsi="Times New Roman" w:cs="Times New Roman" w:eastAsia="Times New Roman" w:hint="default"/>
          <w:spacing w:val="-1"/>
        </w:rPr>
        <w:t>,</w:t>
      </w:r>
      <w:r>
        <w:rPr>
          <w:spacing w:val="-1"/>
        </w:rPr>
        <w:t>其中</w:t>
      </w:r>
      <w:r>
        <w:rPr>
          <w:rFonts w:ascii="Times New Roman" w:hAnsi="Times New Roman" w:cs="Times New Roman" w:eastAsia="Times New Roman" w:hint="default"/>
          <w:spacing w:val="-1"/>
        </w:rPr>
        <w:t>:</w:t>
      </w:r>
      <w:r>
        <w:rPr>
          <w:spacing w:val="-1"/>
        </w:rPr>
        <w:t>自然人股东王海鹏持有</w:t>
      </w:r>
      <w:r>
        <w:rPr>
          <w:rFonts w:ascii="Times New Roman" w:hAnsi="Times New Roman" w:cs="Times New Roman" w:eastAsia="Times New Roman" w:hint="default"/>
          <w:spacing w:val="-1"/>
        </w:rPr>
        <w:t>8,857.56</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66.20%,</w:t>
      </w:r>
      <w:r>
        <w:rPr>
          <w:spacing w:val="-1"/>
        </w:rPr>
        <w:t>为公司的实际控制</w:t>
      </w:r>
      <w:r>
        <w:rPr>
          <w:spacing w:val="-45"/>
        </w:rPr>
        <w:t> </w:t>
      </w:r>
      <w:r>
        <w:rPr>
          <w:spacing w:val="-45"/>
        </w:rPr>
      </w:r>
      <w:r>
        <w:rPr>
          <w:spacing w:val="-1"/>
        </w:rPr>
        <w:t>人</w:t>
      </w:r>
      <w:r>
        <w:rPr>
          <w:rFonts w:ascii="Times New Roman" w:hAnsi="Times New Roman" w:cs="Times New Roman" w:eastAsia="Times New Roman" w:hint="default"/>
          <w:spacing w:val="-1"/>
        </w:rPr>
        <w:t>;</w:t>
      </w:r>
      <w:r>
        <w:rPr>
          <w:spacing w:val="-1"/>
        </w:rPr>
        <w:t>王治军、王丽等</w:t>
      </w:r>
      <w:r>
        <w:rPr>
          <w:rFonts w:ascii="Times New Roman" w:hAnsi="Times New Roman" w:cs="Times New Roman" w:eastAsia="Times New Roman" w:hint="default"/>
          <w:spacing w:val="-1"/>
        </w:rPr>
        <w:t>23</w:t>
      </w:r>
      <w:r>
        <w:rPr>
          <w:spacing w:val="-1"/>
        </w:rPr>
        <w:t>名自然人股东持有</w:t>
      </w:r>
      <w:r>
        <w:rPr>
          <w:rFonts w:ascii="Times New Roman" w:hAnsi="Times New Roman" w:cs="Times New Roman" w:eastAsia="Times New Roman" w:hint="default"/>
          <w:spacing w:val="-1"/>
        </w:rPr>
        <w:t>4,522.44</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33.80%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日取得深圳市工商行政管理局颁发</w:t>
      </w:r>
      <w:r>
        <w:rPr>
          <w:spacing w:val="-51"/>
        </w:rPr>
        <w:t> </w:t>
      </w:r>
      <w:r>
        <w:rPr>
          <w:spacing w:val="-51"/>
        </w:rPr>
      </w:r>
      <w:r>
        <w:rPr/>
        <w:t>的企业法人营业执照。</w:t>
      </w:r>
    </w:p>
    <w:p>
      <w:pPr>
        <w:pStyle w:val="BodyText"/>
        <w:spacing w:line="300" w:lineRule="auto" w:before="151"/>
        <w:ind w:right="146" w:firstLine="360"/>
        <w:jc w:val="both"/>
      </w:pPr>
      <w:r>
        <w:rPr>
          <w:spacing w:val="5"/>
        </w:rPr>
        <w:t>经中国证券监督管理委员会证监许可</w:t>
      </w:r>
      <w:r>
        <w:rPr>
          <w:rFonts w:ascii="Times New Roman" w:hAnsi="Times New Roman" w:cs="Times New Roman" w:eastAsia="Times New Roman" w:hint="default"/>
          <w:spacing w:val="5"/>
        </w:rPr>
        <w:t>[2009]1013</w:t>
      </w:r>
      <w:r>
        <w:rPr>
          <w:spacing w:val="5"/>
        </w:rPr>
        <w:t>号文核准，</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20</w:t>
      </w:r>
      <w:r>
        <w:rPr>
          <w:spacing w:val="5"/>
        </w:rPr>
        <w:t>日公司向社会公众公开发行人民币普通股</w:t>
      </w:r>
      <w:r>
        <w:rPr>
          <w:spacing w:val="7"/>
        </w:rPr>
        <w:t> </w:t>
      </w:r>
      <w:r>
        <w:rPr>
          <w:rFonts w:ascii="Times New Roman" w:hAnsi="Times New Roman" w:cs="Times New Roman" w:eastAsia="Times New Roman" w:hint="default"/>
        </w:rPr>
        <w:t>4,500.00</w:t>
      </w:r>
      <w:r>
        <w:rPr/>
        <w:t>万股，每股发行价格为</w:t>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每股面值为</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发行后公司股本变更为</w:t>
      </w:r>
      <w:r>
        <w:rPr>
          <w:rFonts w:ascii="Times New Roman" w:hAnsi="Times New Roman" w:cs="Times New Roman" w:eastAsia="Times New Roman" w:hint="default"/>
        </w:rPr>
        <w:t>17,880.00</w:t>
      </w:r>
      <w:r>
        <w:rPr/>
        <w:t>万元。</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日公司股票在深</w:t>
      </w:r>
      <w:r>
        <w:rPr>
          <w:spacing w:val="-50"/>
        </w:rPr>
        <w:t> </w:t>
      </w:r>
      <w:r>
        <w:rPr>
          <w:spacing w:val="-50"/>
        </w:rPr>
      </w:r>
      <w:r>
        <w:rPr/>
        <w:t>圳证劵交易所挂牌交易。股票简称</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。股票发行后，自然人股东王海鹏持有公司股票</w:t>
      </w:r>
      <w:r>
        <w:rPr>
          <w:rFonts w:ascii="Times New Roman" w:hAnsi="Times New Roman" w:cs="Times New Roman" w:eastAsia="Times New Roman" w:hint="default"/>
        </w:rPr>
        <w:t>8,857.56</w:t>
      </w:r>
      <w:r>
        <w:rPr/>
        <w:t>万</w:t>
      </w:r>
      <w:r>
        <w:rPr>
          <w:spacing w:val="-45"/>
        </w:rPr>
        <w:t> </w:t>
      </w:r>
      <w:r>
        <w:rPr/>
        <w:t>股</w:t>
      </w:r>
      <w:r>
        <w:rPr>
          <w:rFonts w:ascii="Times New Roman" w:hAnsi="Times New Roman" w:cs="Times New Roman" w:eastAsia="Times New Roman" w:hint="default"/>
        </w:rPr>
        <w:t>,</w:t>
      </w:r>
      <w:r>
        <w:rPr/>
        <w:t>持股比例为</w:t>
      </w:r>
      <w:r>
        <w:rPr>
          <w:rFonts w:ascii="Times New Roman" w:hAnsi="Times New Roman" w:cs="Times New Roman" w:eastAsia="Times New Roman" w:hint="default"/>
        </w:rPr>
        <w:t>49.54%,</w:t>
      </w:r>
      <w:r>
        <w:rPr/>
        <w:t>为公司的实际控制人。</w:t>
      </w:r>
    </w:p>
    <w:p>
      <w:pPr>
        <w:pStyle w:val="BodyText"/>
        <w:spacing w:line="300" w:lineRule="auto" w:before="133"/>
        <w:ind w:right="151" w:firstLine="288"/>
        <w:jc w:val="both"/>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08</w:t>
      </w:r>
      <w:r>
        <w:rPr/>
        <w:t>月</w:t>
      </w:r>
      <w:r>
        <w:rPr>
          <w:rFonts w:ascii="Times New Roman" w:hAnsi="Times New Roman" w:cs="Times New Roman" w:eastAsia="Times New Roman" w:hint="default"/>
        </w:rPr>
        <w:t>26</w:t>
      </w:r>
      <w:r>
        <w:rPr/>
        <w:t>日第二届董事会第二十二次会议决议并经股东大会审议批准，同意公司以截止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 司的总股本</w:t>
      </w:r>
      <w:r>
        <w:rPr>
          <w:rFonts w:ascii="Times New Roman" w:hAnsi="Times New Roman" w:cs="Times New Roman" w:eastAsia="Times New Roman" w:hint="default"/>
        </w:rPr>
        <w:t>178,800,000</w:t>
      </w:r>
      <w:r>
        <w:rPr/>
        <w:t>股为基数，进行资本公积转增资本，向全体股东每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股，并对公司经营范围进行变更。</w:t>
      </w:r>
    </w:p>
    <w:p>
      <w:pPr>
        <w:pStyle w:val="BodyText"/>
        <w:spacing w:line="300" w:lineRule="auto" w:before="133"/>
        <w:ind w:right="149" w:firstLine="293"/>
        <w:jc w:val="both"/>
      </w:pPr>
      <w:r>
        <w:rPr/>
        <w:t>根据公司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日第三届董事会第四次会议决议并经股东大会审议批准，同意公司以截止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 </w:t>
      </w:r>
      <w:r>
        <w:rPr>
          <w:spacing w:val="-2"/>
        </w:rPr>
        <w:t>总股本为基数，进行资本公积金转增股本，向全体股东每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股，共计转增股本</w:t>
      </w:r>
      <w:r>
        <w:rPr>
          <w:rFonts w:ascii="Times New Roman" w:hAnsi="Times New Roman" w:cs="Times New Roman" w:eastAsia="Times New Roman" w:hint="default"/>
          <w:spacing w:val="-2"/>
        </w:rPr>
        <w:t>357,600,000</w:t>
      </w:r>
      <w:r>
        <w:rPr>
          <w:spacing w:val="-2"/>
        </w:rPr>
        <w:t>股，转增后公司总股本增</w:t>
      </w:r>
      <w:r>
        <w:rPr>
          <w:spacing w:val="-51"/>
        </w:rPr>
        <w:t> </w:t>
      </w:r>
      <w:r>
        <w:rPr>
          <w:spacing w:val="-51"/>
        </w:rPr>
      </w:r>
      <w:r>
        <w:rPr/>
        <w:t>加至</w:t>
      </w:r>
      <w:r>
        <w:rPr>
          <w:rFonts w:ascii="Times New Roman" w:hAnsi="Times New Roman" w:cs="Times New Roman" w:eastAsia="Times New Roman" w:hint="default"/>
        </w:rPr>
        <w:t>715,200,000</w:t>
      </w:r>
      <w:r>
        <w:rPr/>
        <w:t>股。本次变更已向深圳市市场监督管理局备案。</w:t>
      </w:r>
    </w:p>
    <w:p>
      <w:pPr>
        <w:pStyle w:val="BodyText"/>
        <w:spacing w:line="300" w:lineRule="auto" w:before="133"/>
        <w:ind w:right="149" w:firstLine="293"/>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日第三届董事会第十二次会议决议并经股东大会审议批准，同意公司以截止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 司总股本为基数，以未分配利润向全体股东每</w:t>
      </w:r>
      <w:r>
        <w:rPr>
          <w:rFonts w:ascii="Times New Roman" w:hAnsi="Times New Roman" w:cs="Times New Roman" w:eastAsia="Times New Roman" w:hint="default"/>
        </w:rPr>
        <w:t>10</w:t>
      </w:r>
      <w:r>
        <w:rPr/>
        <w:t>股派送红股</w:t>
      </w:r>
      <w:r>
        <w:rPr>
          <w:rFonts w:ascii="Times New Roman" w:hAnsi="Times New Roman" w:cs="Times New Roman" w:eastAsia="Times New Roman" w:hint="default"/>
        </w:rPr>
        <w:t>3</w:t>
      </w:r>
      <w:r>
        <w:rPr/>
        <w:t>股，共计派发股票股利</w:t>
      </w:r>
      <w:r>
        <w:rPr>
          <w:rFonts w:ascii="Times New Roman" w:hAnsi="Times New Roman" w:cs="Times New Roman" w:eastAsia="Times New Roman" w:hint="default"/>
        </w:rPr>
        <w:t>214,560,000</w:t>
      </w:r>
      <w:r>
        <w:rPr/>
        <w:t>股；同时，以资本公积金向</w:t>
      </w:r>
      <w:r>
        <w:rPr>
          <w:spacing w:val="-82"/>
        </w:rPr>
        <w:t> </w:t>
      </w:r>
      <w:r>
        <w:rPr>
          <w:spacing w:val="8"/>
        </w:rPr>
        <w:t>全体股东每股转增</w:t>
      </w:r>
      <w:r>
        <w:rPr>
          <w:rFonts w:ascii="Times New Roman" w:hAnsi="Times New Roman" w:cs="Times New Roman" w:eastAsia="Times New Roman" w:hint="default"/>
          <w:spacing w:val="8"/>
        </w:rPr>
        <w:t>7</w:t>
      </w:r>
      <w:r>
        <w:rPr>
          <w:spacing w:val="8"/>
        </w:rPr>
        <w:t>股</w:t>
      </w:r>
      <w:r>
        <w:rPr>
          <w:rFonts w:ascii="Times New Roman" w:hAnsi="Times New Roman" w:cs="Times New Roman" w:eastAsia="Times New Roman" w:hint="default"/>
          <w:spacing w:val="8"/>
        </w:rPr>
        <w:t>,</w:t>
      </w:r>
      <w:r>
        <w:rPr>
          <w:spacing w:val="8"/>
        </w:rPr>
        <w:t>共计转增股本</w:t>
      </w:r>
      <w:r>
        <w:rPr>
          <w:rFonts w:ascii="Times New Roman" w:hAnsi="Times New Roman" w:cs="Times New Roman" w:eastAsia="Times New Roman" w:hint="default"/>
          <w:spacing w:val="8"/>
        </w:rPr>
        <w:t>500,640,000</w:t>
      </w:r>
      <w:r>
        <w:rPr>
          <w:spacing w:val="8"/>
        </w:rPr>
        <w:t>股。本次利润分配及资本公积金转增方案实施后公司总股本将增加至</w:t>
      </w:r>
      <w:r>
        <w:rPr>
          <w:spacing w:val="-83"/>
        </w:rPr>
        <w:t> </w:t>
      </w:r>
      <w:r>
        <w:rPr>
          <w:spacing w:val="-83"/>
        </w:rPr>
      </w:r>
      <w:r>
        <w:rPr>
          <w:rFonts w:ascii="Times New Roman" w:hAnsi="Times New Roman" w:cs="Times New Roman" w:eastAsia="Times New Roman" w:hint="default"/>
        </w:rPr>
        <w:t>1,430,400,000</w:t>
      </w:r>
      <w:r>
        <w:rPr/>
        <w:t>股。</w:t>
      </w:r>
    </w:p>
    <w:p>
      <w:pPr>
        <w:pStyle w:val="BodyText"/>
        <w:spacing w:line="300" w:lineRule="auto" w:before="133"/>
        <w:ind w:right="151" w:firstLine="293"/>
        <w:jc w:val="both"/>
      </w:pPr>
      <w:r>
        <w:rPr/>
        <w:t>根据公司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日第三届董事会第二十次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2015</w:t>
      </w:r>
      <w:r>
        <w:rPr/>
        <w:t>年第三次临时股东大会决议，审议批 准《关于公司向特定对象非公开发行股票方案的议案》；本报告期内公司取得中国证监会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[2016]1225</w:t>
      </w:r>
      <w:r>
        <w:rPr/>
        <w:t>号</w:t>
      </w:r>
      <w:r>
        <w:rPr>
          <w:rFonts w:ascii="Times New Roman" w:hAnsi="Times New Roman" w:cs="Times New Roman" w:eastAsia="Times New Roman" w:hint="default"/>
        </w:rPr>
        <w:t>”</w:t>
      </w:r>
      <w:r>
        <w:rPr/>
        <w:t>《关于核 准美盈森集团股份有限公司非公开发行股票的批复》，核准公司非公开发行不超过</w:t>
      </w:r>
      <w:r>
        <w:rPr>
          <w:rFonts w:ascii="Times New Roman" w:hAnsi="Times New Roman" w:cs="Times New Roman" w:eastAsia="Times New Roman" w:hint="default"/>
        </w:rPr>
        <w:t>257,936,507 </w:t>
      </w:r>
      <w:r>
        <w:rPr/>
        <w:t>股新股。公司采用向询价对</w:t>
      </w:r>
      <w:r>
        <w:rPr>
          <w:spacing w:val="-85"/>
        </w:rPr>
        <w:t> </w:t>
      </w:r>
      <w:r>
        <w:rPr>
          <w:spacing w:val="-85"/>
        </w:rPr>
      </w:r>
      <w:r>
        <w:rPr>
          <w:spacing w:val="-2"/>
        </w:rPr>
        <w:t>象询价配售的方式，非公开发行了普通股（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111,923,685</w:t>
      </w:r>
      <w:r>
        <w:rPr>
          <w:spacing w:val="-2"/>
        </w:rPr>
        <w:t>股，每股发行价格为人民币</w:t>
      </w:r>
      <w:r>
        <w:rPr>
          <w:rFonts w:ascii="Times New Roman" w:hAnsi="Times New Roman" w:cs="Times New Roman" w:eastAsia="Times New Roman" w:hint="default"/>
          <w:spacing w:val="-2"/>
        </w:rPr>
        <w:t>12.58</w:t>
      </w:r>
      <w:r>
        <w:rPr>
          <w:spacing w:val="-2"/>
        </w:rPr>
        <w:t>元。本次非公开发行完成</w:t>
      </w:r>
      <w:r>
        <w:rPr>
          <w:spacing w:val="-49"/>
        </w:rPr>
        <w:t> </w:t>
      </w:r>
      <w:r>
        <w:rPr>
          <w:spacing w:val="-49"/>
        </w:rPr>
      </w:r>
      <w:r>
        <w:rPr/>
        <w:t>后，公司总股本由</w:t>
      </w:r>
      <w:r>
        <w:rPr>
          <w:rFonts w:ascii="Times New Roman" w:hAnsi="Times New Roman" w:cs="Times New Roman" w:eastAsia="Times New Roman" w:hint="default"/>
        </w:rPr>
        <w:t>1,430,400,000</w:t>
      </w:r>
      <w:r>
        <w:rPr/>
        <w:t>股增加至</w:t>
      </w:r>
      <w:r>
        <w:rPr>
          <w:rFonts w:ascii="Times New Roman" w:hAnsi="Times New Roman" w:cs="Times New Roman" w:eastAsia="Times New Roman" w:hint="default"/>
        </w:rPr>
        <w:t>1,542,323,685</w:t>
      </w:r>
      <w:r>
        <w:rPr/>
        <w:t>股，本次变更已向深圳市市场监督管理局备案。</w:t>
      </w:r>
    </w:p>
    <w:p>
      <w:pPr>
        <w:pStyle w:val="BodyText"/>
        <w:spacing w:line="427" w:lineRule="auto" w:before="133"/>
        <w:ind w:left="441" w:right="4175" w:firstLine="4"/>
        <w:jc w:val="left"/>
      </w:pPr>
      <w:r>
        <w:rPr/>
        <w:t>目前的公司工商登记情况如下： 企业法人营业执照统一社会信用代码：</w:t>
      </w:r>
      <w:r>
        <w:rPr>
          <w:rFonts w:ascii="Times New Roman" w:hAnsi="Times New Roman" w:cs="Times New Roman" w:eastAsia="Times New Roman" w:hint="default"/>
        </w:rPr>
        <w:t>91440300723000100A</w:t>
      </w:r>
      <w:r>
        <w:rPr>
          <w:rFonts w:ascii="Times New Roman" w:hAnsi="Times New Roman" w:cs="Times New Roman" w:eastAsia="Times New Roman" w:hint="default"/>
          <w:w w:val="99"/>
        </w:rPr>
        <w:t> </w:t>
      </w:r>
      <w:r>
        <w:rPr/>
        <w:t>住所：深圳市光明新区新陂头村美盈森厂区</w:t>
      </w:r>
      <w:r>
        <w:rPr>
          <w:rFonts w:ascii="Times New Roman" w:hAnsi="Times New Roman" w:cs="Times New Roman" w:eastAsia="Times New Roman" w:hint="default"/>
        </w:rPr>
        <w:t>A</w:t>
      </w:r>
      <w:r>
        <w:rPr/>
        <w:t>栋 法定代表人：张珍义 注册资本：人民币壹拾伍亿肆仟贰佰叁拾贰万叁仟陆佰捌拾伍圆整</w:t>
      </w:r>
    </w:p>
    <w:p>
      <w:pPr>
        <w:spacing w:after="0" w:line="427"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94" w:firstLine="360"/>
        <w:jc w:val="left"/>
      </w:pPr>
      <w:r>
        <w:rPr>
          <w:spacing w:val="-2"/>
        </w:rPr>
        <w:t>经营范围：一般经营项目：轻型环保包装制品、重型环保包装制品、包装材料、包装机械的技术开发及销售；一体化包</w:t>
      </w:r>
      <w:r>
        <w:rPr/>
        <w:t> </w:t>
      </w:r>
      <w:r>
        <w:rPr>
          <w:spacing w:val="-2"/>
        </w:rPr>
        <w:t>装方案的技术开发；隐藏信息防伪技术的开发，特种标签材质的精密模切，智能卡终端读写设备的开发与销售；货物及技术</w:t>
      </w:r>
      <w:r>
        <w:rPr>
          <w:spacing w:val="-65"/>
        </w:rPr>
        <w:t> </w:t>
      </w:r>
      <w:r>
        <w:rPr>
          <w:spacing w:val="-65"/>
        </w:rPr>
      </w:r>
      <w:r>
        <w:rPr>
          <w:spacing w:val="-2"/>
        </w:rPr>
        <w:t>进出口；（以上均不含法律、行政法规、国务院决定禁止及规定需前置审批项目），纸制品休闲家居、办公用品、玩具用品</w:t>
      </w:r>
      <w:r>
        <w:rPr>
          <w:spacing w:val="-64"/>
        </w:rPr>
        <w:t> </w:t>
      </w:r>
      <w:r>
        <w:rPr>
          <w:spacing w:val="-64"/>
        </w:rPr>
      </w:r>
      <w:r>
        <w:rPr>
          <w:spacing w:val="-4"/>
        </w:rPr>
        <w:t>的研发、生产和销售。许可经营项目：纸箱、木箱的生产及销售；无线射频标签，高新材料的研发与生产；包装装潢印刷品、</w:t>
      </w:r>
      <w:r>
        <w:rPr>
          <w:spacing w:val="-41"/>
        </w:rPr>
        <w:t> </w:t>
      </w:r>
      <w:r>
        <w:rPr>
          <w:spacing w:val="-41"/>
        </w:rPr>
      </w:r>
      <w:r>
        <w:rPr/>
        <w:t>其他印刷品印刷；从事普通货运。</w:t>
      </w:r>
    </w:p>
    <w:p>
      <w:pPr>
        <w:spacing w:line="240" w:lineRule="auto" w:before="0"/>
        <w:rPr>
          <w:rFonts w:ascii="宋体" w:hAnsi="宋体" w:cs="宋体" w:eastAsia="宋体" w:hint="default"/>
          <w:sz w:val="18"/>
          <w:szCs w:val="18"/>
        </w:rPr>
      </w:pPr>
    </w:p>
    <w:p>
      <w:pPr>
        <w:pStyle w:val="BodyText"/>
        <w:spacing w:line="316" w:lineRule="auto" w:before="134"/>
        <w:ind w:right="111"/>
        <w:jc w:val="both"/>
      </w:pPr>
      <w:r>
        <w:rPr/>
        <w:t>在上年度财务报告编制的基础上，公司本年度将佛山美盈森、中大绿谷、湖南美盈森、苏州智谷、江苏美彩、越南美盈森、 美国美盈森、安徽美盈森纳入合并报表范围。</w:t>
      </w:r>
    </w:p>
    <w:p>
      <w:pPr>
        <w:pStyle w:val="BodyText"/>
        <w:spacing w:line="300" w:lineRule="auto" w:before="19"/>
        <w:ind w:right="189" w:firstLine="360"/>
        <w:jc w:val="both"/>
      </w:pPr>
      <w:r>
        <w:rPr>
          <w:spacing w:val="-2"/>
        </w:rPr>
        <w:t>（</w:t>
      </w:r>
      <w:r>
        <w:rPr>
          <w:rFonts w:ascii="Times New Roman" w:hAnsi="Times New Roman" w:cs="Times New Roman" w:eastAsia="Times New Roman" w:hint="default"/>
          <w:spacing w:val="-2"/>
        </w:rPr>
        <w:t>1</w:t>
      </w:r>
      <w:r>
        <w:rPr>
          <w:spacing w:val="-2"/>
        </w:rPr>
        <w:t>）本期公司设立佛山市美盈森绿谷科技有限公司，于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日完成办理工商设立登记手续，并取得统一社会信</w:t>
      </w:r>
      <w:r>
        <w:rPr/>
        <w:t> 用代码为</w:t>
      </w:r>
      <w:r>
        <w:rPr>
          <w:rFonts w:ascii="Times New Roman" w:hAnsi="Times New Roman" w:cs="Times New Roman" w:eastAsia="Times New Roman" w:hint="default"/>
        </w:rPr>
        <w:t>91440608MA4W8MXW9Q</w:t>
      </w:r>
      <w:r>
        <w:rPr/>
        <w:t>的企业法人营业执照；按照相应的会计报表编制规则，公司本期将佛山美盈森纳入合并 报表范围。</w:t>
      </w:r>
    </w:p>
    <w:p>
      <w:pPr>
        <w:pStyle w:val="BodyText"/>
        <w:spacing w:line="300" w:lineRule="auto" w:before="31"/>
        <w:ind w:right="191" w:firstLine="360"/>
        <w:jc w:val="both"/>
      </w:pPr>
      <w:r>
        <w:rPr>
          <w:spacing w:val="-2"/>
        </w:rPr>
        <w:t>（</w:t>
      </w:r>
      <w:r>
        <w:rPr>
          <w:rFonts w:ascii="Times New Roman" w:hAnsi="Times New Roman" w:cs="Times New Roman" w:eastAsia="Times New Roman" w:hint="default"/>
          <w:spacing w:val="-2"/>
        </w:rPr>
        <w:t>2</w:t>
      </w:r>
      <w:r>
        <w:rPr>
          <w:spacing w:val="-2"/>
        </w:rPr>
        <w:t>）本期由公司合资设立中大绿谷实业股份有限公司，于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日完成办理工商设立登记手续，并取得统一社会</w:t>
      </w:r>
      <w:r>
        <w:rPr/>
        <w:t> </w:t>
      </w:r>
      <w:r>
        <w:rPr>
          <w:spacing w:val="-1"/>
        </w:rPr>
        <w:t>信用代码为</w:t>
      </w:r>
      <w:r>
        <w:rPr>
          <w:rFonts w:ascii="Times New Roman" w:hAnsi="Times New Roman" w:cs="Times New Roman" w:eastAsia="Times New Roman" w:hint="default"/>
          <w:spacing w:val="-1"/>
        </w:rPr>
        <w:t>91440300MA5DT3RH50</w:t>
      </w:r>
      <w:r>
        <w:rPr>
          <w:spacing w:val="-1"/>
        </w:rPr>
        <w:t>的企业法人营业执照，该公司注册资本</w:t>
      </w:r>
      <w:r>
        <w:rPr>
          <w:rFonts w:ascii="Times New Roman" w:hAnsi="Times New Roman" w:cs="Times New Roman" w:eastAsia="Times New Roman" w:hint="default"/>
          <w:spacing w:val="-1"/>
        </w:rPr>
        <w:t>50000</w:t>
      </w:r>
      <w:r>
        <w:rPr>
          <w:spacing w:val="-1"/>
        </w:rPr>
        <w:t>万元，公司持股</w:t>
      </w:r>
      <w:r>
        <w:rPr>
          <w:rFonts w:ascii="Times New Roman" w:hAnsi="Times New Roman" w:cs="Times New Roman" w:eastAsia="Times New Roman" w:hint="default"/>
          <w:spacing w:val="-1"/>
        </w:rPr>
        <w:t>51%</w:t>
      </w:r>
      <w:r>
        <w:rPr>
          <w:spacing w:val="-1"/>
        </w:rPr>
        <w:t>；按照相应的会计报表</w:t>
      </w:r>
      <w:r>
        <w:rPr>
          <w:spacing w:val="-60"/>
        </w:rPr>
        <w:t> </w:t>
      </w:r>
      <w:r>
        <w:rPr>
          <w:spacing w:val="-60"/>
        </w:rPr>
      </w:r>
      <w:r>
        <w:rPr/>
        <w:t>编制规则，公司本期将中大绿谷纳入合并报表范围。</w:t>
      </w:r>
    </w:p>
    <w:p>
      <w:pPr>
        <w:pStyle w:val="BodyText"/>
        <w:spacing w:line="300" w:lineRule="auto" w:before="31"/>
        <w:ind w:right="191" w:firstLine="360"/>
        <w:jc w:val="both"/>
      </w:pPr>
      <w:r>
        <w:rPr/>
        <w:t>（</w:t>
      </w:r>
      <w:r>
        <w:rPr>
          <w:rFonts w:ascii="Times New Roman" w:hAnsi="Times New Roman" w:cs="Times New Roman" w:eastAsia="Times New Roman" w:hint="default"/>
        </w:rPr>
        <w:t>3</w:t>
      </w:r>
      <w:r>
        <w:rPr/>
        <w:t>）本期由公司合资设立湖南美盈森实业有限公司，于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日完成办理工商设立登记手续，并取得统一社会信 </w:t>
      </w:r>
      <w:r>
        <w:rPr>
          <w:spacing w:val="-2"/>
        </w:rPr>
        <w:t>用代码为</w:t>
      </w:r>
      <w:r>
        <w:rPr>
          <w:rFonts w:ascii="Times New Roman" w:hAnsi="Times New Roman" w:cs="Times New Roman" w:eastAsia="Times New Roman" w:hint="default"/>
          <w:spacing w:val="-2"/>
        </w:rPr>
        <w:t>91430600MA4LLUMJ5G</w:t>
      </w:r>
      <w:r>
        <w:rPr>
          <w:spacing w:val="-2"/>
        </w:rPr>
        <w:t>的企业法人营业执照，该公司注册资本</w:t>
      </w:r>
      <w:r>
        <w:rPr>
          <w:rFonts w:ascii="Times New Roman" w:hAnsi="Times New Roman" w:cs="Times New Roman" w:eastAsia="Times New Roman" w:hint="default"/>
          <w:spacing w:val="-2"/>
        </w:rPr>
        <w:t>10000</w:t>
      </w:r>
      <w:r>
        <w:rPr>
          <w:spacing w:val="-2"/>
        </w:rPr>
        <w:t>万元，公司持股</w:t>
      </w:r>
      <w:r>
        <w:rPr>
          <w:rFonts w:ascii="Times New Roman" w:hAnsi="Times New Roman" w:cs="Times New Roman" w:eastAsia="Times New Roman" w:hint="default"/>
          <w:spacing w:val="-2"/>
        </w:rPr>
        <w:t>80%</w:t>
      </w:r>
      <w:r>
        <w:rPr>
          <w:spacing w:val="-2"/>
        </w:rPr>
        <w:t>；按照相应的会计报表编</w:t>
      </w:r>
      <w:r>
        <w:rPr>
          <w:spacing w:val="-33"/>
        </w:rPr>
        <w:t> </w:t>
      </w:r>
      <w:r>
        <w:rPr>
          <w:spacing w:val="-33"/>
        </w:rPr>
      </w:r>
      <w:r>
        <w:rPr/>
        <w:t>制规则，公司本期将湖南美盈森纳入合并报表范围。</w:t>
      </w:r>
    </w:p>
    <w:p>
      <w:pPr>
        <w:pStyle w:val="BodyText"/>
        <w:spacing w:line="300" w:lineRule="auto" w:before="31"/>
        <w:ind w:right="184" w:firstLine="360"/>
        <w:jc w:val="left"/>
      </w:pPr>
      <w:r>
        <w:rPr/>
        <w:t>（</w:t>
      </w:r>
      <w:r>
        <w:rPr>
          <w:rFonts w:ascii="Times New Roman" w:hAnsi="Times New Roman" w:cs="Times New Roman" w:eastAsia="Times New Roman" w:hint="default"/>
        </w:rPr>
        <w:t>4</w:t>
      </w:r>
      <w:r>
        <w:rPr/>
        <w:t>）本期由公司全资子公司苏州美盈森与自然人孙娟芬分别以</w:t>
      </w:r>
      <w:r>
        <w:rPr>
          <w:rFonts w:ascii="Times New Roman" w:hAnsi="Times New Roman" w:cs="Times New Roman" w:eastAsia="Times New Roman" w:hint="default"/>
        </w:rPr>
        <w:t>68%</w:t>
      </w:r>
      <w:r>
        <w:rPr/>
        <w:t>、</w:t>
      </w:r>
      <w:r>
        <w:rPr>
          <w:rFonts w:ascii="Times New Roman" w:hAnsi="Times New Roman" w:cs="Times New Roman" w:eastAsia="Times New Roman" w:hint="default"/>
        </w:rPr>
        <w:t>32%</w:t>
      </w:r>
      <w:r>
        <w:rPr/>
        <w:t>的比例共同投资设立了美盈森智谷（苏州） </w:t>
      </w:r>
      <w:r>
        <w:rPr>
          <w:spacing w:val="-2"/>
        </w:rPr>
        <w:t>包装技术有限公司，于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日完成办理工商设立登记手续，并取得统一社会信用代码为</w:t>
      </w:r>
      <w:r>
        <w:rPr>
          <w:rFonts w:ascii="Times New Roman" w:hAnsi="Times New Roman" w:cs="Times New Roman" w:eastAsia="Times New Roman" w:hint="default"/>
          <w:spacing w:val="-2"/>
        </w:rPr>
        <w:t>91320509MAINRGLD02</w:t>
      </w:r>
      <w:r>
        <w:rPr>
          <w:spacing w:val="-2"/>
        </w:rPr>
        <w:t>的企</w:t>
      </w:r>
      <w:r>
        <w:rPr>
          <w:spacing w:val="-32"/>
        </w:rPr>
        <w:t> </w:t>
      </w:r>
      <w:r>
        <w:rPr>
          <w:spacing w:val="-2"/>
        </w:rPr>
        <w:t>业法人营业执照，该公司注册资本</w:t>
      </w:r>
      <w:r>
        <w:rPr>
          <w:rFonts w:ascii="Times New Roman" w:hAnsi="Times New Roman" w:cs="Times New Roman" w:eastAsia="Times New Roman" w:hint="default"/>
          <w:spacing w:val="-2"/>
        </w:rPr>
        <w:t>20000</w:t>
      </w:r>
      <w:r>
        <w:rPr>
          <w:spacing w:val="-2"/>
        </w:rPr>
        <w:t>万元人民币；全资子公司苏州美盈森与自然人何敏帆、仉露分别以</w:t>
      </w:r>
      <w:r>
        <w:rPr>
          <w:rFonts w:ascii="Times New Roman" w:hAnsi="Times New Roman" w:cs="Times New Roman" w:eastAsia="Times New Roman" w:hint="default"/>
          <w:spacing w:val="-2"/>
        </w:rPr>
        <w:t>70%</w:t>
      </w:r>
      <w:r>
        <w:rPr>
          <w:spacing w:val="-2"/>
        </w:rPr>
        <w:t>、</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的比例共同投资设立了江苏美彩供应链管理有限公司，于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日完成办理工商设立登记手续，并取得统一社会信用 代码为</w:t>
      </w:r>
      <w:r>
        <w:rPr>
          <w:rFonts w:ascii="Times New Roman" w:hAnsi="Times New Roman" w:cs="Times New Roman" w:eastAsia="Times New Roman" w:hint="default"/>
        </w:rPr>
        <w:t>91321300MA1P9NX38M</w:t>
      </w:r>
      <w:r>
        <w:rPr/>
        <w:t>的企业法人营业执照，该公司注册资本</w:t>
      </w:r>
      <w:r>
        <w:rPr>
          <w:rFonts w:ascii="Times New Roman" w:hAnsi="Times New Roman" w:cs="Times New Roman" w:eastAsia="Times New Roman" w:hint="default"/>
        </w:rPr>
        <w:t>1000</w:t>
      </w:r>
      <w:r>
        <w:rPr/>
        <w:t>万元人民币；按照相应的会计报表编制规则，公 司本期将苏州智谷、江苏美彩纳入合并报表范围。</w:t>
      </w:r>
    </w:p>
    <w:p>
      <w:pPr>
        <w:pStyle w:val="BodyText"/>
        <w:spacing w:line="300" w:lineRule="auto" w:before="31"/>
        <w:ind w:right="192" w:firstLine="360"/>
        <w:jc w:val="both"/>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 GROUP (VIETNAM) COMPANY</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，取得越南北宁省工业区</w:t>
      </w:r>
      <w:r>
        <w:rPr>
          <w:w w:val="99"/>
        </w:rPr>
        <w:t> </w:t>
      </w:r>
      <w:r>
        <w:rPr/>
        <w:t>管理委员会颁发的《投资证书》，于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日完成办理设立登记手续，并取得编号为</w:t>
      </w:r>
      <w:r>
        <w:rPr>
          <w:rFonts w:ascii="Times New Roman" w:hAnsi="Times New Roman" w:cs="Times New Roman" w:eastAsia="Times New Roman" w:hint="default"/>
        </w:rPr>
        <w:t>2300980762</w:t>
      </w:r>
      <w:r>
        <w:rPr/>
        <w:t>的企业注册证书，该</w:t>
      </w:r>
      <w:r>
        <w:rPr>
          <w:w w:val="99"/>
        </w:rPr>
        <w:t> </w:t>
      </w:r>
      <w:r>
        <w:rPr>
          <w:spacing w:val="-1"/>
        </w:rPr>
        <w:t>公司注册资本</w:t>
      </w:r>
      <w:r>
        <w:rPr>
          <w:rFonts w:ascii="Times New Roman" w:hAnsi="Times New Roman" w:cs="Times New Roman" w:eastAsia="Times New Roman" w:hint="default"/>
          <w:spacing w:val="-1"/>
        </w:rPr>
        <w:t>456.4</w:t>
      </w:r>
      <w:r>
        <w:rPr>
          <w:spacing w:val="-1"/>
        </w:rPr>
        <w:t>亿越南盾，香港美盈森持股</w:t>
      </w:r>
      <w:r>
        <w:rPr>
          <w:rFonts w:ascii="Times New Roman" w:hAnsi="Times New Roman" w:cs="Times New Roman" w:eastAsia="Times New Roman" w:hint="default"/>
          <w:spacing w:val="-1"/>
        </w:rPr>
        <w:t>100%</w:t>
      </w:r>
      <w:r>
        <w:rPr>
          <w:spacing w:val="-1"/>
        </w:rPr>
        <w:t>；按照相应的会计报表编制规则，公司本期将越南美盈森纳入合并报表</w:t>
      </w:r>
      <w:r>
        <w:rPr>
          <w:spacing w:val="-45"/>
        </w:rPr>
        <w:t> </w:t>
      </w:r>
      <w:r>
        <w:rPr>
          <w:spacing w:val="-45"/>
        </w:rPr>
      </w:r>
      <w:r>
        <w:rPr/>
        <w:t>范围。</w:t>
      </w:r>
    </w:p>
    <w:p>
      <w:pPr>
        <w:pStyle w:val="BodyText"/>
        <w:spacing w:line="300" w:lineRule="auto" w:before="31"/>
        <w:ind w:right="210" w:firstLine="360"/>
        <w:jc w:val="both"/>
      </w:pPr>
      <w:r>
        <w:rPr/>
        <w:t>（</w:t>
      </w:r>
      <w:r>
        <w:rPr>
          <w:rFonts w:ascii="Times New Roman" w:hAnsi="Times New Roman" w:cs="Times New Roman" w:eastAsia="Times New Roman" w:hint="default"/>
        </w:rPr>
        <w:t>6</w:t>
      </w:r>
      <w:r>
        <w:rPr/>
        <w:t>）公司设立的</w:t>
      </w:r>
      <w:r>
        <w:rPr>
          <w:rFonts w:ascii="Times New Roman" w:hAnsi="Times New Roman" w:cs="Times New Roman" w:eastAsia="Times New Roman" w:hint="default"/>
        </w:rPr>
        <w:t>MYS Global</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日取得深圳市发展和改革委员会出具的深发改函（</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1125</w:t>
      </w:r>
      <w:r>
        <w:rPr/>
        <w:t>号项目 备案通知书；按照相应的会计报表编制规则，公司本期将美国美盈森纳入合并报表范围。</w:t>
      </w:r>
    </w:p>
    <w:p>
      <w:pPr>
        <w:pStyle w:val="BodyText"/>
        <w:spacing w:line="300" w:lineRule="auto" w:before="31"/>
        <w:ind w:right="196"/>
        <w:jc w:val="both"/>
      </w:pPr>
      <w:r>
        <w:rPr/>
        <w:t>（</w:t>
      </w:r>
      <w:r>
        <w:rPr>
          <w:rFonts w:ascii="Times New Roman" w:hAnsi="Times New Roman" w:cs="Times New Roman" w:eastAsia="Times New Roman" w:hint="default"/>
        </w:rPr>
        <w:t>7</w:t>
      </w:r>
      <w:r>
        <w:rPr/>
        <w:t>）本期由公司合资设立安徽美盈森智谷科技有限公司，于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日完成办理工商设立登记手续，并取得统一社会信 用代码为</w:t>
      </w:r>
      <w:r>
        <w:rPr>
          <w:rFonts w:ascii="Times New Roman" w:hAnsi="Times New Roman" w:cs="Times New Roman" w:eastAsia="Times New Roman" w:hint="default"/>
        </w:rPr>
        <w:t>91341500MA2P0B7B8L(1-1)</w:t>
      </w:r>
      <w:r>
        <w:rPr/>
        <w:t>的企业法人营业执照，该公司注册资本</w:t>
      </w:r>
      <w:r>
        <w:rPr>
          <w:rFonts w:ascii="Times New Roman" w:hAnsi="Times New Roman" w:cs="Times New Roman" w:eastAsia="Times New Roman" w:hint="default"/>
        </w:rPr>
        <w:t>28000</w:t>
      </w:r>
      <w:r>
        <w:rPr/>
        <w:t>万元，公司持股</w:t>
      </w:r>
      <w:r>
        <w:rPr>
          <w:rFonts w:ascii="Times New Roman" w:hAnsi="Times New Roman" w:cs="Times New Roman" w:eastAsia="Times New Roman" w:hint="default"/>
        </w:rPr>
        <w:t>90%</w:t>
      </w:r>
      <w:r>
        <w:rPr/>
        <w:t>；按照相应的会计报 表编制规则，公司本期将安徽美盈森纳入合并报表范围。</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91" w:firstLine="360"/>
        <w:jc w:val="both"/>
      </w:pPr>
      <w:r>
        <w:rPr/>
        <w:t>本公司财务报表以持续经营假设为基础，根据实际发生的交易和事项，按照财政部颁布的《企业会计准则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和具体会计准则，以及企业会计准则应用指南、企业会计准则解释及其他规定，并基于以下所述重要会计政策、会计估计进</w:t>
      </w:r>
      <w:r>
        <w:rPr>
          <w:spacing w:val="-65"/>
        </w:rPr>
        <w:t> </w:t>
      </w:r>
      <w:r>
        <w:rPr>
          <w:spacing w:val="-65"/>
        </w:rPr>
      </w:r>
      <w:r>
        <w:rPr/>
        <w:t>行编制。</w:t>
      </w:r>
    </w:p>
    <w:p>
      <w:pPr>
        <w:spacing w:after="0" w:line="309" w:lineRule="auto"/>
        <w:jc w:val="both"/>
        <w:sectPr>
          <w:footerReference w:type="default" r:id="rId19"/>
          <w:pgSz w:w="11910" w:h="16840"/>
          <w:pgMar w:footer="980" w:header="745" w:top="1060" w:bottom="1160" w:left="980" w:right="94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89" w:firstLine="271"/>
        <w:jc w:val="both"/>
      </w:pPr>
      <w:r>
        <w:rPr>
          <w:spacing w:val="-1"/>
        </w:rPr>
        <w:t>本公司无影响持续经营能力的事项，预计未来</w:t>
      </w:r>
      <w:r>
        <w:rPr>
          <w:rFonts w:ascii="Times New Roman" w:hAnsi="Times New Roman" w:cs="Times New Roman" w:eastAsia="Times New Roman" w:hint="default"/>
          <w:spacing w:val="-1"/>
        </w:rPr>
        <w:t>12</w:t>
      </w:r>
      <w:r>
        <w:rPr>
          <w:spacing w:val="-1"/>
        </w:rPr>
        <w:t>个月内具备持续经营的能力</w:t>
      </w:r>
      <w:r>
        <w:rPr>
          <w:rFonts w:ascii="Times New Roman" w:hAnsi="Times New Roman" w:cs="Times New Roman" w:eastAsia="Times New Roman" w:hint="default"/>
          <w:spacing w:val="-1"/>
        </w:rPr>
        <w:t>,</w:t>
      </w:r>
      <w:r>
        <w:rPr>
          <w:spacing w:val="-1"/>
        </w:rPr>
        <w:t>本公司的财务报表系在持续经营为假设的基</w:t>
      </w:r>
      <w:r>
        <w:rPr/>
        <w:t> 础上编制。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94"/>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60" w:lineRule="auto" w:before="25"/>
        <w:ind w:left="296" w:right="183" w:hanging="144"/>
        <w:jc w:val="left"/>
      </w:pPr>
      <w:r>
        <w:rPr/>
        <w:t>具体会计政策和会计估计提示： </w:t>
      </w:r>
      <w:r>
        <w:rPr>
          <w:spacing w:val="-1"/>
        </w:rPr>
        <w:t>公司根据实际发生的交易和事项，按照财政部颁布的《企业会计准则</w:t>
      </w:r>
      <w:r>
        <w:rPr>
          <w:rFonts w:ascii="Times New Roman" w:hAnsi="Times New Roman" w:cs="Times New Roman" w:eastAsia="Times New Roman" w:hint="default"/>
          <w:spacing w:val="-1"/>
        </w:rPr>
        <w:t>——</w:t>
      </w:r>
      <w:r>
        <w:rPr>
          <w:spacing w:val="-1"/>
        </w:rPr>
        <w:t>基本准则》和各项具体会计准则、企业会计准则</w:t>
      </w:r>
    </w:p>
    <w:p>
      <w:pPr>
        <w:pStyle w:val="BodyText"/>
        <w:spacing w:line="212" w:lineRule="exact"/>
        <w:ind w:right="94"/>
        <w:jc w:val="left"/>
      </w:pPr>
      <w:r>
        <w:rPr>
          <w:spacing w:val="-5"/>
        </w:rPr>
        <w:t>应用指南、企业会计准则解释及其他相关规定（以下合称</w:t>
      </w:r>
      <w:r>
        <w:rPr>
          <w:rFonts w:ascii="Times New Roman" w:hAnsi="Times New Roman" w:cs="Times New Roman" w:eastAsia="Times New Roman" w:hint="default"/>
          <w:spacing w:val="-5"/>
        </w:rPr>
        <w:t>“</w:t>
      </w:r>
      <w:r>
        <w:rPr>
          <w:spacing w:val="-5"/>
        </w:rPr>
        <w:t>企业会计准则</w:t>
      </w:r>
      <w:r>
        <w:rPr>
          <w:rFonts w:ascii="Times New Roman" w:hAnsi="Times New Roman" w:cs="Times New Roman" w:eastAsia="Times New Roman" w:hint="default"/>
          <w:spacing w:val="-5"/>
        </w:rPr>
        <w:t>”</w:t>
      </w:r>
      <w:r>
        <w:rPr>
          <w:spacing w:val="-5"/>
        </w:rPr>
        <w:t>），以及中国证券监督管理委员会</w:t>
      </w:r>
      <w:r>
        <w:rPr>
          <w:rFonts w:ascii="Times New Roman" w:hAnsi="Times New Roman" w:cs="Times New Roman" w:eastAsia="Times New Roman" w:hint="default"/>
          <w:spacing w:val="-5"/>
        </w:rPr>
        <w:t>2014</w:t>
      </w:r>
      <w:r>
        <w:rPr>
          <w:spacing w:val="-5"/>
        </w:rPr>
        <w:t>年修订的《公</w:t>
      </w:r>
    </w:p>
    <w:p>
      <w:pPr>
        <w:pStyle w:val="BodyText"/>
        <w:spacing w:line="240" w:lineRule="auto" w:before="63"/>
        <w:ind w:right="94"/>
        <w:jc w:val="left"/>
      </w:pPr>
      <w:r>
        <w:rPr/>
        <w:t>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财务报告的一般规定》的披露要求编制财务报表。</w:t>
      </w:r>
    </w:p>
    <w:p>
      <w:pPr>
        <w:spacing w:line="240" w:lineRule="auto" w:before="2"/>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8" w:firstLine="18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2017</w:t>
      </w:r>
      <w:r>
        <w:rPr>
          <w:spacing w:val="-2"/>
        </w:rPr>
        <w:t>年度的经</w:t>
      </w:r>
      <w:r>
        <w:rPr/>
        <w:t> </w:t>
      </w:r>
      <w:r>
        <w:rPr>
          <w:spacing w:val="-2"/>
        </w:rPr>
        <w:t>营成果和现金流量等有关信息。此外，本公司的财务报表所有重大方面符合中国证券监督管理委员会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2"/>
        </w:rPr>
        <w:t> </w:t>
      </w:r>
      <w:r>
        <w:rPr>
          <w:spacing w:val="-62"/>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44" w:right="0"/>
        <w:jc w:val="both"/>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44" w:right="0"/>
        <w:jc w:val="both"/>
      </w:pPr>
      <w:r>
        <w:rPr/>
        <w:t>本公司以一年</w:t>
      </w:r>
      <w:r>
        <w:rPr>
          <w:rFonts w:ascii="Times New Roman" w:hAnsi="Times New Roman" w:cs="Times New Roman" w:eastAsia="Times New Roman" w:hint="default"/>
        </w:rPr>
        <w:t>12</w:t>
      </w:r>
      <w:r>
        <w:rPr/>
        <w:t>个月作为正常营业周期，并以营业周期作为资产和负债的流动性划分标准。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44" w:right="0"/>
        <w:jc w:val="both"/>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9" w:firstLine="271"/>
        <w:jc w:val="both"/>
      </w:pPr>
      <w:r>
        <w:rPr/>
        <w:t>企业合并，是指将两个或两个以上单独的企业合并形成一个报告主体的交易或事项。企业合并分为同一控制下企业合并 和非同一控制下企业合并。</w:t>
      </w:r>
    </w:p>
    <w:p>
      <w:pPr>
        <w:pStyle w:val="BodyText"/>
        <w:spacing w:line="300" w:lineRule="auto" w:before="19"/>
        <w:ind w:left="441" w:right="94" w:hanging="109"/>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参与合并的企业在合并前后均受同一方或相同的多方最终控制，且该控制并非暂时性的，为同一控制下的企业合并。同</w:t>
      </w:r>
    </w:p>
    <w:p>
      <w:pPr>
        <w:pStyle w:val="BodyText"/>
        <w:spacing w:line="240" w:lineRule="auto" w:before="31"/>
        <w:ind w:right="94"/>
        <w:jc w:val="left"/>
      </w:pPr>
      <w:r>
        <w:rPr>
          <w:spacing w:val="-4"/>
        </w:rPr>
        <w:t>一控制下的企业合并，在合并日取得对其他参与合并企业控制权的一方为合并方，参与合并的其他企业为被合并方。合并日，</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441" w:right="94" w:hanging="289"/>
        <w:jc w:val="left"/>
      </w:pPr>
      <w:r>
        <w:rPr/>
        <w:t>是指合并方实际取得对被合并方控制权的日期。 </w:t>
      </w:r>
      <w:r>
        <w:rPr>
          <w:spacing w:val="-1"/>
        </w:rPr>
        <w:t>合并方取得的资产和负债均按合并日在被合并方的账面价值计量。合并方取得的净资产账面价值与支付的合并对价账面</w:t>
      </w:r>
    </w:p>
    <w:p>
      <w:pPr>
        <w:pStyle w:val="BodyText"/>
        <w:spacing w:line="316" w:lineRule="auto" w:before="17"/>
        <w:ind w:left="441" w:right="94" w:hanging="289"/>
        <w:jc w:val="left"/>
      </w:pPr>
      <w:r>
        <w:rPr/>
        <w:t>价值（或发行股份面值总额）的差额，调整资本公积（股本溢价）；资本公积（股本溢价）不足以冲减的，调整留存收益。 合并方为进行企业合并发生的各项直接费用，于发生时计入当期损益。</w:t>
      </w:r>
    </w:p>
    <w:p>
      <w:pPr>
        <w:pStyle w:val="BodyText"/>
        <w:spacing w:line="300" w:lineRule="auto" w:before="19"/>
        <w:ind w:left="441" w:right="94" w:hanging="72"/>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参与合并的企业在合并前后不受同一方或相同的多方最终控制的，为非同一控制下的企业合并。非同一控制下的企业合</w:t>
      </w:r>
    </w:p>
    <w:p>
      <w:pPr>
        <w:pStyle w:val="BodyText"/>
        <w:spacing w:line="316" w:lineRule="auto" w:before="31"/>
        <w:ind w:right="191"/>
        <w:jc w:val="both"/>
      </w:pP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p>
    <w:p>
      <w:pPr>
        <w:pStyle w:val="BodyText"/>
        <w:spacing w:line="316" w:lineRule="auto" w:before="19"/>
        <w:ind w:right="191" w:firstLine="288"/>
        <w:jc w:val="both"/>
      </w:pPr>
      <w:r>
        <w:rPr>
          <w:spacing w:val="-1"/>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3"/>
        </w:rPr>
        <w:t> </w:t>
      </w:r>
      <w:r>
        <w:rPr>
          <w:spacing w:val="-63"/>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91" w:firstLine="288"/>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spacing w:val="-1"/>
        </w:rPr>
        <w:t>个</w:t>
      </w:r>
      <w:r>
        <w:rPr/>
        <w:t> </w:t>
      </w:r>
      <w:r>
        <w:rPr>
          <w:spacing w:val="-2"/>
        </w:rPr>
        <w:t>月内，如取得新的或进一步的信息表明购买日的相关情况已经存在，预期被购买方在购买日可抵扣暂时性差异带来的经济利</w:t>
      </w:r>
      <w:r>
        <w:rPr>
          <w:spacing w:val="-64"/>
        </w:rPr>
        <w:t> </w:t>
      </w:r>
      <w:r>
        <w:rPr>
          <w:spacing w:val="-64"/>
        </w:rPr>
      </w:r>
      <w:r>
        <w:rPr>
          <w:spacing w:val="-2"/>
        </w:rPr>
        <w:t>益能够实现的，则确认相关的递延所得税资产，同时减少商誉，商誉不足冲减的，差额部分确认为当期损益；除上述情况以</w:t>
      </w:r>
      <w:r>
        <w:rPr>
          <w:spacing w:val="-67"/>
        </w:rPr>
        <w:t> </w:t>
      </w:r>
      <w:r>
        <w:rPr>
          <w:spacing w:val="-67"/>
        </w:rPr>
      </w:r>
      <w:r>
        <w:rPr/>
        <w:t>外，确认与企业合并相关的递延所得税资产的，计入当期损益。</w:t>
      </w:r>
    </w:p>
    <w:p>
      <w:pPr>
        <w:pStyle w:val="BodyText"/>
        <w:spacing w:line="300" w:lineRule="auto" w:before="22"/>
        <w:ind w:right="94" w:firstLine="288"/>
        <w:jc w:val="left"/>
      </w:pPr>
      <w:r>
        <w:rPr>
          <w:spacing w:val="-4"/>
        </w:rPr>
        <w:t>通过多次交易分步实现的非同一控制下企业合并，根据《财政部关于印发企业会计准则解释第</w:t>
      </w:r>
      <w:r>
        <w:rPr>
          <w:rFonts w:ascii="Times New Roman" w:hAnsi="Times New Roman" w:cs="Times New Roman" w:eastAsia="Times New Roman" w:hint="default"/>
          <w:spacing w:val="-4"/>
        </w:rPr>
        <w:t>5</w:t>
      </w:r>
      <w:r>
        <w:rPr>
          <w:spacing w:val="-4"/>
        </w:rPr>
        <w:t>号的通知》（财会〔</w:t>
      </w:r>
      <w:r>
        <w:rPr>
          <w:rFonts w:ascii="Times New Roman" w:hAnsi="Times New Roman" w:cs="Times New Roman" w:eastAsia="Times New Roman" w:hint="default"/>
          <w:spacing w:val="-4"/>
        </w:rPr>
        <w:t>2012</w:t>
      </w:r>
      <w:r>
        <w:rPr>
          <w:spacing w:val="-4"/>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58"/>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90" w:firstLine="288"/>
        <w:jc w:val="both"/>
      </w:pPr>
      <w:r>
        <w:rPr>
          <w:spacing w:val="-1"/>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6" w:lineRule="auto" w:before="59"/>
        <w:ind w:right="190"/>
        <w:jc w:val="both"/>
      </w:pPr>
      <w:r>
        <w:rPr>
          <w:spacing w:val="-2"/>
        </w:rPr>
        <w:t>在合并财务报表中，对于购买日之前持有的被购买方的股权，按照该股权在购买日的公允价值进行重新计量，公允价值与其</w:t>
      </w:r>
      <w:r>
        <w:rPr>
          <w:spacing w:val="-63"/>
        </w:rPr>
        <w:t> </w:t>
      </w:r>
      <w:r>
        <w:rPr>
          <w:spacing w:val="-63"/>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420"/>
        <w:jc w:val="left"/>
      </w:pPr>
      <w:r>
        <w:rPr/>
        <w:t>本公司将全部子公司（包括本公司所控制的单独主体）纳入合并财务报表范围，包括被本公司控制的企业、被投资单 位中可分割的部分以及结构化主体。</w:t>
      </w:r>
    </w:p>
    <w:p>
      <w:pPr>
        <w:pStyle w:val="BodyText"/>
        <w:spacing w:line="300" w:lineRule="auto" w:before="19"/>
        <w:ind w:right="94" w:firstLine="420"/>
        <w:jc w:val="left"/>
      </w:pPr>
      <w:r>
        <w:rPr/>
        <w:t>本公司合并财务报表按照《企业会计准则第</w:t>
      </w:r>
      <w:r>
        <w:rPr>
          <w:rFonts w:ascii="Times New Roman" w:hAnsi="Times New Roman" w:cs="Times New Roman" w:eastAsia="Times New Roman" w:hint="default"/>
        </w:rPr>
        <w:t>33</w:t>
      </w:r>
      <w:r>
        <w:rPr/>
        <w:t>号－合并财务报表》及相关规定的要求编制，合并时抵销合并范围内的 所有重大内部交易和往来。子公司的股东权益中不属于母公司所拥有的部分作为少数股东权益在合并财务报表中单独列示。</w:t>
      </w:r>
    </w:p>
    <w:p>
      <w:pPr>
        <w:pStyle w:val="BodyText"/>
        <w:spacing w:line="316" w:lineRule="auto" w:before="31"/>
        <w:ind w:right="94" w:firstLine="420"/>
        <w:jc w:val="left"/>
      </w:pPr>
      <w:r>
        <w:rPr/>
        <w:t>子公司与本公司采用的会计政策或会计期间不一致的，在编制合并财务报表时，按照本公司的会计政策或会计期间对 子公司财务报表进行必要的调整。</w:t>
      </w:r>
    </w:p>
    <w:p>
      <w:pPr>
        <w:pStyle w:val="BodyText"/>
        <w:spacing w:line="240" w:lineRule="auto" w:before="18"/>
        <w:ind w:left="573" w:right="94"/>
        <w:jc w:val="left"/>
      </w:pPr>
      <w:r>
        <w:rPr/>
        <w:t>合并财务报表以母公司和子公司的资产负债表为基础，已抵销了母公司与子公司、子公司相互之间发生的内部交易。</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1"/>
        <w:jc w:val="both"/>
      </w:pPr>
      <w:r>
        <w:rPr/>
        <w:t>子公司所有者权益中不属于母公司的份额，作为少数股东权益，在合并资产负债表中所有者权益项目下以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2"/>
        </w:rPr>
        <w:t>项目列示。子公司持有母公司的长期股权投资，视为企业集团的库存股，作为所有者权益的减项，在合并资产负债表中所有</w:t>
      </w:r>
      <w:r>
        <w:rPr>
          <w:spacing w:val="-65"/>
        </w:rPr>
        <w:t> </w:t>
      </w:r>
      <w:r>
        <w:rPr>
          <w:spacing w:val="-65"/>
        </w:rPr>
      </w: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w:t>
      </w:r>
    </w:p>
    <w:p>
      <w:pPr>
        <w:pStyle w:val="BodyText"/>
        <w:spacing w:line="316" w:lineRule="auto" w:before="5"/>
        <w:ind w:right="191" w:firstLine="420"/>
        <w:jc w:val="both"/>
      </w:pPr>
      <w:r>
        <w:rPr/>
        <w:t>对于同一控制下企业合并取得的子公司，视同该企业合并于自最终控制方开始实时控制时已经发生，从合并当期的期 </w:t>
      </w:r>
      <w:r>
        <w:rPr>
          <w:spacing w:val="-2"/>
        </w:rPr>
        <w:t>初起将其资产、负债、经营成果和现金流量纳入合并财务报表；对于非同一控制下企业合并取得的子公司，在编制合并财务</w:t>
      </w:r>
      <w:r>
        <w:rPr>
          <w:spacing w:val="-64"/>
        </w:rPr>
        <w:t> </w:t>
      </w:r>
      <w:r>
        <w:rPr>
          <w:spacing w:val="-64"/>
        </w:rPr>
      </w:r>
      <w:r>
        <w:rPr/>
        <w:t>报表时，以购买日可辨认净资产公允价值为基础对其个别财务报表进行调整。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441" w:right="94" w:hanging="217"/>
        <w:jc w:val="left"/>
      </w:pPr>
      <w:r>
        <w:rPr>
          <w:rFonts w:ascii="Times New Roman" w:hAnsi="Times New Roman" w:cs="Times New Roman" w:eastAsia="Times New Roman" w:hint="default"/>
        </w:rPr>
        <w:t>1</w:t>
      </w:r>
      <w:r>
        <w:rPr/>
        <w:t>、合营安排的分类 </w:t>
      </w:r>
      <w:r>
        <w:rPr>
          <w:spacing w:val="-1"/>
        </w:rPr>
        <w:t>合营安排分为共同经营和合营企业。未通过单独主体达成的合营安排，划分为共同经营。单独主体，是指具有单独可辨</w:t>
      </w:r>
    </w:p>
    <w:p>
      <w:pPr>
        <w:pStyle w:val="BodyText"/>
        <w:spacing w:line="319" w:lineRule="auto" w:before="2"/>
        <w:ind w:right="190"/>
        <w:jc w:val="both"/>
      </w:pPr>
      <w:r>
        <w:rPr>
          <w:spacing w:val="-2"/>
        </w:rPr>
        <w:t>认的财务架构的主体，包括单独的法人主体和不具备法人主体资格但法律认可的主体。通过单独主体达成的合营安排，通常</w:t>
      </w:r>
      <w:r>
        <w:rPr>
          <w:spacing w:val="-63"/>
        </w:rPr>
        <w:t> </w:t>
      </w:r>
      <w:r>
        <w:rPr>
          <w:spacing w:val="-63"/>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40" w:lineRule="auto" w:before="58"/>
        <w:ind w:left="441" w:right="94"/>
        <w:jc w:val="left"/>
      </w:pPr>
      <w:r>
        <w:rPr>
          <w:rFonts w:ascii="Times New Roman" w:hAnsi="Times New Roman" w:cs="Times New Roman" w:eastAsia="Times New Roman" w:hint="default"/>
        </w:rPr>
        <w:t>2</w:t>
      </w:r>
      <w:r>
        <w:rPr/>
        <w:t>、共同经营的会计处理 </w:t>
      </w:r>
      <w:r>
        <w:rPr>
          <w:spacing w:val="-1"/>
        </w:rPr>
        <w:t>共同经营参与方应当确认其与共同经营中利益份额相关的下列项目，并按照相关企业会计准则的规定进行会计处理：确</w:t>
      </w:r>
    </w:p>
    <w:p>
      <w:pPr>
        <w:pStyle w:val="BodyText"/>
        <w:spacing w:line="338" w:lineRule="auto" w:before="1"/>
        <w:ind w:right="94"/>
        <w:jc w:val="left"/>
      </w:pPr>
      <w:r>
        <w:rPr>
          <w:spacing w:val="-4"/>
        </w:rPr>
        <w:t>认单独所持有的资产或负债，以及按其份额确认共同持有的资产或负债；确认出售其享有的共同经营产出份额所产生的收入；</w:t>
      </w:r>
      <w:r>
        <w:rPr>
          <w:spacing w:val="-44"/>
        </w:rPr>
        <w:t> </w:t>
      </w:r>
      <w:r>
        <w:rPr>
          <w:spacing w:val="-44"/>
        </w:rPr>
      </w:r>
      <w:r>
        <w:rPr/>
        <w:t>按其份额确认共同经营因出售产出所产生的收入；确认单独所发生的费用，以及按其份额确认共同经营发生的费用。 </w:t>
      </w:r>
      <w:r>
        <w:rPr>
          <w:spacing w:val="-2"/>
        </w:rPr>
        <w:t>对共同经营不享有共同控制的参与方，如果享有该共同经营相关资产且承担该共同经营相关负债的，参照共同经营参与方的</w:t>
      </w:r>
    </w:p>
    <w:p>
      <w:pPr>
        <w:pStyle w:val="BodyText"/>
        <w:spacing w:line="240" w:lineRule="auto" w:before="2"/>
        <w:ind w:right="94"/>
        <w:jc w:val="left"/>
      </w:pPr>
      <w:r>
        <w:rPr/>
        <w:t>规定进行会计处理；否则，应当按照相关企业会计准则的规定进行会计处理。</w:t>
      </w:r>
    </w:p>
    <w:p>
      <w:pPr>
        <w:pStyle w:val="BodyText"/>
        <w:spacing w:line="340" w:lineRule="auto" w:before="117"/>
        <w:ind w:left="513" w:right="183"/>
        <w:jc w:val="left"/>
      </w:pPr>
      <w:r>
        <w:rPr>
          <w:rFonts w:ascii="Times New Roman" w:hAnsi="Times New Roman" w:cs="Times New Roman" w:eastAsia="Times New Roman" w:hint="default"/>
        </w:rPr>
        <w:t>3</w:t>
      </w:r>
      <w:r>
        <w:rPr/>
        <w:t>、合营企业的会计处理 合营企业参与方应当按照《企业会计准则第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长期股权投资》的规定对合营企业的投资进行会计处理，不享有共同</w:t>
      </w:r>
    </w:p>
    <w:p>
      <w:pPr>
        <w:pStyle w:val="BodyText"/>
        <w:spacing w:line="215" w:lineRule="exact"/>
        <w:ind w:right="94"/>
        <w:jc w:val="left"/>
      </w:pPr>
      <w:r>
        <w:rPr/>
        <w:t>控制的参与方应当根据其对该合营企业的影响程度进行会计处理。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本公司在编制现金流量表时所确定的现金等价物，是指本公司持有的期限短、流动性强、易于转换为已知金额现金、价值变</w:t>
      </w:r>
      <w:r>
        <w:rPr>
          <w:spacing w:val="-64"/>
        </w:rPr>
        <w:t> </w:t>
      </w:r>
      <w:r>
        <w:rPr>
          <w:spacing w:val="-64"/>
        </w:rPr>
      </w:r>
      <w:r>
        <w:rPr/>
        <w:t>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9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430" w:lineRule="atLeast" w:before="148"/>
        <w:ind w:left="573" w:right="94"/>
        <w:jc w:val="left"/>
      </w:pPr>
      <w:r>
        <w:rPr/>
        <w:t>本公司对发生的外币交易，采用与交易发生日即期汇率折合本位币入账。 资产负债表日，外币货币性项目按资产负债表日即期汇率折算，因该日的即期汇率与初始确认时或者前一资产负债表</w:t>
      </w:r>
    </w:p>
    <w:p>
      <w:pPr>
        <w:pStyle w:val="BodyText"/>
        <w:spacing w:line="316" w:lineRule="auto" w:before="76"/>
        <w:ind w:right="94"/>
        <w:jc w:val="left"/>
      </w:pPr>
      <w:r>
        <w:rPr>
          <w:spacing w:val="-2"/>
        </w:rPr>
        <w:t>日即期汇率不同而产生的汇兑差额，除符合资本化条件的外币专门借款的汇兑差额在资本化期间予以资本化计入相关资产的</w:t>
      </w:r>
      <w:r>
        <w:rPr>
          <w:spacing w:val="-64"/>
        </w:rPr>
        <w:t> </w:t>
      </w:r>
      <w:r>
        <w:rPr>
          <w:spacing w:val="-64"/>
        </w:rPr>
      </w:r>
      <w:r>
        <w:rPr/>
        <w:t>成本外，均计入当期损益。</w:t>
      </w:r>
    </w:p>
    <w:p>
      <w:pPr>
        <w:pStyle w:val="BodyText"/>
        <w:spacing w:line="316" w:lineRule="auto" w:before="138"/>
        <w:ind w:right="190" w:firstLine="360"/>
        <w:jc w:val="both"/>
      </w:pPr>
      <w:r>
        <w:rPr>
          <w:spacing w:val="-2"/>
        </w:rPr>
        <w:t>以历史成本计量的外币非货币性项目，仍采用交易发生日的即期汇率折算，不改变其记账本位币金额。以公允价值计量</w:t>
      </w:r>
      <w:r>
        <w:rPr/>
        <w:t> </w:t>
      </w:r>
      <w:r>
        <w:rPr>
          <w:spacing w:val="-2"/>
        </w:rPr>
        <w:t>的外币非货币性项目，采用公允价值确定日的即期汇率折算，折算后的记账本位币金额与原记账本位币金额的差额，作为公</w:t>
      </w:r>
    </w:p>
    <w:p>
      <w:pPr>
        <w:spacing w:after="0" w:line="316" w:lineRule="auto"/>
        <w:jc w:val="both"/>
        <w:sectPr>
          <w:footerReference w:type="default" r:id="rId20"/>
          <w:pgSz w:w="11910" w:h="16840"/>
          <w:pgMar w:footer="980" w:header="745" w:top="1060" w:bottom="1160" w:left="980" w:right="940"/>
          <w:pgNumType w:start="113"/>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处理，计入当期损益或确认为其他综合收益并计入资本公积。</w:t>
      </w:r>
    </w:p>
    <w:p>
      <w:pPr>
        <w:spacing w:line="240" w:lineRule="auto" w:before="5"/>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58" w:firstLine="420"/>
        <w:jc w:val="both"/>
      </w:pPr>
      <w:r>
        <w:rPr/>
        <w:t>本公司的控股子公司、合营企业、联营企业等，若采用与本公司不同的记账本位币，需对其外币财务报表折算后，再 进行会计核算及合并财务报表的编报。</w:t>
      </w:r>
    </w:p>
    <w:p>
      <w:pPr>
        <w:pStyle w:val="BodyText"/>
        <w:spacing w:line="309" w:lineRule="auto" w:before="139"/>
        <w:ind w:right="15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项目采用发生时的即期汇率折算。利润表中的收入和费用项目，采用交易发生日的近似汇率折算。折算产生的外币财务报表</w:t>
      </w:r>
      <w:r>
        <w:rPr>
          <w:spacing w:val="-63"/>
        </w:rPr>
        <w:t> </w:t>
      </w:r>
      <w:r>
        <w:rPr>
          <w:spacing w:val="-63"/>
        </w:rPr>
      </w:r>
      <w:r>
        <w:rPr/>
        <w:t>折算差额，在资产负债表中所有者权益项目下单独列示。</w:t>
      </w:r>
    </w:p>
    <w:p>
      <w:pPr>
        <w:pStyle w:val="BodyText"/>
        <w:spacing w:line="316" w:lineRule="auto" w:before="144"/>
        <w:ind w:right="157" w:firstLine="420"/>
        <w:jc w:val="both"/>
      </w:pPr>
      <w:r>
        <w:rPr/>
        <w:t>外币现金流量按照系统合理方法确定的，采用交易发生日的即期汇率的近似汇率折算。汇率变动对现金的影响额，在 现金流量表中单独列示。</w:t>
      </w:r>
    </w:p>
    <w:p>
      <w:pPr>
        <w:pStyle w:val="BodyText"/>
        <w:spacing w:line="240" w:lineRule="auto" w:before="139"/>
        <w:ind w:right="0"/>
        <w:jc w:val="both"/>
      </w:pPr>
      <w:r>
        <w:rPr/>
        <w:t>处置境外经营时，与该境外经营有关的外币报表折算差额，全部或按处置该境外经营的比例转入处置当期损益。</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）金融工具的分类及确认</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left="424" w:right="142"/>
        <w:jc w:val="left"/>
      </w:pPr>
      <w:r>
        <w:rPr/>
        <w:t>金融工具划分为金融资产或金融负债。本公司成为金融工具合同的一方时，确认为一项金融资产或金融负债。 金融资产于初始确认时分类为：以公允价值计量且其变动计入当期损益的金融资产、持有至到期投资、应收款项、可供</w:t>
      </w:r>
    </w:p>
    <w:p>
      <w:pPr>
        <w:pStyle w:val="BodyText"/>
        <w:spacing w:line="224" w:lineRule="exact"/>
        <w:ind w:right="0"/>
        <w:jc w:val="both"/>
      </w:pPr>
      <w:r>
        <w:rPr/>
        <w:t>出售金融资产。除应收款项以外的金融资产的分类取决于本公司及其子公司对金融资产的持有意图和持有能力等。金融负债</w:t>
      </w:r>
    </w:p>
    <w:p>
      <w:pPr>
        <w:pStyle w:val="BodyText"/>
        <w:spacing w:line="360" w:lineRule="auto" w:before="76"/>
        <w:ind w:left="424" w:right="142" w:hanging="272"/>
        <w:jc w:val="left"/>
      </w:pPr>
      <w:r>
        <w:rPr/>
        <w:t>于初始确认时分类为：以公允价值计量且其变动计入当期损益的金融负债以及其他金融负债。 以公允价值计量且其变动计入当期损益的金融资产包括持有目的为短期内出售的金融资产；应收款项是指在活跃市场中</w:t>
      </w:r>
    </w:p>
    <w:p>
      <w:pPr>
        <w:pStyle w:val="BodyText"/>
        <w:spacing w:line="222" w:lineRule="exact"/>
        <w:ind w:right="0"/>
        <w:jc w:val="both"/>
      </w:pPr>
      <w:r>
        <w:rPr/>
        <w:t>没有报价、回收金额固定或可确定的非衍生金融资产；可供出售金融资产包括初始确认时即被指定为可供出售的非衍生金融</w:t>
      </w:r>
    </w:p>
    <w:p>
      <w:pPr>
        <w:pStyle w:val="BodyText"/>
        <w:spacing w:line="319" w:lineRule="auto" w:before="76"/>
        <w:ind w:right="0"/>
        <w:jc w:val="left"/>
      </w:pPr>
      <w:r>
        <w:rPr>
          <w:spacing w:val="-2"/>
        </w:rPr>
        <w:t>资产及未被划分为其他类的金融资产；持有至到期投资是指到期日固定、回收金额固定或可确定，且管理层有明确意图和能</w:t>
      </w:r>
      <w:r>
        <w:rPr>
          <w:spacing w:val="-63"/>
        </w:rPr>
        <w:t> </w:t>
      </w:r>
      <w:r>
        <w:rPr>
          <w:spacing w:val="-63"/>
        </w:rPr>
      </w:r>
      <w:r>
        <w:rPr/>
        <w:t>力持有至到期的非衍生金融资产。</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）金融工具的计量方法</w:t>
      </w:r>
      <w:r>
        <w:rPr>
          <w:b w:val="0"/>
          <w:bCs w:val="0"/>
        </w:rPr>
      </w:r>
    </w:p>
    <w:p>
      <w:pPr>
        <w:pStyle w:val="BodyText"/>
        <w:spacing w:line="430" w:lineRule="atLeast" w:before="145"/>
        <w:ind w:left="513" w:right="0" w:firstLine="60"/>
        <w:jc w:val="left"/>
      </w:pPr>
      <w:r>
        <w:rPr/>
        <w:t>本公司成为金融工具合同的一方时，确认为一项金融资产或金融负债。 </w:t>
      </w:r>
      <w:r>
        <w:rPr>
          <w:spacing w:val="-2"/>
        </w:rPr>
        <w:t>本公司金融资产或金融负债初始确认按公允价值计量。后续计量分类为：以公允价值计量且其变动计入当期损益的金融</w:t>
      </w:r>
    </w:p>
    <w:p>
      <w:pPr>
        <w:pStyle w:val="BodyText"/>
        <w:spacing w:line="316" w:lineRule="auto" w:before="76"/>
        <w:ind w:right="152"/>
        <w:jc w:val="both"/>
      </w:pPr>
      <w:r>
        <w:rPr>
          <w:spacing w:val="-2"/>
        </w:rPr>
        <w:t>资产、可供出售金融资产及以公允价值计量且其变动计入当期损益的金融负债按公允价值计量；持有到期投资、贷款和应收</w:t>
      </w:r>
      <w:r>
        <w:rPr>
          <w:spacing w:val="-66"/>
        </w:rPr>
        <w:t> </w:t>
      </w:r>
      <w:r>
        <w:rPr>
          <w:spacing w:val="-66"/>
        </w:rPr>
      </w:r>
      <w:r>
        <w:rPr>
          <w:spacing w:val="-2"/>
        </w:rPr>
        <w:t>款项以及其他金融负债按摊余成本计量；在活跃市场中没有报价且其公允价值不能可靠计量的权益工具投资，以及与该权益</w:t>
      </w:r>
      <w:r>
        <w:rPr>
          <w:spacing w:val="-64"/>
        </w:rPr>
        <w:t> </w:t>
      </w:r>
      <w:r>
        <w:rPr>
          <w:spacing w:val="-64"/>
        </w:rPr>
      </w:r>
      <w:r>
        <w:rPr>
          <w:spacing w:val="-2"/>
        </w:rPr>
        <w:t>工具挂钩并须通过交付该权益工具结算的衍生金融资产或者衍生金融负债，按照成本计量。本公司金融资产或金融负债后续</w:t>
      </w:r>
      <w:r>
        <w:rPr>
          <w:spacing w:val="-64"/>
        </w:rPr>
        <w:t> </w:t>
      </w:r>
      <w:r>
        <w:rPr>
          <w:spacing w:val="-64"/>
        </w:rPr>
      </w:r>
      <w:r>
        <w:rPr>
          <w:spacing w:val="-2"/>
        </w:rPr>
        <w:t>计量中公允价值变动形成的利得或损失，除与套期保值有关外，按照如下方法处理：①以公允价值计量且其变动计入当期损</w:t>
      </w:r>
      <w:r>
        <w:rPr>
          <w:spacing w:val="-66"/>
        </w:rPr>
        <w:t> </w:t>
      </w:r>
      <w:r>
        <w:rPr>
          <w:spacing w:val="-66"/>
        </w:rPr>
      </w:r>
      <w:r>
        <w:rPr>
          <w:spacing w:val="-2"/>
        </w:rPr>
        <w:t>益的金融资产或金融负债公允价值变动形成的利得或损失，计入公允价值变动损益。②可供出售金融资产的公允价值变动计</w:t>
      </w:r>
      <w:r>
        <w:rPr>
          <w:spacing w:val="-64"/>
        </w:rPr>
        <w:t> </w:t>
      </w:r>
      <w:r>
        <w:rPr>
          <w:spacing w:val="-64"/>
        </w:rPr>
      </w:r>
      <w:r>
        <w:rPr/>
        <w:t>入其他综合收益。</w:t>
      </w:r>
    </w:p>
    <w:p>
      <w:pPr>
        <w:spacing w:line="240" w:lineRule="auto" w:before="0"/>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）本公司对金融资产和金融负债的公允价值的确认方法</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50" w:firstLine="360"/>
        <w:jc w:val="both"/>
      </w:pPr>
      <w:r>
        <w:rPr>
          <w:spacing w:val="-2"/>
        </w:rPr>
        <w:t>如存在活跃市场的金融工具，以活跃市场中的报价确定其公允价值；如不存在活跃市场的金融工具，采用估值技术确定</w:t>
      </w:r>
      <w:r>
        <w:rPr/>
        <w:t> 其公允价值。估值技术主要包括市场法、收益法和成本法。</w:t>
      </w: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）金融资产转移的确认依据和计量方法</w:t>
      </w:r>
      <w:r>
        <w:rPr>
          <w:b w:val="0"/>
          <w:bCs w:val="0"/>
        </w:rPr>
      </w:r>
    </w:p>
    <w:p>
      <w:pPr>
        <w:spacing w:after="0" w:line="240" w:lineRule="auto"/>
        <w:jc w:val="both"/>
        <w:sectPr>
          <w:footerReference w:type="default" r:id="rId21"/>
          <w:pgSz w:w="11910" w:h="16840"/>
          <w:pgMar w:footer="980" w:header="745" w:top="1060" w:bottom="1160" w:left="980" w:right="980"/>
          <w:pgNumType w:start="114"/>
        </w:sectPr>
      </w:pPr>
    </w:p>
    <w:p>
      <w:pPr>
        <w:spacing w:line="240" w:lineRule="auto" w:before="9"/>
        <w:rPr>
          <w:rFonts w:ascii="宋体" w:hAnsi="宋体" w:cs="宋体" w:eastAsia="宋体" w:hint="default"/>
          <w:b/>
          <w:bCs/>
          <w:sz w:val="25"/>
          <w:szCs w:val="25"/>
        </w:rPr>
      </w:pPr>
    </w:p>
    <w:p>
      <w:pPr>
        <w:pStyle w:val="BodyText"/>
        <w:spacing w:line="319" w:lineRule="auto" w:before="44"/>
        <w:ind w:right="94" w:firstLine="360"/>
        <w:jc w:val="left"/>
      </w:pPr>
      <w:r>
        <w:rPr/>
        <w:t>金融资产所有权上几乎所有的风险和报酬转移时，或既没有转移也没有保留金融资产所有权上几乎所有的风险和报酬， </w:t>
      </w:r>
      <w:r>
        <w:rPr>
          <w:spacing w:val="-2"/>
        </w:rPr>
        <w:t>但放弃了对该金融资产控制的，应当终止确认该项金融资产。金融资产满足终止确认条件的，将所转移金融资产的账面价值</w:t>
      </w:r>
      <w:r>
        <w:rPr>
          <w:spacing w:val="-63"/>
        </w:rPr>
        <w:t> </w:t>
      </w:r>
      <w:r>
        <w:rPr>
          <w:spacing w:val="-63"/>
        </w:rPr>
      </w: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3"/>
        </w:rPr>
        <w:t> </w:t>
      </w:r>
      <w:r>
        <w:rPr>
          <w:spacing w:val="-63"/>
        </w:rPr>
      </w:r>
      <w:r>
        <w:rPr/>
        <w:t>分摊。</w:t>
      </w:r>
    </w:p>
    <w:p>
      <w:pPr>
        <w:pStyle w:val="BodyText"/>
        <w:spacing w:line="240" w:lineRule="auto" w:before="58"/>
        <w:ind w:left="513" w:right="94"/>
        <w:jc w:val="left"/>
      </w:pPr>
      <w:r>
        <w:rPr/>
        <w:t>金融负债的现时义务全部或部分已经解除的，则应终止确认该金融负债或其一部分。</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t>（</w:t>
      </w:r>
      <w:r>
        <w:rPr>
          <w:rFonts w:ascii="Times New Roman" w:hAnsi="Times New Roman" w:cs="Times New Roman" w:eastAsia="Times New Roman" w:hint="default"/>
        </w:rPr>
        <w:t>5</w:t>
      </w:r>
      <w:r>
        <w:rPr/>
        <w:t>）金融资产（不含应收款项）减值测试方法、减值准备计提方法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1" w:firstLine="360"/>
        <w:jc w:val="both"/>
      </w:pP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r>
        <w:rPr/>
        <w:t> </w:t>
      </w:r>
      <w:r>
        <w:rPr>
          <w:spacing w:val="-2"/>
        </w:rPr>
        <w:t>额，计提减值准备。如果有客观证据表明该金融资产价值已恢复，且客观上与确认该损失后发生的事项有关，原确认的减值</w:t>
      </w:r>
      <w:r>
        <w:rPr>
          <w:spacing w:val="-64"/>
        </w:rPr>
        <w:t> </w:t>
      </w:r>
      <w:r>
        <w:rPr>
          <w:spacing w:val="-64"/>
        </w:rPr>
      </w:r>
      <w:r>
        <w:rPr/>
        <w:t>损失予以转回，计入当期损益。</w:t>
      </w:r>
    </w:p>
    <w:p>
      <w:pPr>
        <w:spacing w:line="240" w:lineRule="auto" w:before="11"/>
        <w:rPr>
          <w:rFonts w:ascii="宋体" w:hAnsi="宋体" w:cs="宋体" w:eastAsia="宋体" w:hint="default"/>
          <w:sz w:val="24"/>
          <w:szCs w:val="24"/>
        </w:rPr>
      </w:pPr>
    </w:p>
    <w:p>
      <w:pPr>
        <w:pStyle w:val="BodyText"/>
        <w:spacing w:line="316" w:lineRule="auto"/>
        <w:ind w:right="111" w:firstLine="360"/>
        <w:jc w:val="both"/>
      </w:pPr>
      <w:r>
        <w:rPr/>
        <w:t>以成本计量的金融资产发生减值时，按预计未来现金流量现值低于账面价值的差额，计提减值准备。发生的减值损失， 一经确认，不再转回。</w:t>
      </w:r>
    </w:p>
    <w:p>
      <w:pPr>
        <w:spacing w:line="240" w:lineRule="auto" w:before="5"/>
        <w:rPr>
          <w:rFonts w:ascii="宋体" w:hAnsi="宋体" w:cs="宋体" w:eastAsia="宋体" w:hint="default"/>
          <w:sz w:val="24"/>
          <w:szCs w:val="24"/>
        </w:rPr>
      </w:pPr>
    </w:p>
    <w:p>
      <w:pPr>
        <w:pStyle w:val="BodyText"/>
        <w:spacing w:line="316" w:lineRule="auto"/>
        <w:ind w:right="190" w:firstLine="360"/>
        <w:jc w:val="both"/>
      </w:pPr>
      <w:r>
        <w:rPr>
          <w:spacing w:val="-2"/>
        </w:rPr>
        <w:t>当有客观证据表明可供出售金融资产发生减值时，原直接计入股东权益的因公允价值下降形成的累计损失予以转出并计</w:t>
      </w:r>
      <w:r>
        <w:rPr/>
        <w:t> </w:t>
      </w: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3"/>
        </w:rPr>
        <w:t> </w:t>
      </w:r>
      <w:r>
        <w:rPr>
          <w:spacing w:val="-63"/>
        </w:rPr>
      </w:r>
      <w:r>
        <w:rPr/>
        <w:t>入股东权益。</w:t>
      </w:r>
    </w:p>
    <w:p>
      <w:pPr>
        <w:spacing w:line="240" w:lineRule="auto" w:before="5"/>
        <w:rPr>
          <w:rFonts w:ascii="宋体" w:hAnsi="宋体" w:cs="宋体" w:eastAsia="宋体" w:hint="default"/>
          <w:sz w:val="24"/>
          <w:szCs w:val="24"/>
        </w:rPr>
      </w:pPr>
    </w:p>
    <w:p>
      <w:pPr>
        <w:pStyle w:val="BodyText"/>
        <w:spacing w:line="300" w:lineRule="auto"/>
        <w:ind w:right="191" w:firstLine="360"/>
        <w:jc w:val="both"/>
      </w:pPr>
      <w:r>
        <w:rPr>
          <w:spacing w:val="-1"/>
        </w:rPr>
        <w:t>对于权益工具投资，本公司判断其公允价值发生</w:t>
      </w:r>
      <w:r>
        <w:rPr>
          <w:rFonts w:ascii="Times New Roman" w:hAnsi="Times New Roman" w:cs="Times New Roman" w:eastAsia="Times New Roman" w:hint="default"/>
          <w:spacing w:val="-1"/>
        </w:rPr>
        <w:t>“</w:t>
      </w:r>
      <w:r>
        <w:rPr>
          <w:spacing w:val="-1"/>
        </w:rPr>
        <w:t>严重</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非暂时性</w:t>
      </w:r>
      <w:r>
        <w:rPr>
          <w:rFonts w:ascii="Times New Roman" w:hAnsi="Times New Roman" w:cs="Times New Roman" w:eastAsia="Times New Roman" w:hint="default"/>
          <w:spacing w:val="-1"/>
        </w:rPr>
        <w:t>”</w:t>
      </w:r>
      <w:r>
        <w:rPr>
          <w:spacing w:val="-1"/>
        </w:rPr>
        <w:t>下跌的具体量化标准、成本的计算方法、期末公允</w:t>
      </w:r>
      <w:r>
        <w:rPr/>
        <w:t> 价值的确定方法，以及持续下跌期间的确定依据为：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92"/>
        <w:jc w:val="right"/>
      </w:pPr>
      <w:r>
        <w:rPr/>
        <w:pict>
          <v:shape style="position:absolute;margin-left:56.279999pt;margin-top:-49.828274pt;width:479.05pt;height:134.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70"/>
                    <w:gridCol w:w="5089"/>
                  </w:tblGrid>
                  <w:tr>
                    <w:trPr>
                      <w:trHeight w:val="348" w:hRule="exact"/>
                    </w:trPr>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严重</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期末公允价值相对于成本的下跌幅度已达到或超过</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46" w:hRule="exact"/>
                    </w:trPr>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公允价值发生</w:t>
                        </w:r>
                        <w:r>
                          <w:rPr>
                            <w:rFonts w:ascii="Times New Roman" w:hAnsi="Times New Roman" w:cs="Times New Roman" w:eastAsia="Times New Roman" w:hint="default"/>
                            <w:sz w:val="18"/>
                            <w:szCs w:val="18"/>
                          </w:rPr>
                          <w:t>“</w:t>
                        </w:r>
                        <w:r>
                          <w:rPr>
                            <w:rFonts w:ascii="宋体" w:hAnsi="宋体" w:cs="宋体" w:eastAsia="宋体" w:hint="default"/>
                            <w:sz w:val="18"/>
                            <w:szCs w:val="18"/>
                          </w:rPr>
                          <w:t>非暂时性</w:t>
                        </w:r>
                        <w:r>
                          <w:rPr>
                            <w:rFonts w:ascii="Times New Roman" w:hAnsi="Times New Roman" w:cs="Times New Roman" w:eastAsia="Times New Roman" w:hint="default"/>
                            <w:sz w:val="18"/>
                            <w:szCs w:val="18"/>
                          </w:rPr>
                          <w:t>”</w:t>
                        </w:r>
                        <w:r>
                          <w:rPr>
                            <w:rFonts w:ascii="宋体" w:hAnsi="宋体" w:cs="宋体" w:eastAsia="宋体" w:hint="default"/>
                            <w:sz w:val="18"/>
                            <w:szCs w:val="18"/>
                          </w:rPr>
                          <w:t>下跌的具体量化标准</w:t>
                        </w:r>
                      </w:p>
                    </w:tc>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个月出现下跌。</w:t>
                        </w:r>
                      </w:p>
                    </w:tc>
                  </w:tr>
                  <w:tr>
                    <w:trPr>
                      <w:trHeight w:val="660" w:hRule="exact"/>
                    </w:trPr>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成本的计算方法</w:t>
                        </w:r>
                      </w:p>
                    </w:tc>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取得时按支付对价（扣除已宣告但尚未发放的现金股利或已到付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息期但尚未领取的债券利息）和相关交易费用之和作为投资成本</w:t>
                        </w:r>
                      </w:p>
                    </w:tc>
                  </w:tr>
                  <w:tr>
                    <w:trPr>
                      <w:trHeight w:val="660" w:hRule="exact"/>
                    </w:trPr>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期末公允价值的确定方法</w:t>
                        </w:r>
                      </w:p>
                    </w:tc>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7"/>
                          <w:jc w:val="left"/>
                          <w:rPr>
                            <w:rFonts w:ascii="宋体" w:hAnsi="宋体" w:cs="宋体" w:eastAsia="宋体" w:hint="default"/>
                            <w:sz w:val="18"/>
                            <w:szCs w:val="18"/>
                          </w:rPr>
                        </w:pPr>
                        <w:r>
                          <w:rPr>
                            <w:rFonts w:ascii="宋体" w:hAnsi="宋体" w:cs="宋体" w:eastAsia="宋体" w:hint="default"/>
                            <w:spacing w:val="-3"/>
                            <w:sz w:val="18"/>
                            <w:szCs w:val="18"/>
                          </w:rPr>
                          <w:t>存在活跃市场的金融工具，以活跃市场中的报价确定其公允价值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如不存在活跃市场的金融工具，采用估值技术确定其公允价值。</w:t>
                        </w:r>
                      </w:p>
                    </w:tc>
                  </w:tr>
                  <w:tr>
                    <w:trPr>
                      <w:trHeight w:val="658" w:hRule="exact"/>
                    </w:trPr>
                    <w:tc>
                      <w:tcPr>
                        <w:tcW w:w="4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持续下跌期间的确定依据</w:t>
                        </w:r>
                      </w:p>
                    </w:tc>
                    <w:tc>
                      <w:tcPr>
                        <w:tcW w:w="508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连续下跌或在下跌趋势持续期间反弹上扬幅度低于</w:t>
                        </w:r>
                        <w:r>
                          <w:rPr>
                            <w:rFonts w:ascii="Times New Roman" w:hAnsi="Times New Roman" w:cs="Times New Roman" w:eastAsia="Times New Roman" w:hint="default"/>
                            <w:sz w:val="18"/>
                            <w:szCs w:val="18"/>
                          </w:rPr>
                          <w:t>20%</w:t>
                        </w:r>
                        <w:r>
                          <w:rPr>
                            <w:rFonts w:ascii="宋体" w:hAnsi="宋体" w:cs="宋体" w:eastAsia="宋体" w:hint="default"/>
                            <w:sz w:val="18"/>
                            <w:szCs w:val="18"/>
                          </w:rPr>
                          <w:t>，反弹持</w:t>
                        </w:r>
                        <w:r>
                          <w:rPr>
                            <w:rFonts w:ascii="宋体" w:hAnsi="宋体" w:cs="宋体" w:eastAsia="宋体" w:hint="default"/>
                            <w:spacing w:val="-40"/>
                            <w:sz w:val="18"/>
                            <w:szCs w:val="18"/>
                          </w:rPr>
                          <w:t> </w:t>
                        </w:r>
                        <w:r>
                          <w:rPr>
                            <w:rFonts w:ascii="宋体" w:hAnsi="宋体" w:cs="宋体" w:eastAsia="宋体" w:hint="default"/>
                            <w:sz w:val="18"/>
                            <w:szCs w:val="18"/>
                          </w:rPr>
                          <w:t>续时间未超过</w:t>
                        </w:r>
                        <w:r>
                          <w:rPr>
                            <w:rFonts w:ascii="Times New Roman" w:hAnsi="Times New Roman" w:cs="Times New Roman" w:eastAsia="Times New Roman" w:hint="default"/>
                            <w:sz w:val="18"/>
                            <w:szCs w:val="18"/>
                          </w:rPr>
                          <w:t>6</w:t>
                        </w:r>
                        <w:r>
                          <w:rPr>
                            <w:rFonts w:ascii="宋体" w:hAnsi="宋体" w:cs="宋体" w:eastAsia="宋体" w:hint="default"/>
                            <w:sz w:val="18"/>
                            <w:szCs w:val="18"/>
                          </w:rPr>
                          <w:t>个月的均作为持续下跌期间。</w:t>
                        </w:r>
                      </w:p>
                    </w:tc>
                  </w:tr>
                </w:tbl>
                <w:p>
                  <w:pPr/>
                </w:p>
              </w:txbxContent>
            </v:textbox>
            <w10:wrap type="none"/>
          </v:shape>
        </w:pict>
      </w:r>
      <w:r>
        <w:rPr/>
        <w:t>。</w:t>
      </w:r>
    </w:p>
    <w:p>
      <w:pPr>
        <w:pStyle w:val="BodyText"/>
        <w:spacing w:line="240" w:lineRule="auto" w:before="110"/>
        <w:ind w:left="0" w:right="19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应收账款余额超过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万元、其他应收款余额超过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 上的款项</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按应收款项个别认定及账龄分析法相结合计提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采用不计提坏账准备的组合</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经确认款项不能收回</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按应收款项个别认定法计提</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 公司是否需要遵守特殊行业的披露要求 否</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420"/>
        <w:jc w:val="left"/>
      </w:pPr>
      <w:r>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right="0"/>
        <w:jc w:val="left"/>
      </w:pPr>
      <w:r>
        <w:rPr/>
        <w:t>计价方法：加权平均法</w:t>
      </w:r>
    </w:p>
    <w:p>
      <w:pPr>
        <w:spacing w:line="240" w:lineRule="auto" w:before="0"/>
        <w:rPr>
          <w:rFonts w:ascii="宋体" w:hAnsi="宋体" w:cs="宋体" w:eastAsia="宋体" w:hint="default"/>
          <w:sz w:val="18"/>
          <w:szCs w:val="18"/>
        </w:rPr>
      </w:pPr>
    </w:p>
    <w:p>
      <w:pPr>
        <w:pStyle w:val="Heading4"/>
        <w:spacing w:line="240" w:lineRule="auto" w:before="123"/>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53" w:firstLine="420"/>
        <w:jc w:val="both"/>
      </w:pPr>
      <w:r>
        <w:rPr/>
        <w:t>资产负债表日，存货按照成本与可变现净值孰低计量，并按单个存货项目计提存货跌价准备，但对于数量繁多、单价 较低的存货，按照存货类别计提存货跌价准备。</w:t>
      </w:r>
    </w:p>
    <w:p>
      <w:pPr>
        <w:pStyle w:val="BodyText"/>
        <w:spacing w:line="316" w:lineRule="auto" w:before="139"/>
        <w:ind w:right="150" w:firstLine="360"/>
        <w:jc w:val="both"/>
      </w:pPr>
      <w:r>
        <w:rPr>
          <w:spacing w:val="-2"/>
        </w:rPr>
        <w:t>存货可变现净值的确定依据：①产成品可变现净值为估计售价减去估计的销售费用和相关税费后金额；②为生产而持有</w:t>
      </w:r>
      <w:r>
        <w:rPr/>
        <w:t> </w:t>
      </w:r>
      <w:r>
        <w:rPr>
          <w:spacing w:val="-2"/>
        </w:rPr>
        <w:t>的材料等，当用其生产的产成品的可变现净值高于成本时按照成本计量；当材料价格下降表明产成品的可变现净值低于成本</w:t>
      </w:r>
      <w:r>
        <w:rPr>
          <w:spacing w:val="-64"/>
        </w:rPr>
        <w:t> </w:t>
      </w:r>
      <w:r>
        <w:rPr>
          <w:spacing w:val="-64"/>
        </w:rPr>
      </w:r>
      <w:r>
        <w:rPr>
          <w:spacing w:val="-2"/>
        </w:rPr>
        <w:t>时，可变现净值为估计售价减去至完工时估计将要发生的成本、估计的销售费用以及相关税费后的金额确定。③持有待售的</w:t>
      </w:r>
      <w:r>
        <w:rPr>
          <w:spacing w:val="-63"/>
        </w:rPr>
        <w:t> </w:t>
      </w:r>
      <w:r>
        <w:rPr>
          <w:spacing w:val="-63"/>
        </w:rPr>
      </w:r>
      <w:r>
        <w:rPr/>
        <w:t>材料等，可变现净值为市场售价。</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ind w:right="0"/>
        <w:jc w:val="left"/>
      </w:pPr>
      <w:r>
        <w:rPr/>
        <w:t>盘存制度：永续盘存制</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2"/>
        <w:rPr>
          <w:rFonts w:ascii="宋体" w:hAnsi="宋体" w:cs="宋体" w:eastAsia="宋体" w:hint="default"/>
          <w:b/>
          <w:bCs/>
          <w:sz w:val="25"/>
          <w:szCs w:val="25"/>
        </w:rPr>
      </w:pPr>
    </w:p>
    <w:p>
      <w:pPr>
        <w:pStyle w:val="BodyText"/>
        <w:spacing w:line="357" w:lineRule="auto"/>
        <w:ind w:right="7974"/>
        <w:jc w:val="left"/>
      </w:pPr>
      <w:r>
        <w:rPr/>
        <w:t>低值易耗品 摊销方法：一次摊销法 包装物</w:t>
      </w:r>
    </w:p>
    <w:p>
      <w:pPr>
        <w:pStyle w:val="BodyText"/>
        <w:spacing w:line="360" w:lineRule="auto" w:before="29"/>
        <w:ind w:right="7434"/>
        <w:jc w:val="left"/>
      </w:pPr>
      <w:r>
        <w:rPr/>
        <w:t>摊销方法：其他 包装物采用一次转销法摊销。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0"/>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180"/>
        <w:jc w:val="left"/>
      </w:pPr>
      <w:r>
        <w:rPr>
          <w:spacing w:val="-2"/>
        </w:rPr>
        <w:t>本公司将同时满足下列条件的非流动资产应当划分为持有待售：一是企业已经就处置该非流动资产作出决议；二是企业已</w:t>
      </w:r>
      <w:r>
        <w:rPr/>
        <w:t> 经与受让方签订了不可撤销的转让协议；三是该项转让将在一年内完成。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48" w:firstLine="300"/>
        <w:jc w:val="both"/>
      </w:pPr>
      <w:r>
        <w:rPr>
          <w:spacing w:val="-1"/>
        </w:rPr>
        <w:t>①对于企业合并取得的长期股权投资，如为同一控制下的企业合并，应当按照取得被合并方所有者权益账面价值的份额</w:t>
      </w:r>
      <w:r>
        <w:rPr/>
        <w:t> </w:t>
      </w:r>
      <w:r>
        <w:rPr>
          <w:spacing w:val="-2"/>
        </w:rPr>
        <w:t>确认为初始成本；非同一控制下的企业合并，应当按购买日确定的合并成本确认为初始成本；②以支付现金取得的长期股权</w:t>
      </w:r>
      <w:r>
        <w:rPr>
          <w:spacing w:val="-61"/>
        </w:rPr>
        <w:t> </w:t>
      </w:r>
      <w:r>
        <w:rPr>
          <w:spacing w:val="-61"/>
        </w:rPr>
      </w:r>
      <w:r>
        <w:rPr>
          <w:spacing w:val="-2"/>
        </w:rPr>
        <w:t>投资，初始投资成本为实际支付的购买价款；③以发行权益性证券取得的长期股权投资，初始投资成本为发行权益性证券的</w:t>
      </w:r>
      <w:r>
        <w:rPr>
          <w:spacing w:val="-63"/>
        </w:rPr>
        <w:t> </w:t>
      </w:r>
      <w:r>
        <w:rPr>
          <w:spacing w:val="-63"/>
        </w:rPr>
      </w:r>
      <w:r>
        <w:rPr>
          <w:spacing w:val="-2"/>
        </w:rPr>
        <w:t>公允价值；④通过债务重组取得的长期股权投资，其初始投资成本应当按照《企业会计准则第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债务重组》的有关规定</w:t>
      </w:r>
      <w:r>
        <w:rPr>
          <w:spacing w:val="-61"/>
        </w:rPr>
        <w:t> </w:t>
      </w:r>
      <w:r>
        <w:rPr>
          <w:spacing w:val="-61"/>
        </w:rPr>
      </w:r>
      <w:r>
        <w:rPr/>
        <w:t>确定；⑤非货币性资产交换取得的长期股权投资，初始投资成本根据准则相关规定确定。</w:t>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49" w:firstLine="300"/>
        <w:jc w:val="both"/>
      </w:pPr>
      <w:r>
        <w:rPr>
          <w:spacing w:val="-1"/>
        </w:rPr>
        <w:t>投资方能够对被投资单位实施控制的长期股权投资应当采用成本法核算，对联营企业和合营企业的长期股权投资采用权</w:t>
      </w:r>
      <w:r>
        <w:rPr/>
        <w:t> </w:t>
      </w:r>
      <w:r>
        <w:rPr>
          <w:spacing w:val="-2"/>
        </w:rPr>
        <w:t>益法核算。投资方对联营企业的权益性投资，其中一部分通过风险投资机构、共同基金、信托公司或包括投连险基金在内的</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88"/>
        <w:jc w:val="both"/>
      </w:pPr>
      <w:r>
        <w:rPr>
          <w:spacing w:val="-2"/>
        </w:rPr>
        <w:t>类似主体间接持有的，无论以上主体是否对这部分投资具有重大影响，投资方都应当按照《企业会计准则第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0"/>
        </w:rPr>
        <w:t> </w:t>
      </w:r>
      <w:r>
        <w:rPr>
          <w:spacing w:val="-60"/>
        </w:rPr>
      </w:r>
      <w:r>
        <w:rPr>
          <w:spacing w:val="-2"/>
        </w:rPr>
        <w:t>具确认和计量》的有关规定，对间接持有的该部分投资选择以公允价值计量且其变动计入损益，并对其余部分采用权益法核</w:t>
      </w:r>
      <w:r>
        <w:rPr>
          <w:spacing w:val="-65"/>
        </w:rPr>
        <w:t> </w:t>
      </w:r>
      <w:r>
        <w:rPr>
          <w:spacing w:val="-65"/>
        </w:rPr>
      </w:r>
      <w:r>
        <w:rPr/>
        <w:t>算。</w:t>
      </w:r>
    </w:p>
    <w:p>
      <w:pPr>
        <w:spacing w:line="240" w:lineRule="auto" w:before="5"/>
        <w:rPr>
          <w:rFonts w:ascii="宋体" w:hAnsi="宋体" w:cs="宋体" w:eastAsia="宋体" w:hint="default"/>
          <w:sz w:val="23"/>
          <w:szCs w:val="23"/>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12"/>
        <w:rPr>
          <w:rFonts w:ascii="宋体" w:hAnsi="宋体" w:cs="宋体" w:eastAsia="宋体" w:hint="default"/>
          <w:b/>
          <w:bCs/>
          <w:sz w:val="25"/>
          <w:szCs w:val="25"/>
        </w:rPr>
      </w:pPr>
    </w:p>
    <w:p>
      <w:pPr>
        <w:pStyle w:val="BodyText"/>
        <w:spacing w:line="314" w:lineRule="auto"/>
        <w:ind w:right="191" w:firstLine="360"/>
        <w:jc w:val="both"/>
      </w:pPr>
      <w:r>
        <w:rPr>
          <w:spacing w:val="-2"/>
        </w:rPr>
        <w:t>对被投资单位具有共同控制，是指对某项安排的回报产生重大影响的活动必须经过分享控制权的参与方一致同意后才能</w:t>
      </w:r>
      <w:r>
        <w:rPr/>
        <w:t> </w:t>
      </w:r>
      <w:r>
        <w:rPr>
          <w:spacing w:val="-2"/>
        </w:rPr>
        <w:t>决策，包括商品或劳务的销售和购买、金融资产的管理、资产的购买和处置、研究与开发活动以及融资活动等；对被投资单</w:t>
      </w:r>
      <w:r>
        <w:rPr>
          <w:spacing w:val="-66"/>
        </w:rPr>
        <w:t> </w:t>
      </w:r>
      <w:r>
        <w:rPr>
          <w:spacing w:val="-66"/>
        </w:rPr>
      </w:r>
      <w:r>
        <w:rPr/>
        <w:t>位具有重大影响，是指当持有被投资单位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的表决权资本时，具有重大影响。或虽不足</w:t>
      </w:r>
      <w:r>
        <w:rPr>
          <w:rFonts w:ascii="Times New Roman" w:hAnsi="Times New Roman" w:cs="Times New Roman" w:eastAsia="Times New Roman" w:hint="default"/>
        </w:rPr>
        <w:t>20%</w:t>
      </w:r>
      <w:r>
        <w:rPr/>
        <w:t>，但符合下列条件 </w:t>
      </w:r>
      <w:r>
        <w:rPr>
          <w:spacing w:val="-2"/>
        </w:rPr>
        <w:t>之一时，具有重大影响：在被投资单位的董事会或类似的权力机构中派有代表；参与被投资单位的政策制定过程；向被投资</w:t>
      </w:r>
      <w:r>
        <w:rPr>
          <w:spacing w:val="-64"/>
        </w:rPr>
        <w:t> </w:t>
      </w:r>
      <w:r>
        <w:rPr>
          <w:spacing w:val="-64"/>
        </w:rPr>
      </w:r>
      <w:r>
        <w:rPr/>
        <w:t>单位派出管理人员；被投资单位依赖投资公司的技术或技术资料；与被投资单位之间发生重要交易。</w:t>
      </w:r>
    </w:p>
    <w:p>
      <w:pPr>
        <w:spacing w:line="240" w:lineRule="auto" w:before="1"/>
        <w:rPr>
          <w:rFonts w:ascii="宋体" w:hAnsi="宋体" w:cs="宋体" w:eastAsia="宋体" w:hint="default"/>
          <w:sz w:val="23"/>
          <w:szCs w:val="23"/>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13"/>
        <w:rPr>
          <w:rFonts w:ascii="宋体" w:hAnsi="宋体" w:cs="宋体" w:eastAsia="宋体" w:hint="default"/>
          <w:b/>
          <w:bCs/>
          <w:sz w:val="25"/>
          <w:szCs w:val="25"/>
        </w:rPr>
      </w:pPr>
    </w:p>
    <w:p>
      <w:pPr>
        <w:pStyle w:val="BodyText"/>
        <w:spacing w:line="316" w:lineRule="auto"/>
        <w:ind w:right="190" w:firstLine="288"/>
        <w:jc w:val="both"/>
      </w:pPr>
      <w:r>
        <w:rPr>
          <w:spacing w:val="-1"/>
        </w:rPr>
        <w:t>资产负债表日，本公司对长期股权投资检查是否存在可能发生减值的迹象，当存在减值迹象时应进行减值测试确认其可</w:t>
      </w:r>
      <w:r>
        <w:rPr/>
        <w:t> </w:t>
      </w:r>
      <w:r>
        <w:rPr>
          <w:spacing w:val="-2"/>
        </w:rPr>
        <w:t>收回金额，按账面价值与可收回金额孰低计提减值准备，减值损失一经计提，在以后会计期间不再转回。可收回金额按照长</w:t>
      </w:r>
      <w:r>
        <w:rPr>
          <w:spacing w:val="-64"/>
        </w:rPr>
        <w:t> </w:t>
      </w:r>
      <w:r>
        <w:rPr>
          <w:spacing w:val="-64"/>
        </w:rPr>
      </w:r>
      <w:r>
        <w:rPr>
          <w:spacing w:val="-2"/>
        </w:rPr>
        <w:t>期股权投资出售的公允价值净额与预计未来现金流量的现值之间孰高确定。长期股权投资出售的公允价值净额，如存在公平</w:t>
      </w:r>
      <w:r>
        <w:rPr>
          <w:spacing w:val="-64"/>
        </w:rPr>
        <w:t> </w:t>
      </w:r>
      <w:r>
        <w:rPr>
          <w:spacing w:val="-64"/>
        </w:rPr>
      </w:r>
      <w:r>
        <w:rPr>
          <w:spacing w:val="-2"/>
        </w:rPr>
        <w:t>交易的协议价格，则按照协议价格减去相关税费；若不存在公平交易销售协议但存在资产活跃市场或同行业类似资产交易价</w:t>
      </w:r>
      <w:r>
        <w:rPr>
          <w:spacing w:val="-64"/>
        </w:rPr>
        <w:t> </w:t>
      </w:r>
      <w:r>
        <w:rPr>
          <w:spacing w:val="-64"/>
        </w:rPr>
      </w:r>
      <w:r>
        <w:rPr/>
        <w:t>格，按照市场价格减去相关税费。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834"/>
        <w:jc w:val="left"/>
      </w:pPr>
      <w:r>
        <w:rPr/>
        <w:t>投资性房地产计量模式 公允价值计量 选择公允价值计量的依据</w:t>
      </w:r>
    </w:p>
    <w:p>
      <w:pPr>
        <w:pStyle w:val="BodyText"/>
        <w:spacing w:line="240" w:lineRule="auto" w:before="25"/>
        <w:ind w:left="224" w:right="94"/>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pStyle w:val="BodyText"/>
        <w:spacing w:line="300" w:lineRule="auto" w:before="63"/>
        <w:ind w:left="513" w:right="3495" w:hanging="72"/>
        <w:jc w:val="left"/>
      </w:pPr>
      <w:r>
        <w:rPr>
          <w:rFonts w:ascii="Times New Roman" w:hAnsi="Times New Roman" w:cs="Times New Roman" w:eastAsia="Times New Roman" w:hint="default"/>
        </w:rPr>
        <w:t>2</w:t>
      </w:r>
      <w:r>
        <w:rPr/>
        <w:t>、投资性房地产按照成本进行初始计量，采用公允价值模式进行后续计量。 采用公允价值模式进行后续计量的投资性房地产，会计政策选择的依据为：</w:t>
      </w:r>
    </w:p>
    <w:p>
      <w:pPr>
        <w:pStyle w:val="BodyText"/>
        <w:spacing w:line="240" w:lineRule="auto" w:before="31"/>
        <w:ind w:left="513" w:right="94"/>
        <w:jc w:val="left"/>
      </w:pPr>
      <w:r>
        <w:rPr/>
        <w:t>（</w:t>
      </w:r>
      <w:r>
        <w:rPr>
          <w:rFonts w:ascii="Times New Roman" w:hAnsi="Times New Roman" w:cs="Times New Roman" w:eastAsia="Times New Roman" w:hint="default"/>
        </w:rPr>
        <w:t>1</w:t>
      </w:r>
      <w:r>
        <w:rPr/>
        <w:t>）投资性房地产所在地有活跃的房地产交易市场。</w:t>
      </w:r>
    </w:p>
    <w:p>
      <w:pPr>
        <w:pStyle w:val="BodyText"/>
        <w:spacing w:line="300" w:lineRule="auto" w:before="63"/>
        <w:ind w:right="199" w:firstLine="360"/>
        <w:jc w:val="both"/>
      </w:pPr>
      <w:r>
        <w:rPr/>
        <w:t>（</w:t>
      </w:r>
      <w:r>
        <w:rPr>
          <w:rFonts w:ascii="Times New Roman" w:hAnsi="Times New Roman" w:cs="Times New Roman" w:eastAsia="Times New Roman" w:hint="default"/>
        </w:rPr>
        <w:t>2</w:t>
      </w:r>
      <w:r>
        <w:rPr/>
        <w:t>）公司能够从房地产交易市场上取得同类或类似房地产的市场价格及其他相关信息，从而对投资性房地产的公允价 值作出合理的估计。</w:t>
      </w:r>
    </w:p>
    <w:p>
      <w:pPr>
        <w:pStyle w:val="BodyText"/>
        <w:spacing w:line="316" w:lineRule="auto" w:before="31"/>
        <w:ind w:right="192" w:firstLine="360"/>
        <w:jc w:val="both"/>
      </w:pPr>
      <w:r>
        <w:rPr>
          <w:spacing w:val="-2"/>
        </w:rPr>
        <w:t>本公司对投资性房地产不计提折旧或进行摊销，在资产负债表日以投资性房地产的公允价值为基础调整其账面价值，公</w:t>
      </w:r>
      <w:r>
        <w:rPr/>
        <w:t> 允价值与原账面价值之间的差额计入当期损益。</w:t>
      </w:r>
    </w:p>
    <w:p>
      <w:pPr>
        <w:pStyle w:val="BodyText"/>
        <w:spacing w:line="319" w:lineRule="auto" w:before="19"/>
        <w:ind w:right="94" w:firstLine="360"/>
        <w:jc w:val="left"/>
      </w:pPr>
      <w:r>
        <w:rPr>
          <w:spacing w:val="-2"/>
        </w:rPr>
        <w:t>公司有确凿证据表明房地产用途发生改变，将投资性房地产转换为自用房地产时，以其转换当日的公允价值作为自用房</w:t>
      </w:r>
      <w:r>
        <w:rPr/>
        <w:t> </w:t>
      </w:r>
      <w:r>
        <w:rPr>
          <w:spacing w:val="-2"/>
        </w:rPr>
        <w:t>地产的账面价值，公允价值与原账面价值的差额计入当期损益。公司将自用房地产或存货转换为采用公允价值模式计量的投</w:t>
      </w:r>
      <w:r>
        <w:rPr>
          <w:spacing w:val="-64"/>
        </w:rPr>
        <w:t> </w:t>
      </w:r>
      <w:r>
        <w:rPr>
          <w:spacing w:val="-64"/>
        </w:rPr>
      </w:r>
      <w:r>
        <w:rPr>
          <w:spacing w:val="-4"/>
        </w:rPr>
        <w:t>资性房地产时，投资性房地产按照转换当日的公允价值计价，转换当日的公允价值小于原账面价值的，其差额计入当期损益；</w:t>
      </w:r>
      <w:r>
        <w:rPr>
          <w:spacing w:val="-44"/>
        </w:rPr>
        <w:t> </w:t>
      </w:r>
      <w:r>
        <w:rPr>
          <w:spacing w:val="-44"/>
        </w:rPr>
      </w:r>
      <w:r>
        <w:rPr/>
        <w:t>转换当日的公允价值大于原账面价值的，其差额计入其他综合收益。</w:t>
      </w:r>
    </w:p>
    <w:p>
      <w:pPr>
        <w:spacing w:after="0" w:line="319"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3" w:firstLine="91"/>
        <w:jc w:val="left"/>
      </w:pPr>
      <w:r>
        <w:rPr/>
        <w:t>固定资产指为生产商品、提供劳务、出租或经营管理而持有的，使用寿命超过一个会计年度的有形资产。同时满足以下条 件时予以确认：①与该固定资产有关的经济利益很可能流入企业；②该固定资产的成本能够可靠地计量。</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4.75%/3.17%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9.50%/6.33%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19"/>
          <w:szCs w:val="19"/>
        </w:rPr>
      </w:pPr>
    </w:p>
    <w:p>
      <w:pPr>
        <w:pStyle w:val="Heading4"/>
        <w:spacing w:line="240" w:lineRule="auto" w:before="36"/>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91"/>
        <w:jc w:val="left"/>
      </w:pPr>
      <w:r>
        <w:rPr/>
        <w:t>融资租入固定资产的认定依据：实质上转移了与资产所有权有关的全部风险和报酬的租赁。具体认定依据为符合下列一项 </w:t>
      </w:r>
      <w:r>
        <w:rPr>
          <w:spacing w:val="-2"/>
        </w:rPr>
        <w:t>或数项条件的：①在租赁期届满时，租赁资产的所有权转移给承租人；②承租人有购买租赁资产的选择权，所订立的购买价</w:t>
      </w:r>
      <w:r>
        <w:rPr>
          <w:spacing w:val="-64"/>
        </w:rPr>
        <w:t> </w:t>
      </w:r>
      <w:r>
        <w:rPr>
          <w:spacing w:val="-64"/>
        </w:rPr>
      </w:r>
      <w:r>
        <w:rPr>
          <w:spacing w:val="-2"/>
        </w:rPr>
        <w:t>款预计将远低于行使选择权时租赁资产的公允价值，因而在租赁开始日就可以合理确定承租人会行使这种选择权；③即使资</w:t>
      </w:r>
      <w:r>
        <w:rPr>
          <w:spacing w:val="-62"/>
        </w:rPr>
        <w:t> </w:t>
      </w:r>
      <w:r>
        <w:rPr>
          <w:spacing w:val="-62"/>
        </w:rPr>
      </w:r>
      <w:r>
        <w:rPr>
          <w:spacing w:val="-2"/>
        </w:rPr>
        <w:t>产的所有权不转移，但租赁期占租赁资产使用寿命的大部分；④承租人在租赁开始日的最低租赁付款额现值，几乎相当于租</w:t>
      </w:r>
      <w:r>
        <w:rPr>
          <w:spacing w:val="-62"/>
        </w:rPr>
        <w:t> </w:t>
      </w:r>
      <w:r>
        <w:rPr>
          <w:spacing w:val="-62"/>
        </w:rPr>
      </w:r>
      <w:r>
        <w:rPr/>
        <w:t>赁开始日租赁资产公允价值；⑤租赁资产性质特殊，如不作较大改造只有承租人才能使用。融资租入固定资产的计价方法： </w:t>
      </w:r>
      <w:r>
        <w:rPr>
          <w:spacing w:val="-2"/>
        </w:rPr>
        <w:t>融资租入固定资产初始计价为租赁期开始日租赁资产公允价值与最低租赁付款额现值较低者作为入账价值；融资租入固定资</w:t>
      </w:r>
      <w:r>
        <w:rPr>
          <w:spacing w:val="-63"/>
        </w:rPr>
        <w:t> </w:t>
      </w:r>
      <w:r>
        <w:rPr>
          <w:spacing w:val="-63"/>
        </w:rPr>
      </w:r>
      <w:r>
        <w:rPr/>
        <w:t>产后续计价采用与自有固定资产相一致的折旧政策计提折旧及减值准备。</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line="240" w:lineRule="auto" w:before="4"/>
        <w:rPr>
          <w:rFonts w:ascii="宋体" w:hAnsi="宋体" w:cs="宋体" w:eastAsia="宋体" w:hint="default"/>
          <w:sz w:val="20"/>
          <w:szCs w:val="20"/>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本公司在建工程分为自营方式建造和出包方式建造两种。</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spacing w:val="-4"/>
        </w:rPr>
        <w:t>本公司在建工程在工程完工达到预定可使用状态时，结转固定资产。预定可使用状态的判断标准，应符合下列情况之一：</w:t>
      </w:r>
    </w:p>
    <w:p>
      <w:pPr>
        <w:pStyle w:val="BodyText"/>
        <w:spacing w:line="300" w:lineRule="auto" w:before="76"/>
        <w:ind w:right="191"/>
        <w:jc w:val="both"/>
      </w:pPr>
      <w:r>
        <w:rPr/>
        <w:t>①</w:t>
      </w:r>
      <w:r>
        <w:rPr>
          <w:rFonts w:ascii="Times New Roman" w:hAnsi="Times New Roman" w:cs="Times New Roman" w:eastAsia="Times New Roman" w:hint="default"/>
        </w:rPr>
        <w:t>. </w:t>
      </w:r>
      <w:r>
        <w:rPr/>
        <w:t>固定资产的实体建造（包括安装）工作已经全部完成或实质上已经全部完成；②</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已经试生产或试运行，并且其结果表 明资产能够正常运行或能够稳定地生产出合格产品，或者试运行结果表明其能够正常运转或营业；③</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该项建造的固定资产 上的支出金额很少或者几乎不再发生；④</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所购建的固定资产已经达到设计或合同要求，或与设计或合同要求基本相符。</w:t>
      </w:r>
    </w:p>
    <w:p>
      <w:pPr>
        <w:spacing w:line="240" w:lineRule="auto" w:before="4"/>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b/>
          <w:bCs/>
          <w:sz w:val="25"/>
          <w:szCs w:val="25"/>
        </w:rPr>
      </w:pPr>
    </w:p>
    <w:p>
      <w:pPr>
        <w:pStyle w:val="BodyText"/>
        <w:spacing w:line="319" w:lineRule="auto" w:before="44"/>
        <w:ind w:right="94" w:firstLine="420"/>
        <w:jc w:val="left"/>
      </w:pPr>
      <w:r>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7"/>
        <w:ind w:left="369" w:right="94"/>
        <w:jc w:val="left"/>
      </w:pPr>
      <w:r>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288"/>
        <w:jc w:val="both"/>
      </w:pPr>
      <w:r>
        <w:rPr>
          <w:spacing w:val="-1"/>
        </w:rPr>
        <w:t>本公司发生的借款费用，可直接归属于符合资本化条件的资产的购建或者生产的，予以资本化，计入相关资产成本；其</w:t>
      </w:r>
      <w:r>
        <w:rPr/>
        <w:t> </w:t>
      </w:r>
      <w:r>
        <w:rPr>
          <w:spacing w:val="-2"/>
        </w:rPr>
        <w:t>他借款费用，在发生时根据其发生额确认为费用，计入当期损益。符合资本化条件的资产，是指需要经过相当长时间的购建</w:t>
      </w:r>
      <w:r>
        <w:rPr>
          <w:spacing w:val="-65"/>
        </w:rPr>
        <w:t> </w:t>
      </w:r>
      <w:r>
        <w:rPr>
          <w:spacing w:val="-65"/>
        </w:rPr>
      </w:r>
      <w:r>
        <w:rPr/>
        <w:t>或者生产活动才能达到预定可使用或者可销售状态的固定资产、投资性房地产和存货等资产。</w:t>
      </w:r>
    </w:p>
    <w:p>
      <w:pPr>
        <w:spacing w:line="240" w:lineRule="auto" w:before="11"/>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53" w:right="94"/>
        <w:jc w:val="left"/>
      </w:pPr>
      <w:r>
        <w:rPr/>
        <w:t>资本化期间：指从借款费用开始资本化时点到停止资本化时点的期间。借款费用暂停资本化的期间不包括在内。</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4" w:firstLine="300"/>
        <w:jc w:val="left"/>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个月的，应当暂停借款费用的资本化期 间。</w:t>
      </w:r>
    </w:p>
    <w:p>
      <w:pPr>
        <w:spacing w:line="240" w:lineRule="auto" w:before="10"/>
        <w:rPr>
          <w:rFonts w:ascii="宋体" w:hAnsi="宋体" w:cs="宋体" w:eastAsia="宋体" w:hint="default"/>
          <w:sz w:val="23"/>
          <w:szCs w:val="23"/>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00"/>
        <w:jc w:val="left"/>
      </w:pPr>
      <w:r>
        <w:rPr/>
        <w:t>资本化金额计算：①借入专门借款，按照专门借款当期实际发生的利息费用，减去将尚未动用的借款资金存入银行取得 </w:t>
      </w:r>
      <w:r>
        <w:rPr>
          <w:spacing w:val="-2"/>
        </w:rPr>
        <w:t>的利息收入或进行暂时性投资取得的投资收益后的金额确定；②占用一般借款按照累计资产支出超过专门借款部分的资产支</w:t>
      </w:r>
      <w:r>
        <w:rPr>
          <w:spacing w:val="-64"/>
        </w:rPr>
        <w:t> </w:t>
      </w:r>
      <w:r>
        <w:rPr>
          <w:spacing w:val="-64"/>
        </w:rPr>
      </w:r>
      <w:r>
        <w:rPr/>
        <w:t>出加权平均数乘以所占用一般借款的资本化率计算确定，资本化率为一般借款的加权平均利率；③借款存在折价或溢价的，</w:t>
      </w:r>
      <w:r>
        <w:rPr/>
        <w:t> 按照实际利率法确定每一会计期间应摊销的折价或溢价金额，调整每期利息金额。</w:t>
      </w:r>
    </w:p>
    <w:p>
      <w:pPr>
        <w:pStyle w:val="BodyText"/>
        <w:spacing w:line="316" w:lineRule="auto" w:before="137"/>
        <w:ind w:right="94" w:firstLine="288"/>
        <w:jc w:val="left"/>
      </w:pPr>
      <w:r>
        <w:rPr>
          <w:spacing w:val="-1"/>
        </w:rPr>
        <w:t>实际利率法是根据借款实际利率计算其摊余折价或溢价或利息费用的方法。其中实际利率是借款在预期存续期间的未来</w:t>
      </w:r>
      <w:r>
        <w:rPr/>
        <w:t> 现金流量，折现为该借款当前账面价值所使用的利率。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9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2"/>
        <w:rPr>
          <w:rFonts w:ascii="宋体" w:hAnsi="宋体" w:cs="宋体" w:eastAsia="宋体" w:hint="default"/>
          <w:b/>
          <w:bCs/>
          <w:sz w:val="26"/>
          <w:szCs w:val="26"/>
        </w:rPr>
      </w:pPr>
    </w:p>
    <w:p>
      <w:pPr>
        <w:pStyle w:val="BodyText"/>
        <w:spacing w:line="307" w:lineRule="auto"/>
        <w:ind w:right="94"/>
        <w:jc w:val="left"/>
      </w:pPr>
      <w:r>
        <w:rPr>
          <w:rFonts w:ascii="Times New Roman" w:hAnsi="Times New Roman" w:cs="Times New Roman" w:eastAsia="Times New Roman" w:hint="default"/>
        </w:rPr>
        <w:t>1</w:t>
      </w:r>
      <w:r>
        <w:rPr/>
        <w:t>、生物资产是指有生命的动物和植物，包括消耗性生物资产、生产性生物资产和公益性生物资产。公司的生物资产主要是</w:t>
      </w:r>
      <w:r>
        <w:rPr>
          <w:spacing w:val="-84"/>
        </w:rPr>
        <w:t> </w:t>
      </w:r>
      <w:r>
        <w:rPr>
          <w:spacing w:val="-84"/>
        </w:rPr>
      </w:r>
      <w:r>
        <w:rPr>
          <w:spacing w:val="-2"/>
        </w:rPr>
        <w:t>消耗性生物资产和生产性生物资产，其中消耗性生物资产是指为出售而持有的或在将来收货为农产品的生物资产；生产性生</w:t>
      </w:r>
      <w:r>
        <w:rPr>
          <w:spacing w:val="-64"/>
        </w:rPr>
        <w:t> </w:t>
      </w:r>
      <w:r>
        <w:rPr>
          <w:spacing w:val="-64"/>
        </w:rPr>
      </w:r>
      <w:r>
        <w:rPr/>
        <w:t>物资产是指为产出农产品、提供劳务或出租等目的而持有的生物资产。生物资产同时满足下列条件时予以确认：（</w:t>
      </w:r>
      <w:r>
        <w:rPr>
          <w:rFonts w:ascii="Times New Roman" w:hAnsi="Times New Roman" w:cs="Times New Roman" w:eastAsia="Times New Roman" w:hint="default"/>
        </w:rPr>
        <w:t>1</w:t>
      </w:r>
      <w:r>
        <w:rPr/>
        <w:t>）因过</w:t>
      </w:r>
      <w:r>
        <w:rPr>
          <w:spacing w:val="-82"/>
        </w:rPr>
        <w:t> </w:t>
      </w:r>
      <w:r>
        <w:rPr/>
        <w:t>去的交易或者事项对其拥有或者控制；（</w:t>
      </w:r>
      <w:r>
        <w:rPr>
          <w:rFonts w:ascii="Times New Roman" w:hAnsi="Times New Roman" w:cs="Times New Roman" w:eastAsia="Times New Roman" w:hint="default"/>
        </w:rPr>
        <w:t>2</w:t>
      </w:r>
      <w:r>
        <w:rPr/>
        <w:t>）与其有关的经济利益很可能流入公司；（</w:t>
      </w:r>
      <w:r>
        <w:rPr>
          <w:rFonts w:ascii="Times New Roman" w:hAnsi="Times New Roman" w:cs="Times New Roman" w:eastAsia="Times New Roman" w:hint="default"/>
        </w:rPr>
        <w:t>3</w:t>
      </w:r>
      <w:r>
        <w:rPr/>
        <w:t>）其成本能够可靠计量时予以确认。</w:t>
      </w:r>
      <w:r>
        <w:rPr>
          <w:spacing w:val="-87"/>
        </w:rPr>
        <w:t> </w:t>
      </w:r>
      <w:r>
        <w:rPr>
          <w:rFonts w:ascii="Times New Roman" w:hAnsi="Times New Roman" w:cs="Times New Roman" w:eastAsia="Times New Roman" w:hint="default"/>
        </w:rPr>
        <w:t>2</w:t>
      </w:r>
      <w:r>
        <w:rPr/>
        <w:t>、生物资产的计量 </w:t>
      </w:r>
      <w:r>
        <w:rPr>
          <w:spacing w:val="-2"/>
        </w:rPr>
        <w:t>公司对生物资产按照成本进行初始计量。外购的生物资产成本包括购买价款、相关税费、运输费、保险费以及可直接归属于</w:t>
      </w:r>
      <w:r>
        <w:rPr>
          <w:spacing w:val="-64"/>
        </w:rPr>
        <w:t> </w:t>
      </w:r>
      <w:r>
        <w:rPr>
          <w:spacing w:val="-64"/>
        </w:rPr>
      </w:r>
      <w:r>
        <w:rPr/>
        <w:t>购买该资产的其他支出。</w:t>
      </w:r>
    </w:p>
    <w:p>
      <w:pPr>
        <w:pStyle w:val="BodyText"/>
        <w:spacing w:line="240" w:lineRule="auto" w:before="26"/>
        <w:ind w:right="94"/>
        <w:jc w:val="left"/>
      </w:pPr>
      <w:r>
        <w:rPr>
          <w:rFonts w:ascii="Times New Roman" w:hAnsi="Times New Roman" w:cs="Times New Roman" w:eastAsia="Times New Roman" w:hint="default"/>
        </w:rPr>
        <w:t>3</w:t>
      </w:r>
      <w:r>
        <w:rPr/>
        <w:t>、各类生产性生物资产的折旧方法</w:t>
      </w:r>
    </w:p>
    <w:p>
      <w:pPr>
        <w:spacing w:after="0" w:line="240" w:lineRule="auto"/>
        <w:jc w:val="left"/>
        <w:sectPr>
          <w:footerReference w:type="default" r:id="rId22"/>
          <w:pgSz w:w="11910" w:h="16840"/>
          <w:pgMar w:footer="980" w:header="745" w:top="1060" w:bottom="1160" w:left="980" w:right="940"/>
          <w:pgNumType w:start="1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48"/>
        <w:gridCol w:w="1520"/>
        <w:gridCol w:w="1517"/>
        <w:gridCol w:w="1520"/>
        <w:gridCol w:w="1520"/>
      </w:tblGrid>
      <w:tr>
        <w:trPr>
          <w:trHeight w:val="348"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6" w:hRule="exact"/>
        </w:trPr>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番石榴、果桑、百香果等</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2-5</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0</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20%-50%</w:t>
            </w:r>
          </w:p>
        </w:tc>
      </w:tr>
    </w:tbl>
    <w:p>
      <w:pPr>
        <w:pStyle w:val="BodyText"/>
        <w:spacing w:line="240" w:lineRule="auto" w:before="8"/>
        <w:ind w:right="0"/>
        <w:jc w:val="both"/>
      </w:pPr>
      <w:r>
        <w:rPr>
          <w:rFonts w:ascii="Times New Roman" w:hAnsi="Times New Roman" w:cs="Times New Roman" w:eastAsia="Times New Roman" w:hint="default"/>
        </w:rPr>
        <w:t>4</w:t>
      </w:r>
      <w:r>
        <w:rPr/>
        <w:t>、生物资产减值依据</w:t>
      </w:r>
    </w:p>
    <w:p>
      <w:pPr>
        <w:pStyle w:val="BodyText"/>
        <w:spacing w:line="312" w:lineRule="auto" w:before="63"/>
        <w:ind w:right="0"/>
        <w:jc w:val="left"/>
      </w:pPr>
      <w:r>
        <w:rPr>
          <w:spacing w:val="-7"/>
        </w:rPr>
        <w:t>（</w:t>
      </w:r>
      <w:r>
        <w:rPr>
          <w:rFonts w:ascii="Times New Roman" w:hAnsi="Times New Roman" w:cs="Times New Roman" w:eastAsia="Times New Roman" w:hint="default"/>
          <w:spacing w:val="-7"/>
        </w:rPr>
        <w:t>1</w:t>
      </w:r>
      <w:r>
        <w:rPr>
          <w:spacing w:val="-7"/>
        </w:rPr>
        <w:t>）资产负债表日，公司对消耗性生物资产的可变现净值（备注：可变现净值的确定应当遵循《企业会计准则第</w:t>
      </w:r>
      <w:r>
        <w:rPr>
          <w:rFonts w:ascii="Times New Roman" w:hAnsi="Times New Roman" w:cs="Times New Roman" w:eastAsia="Times New Roman" w:hint="default"/>
          <w:spacing w:val="-7"/>
        </w:rPr>
        <w:t>1</w:t>
      </w:r>
      <w:r>
        <w:rPr>
          <w:spacing w:val="-7"/>
        </w:rPr>
        <w:t>号</w:t>
      </w:r>
      <w:r>
        <w:rPr>
          <w:rFonts w:ascii="Times New Roman" w:hAnsi="Times New Roman" w:cs="Times New Roman" w:eastAsia="Times New Roman" w:hint="default"/>
          <w:spacing w:val="-7"/>
        </w:rPr>
        <w:t>—</w:t>
      </w:r>
      <w:r>
        <w:rPr>
          <w:spacing w:val="-7"/>
        </w:rPr>
        <w:t>存货》）</w:t>
      </w:r>
      <w:r>
        <w:rPr>
          <w:spacing w:val="-42"/>
        </w:rPr>
        <w:t> </w:t>
      </w:r>
      <w:r>
        <w:rPr>
          <w:spacing w:val="-42"/>
        </w:rPr>
      </w:r>
      <w:r>
        <w:rPr>
          <w:spacing w:val="-4"/>
        </w:rPr>
        <w:t>低于其成本或账面价值的，按照可变现净值低于其成本或账面价值的差额，计提消耗性生物资产跌价准备，并计入当期损益。</w:t>
      </w:r>
      <w:r>
        <w:rPr>
          <w:spacing w:val="-44"/>
        </w:rPr>
        <w:t> </w:t>
      </w:r>
      <w:r>
        <w:rPr>
          <w:spacing w:val="-44"/>
        </w:rPr>
      </w:r>
      <w:r>
        <w:rPr>
          <w:spacing w:val="-2"/>
        </w:rPr>
        <w:t>消耗性生物资产减值的影响因素已经消失的，减记金额应当予以恢复，并在原已计提的跌价准备金额内转回，转回的金额计</w:t>
      </w:r>
      <w:r>
        <w:rPr>
          <w:spacing w:val="-63"/>
        </w:rPr>
        <w:t> </w:t>
      </w:r>
      <w:r>
        <w:rPr>
          <w:spacing w:val="-63"/>
        </w:rPr>
      </w:r>
      <w:r>
        <w:rPr/>
        <w:t>入当期损益。</w:t>
      </w:r>
    </w:p>
    <w:p>
      <w:pPr>
        <w:pStyle w:val="BodyText"/>
        <w:spacing w:line="300" w:lineRule="auto" w:before="22"/>
        <w:ind w:right="213"/>
        <w:jc w:val="both"/>
      </w:pPr>
      <w:r>
        <w:rPr/>
        <w:t>（</w:t>
      </w:r>
      <w:r>
        <w:rPr>
          <w:rFonts w:ascii="Times New Roman" w:hAnsi="Times New Roman" w:cs="Times New Roman" w:eastAsia="Times New Roman" w:hint="default"/>
        </w:rPr>
        <w:t>2</w:t>
      </w:r>
      <w:r>
        <w:rPr/>
        <w:t>）资产负债表日，公司对生产性生物资产的可收回金额（备注：生产性生物资产的可收回金额的确定应当遵循《企业会</w:t>
      </w:r>
      <w:r>
        <w:rPr>
          <w:spacing w:val="-84"/>
        </w:rPr>
        <w:t> </w:t>
      </w:r>
      <w:r>
        <w:rPr>
          <w:spacing w:val="-84"/>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资产减值》）低于其成本或账面价值时，应当按照可收回金额低于其成本或账面价值的差额，计提生产性生</w:t>
      </w:r>
      <w:r>
        <w:rPr>
          <w:spacing w:val="-85"/>
        </w:rPr>
        <w:t> </w:t>
      </w:r>
      <w:r>
        <w:rPr>
          <w:spacing w:val="-85"/>
        </w:rPr>
      </w:r>
      <w:r>
        <w:rPr/>
        <w:t>物资产减值准备，并计入当期损益。生产性生物资产减值准备一经计提，不得转回。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1"/>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580" w:lineRule="atLeast" w:before="28"/>
        <w:ind w:left="573" w:right="0" w:hanging="42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z w:val="21"/>
          <w:szCs w:val="21"/>
        </w:rPr>
        <w:t>无形资产的计价方法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本公司无形资产按照成本进行初始计量。购入的无形资产，按实际支付的价款和相关支出作为实际成本。投资者投入</w:t>
      </w:r>
    </w:p>
    <w:p>
      <w:pPr>
        <w:pStyle w:val="BodyText"/>
        <w:spacing w:line="316" w:lineRule="auto" w:before="76"/>
        <w:ind w:right="0"/>
        <w:jc w:val="left"/>
      </w:pPr>
      <w:r>
        <w:rPr>
          <w:spacing w:val="-2"/>
        </w:rPr>
        <w:t>的无形资产，按投资合同或协议约定的价值确定实际成本，但合同或协议约定价值不公允的，按公允价值确定实际成本。自</w:t>
      </w:r>
      <w:r>
        <w:rPr>
          <w:spacing w:val="-64"/>
        </w:rPr>
        <w:t> </w:t>
      </w:r>
      <w:r>
        <w:rPr>
          <w:spacing w:val="-64"/>
        </w:rPr>
      </w:r>
      <w:r>
        <w:rPr/>
        <w:t>行开发的无形资产，其成本为达到预定用途前所发生的支出总额。</w:t>
      </w:r>
    </w:p>
    <w:p>
      <w:pPr>
        <w:pStyle w:val="BodyText"/>
        <w:spacing w:line="316" w:lineRule="auto" w:before="139"/>
        <w:ind w:right="0" w:firstLine="288"/>
        <w:jc w:val="left"/>
      </w:pPr>
      <w:r>
        <w:rPr/>
        <w:t>本公司无形资产后续计量，分别为：①使用寿命有限无形资产采用直线法摊销，并在年度终了，对无形资产的使用寿命 </w:t>
      </w:r>
      <w:r>
        <w:rPr>
          <w:spacing w:val="-4"/>
        </w:rPr>
        <w:t>和摊销方法进行复核，如与原先估计数存在差异的，进行相应的调整。②使用寿命不确定的无形资产不摊销，但在年度终了，</w:t>
      </w:r>
      <w:r>
        <w:rPr>
          <w:spacing w:val="-46"/>
        </w:rPr>
        <w:t> </w:t>
      </w:r>
      <w:r>
        <w:rPr>
          <w:spacing w:val="-46"/>
        </w:rPr>
      </w:r>
      <w:r>
        <w:rPr/>
        <w:t>对使用寿命进行复核，当有确凿证据表明其使用寿命是有限的，则估计其使用寿命，按直线法进行摊销。</w:t>
      </w: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210"/>
        <w:jc w:val="both"/>
      </w:pPr>
      <w:r>
        <w:rPr>
          <w:spacing w:val="-2"/>
        </w:rPr>
        <w:t>本公司对使用寿命有限的无形资产，估计其使用寿命时通常考虑以下因素：①运用该资产生产的产品通常的寿命周期、可获</w:t>
      </w:r>
      <w:r>
        <w:rPr>
          <w:spacing w:val="-63"/>
        </w:rPr>
        <w:t> </w:t>
      </w:r>
      <w:r>
        <w:rPr>
          <w:spacing w:val="-63"/>
        </w:rPr>
      </w:r>
      <w:r>
        <w:rPr>
          <w:spacing w:val="-2"/>
        </w:rPr>
        <w:t>得的类似资产使用寿命的信息；②技术、工艺等方面的现阶段情况及对未来发展趋势的估计；③以该资产生产的产品或提供</w:t>
      </w:r>
      <w:r>
        <w:rPr>
          <w:spacing w:val="-66"/>
        </w:rPr>
        <w:t> </w:t>
      </w:r>
      <w:r>
        <w:rPr>
          <w:spacing w:val="-66"/>
        </w:rPr>
      </w:r>
      <w:r>
        <w:rPr>
          <w:spacing w:val="-2"/>
        </w:rPr>
        <w:t>劳务的市场需求情况；④现在或潜在的竞争者预期采取的行动；⑤为维持该资产带来经济利益能力的预期维护支出，以及公</w:t>
      </w:r>
      <w:r>
        <w:rPr>
          <w:spacing w:val="-63"/>
        </w:rPr>
        <w:t> </w:t>
      </w:r>
      <w:r>
        <w:rPr>
          <w:spacing w:val="-63"/>
        </w:rPr>
      </w:r>
      <w:r>
        <w:rPr>
          <w:spacing w:val="-2"/>
        </w:rPr>
        <w:t>司预计支付有关支出的能力；⑥对该资产控制期限的相关法律规定或类似限制，如特许使用期、租赁期等；⑦与公司持有其</w:t>
      </w:r>
      <w:r>
        <w:rPr>
          <w:spacing w:val="-64"/>
        </w:rPr>
        <w:t> </w:t>
      </w:r>
      <w:r>
        <w:rPr>
          <w:spacing w:val="-64"/>
        </w:rPr>
      </w:r>
      <w:r>
        <w:rPr/>
        <w:t>他资产使用寿命的关联性等。</w:t>
      </w:r>
    </w:p>
    <w:tbl>
      <w:tblPr>
        <w:tblW w:w="0" w:type="auto"/>
        <w:jc w:val="left"/>
        <w:tblInd w:w="145" w:type="dxa"/>
        <w:tblLayout w:type="fixed"/>
        <w:tblCellMar>
          <w:top w:w="0" w:type="dxa"/>
          <w:left w:w="0" w:type="dxa"/>
          <w:bottom w:w="0" w:type="dxa"/>
          <w:right w:w="0" w:type="dxa"/>
        </w:tblCellMar>
        <w:tblLook w:val="01E0"/>
      </w:tblPr>
      <w:tblGrid>
        <w:gridCol w:w="2280"/>
        <w:gridCol w:w="2216"/>
        <w:gridCol w:w="5075"/>
      </w:tblGrid>
      <w:tr>
        <w:trPr>
          <w:trHeight w:val="399" w:hRule="exact"/>
        </w:trPr>
        <w:tc>
          <w:tcPr>
            <w:tcW w:w="22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44"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left"/>
              <w:rPr>
                <w:rFonts w:ascii="宋体" w:hAnsi="宋体" w:cs="宋体" w:eastAsia="宋体" w:hint="default"/>
                <w:sz w:val="18"/>
                <w:szCs w:val="18"/>
              </w:rPr>
            </w:pPr>
            <w:r>
              <w:rPr>
                <w:rFonts w:ascii="宋体" w:hAnsi="宋体" w:cs="宋体" w:eastAsia="宋体" w:hint="default"/>
                <w:sz w:val="18"/>
                <w:szCs w:val="18"/>
              </w:rPr>
              <w:t>土地使用年限</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4" w:right="0"/>
              <w:jc w:val="left"/>
              <w:rPr>
                <w:rFonts w:ascii="宋体" w:hAnsi="宋体" w:cs="宋体" w:eastAsia="宋体" w:hint="default"/>
                <w:sz w:val="18"/>
                <w:szCs w:val="18"/>
              </w:rPr>
            </w:pPr>
            <w:r>
              <w:rPr>
                <w:rFonts w:ascii="宋体" w:hAnsi="宋体" w:cs="宋体" w:eastAsia="宋体" w:hint="default"/>
                <w:sz w:val="18"/>
                <w:szCs w:val="18"/>
              </w:rPr>
              <w:t>土地使用权证规定的年限</w:t>
            </w:r>
          </w:p>
        </w:tc>
      </w:tr>
      <w:tr>
        <w:trPr>
          <w:trHeight w:val="427" w:hRule="exact"/>
        </w:trPr>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为公司带来经济利益的期限确定使用寿命</w:t>
            </w:r>
          </w:p>
        </w:tc>
      </w:tr>
    </w:tbl>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pPr>
      <w:r>
        <w:rPr/>
        <w:t>本公司将无法预见该资产为公司带来经济利益的期限，或使用期限不确定等无形资产确定为使用寿命不确定的无形资</w:t>
      </w:r>
    </w:p>
    <w:p>
      <w:pPr>
        <w:spacing w:after="0" w:line="240" w:lineRule="auto"/>
        <w:jc w:val="left"/>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right="94"/>
        <w:jc w:val="left"/>
      </w:pPr>
      <w:r>
        <w:rPr/>
        <w:t>产。</w:t>
      </w:r>
    </w:p>
    <w:p>
      <w:pPr>
        <w:spacing w:line="240" w:lineRule="auto" w:before="1"/>
        <w:rPr>
          <w:rFonts w:ascii="宋体" w:hAnsi="宋体" w:cs="宋体" w:eastAsia="宋体" w:hint="default"/>
          <w:sz w:val="15"/>
          <w:szCs w:val="15"/>
        </w:rPr>
      </w:pPr>
    </w:p>
    <w:p>
      <w:pPr>
        <w:pStyle w:val="BodyText"/>
        <w:spacing w:line="316" w:lineRule="auto"/>
        <w:ind w:right="198" w:firstLine="420"/>
        <w:jc w:val="both"/>
      </w:pPr>
      <w:r>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BodyText"/>
        <w:spacing w:line="316" w:lineRule="auto" w:before="139"/>
        <w:ind w:right="192" w:firstLine="288"/>
        <w:jc w:val="both"/>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13"/>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2"/>
        <w:rPr>
          <w:rFonts w:ascii="宋体" w:hAnsi="宋体" w:cs="宋体" w:eastAsia="宋体" w:hint="default"/>
          <w:b/>
          <w:bCs/>
          <w:sz w:val="25"/>
          <w:szCs w:val="25"/>
        </w:rPr>
      </w:pPr>
    </w:p>
    <w:p>
      <w:pPr>
        <w:pStyle w:val="BodyText"/>
        <w:spacing w:line="316" w:lineRule="auto"/>
        <w:ind w:right="198" w:firstLine="420"/>
        <w:jc w:val="both"/>
      </w:pPr>
      <w:r>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BodyText"/>
        <w:spacing w:line="240" w:lineRule="auto" w:before="139"/>
        <w:ind w:left="441" w:right="94"/>
        <w:jc w:val="left"/>
      </w:pPr>
      <w:r>
        <w:rPr/>
        <w:t>无形资产可收回金额根据资产公允价值减去处置费用后的净额与资产预计未来现金流量的现值两者孰高确定。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）划分公司内部研究开发项目的研究阶段和开发阶段具体标准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288"/>
        <w:jc w:val="both"/>
      </w:pPr>
      <w:r>
        <w:rPr>
          <w:spacing w:val="-1"/>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2"/>
        </w:rPr>
        <w:t> </w:t>
      </w:r>
      <w:r>
        <w:rPr>
          <w:spacing w:val="-62"/>
        </w:rPr>
      </w:r>
      <w:r>
        <w:rPr>
          <w:spacing w:val="-2"/>
        </w:rPr>
        <w:t>计，以生产出新的或具有实质性改进的材料、装置、产品等阶段，应确定为开发阶段，该阶段具有针对性和形成成果的可能</w:t>
      </w:r>
      <w:r>
        <w:rPr>
          <w:spacing w:val="-67"/>
        </w:rPr>
        <w:t> </w:t>
      </w:r>
      <w:r>
        <w:rPr>
          <w:spacing w:val="-67"/>
        </w:rPr>
      </w:r>
      <w:r>
        <w:rPr/>
        <w:t>性较大等特点。</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92" w:firstLine="288"/>
        <w:jc w:val="left"/>
      </w:pPr>
      <w:r>
        <w:rPr>
          <w:spacing w:val="-2"/>
        </w:rPr>
        <w:t>内部研究开发项目研究阶段的支出，于发生时计入当期损益；开发阶段的支出，同时满足下列条件的，确认为无形资产：</w:t>
      </w:r>
      <w:r>
        <w:rPr/>
        <w:t> </w:t>
      </w:r>
      <w:r>
        <w:rPr>
          <w:rFonts w:ascii="Times New Roman" w:hAnsi="Times New Roman" w:cs="Times New Roman" w:eastAsia="Times New Roman" w:hint="default"/>
        </w:rPr>
        <w:t>(1) </w:t>
      </w:r>
      <w:r>
        <w:rPr/>
        <w:t>完成该无形资产以使其能够使用或出售在技术上具有可行性；</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无形资 </w:t>
      </w:r>
      <w:r>
        <w:rPr>
          <w:spacing w:val="-2"/>
        </w:rPr>
        <w:t>产产生经济利益的方式，包括能够证明运用该无形资产生产的产品存在市场或无形资产自身存在市场，无形资产将在内部使</w:t>
      </w:r>
      <w:r>
        <w:rPr>
          <w:spacing w:val="-63"/>
        </w:rPr>
        <w:t> </w:t>
      </w:r>
      <w:r>
        <w:rPr>
          <w:spacing w:val="-63"/>
        </w:rPr>
      </w:r>
      <w:r>
        <w:rPr/>
        <w:t>用的，能证明其有用性；</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有足够的技术、财务资源和其他资源支持，以完成该无形资产的开发，并有能力使用或出售该 无形资产；</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归属于该无形资产开发阶段的支出能够可靠地计量。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right="9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3" w:firstLine="360"/>
        <w:jc w:val="both"/>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9" w:lineRule="auto" w:before="19"/>
        <w:ind w:right="192"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7"/>
        <w:ind w:right="190"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r>
        <w:rPr>
          <w:spacing w:val="-63"/>
        </w:rPr>
        <w:t> </w:t>
      </w:r>
      <w:r>
        <w:rPr>
          <w:spacing w:val="-63"/>
        </w:rPr>
      </w:r>
      <w:r>
        <w:rPr/>
        <w:t>资产组或资产组组合中除商誉以外的其他各项资产的账面价值所占比重，按比例抵减其他各项资产的账面价值。</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72"/>
        <w:jc w:val="both"/>
      </w:pPr>
      <w:r>
        <w:rPr/>
        <w:t>本公司长期待摊费用是指已经支出，但受益期限在一年以上（不含一年）的各项费用，主要包括车位使用费、房屋装修费 </w:t>
      </w:r>
      <w:r>
        <w:rPr>
          <w:spacing w:val="-2"/>
        </w:rPr>
        <w:t>等。长期待摊费用按费用项目的受益期限分期摊销。若长期待摊的费用项目不能使以后会计期间受益，则将尚未摊销的该项</w:t>
      </w:r>
      <w:r>
        <w:rPr>
          <w:spacing w:val="-63"/>
        </w:rPr>
        <w:t> </w:t>
      </w:r>
      <w:r>
        <w:rPr>
          <w:spacing w:val="-63"/>
        </w:rPr>
      </w:r>
      <w:r>
        <w:rPr/>
        <w:t>目的摊余价值全部转入当期损益。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8" w:firstLine="271"/>
        <w:jc w:val="both"/>
      </w:pPr>
      <w:r>
        <w:rPr/>
        <w:t>在职工为本公司提供服务的会计期间，将实际发生的短期薪酬确认为负债，并计入当期损益，其他会计准则要求或允许 </w:t>
      </w:r>
      <w:r>
        <w:rPr>
          <w:spacing w:val="-2"/>
        </w:rPr>
        <w:t>计入资产成本的除外。本公司发生的职工福利费，在实际发生时根据实际发生额计入当期损益或相关资产成本。职工福利费</w:t>
      </w:r>
      <w:r>
        <w:rPr>
          <w:spacing w:val="-63"/>
        </w:rPr>
        <w:t> </w:t>
      </w:r>
      <w:r>
        <w:rPr>
          <w:spacing w:val="-63"/>
        </w:rPr>
      </w:r>
      <w:r>
        <w:rPr>
          <w:spacing w:val="-2"/>
        </w:rPr>
        <w:t>为非货币性福利的，按照公允价值计量。企业为职工缴纳的医疗保险费、工伤保险费、生育保险费等社会保险费和住房公积</w:t>
      </w:r>
      <w:r>
        <w:rPr>
          <w:spacing w:val="-64"/>
        </w:rPr>
        <w:t> </w:t>
      </w:r>
      <w:r>
        <w:rPr>
          <w:spacing w:val="-64"/>
        </w:rPr>
      </w:r>
      <w:r>
        <w:rPr>
          <w:spacing w:val="-2"/>
        </w:rPr>
        <w:t>金，以及按规定提取的工会经费和职工教育经费，在职工提供服务的会计期间，根据规定的计提基础和计提比例计算确定相</w:t>
      </w:r>
      <w:r>
        <w:rPr>
          <w:spacing w:val="-61"/>
        </w:rPr>
        <w:t> </w:t>
      </w:r>
      <w:r>
        <w:rPr>
          <w:spacing w:val="-61"/>
        </w:rPr>
      </w:r>
      <w:r>
        <w:rPr/>
        <w:t>应的职工薪酬金额，并确认相应负债，计入当期损益或相关资产成本。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271"/>
        <w:jc w:val="left"/>
      </w:pPr>
      <w:r>
        <w:rPr>
          <w:spacing w:val="-2"/>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4"/>
        </w:rPr>
        <w:t> </w:t>
      </w:r>
      <w:r>
        <w:rPr>
          <w:spacing w:val="-64"/>
        </w:rPr>
      </w:r>
      <w:r>
        <w:rPr/>
        <w:t>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3" w:firstLine="271"/>
        <w:jc w:val="left"/>
      </w:pPr>
      <w:r>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3" w:firstLine="271"/>
        <w:jc w:val="left"/>
      </w:pPr>
      <w:r>
        <w:rPr/>
        <w:t>本公司向职工提供的其他长期职工福利，符合设定提存计划条件的，应当按照有关设定提存计划的规定进行处理；除此 外，根据设定受益计划的有关规定，确认和计量其他长期职工福利净负债或净资产。</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8" w:firstLine="420"/>
        <w:jc w:val="both"/>
      </w:pPr>
      <w:r>
        <w:rPr/>
        <w:t>当与或有事项相关的义务是公司承担的现时义务，且履行该义务很可能导致经济利益流出，同时其金额能够可靠地计 量时确认该义务为预计负债。</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420"/>
        <w:jc w:val="both"/>
      </w:pPr>
      <w:r>
        <w:rPr/>
        <w:t>按照履行相关现时义务所需支出的最佳估计数进行初始计量，如所需支出存在一个连续范围，且该范围内各种结果发 </w:t>
      </w:r>
      <w:r>
        <w:rPr>
          <w:spacing w:val="-2"/>
        </w:rPr>
        <w:t>生的可能性相同，最佳估计数按照该范围内的中间值确定；如涉及多个项目，按照各种可能结果及相关概率计算确定最佳估</w:t>
      </w:r>
      <w:r>
        <w:rPr>
          <w:spacing w:val="-63"/>
        </w:rPr>
        <w:t> </w:t>
      </w:r>
      <w:r>
        <w:rPr>
          <w:spacing w:val="-63"/>
        </w:rPr>
      </w:r>
      <w:r>
        <w:rPr/>
        <w:t>计数。</w:t>
      </w:r>
    </w:p>
    <w:p>
      <w:pPr>
        <w:pStyle w:val="BodyText"/>
        <w:spacing w:line="319" w:lineRule="auto" w:before="139"/>
        <w:ind w:right="192"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4"/>
        <w:spacing w:line="240" w:lineRule="auto"/>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5"/>
        </w:rPr>
        <w:t> </w:t>
      </w:r>
      <w:r>
        <w:rPr>
          <w:spacing w:val="-45"/>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before="57"/>
        <w:ind w:right="190" w:firstLine="432"/>
        <w:jc w:val="both"/>
      </w:pPr>
      <w:r>
        <w:rPr/>
        <w:t>在各个资产负债表日，根据最新取得的可行权人数变动、业绩指标完成情况等后续信息，修正预计可行权的股票期权 </w:t>
      </w:r>
      <w:r>
        <w:rPr>
          <w:spacing w:val="-2"/>
        </w:rPr>
        <w:t>数量，并以此为依据确认各期应分摊的费用。对于跨越多个会计期间的期权费用，一般可以按照该期权在某会计期间内等待</w:t>
      </w:r>
      <w:r>
        <w:rPr>
          <w:spacing w:val="-63"/>
        </w:rPr>
        <w:t> </w:t>
      </w:r>
      <w:r>
        <w:rPr>
          <w:spacing w:val="-63"/>
        </w:rPr>
      </w:r>
      <w:r>
        <w:rPr/>
        <w:t>期长度占整个等待期长度的比例进行分摊。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right="94"/>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94" w:hanging="361"/>
        <w:jc w:val="left"/>
      </w:pPr>
      <w:r>
        <w:rPr>
          <w:rFonts w:ascii="Times New Roman" w:hAnsi="Times New Roman" w:cs="Times New Roman" w:eastAsia="Times New Roman" w:hint="default"/>
        </w:rPr>
        <w:t>1</w:t>
      </w:r>
      <w:r>
        <w:rPr/>
        <w:t>、金融负债和权益工具的划分 </w:t>
      </w:r>
      <w:r>
        <w:rPr>
          <w:spacing w:val="-2"/>
        </w:rPr>
        <w:t>本公司发行的优先股、永续债（例如长期限含权中期票据）、认股权、可转换公司债券等，按照以下原则换分为金融负</w:t>
      </w:r>
    </w:p>
    <w:p>
      <w:pPr>
        <w:pStyle w:val="BodyText"/>
        <w:spacing w:line="240" w:lineRule="auto" w:before="2"/>
        <w:ind w:right="94"/>
        <w:jc w:val="left"/>
      </w:pPr>
      <w:r>
        <w:rPr/>
        <w:t>债或权益工具：</w:t>
      </w:r>
    </w:p>
    <w:p>
      <w:pPr>
        <w:pStyle w:val="BodyText"/>
        <w:spacing w:line="300" w:lineRule="auto" w:before="117"/>
        <w:ind w:right="184" w:firstLine="180"/>
        <w:jc w:val="left"/>
      </w:pPr>
      <w:r>
        <w:rPr/>
        <w:t>（</w:t>
      </w:r>
      <w:r>
        <w:rPr>
          <w:rFonts w:ascii="Times New Roman" w:hAnsi="Times New Roman" w:cs="Times New Roman" w:eastAsia="Times New Roman" w:hint="default"/>
        </w:rPr>
        <w:t>1</w:t>
      </w:r>
      <w:r>
        <w:rPr/>
        <w:t>）通过交付现金、其他金融资产或交换金融资产或金融负债结算的情况。如果企业不能无条件地避免以交付现金或其 他金融资产来履行一项合同义务，则该合同义务符合金融负债的定义。</w:t>
      </w:r>
    </w:p>
    <w:p>
      <w:pPr>
        <w:pStyle w:val="BodyText"/>
        <w:spacing w:line="309" w:lineRule="auto" w:before="72"/>
        <w:ind w:right="188" w:firstLine="180"/>
        <w:jc w:val="both"/>
      </w:pPr>
      <w:r>
        <w:rPr/>
        <w:t>（</w:t>
      </w:r>
      <w:r>
        <w:rPr>
          <w:rFonts w:ascii="Times New Roman" w:hAnsi="Times New Roman" w:cs="Times New Roman" w:eastAsia="Times New Roman" w:hint="default"/>
        </w:rPr>
        <w:t>2</w:t>
      </w:r>
      <w:r>
        <w:rPr/>
        <w:t>）通过自身权益工具结算的情况。如果发行的金融工具须用或可用企业自身权益工具结算，作为现金或其他金融资产 </w:t>
      </w:r>
      <w:r>
        <w:rPr>
          <w:spacing w:val="-2"/>
        </w:rPr>
        <w:t>的替代品，该工具是发行方的金融负债；如果为了使该工具持有人享有在发行方扣除所有负债后的资产中的剩余权益，则该</w:t>
      </w:r>
      <w:r>
        <w:rPr>
          <w:spacing w:val="-61"/>
        </w:rPr>
        <w:t> </w:t>
      </w:r>
      <w:r>
        <w:rPr>
          <w:spacing w:val="-61"/>
        </w:rPr>
      </w:r>
      <w:r>
        <w:rPr/>
        <w:t>工具是发行方的权益工具。</w:t>
      </w:r>
    </w:p>
    <w:p>
      <w:pPr>
        <w:pStyle w:val="BodyText"/>
        <w:spacing w:line="314" w:lineRule="auto" w:before="62"/>
        <w:ind w:right="94" w:firstLine="180"/>
        <w:jc w:val="left"/>
      </w:pPr>
      <w:r>
        <w:rPr/>
        <w:t>（</w:t>
      </w:r>
      <w:r>
        <w:rPr>
          <w:rFonts w:ascii="Times New Roman" w:hAnsi="Times New Roman" w:cs="Times New Roman" w:eastAsia="Times New Roman" w:hint="default"/>
        </w:rPr>
        <w:t>3</w:t>
      </w:r>
      <w:r>
        <w:rPr/>
        <w:t>）对于将来须用或可用企业自身权益工具结算的金融工具的分类，应当区分衍生工具还是非衍生工具。对于非衍生工 </w:t>
      </w:r>
      <w:r>
        <w:rPr>
          <w:spacing w:val="-2"/>
        </w:rPr>
        <w:t>具，如果发行方未来没有义务交付可变数量的自身权益工具进行结算，则该非衍生工具是权益工具；否则，该非衍生工具是</w:t>
      </w:r>
      <w:r>
        <w:rPr>
          <w:spacing w:val="-64"/>
        </w:rPr>
        <w:t> </w:t>
      </w:r>
      <w:r>
        <w:rPr>
          <w:spacing w:val="-64"/>
        </w:rPr>
      </w:r>
      <w:r>
        <w:rPr/>
        <w:t>金融负债。对于衍生工具，如果发行方只能通过以固定数量的自身权益工具交换固定金额的现金或其他金融资产进行结算， </w:t>
      </w:r>
      <w:r>
        <w:rPr>
          <w:spacing w:val="-2"/>
        </w:rPr>
        <w:t>则该衍生工具是权益工具；如果发行方以固定数量自身权益工具交换可变金额现金或其他金融资产，或以可变数量自身权益</w:t>
      </w:r>
      <w:r>
        <w:rPr>
          <w:spacing w:val="-64"/>
        </w:rPr>
        <w:t> </w:t>
      </w:r>
      <w:r>
        <w:rPr>
          <w:spacing w:val="-64"/>
        </w:rPr>
      </w:r>
      <w:r>
        <w:rPr>
          <w:spacing w:val="-2"/>
        </w:rPr>
        <w:t>工具交换固定金额现金或其他金融资产，或在转换价格不固定的情况下以可变数量自身权益工具交换可变金额现金或其他金</w:t>
      </w:r>
    </w:p>
    <w:p>
      <w:pPr>
        <w:spacing w:after="0" w:line="314"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融资产，则该衍生工具应当确认为金融负债或金融资产。</w:t>
      </w:r>
    </w:p>
    <w:p>
      <w:pPr>
        <w:pStyle w:val="BodyText"/>
        <w:spacing w:line="338" w:lineRule="auto" w:before="117"/>
        <w:ind w:left="369" w:right="0" w:hanging="217"/>
        <w:jc w:val="left"/>
      </w:pPr>
      <w:r>
        <w:rPr>
          <w:rFonts w:ascii="Times New Roman" w:hAnsi="Times New Roman" w:cs="Times New Roman" w:eastAsia="Times New Roman" w:hint="default"/>
        </w:rPr>
        <w:t>2</w:t>
      </w:r>
      <w:r>
        <w:rPr/>
        <w:t>、优先股、永续债的会计处理 发行方对于归类为金融负债的金融工具在</w:t>
      </w:r>
      <w:r>
        <w:rPr>
          <w:rFonts w:ascii="Times New Roman" w:hAnsi="Times New Roman" w:cs="Times New Roman" w:eastAsia="Times New Roman" w:hint="default"/>
        </w:rPr>
        <w:t>“</w:t>
      </w:r>
      <w:r>
        <w:rPr/>
        <w:t>应付债券</w:t>
      </w:r>
      <w:r>
        <w:rPr>
          <w:rFonts w:ascii="Times New Roman" w:hAnsi="Times New Roman" w:cs="Times New Roman" w:eastAsia="Times New Roman" w:hint="default"/>
        </w:rPr>
        <w:t>”</w:t>
      </w:r>
      <w:r>
        <w:rPr/>
        <w:t>科目核算，在该工具存续期间，计提利息并对账面的利息调整进行</w:t>
      </w:r>
    </w:p>
    <w:p>
      <w:pPr>
        <w:pStyle w:val="BodyText"/>
        <w:spacing w:line="217" w:lineRule="exact"/>
        <w:ind w:right="0"/>
        <w:jc w:val="left"/>
      </w:pPr>
      <w:r>
        <w:rPr/>
        <w:t>调整等的会计处理，按照金融工具确认和计量准则中有关金融负债按摊余成本后续计量的规定进行会计处理。发行方对于归</w:t>
      </w:r>
    </w:p>
    <w:p>
      <w:pPr>
        <w:pStyle w:val="BodyText"/>
        <w:spacing w:line="300" w:lineRule="auto" w:before="76"/>
        <w:ind w:right="0"/>
        <w:jc w:val="left"/>
      </w:pPr>
      <w:r>
        <w:rPr>
          <w:spacing w:val="-2"/>
        </w:rPr>
        <w:t>类为权益工具的在</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科目核算，在存续期间分派股利（含分类为权益工具的工具所产生的利息）的，作为利润</w:t>
      </w:r>
      <w:r>
        <w:rPr>
          <w:spacing w:val="-45"/>
        </w:rPr>
        <w:t> </w:t>
      </w:r>
      <w:r>
        <w:rPr>
          <w:spacing w:val="-45"/>
        </w:rPr>
      </w:r>
      <w:r>
        <w:rPr/>
        <w:t>分配处理。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74"/>
        <w:jc w:val="left"/>
      </w:pPr>
      <w:r>
        <w:rPr/>
        <w:t>公司是否需要遵守特殊行业的披露要求 否</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2"/>
        <w:rPr>
          <w:rFonts w:ascii="宋体" w:hAnsi="宋体" w:cs="宋体" w:eastAsia="宋体" w:hint="default"/>
          <w:b/>
          <w:bCs/>
          <w:sz w:val="25"/>
          <w:szCs w:val="25"/>
        </w:rPr>
      </w:pPr>
    </w:p>
    <w:p>
      <w:pPr>
        <w:pStyle w:val="BodyText"/>
        <w:spacing w:line="312" w:lineRule="auto"/>
        <w:ind w:right="0" w:firstLine="451"/>
        <w:jc w:val="left"/>
      </w:pPr>
      <w:r>
        <w:rPr/>
        <w:t>①国内销售：公司产品入库后，根据与客户签订的合同、订单等的要求送达到客户指定的地点，由客户完成验收后在 </w:t>
      </w:r>
      <w:r>
        <w:rPr>
          <w:spacing w:val="-2"/>
        </w:rPr>
        <w:t>送货单上签收，签收后的送货单交财务部门，财务部门根据送货单逐单按客户归集并编制对账单。公司财务部门与客户就对</w:t>
      </w:r>
      <w:r>
        <w:rPr>
          <w:spacing w:val="-63"/>
        </w:rPr>
        <w:t> </w:t>
      </w:r>
      <w:r>
        <w:rPr>
          <w:spacing w:val="-63"/>
        </w:rPr>
      </w:r>
      <w:r>
        <w:rPr/>
        <w:t>账单确认后，根据双方确认的品名、数量、金额开具发票并确认收入；②出口销售：</w:t>
      </w:r>
      <w:r>
        <w:rPr>
          <w:rFonts w:ascii="Times New Roman" w:hAnsi="Times New Roman" w:cs="Times New Roman" w:eastAsia="Times New Roman" w:hint="default"/>
        </w:rPr>
        <w:t>a</w:t>
      </w:r>
      <w:r>
        <w:rPr/>
        <w:t>、直接出口：公司产品入库后，根据</w:t>
      </w:r>
      <w:r>
        <w:rPr>
          <w:spacing w:val="-74"/>
        </w:rPr>
        <w:t> </w:t>
      </w:r>
      <w:r>
        <w:rPr>
          <w:spacing w:val="-74"/>
        </w:rPr>
      </w:r>
      <w:r>
        <w:rPr>
          <w:spacing w:val="-2"/>
        </w:rPr>
        <w:t>与客户签订的合同、订单等要求备货装车后，报关部门再根据出货订单进行逐单申报，财务部门根据报关部门提供的报关单</w:t>
      </w:r>
      <w:r>
        <w:rPr>
          <w:spacing w:val="-63"/>
        </w:rPr>
        <w:t> </w:t>
      </w:r>
      <w:r>
        <w:rPr>
          <w:spacing w:val="-63"/>
        </w:rPr>
      </w:r>
      <w:r>
        <w:rPr/>
        <w:t>开具出口专用发票；财务部门根据出口专用发票入账确认收入；</w:t>
      </w:r>
      <w:r>
        <w:rPr>
          <w:rFonts w:ascii="Times New Roman" w:hAnsi="Times New Roman" w:cs="Times New Roman" w:eastAsia="Times New Roman" w:hint="default"/>
        </w:rPr>
        <w:t>b</w:t>
      </w:r>
      <w:r>
        <w:rPr/>
        <w:t>、转厂出口：公司产品入库后，根据与客户签订的合同、</w:t>
      </w:r>
      <w:r>
        <w:rPr>
          <w:spacing w:val="-83"/>
        </w:rPr>
        <w:t> </w:t>
      </w:r>
      <w:r>
        <w:rPr>
          <w:spacing w:val="-83"/>
        </w:rPr>
      </w:r>
      <w:r>
        <w:rPr>
          <w:spacing w:val="-2"/>
        </w:rPr>
        <w:t>订单等的要求送达到客户指定的地点，由客户完成验收后在送货单上签收，签收后的送货单交财务部门，财务部门根据送货</w:t>
      </w:r>
      <w:r>
        <w:rPr>
          <w:spacing w:val="-63"/>
        </w:rPr>
        <w:t> </w:t>
      </w:r>
      <w:r>
        <w:rPr>
          <w:spacing w:val="-63"/>
        </w:rPr>
      </w:r>
      <w:r>
        <w:rPr>
          <w:spacing w:val="-4"/>
        </w:rPr>
        <w:t>单逐单按客户归集并编制对账单。公司业务部门与客户对账确认之后，公司负责报关的部门根据双方对账确认的品名、数量、</w:t>
      </w:r>
      <w:r>
        <w:rPr>
          <w:spacing w:val="-44"/>
        </w:rPr>
        <w:t> </w:t>
      </w:r>
      <w:r>
        <w:rPr>
          <w:spacing w:val="-44"/>
        </w:rPr>
      </w:r>
      <w:r>
        <w:rPr/>
        <w:t>金额进行报关出口，并将报关单交与财务部门，财务部门开具出口专用发票连同报关单一起入账确认收入。</w:t>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本公司在让渡资产使用权相关的经济利益很可能流入并且收入的金额能够可靠地计量时确认让渡资产使用权收入。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0"/>
        <w:jc w:val="left"/>
      </w:pPr>
      <w:r>
        <w:rPr>
          <w:spacing w:val="-2"/>
        </w:rPr>
        <w:t>与资产相关的政府补助，应当冲减相关资产的账面价值或确认为递延收益。与资产相关的政府补助确认为递延收益的，应当</w:t>
      </w:r>
      <w:r>
        <w:rPr>
          <w:spacing w:val="-63"/>
        </w:rPr>
        <w:t> </w:t>
      </w:r>
      <w:r>
        <w:rPr>
          <w:spacing w:val="-63"/>
        </w:rPr>
      </w:r>
      <w:r>
        <w:rPr/>
        <w:t>在相关资产使用寿命内按照合理、系统的方法分期计入损益。按照名义金额计量的政府补助，直接计入当期损益。 </w:t>
      </w:r>
      <w:r>
        <w:rPr>
          <w:spacing w:val="-4"/>
        </w:rPr>
        <w:t>相关资产在使用寿命结束前被出售、转让、报废或发生毁损的，应当将尚未分配的相关递延收益余额转入资产处置当期损益。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用于补偿公司以后期间的相关成本费用或损失的，确认为递延收益，并在确认相关成本费用或损失的期间，计入当期损益或</w:t>
      </w:r>
      <w:r>
        <w:rPr>
          <w:spacing w:val="-62"/>
        </w:rPr>
        <w:t> </w:t>
      </w:r>
      <w:r>
        <w:rPr>
          <w:spacing w:val="-62"/>
        </w:rPr>
      </w:r>
      <w:r>
        <w:rPr/>
        <w:t>冲减相关成本；用于补偿公司已发生的相关成本费用或损失的，直接计入当期损益或冲减相关成本。</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spacing w:val="-2"/>
        </w:rPr>
        <w:t>（</w:t>
      </w:r>
      <w:r>
        <w:rPr>
          <w:rFonts w:ascii="Times New Roman" w:hAnsi="Times New Roman" w:cs="Times New Roman" w:eastAsia="Times New Roman" w:hint="default"/>
          <w:spacing w:val="-2"/>
        </w:rPr>
        <w:t>3</w:t>
      </w:r>
      <w:r>
        <w:rPr>
          <w:spacing w:val="-2"/>
        </w:rPr>
        <w:t>）对于同时包含与资产相关部分和与收益相关部分的政府补助，应当区分不同部分分别进行会计处理；</w:t>
      </w:r>
      <w:r>
        <w:rPr>
          <w:b w:val="0"/>
          <w:bCs w:val="0"/>
          <w:spacing w:val="-2"/>
        </w:rPr>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t>难以区分的，应当整体归类为与收益相关的政府补助。</w:t>
      </w:r>
      <w:r>
        <w:rPr>
          <w:b w:val="0"/>
          <w:bCs w:val="0"/>
        </w:rPr>
      </w:r>
    </w:p>
    <w:p>
      <w:pPr>
        <w:spacing w:line="240" w:lineRule="auto" w:before="10"/>
        <w:rPr>
          <w:rFonts w:ascii="宋体" w:hAnsi="宋体" w:cs="宋体" w:eastAsia="宋体" w:hint="default"/>
          <w:b/>
          <w:bCs/>
          <w:sz w:val="25"/>
          <w:szCs w:val="25"/>
        </w:rPr>
      </w:pPr>
    </w:p>
    <w:p>
      <w:pPr>
        <w:pStyle w:val="Heading4"/>
        <w:spacing w:line="256" w:lineRule="auto"/>
        <w:ind w:right="0"/>
        <w:jc w:val="left"/>
        <w:rPr>
          <w:b w:val="0"/>
          <w:bCs w:val="0"/>
        </w:rPr>
      </w:pPr>
      <w:r>
        <w:rPr/>
        <w:t>（</w:t>
      </w:r>
      <w:r>
        <w:rPr>
          <w:rFonts w:ascii="Times New Roman" w:hAnsi="Times New Roman" w:cs="Times New Roman" w:eastAsia="Times New Roman" w:hint="default"/>
        </w:rPr>
        <w:t>4</w:t>
      </w:r>
      <w:r>
        <w:rPr/>
        <w:t>）与公司日常活动相关的政府补助，应当按照经济业务实质，计入其他收益或冲减相关成本费用。与</w:t>
      </w:r>
      <w:r>
        <w:rPr>
          <w:spacing w:val="-65"/>
        </w:rPr>
        <w:t> </w:t>
      </w:r>
      <w:r>
        <w:rPr>
          <w:spacing w:val="-65"/>
        </w:rPr>
      </w:r>
      <w:r>
        <w:rPr/>
        <w:t>公司日常活动无关的政府补助，应当计入营业外收支。</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right="0"/>
        <w:jc w:val="left"/>
        <w:rPr>
          <w:b w:val="0"/>
          <w:bCs w:val="0"/>
        </w:rPr>
      </w:pPr>
      <w:r>
        <w:rPr/>
        <w:t>（</w:t>
      </w:r>
      <w:r>
        <w:rPr>
          <w:rFonts w:ascii="Times New Roman" w:hAnsi="Times New Roman" w:cs="Times New Roman" w:eastAsia="Times New Roman" w:hint="default"/>
        </w:rPr>
        <w:t>5</w:t>
      </w:r>
      <w:r>
        <w:rPr/>
        <w:t>）公司取得政策性优惠贷款贴息的，应当区分财政将贴息资金拨付给贷款银行和财政将贴息资金直接</w:t>
      </w:r>
      <w:r>
        <w:rPr>
          <w:spacing w:val="-62"/>
        </w:rPr>
        <w:t> </w:t>
      </w:r>
      <w:r>
        <w:rPr>
          <w:spacing w:val="-62"/>
        </w:rPr>
      </w:r>
      <w:r>
        <w:rPr/>
        <w:t>拨付给公司两种情况：</w:t>
      </w:r>
      <w:r>
        <w:rPr>
          <w:b w:val="0"/>
          <w:bCs w:val="0"/>
        </w:rPr>
      </w:r>
    </w:p>
    <w:p>
      <w:pPr>
        <w:spacing w:line="240" w:lineRule="auto" w:before="3"/>
        <w:rPr>
          <w:rFonts w:ascii="宋体" w:hAnsi="宋体" w:cs="宋体" w:eastAsia="宋体" w:hint="default"/>
          <w:b/>
          <w:bCs/>
          <w:sz w:val="26"/>
          <w:szCs w:val="26"/>
        </w:rPr>
      </w:pPr>
    </w:p>
    <w:p>
      <w:pPr>
        <w:pStyle w:val="BodyText"/>
        <w:spacing w:line="316" w:lineRule="auto"/>
        <w:ind w:right="153" w:firstLine="180"/>
        <w:jc w:val="both"/>
      </w:pPr>
      <w:r>
        <w:rPr>
          <w:spacing w:val="-2"/>
        </w:rPr>
        <w:t>①财政将贴息资金拨付给贷款银行，由贷款银行以政策性优惠利率向公司提供贷款的，公司以实际收到的借款金额作为借</w:t>
      </w:r>
      <w:r>
        <w:rPr/>
        <w:t> 款的入账价值，按照借款本金和该政策性优惠利率计算相关借款费用；</w:t>
      </w:r>
    </w:p>
    <w:p>
      <w:pPr>
        <w:pStyle w:val="BodyText"/>
        <w:spacing w:line="240" w:lineRule="auto" w:before="59"/>
        <w:ind w:left="332" w:right="0"/>
        <w:jc w:val="left"/>
      </w:pPr>
      <w:r>
        <w:rPr/>
        <w:t>②财政将贴息资金直接拨付给公司，公司应当将对应的贴息冲减相关借款费用。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2" w:firstLine="360"/>
        <w:jc w:val="both"/>
      </w:pPr>
      <w:r>
        <w:rPr>
          <w:spacing w:val="-2"/>
        </w:rPr>
        <w:t>递延所得税资产的确认以很可能取得用来抵扣可抵扣暂时性差异的应纳税所得额为限。资产负债表日，有确凿证据表明</w:t>
      </w:r>
      <w:r>
        <w:rPr/>
        <w:t> </w:t>
      </w:r>
      <w:r>
        <w:rPr>
          <w:spacing w:val="-2"/>
        </w:rPr>
        <w:t>未来期间很可能获得足够的应纳税所得额用来抵扣可抵扣暂时性差异的，确认以前会计期间未确认的递延所得税资产。如未</w:t>
      </w:r>
      <w:r>
        <w:rPr>
          <w:spacing w:val="-63"/>
        </w:rPr>
        <w:t> </w:t>
      </w:r>
      <w:r>
        <w:rPr>
          <w:spacing w:val="-63"/>
        </w:rPr>
      </w:r>
      <w:r>
        <w:rPr/>
        <w:t>来期间很可能无法获得足够的应纳税所得额用以抵扣递延所得税资产的，则减记递延所得税资产的账面价值。</w:t>
      </w:r>
    </w:p>
    <w:p>
      <w:pPr>
        <w:spacing w:line="240" w:lineRule="auto" w:before="13"/>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2"/>
        <w:rPr>
          <w:rFonts w:ascii="宋体" w:hAnsi="宋体" w:cs="宋体" w:eastAsia="宋体" w:hint="default"/>
          <w:b/>
          <w:bCs/>
          <w:sz w:val="25"/>
          <w:szCs w:val="25"/>
        </w:rPr>
      </w:pPr>
    </w:p>
    <w:p>
      <w:pPr>
        <w:pStyle w:val="BodyText"/>
        <w:spacing w:line="319" w:lineRule="auto"/>
        <w:ind w:right="152" w:firstLine="288"/>
        <w:jc w:val="both"/>
      </w:pPr>
      <w:r>
        <w:rPr>
          <w:spacing w:val="-1"/>
        </w:rPr>
        <w:t>对与子公司及联营企业投资相关的应纳税暂时性差异，确认递延所得税负债，除非本公司能够控制暂时性差异转回的时</w:t>
      </w:r>
      <w:r>
        <w:rPr/>
        <w:t> </w:t>
      </w:r>
      <w:r>
        <w:rPr>
          <w:spacing w:val="-2"/>
        </w:rPr>
        <w:t>间且该暂时性差异在可预见的未来很可能不会转回。对与子公司及联营企业投资相关的可抵扣暂时性差异，当该暂时性差异</w:t>
      </w:r>
      <w:r>
        <w:rPr>
          <w:spacing w:val="-64"/>
        </w:rPr>
        <w:t> </w:t>
      </w:r>
      <w:r>
        <w:rPr>
          <w:spacing w:val="-64"/>
        </w:rPr>
      </w:r>
      <w:r>
        <w:rPr/>
        <w:t>在可预见的未来很可能转回且未来很可能获得用来抵扣可抵扣暂时性差异的应纳税所得额时，确认递延所得税资产。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32" w:right="0"/>
        <w:jc w:val="left"/>
      </w:pPr>
      <w:r>
        <w:rPr/>
        <w:t>经营租赁的租金支出在租赁期内按照直线法计入相关资产成本或当期损益。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3" w:firstLine="271"/>
        <w:jc w:val="both"/>
      </w:pPr>
      <w:r>
        <w:rPr/>
        <w:t>以租赁资产的公允价值与最低租赁付款额的现值两者中较低者作为租入资产的入账价值，租入资产的入账价值与最低租 </w:t>
      </w:r>
      <w:r>
        <w:rPr>
          <w:spacing w:val="-2"/>
        </w:rPr>
        <w:t>赁付款额之间的差额作为未确认融资费用，在租赁期内按实际利率法摊销。最低租赁付款额扣除未确认融资费用后的余额作</w:t>
      </w:r>
      <w:r>
        <w:rPr>
          <w:spacing w:val="-64"/>
        </w:rPr>
        <w:t> </w:t>
      </w:r>
      <w:r>
        <w:rPr>
          <w:spacing w:val="-64"/>
        </w:rPr>
      </w:r>
      <w:r>
        <w:rPr/>
        <w:t>为长期应付款列示。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after="0" w:line="240" w:lineRule="auto"/>
        <w:jc w:val="left"/>
        <w:sectPr>
          <w:footerReference w:type="default" r:id="rId23"/>
          <w:pgSz w:w="11910" w:h="16840"/>
          <w:pgMar w:footer="1566" w:header="745" w:top="1060" w:bottom="1760" w:left="980" w:right="980"/>
          <w:pgNumType w:start="126"/>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22"/>
              <w:jc w:val="left"/>
              <w:rPr>
                <w:rFonts w:ascii="宋体" w:hAnsi="宋体" w:cs="宋体" w:eastAsia="宋体" w:hint="default"/>
                <w:sz w:val="18"/>
                <w:szCs w:val="18"/>
              </w:rPr>
            </w:pPr>
            <w:r>
              <w:rPr>
                <w:rFonts w:ascii="宋体" w:hAnsi="宋体" w:cs="宋体" w:eastAsia="宋体" w:hint="default"/>
                <w:spacing w:val="-5"/>
                <w:w w:val="99"/>
                <w:sz w:val="18"/>
                <w:szCs w:val="18"/>
              </w:rPr>
              <w:t>（</w:t>
            </w:r>
            <w:r>
              <w:rPr>
                <w:rFonts w:ascii="Times New Roman" w:hAnsi="Times New Roman" w:cs="Times New Roman" w:eastAsia="Times New Roman" w:hint="default"/>
                <w:spacing w:val="-5"/>
                <w:w w:val="99"/>
                <w:sz w:val="18"/>
                <w:szCs w:val="18"/>
              </w:rPr>
              <w:t>1</w:t>
            </w:r>
            <w:r>
              <w:rPr>
                <w:rFonts w:ascii="宋体" w:hAnsi="宋体" w:cs="宋体" w:eastAsia="宋体" w:hint="default"/>
                <w:spacing w:val="-5"/>
                <w:w w:val="99"/>
                <w:sz w:val="18"/>
                <w:szCs w:val="18"/>
              </w:rPr>
              <w:t>）在利润表中分别列示</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持续经营净利</w:t>
            </w:r>
            <w:r>
              <w:rPr>
                <w:rFonts w:ascii="宋体" w:hAnsi="宋体" w:cs="宋体" w:eastAsia="宋体" w:hint="default"/>
                <w:spacing w:val="-86"/>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年度列示持续经营净利润本年金额</w:t>
            </w:r>
          </w:p>
          <w:p>
            <w:pPr>
              <w:pStyle w:val="TableParagraph"/>
              <w:spacing w:line="304" w:lineRule="auto" w:before="63"/>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215,716,492.68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元；列示终止经营净利润</w:t>
            </w:r>
            <w:r>
              <w:rPr>
                <w:rFonts w:ascii="宋体" w:hAnsi="宋体" w:cs="宋体" w:eastAsia="宋体" w:hint="default"/>
                <w:sz w:val="18"/>
                <w:szCs w:val="18"/>
              </w:rPr>
              <w:t> 本年金额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2,665,978.50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年度列 示持续经营净利润本年金额 </w:t>
            </w:r>
            <w:r>
              <w:rPr>
                <w:rFonts w:ascii="Times New Roman" w:hAnsi="Times New Roman" w:cs="Times New Roman" w:eastAsia="Times New Roman" w:hint="default"/>
                <w:sz w:val="18"/>
                <w:szCs w:val="18"/>
              </w:rPr>
              <w:t>348,644,087.43</w:t>
            </w:r>
            <w:r>
              <w:rPr>
                <w:rFonts w:ascii="Times New Roman" w:hAnsi="Times New Roman" w:cs="Times New Roman" w:eastAsia="Times New Roman" w:hint="default"/>
                <w:spacing w:val="43"/>
                <w:sz w:val="18"/>
                <w:szCs w:val="18"/>
              </w:rPr>
              <w:t> </w:t>
            </w:r>
            <w:r>
              <w:rPr>
                <w:rFonts w:ascii="宋体" w:hAnsi="宋体" w:cs="宋体" w:eastAsia="宋体" w:hint="default"/>
                <w:spacing w:val="-6"/>
                <w:sz w:val="18"/>
                <w:szCs w:val="18"/>
              </w:rPr>
              <w:t>元；列示终止经营净利润</w:t>
            </w:r>
            <w:r>
              <w:rPr>
                <w:rFonts w:ascii="宋体" w:hAnsi="宋体" w:cs="宋体" w:eastAsia="宋体" w:hint="default"/>
                <w:sz w:val="18"/>
                <w:szCs w:val="18"/>
              </w:rPr>
              <w:t> 本年金额</w:t>
            </w:r>
            <w:r>
              <w:rPr>
                <w:rFonts w:ascii="Times New Roman" w:hAnsi="Times New Roman" w:cs="Times New Roman" w:eastAsia="Times New Roman" w:hint="default"/>
                <w:sz w:val="18"/>
                <w:szCs w:val="18"/>
              </w:rPr>
              <w:t>-3,823,944.17 </w:t>
            </w:r>
            <w:r>
              <w:rPr>
                <w:rFonts w:ascii="宋体" w:hAnsi="宋体" w:cs="宋体" w:eastAsia="宋体" w:hint="default"/>
                <w:sz w:val="18"/>
                <w:szCs w:val="18"/>
              </w:rPr>
              <w:t>元。</w:t>
            </w:r>
          </w:p>
        </w:tc>
      </w:tr>
      <w:tr>
        <w:trPr>
          <w:trHeight w:val="258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0" w:lineRule="auto"/>
              <w:ind w:left="24"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的资产处置损益重分类至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调减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"61,147.64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元，调减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"230,612.77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 置收益</w:t>
            </w:r>
            <w:r>
              <w:rPr>
                <w:rFonts w:ascii="Times New Roman" w:hAnsi="Times New Roman" w:cs="Times New Roman" w:eastAsia="Times New Roman" w:hint="default"/>
                <w:sz w:val="18"/>
                <w:szCs w:val="18"/>
              </w:rPr>
              <w:t>"169,465.13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"211,630.03 </w:t>
            </w:r>
            <w:r>
              <w:rPr>
                <w:rFonts w:ascii="宋体" w:hAnsi="宋体" w:cs="宋体" w:eastAsia="宋体" w:hint="default"/>
                <w:spacing w:val="-11"/>
                <w:sz w:val="18"/>
                <w:szCs w:val="18"/>
              </w:rPr>
              <w:t>元，调减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"1,242,138.46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元，调减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"1,030,508.43 </w:t>
            </w:r>
            <w:r>
              <w:rPr>
                <w:rFonts w:ascii="宋体" w:hAnsi="宋体" w:cs="宋体" w:eastAsia="宋体" w:hint="default"/>
                <w:sz w:val="18"/>
                <w:szCs w:val="18"/>
              </w:rPr>
              <w:t>元。</w:t>
            </w:r>
          </w:p>
        </w:tc>
      </w:tr>
      <w:tr>
        <w:trPr>
          <w:trHeight w:val="133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将相应政府补助金额从利润表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项目调整为利润表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项目列 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年度发生额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6,453,118.98 </w:t>
            </w:r>
            <w:r>
              <w:rPr>
                <w:rFonts w:ascii="宋体" w:hAnsi="宋体" w:cs="宋体" w:eastAsia="宋体" w:hint="default"/>
                <w:spacing w:val="-3"/>
                <w:sz w:val="18"/>
                <w:szCs w:val="18"/>
              </w:rPr>
              <w:t>元，调增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度发生额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6,453,118.98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bl>
    <w:p>
      <w:pPr>
        <w:pStyle w:val="BodyText"/>
        <w:spacing w:line="300" w:lineRule="auto" w:before="49"/>
        <w:ind w:right="134" w:firstLine="360"/>
        <w:jc w:val="both"/>
      </w:pPr>
      <w:r>
        <w:rPr/>
        <w:t>财政部于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 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日起施行。准则要求与企业日常活动相关的政府补助应当按照经济业务实质，计入其他收益或冲减相关成本</w:t>
      </w:r>
      <w:r>
        <w:rPr>
          <w:spacing w:val="-86"/>
        </w:rPr>
        <w:t> </w:t>
      </w:r>
      <w:r>
        <w:rPr>
          <w:spacing w:val="-86"/>
        </w:rPr>
      </w:r>
      <w:r>
        <w:rPr/>
        <w:t>费用；与企业日常活动无关的政府补助，应当计入营业外收支；企业应当在</w:t>
      </w:r>
      <w:r>
        <w:rPr>
          <w:rFonts w:ascii="Times New Roman" w:hAnsi="Times New Roman" w:cs="Times New Roman" w:eastAsia="Times New Roman" w:hint="default"/>
        </w:rPr>
        <w:t>“</w:t>
      </w:r>
      <w:r>
        <w:rPr/>
        <w:t>利润表</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营业利润</w:t>
      </w:r>
      <w:r>
        <w:rPr>
          <w:rFonts w:ascii="Times New Roman" w:hAnsi="Times New Roman" w:cs="Times New Roman" w:eastAsia="Times New Roman" w:hint="default"/>
        </w:rPr>
        <w:t>”</w:t>
      </w:r>
      <w:r>
        <w:rPr/>
        <w:t>项目之上单独列表</w:t>
      </w:r>
      <w:r>
        <w:rPr>
          <w:rFonts w:ascii="Times New Roman" w:hAnsi="Times New Roman" w:cs="Times New Roman" w:eastAsia="Times New Roman" w:hint="default"/>
        </w:rPr>
        <w:t>“</w:t>
      </w:r>
      <w:r>
        <w:rPr/>
        <w:t>其</w:t>
      </w:r>
      <w:r>
        <w:rPr>
          <w:spacing w:val="-36"/>
        </w:rPr>
        <w:t> </w:t>
      </w:r>
      <w:r>
        <w:rPr/>
        <w:t>他收益</w:t>
      </w:r>
      <w:r>
        <w:rPr>
          <w:rFonts w:ascii="Times New Roman" w:hAnsi="Times New Roman" w:cs="Times New Roman" w:eastAsia="Times New Roman" w:hint="default"/>
        </w:rPr>
        <w:t>”</w:t>
      </w:r>
      <w:r>
        <w:rPr/>
        <w:t>项目，反映计入其他收益的政府补助。由于上述会计准则的修订，公司需对原会计政策进行相应变更，从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rFonts w:ascii="Times New Roman" w:hAnsi="Times New Roman" w:cs="Times New Roman" w:eastAsia="Times New Roman" w:hint="default"/>
        </w:rPr>
        <w:t>1</w:t>
      </w:r>
      <w:r>
        <w:rPr/>
        <w:t>日起执行上述企业会计准则，并采用未来适用法处理。</w:t>
      </w:r>
    </w:p>
    <w:p>
      <w:pPr>
        <w:pStyle w:val="BodyText"/>
        <w:spacing w:line="300" w:lineRule="auto" w:before="51"/>
        <w:ind w:right="148" w:firstLine="360"/>
        <w:jc w:val="both"/>
      </w:pPr>
      <w:r>
        <w:rPr/>
        <w:t>财政部于</w:t>
      </w:r>
      <w:r>
        <w:rPr>
          <w:rFonts w:ascii="Times New Roman" w:hAnsi="Times New Roman" w:cs="Times New Roman" w:eastAsia="Times New Roman" w:hint="default"/>
        </w:rPr>
        <w:t>2017</w:t>
      </w:r>
      <w:r>
        <w:rPr/>
        <w:t>年度发布了《企业会计准则第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 起施行，对于施行日存在的持有待售的非流动资产、处置组和终止经营，要求采用未来适用法处理。</w:t>
      </w:r>
    </w:p>
    <w:p>
      <w:pPr>
        <w:pStyle w:val="BodyText"/>
        <w:spacing w:line="300" w:lineRule="auto" w:before="72"/>
        <w:ind w:right="149" w:firstLine="288"/>
        <w:jc w:val="both"/>
      </w:pPr>
      <w:r>
        <w:rPr>
          <w:spacing w:val="-1"/>
        </w:rPr>
        <w:t>财政部于</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8"/>
        </w:rPr>
        <w:t> </w:t>
      </w:r>
      <w:r>
        <w:rPr>
          <w:spacing w:val="-2"/>
        </w:rPr>
        <w:t>年度发布了《财政部关于修订印发一般企业财务报表格式的通知》（财会【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30</w:t>
      </w:r>
      <w:r>
        <w:rPr>
          <w:spacing w:val="-2"/>
        </w:rPr>
        <w:t>号），对一般企业财</w:t>
      </w:r>
      <w:r>
        <w:rPr/>
        <w:t> </w:t>
      </w:r>
      <w:r>
        <w:rPr>
          <w:spacing w:val="2"/>
        </w:rPr>
        <w:t>务报表格式进行了修订。公司将部分原列报于</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营业外支出</w:t>
      </w:r>
      <w:r>
        <w:rPr>
          <w:rFonts w:ascii="Times New Roman" w:hAnsi="Times New Roman" w:cs="Times New Roman" w:eastAsia="Times New Roman" w:hint="default"/>
          <w:spacing w:val="2"/>
        </w:rPr>
        <w:t>”</w:t>
      </w:r>
      <w:r>
        <w:rPr>
          <w:spacing w:val="2"/>
        </w:rPr>
        <w:t>的处置非流动资产的利得和损失变更为列报于</w:t>
      </w:r>
      <w:r>
        <w:rPr>
          <w:spacing w:val="-82"/>
        </w:rPr>
        <w:t> </w:t>
      </w:r>
      <w:r>
        <w:rPr>
          <w:spacing w:val="-82"/>
        </w:rPr>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w:t>
      </w:r>
      <w:r>
        <w:rPr>
          <w:spacing w:val="-2"/>
        </w:rPr>
        <w:t>，按照《企业会计准则第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财务报表列报》等的相关规定，此项会计政策变更要求采用追溯调整比较期</w:t>
      </w:r>
      <w:r>
        <w:rPr>
          <w:spacing w:val="-44"/>
        </w:rPr>
        <w:t> </w:t>
      </w:r>
      <w:r>
        <w:rPr>
          <w:spacing w:val="-44"/>
        </w:rPr>
      </w:r>
      <w:r>
        <w:rPr/>
        <w:t>财务报表列报。</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after="0" w:line="240" w:lineRule="auto"/>
        <w:jc w:val="left"/>
        <w:sectPr>
          <w:pgSz w:w="11910" w:h="16840"/>
          <w:pgMar w:header="745" w:footer="1566" w:top="1060" w:bottom="17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销售产品的增值额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以当期应纳流转税为税基计算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以当期应纳税所得额计算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销售收入（台湾子公司）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重庆市美盈森环保包装工程有限公司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深圳市金之彩文化创意有限公司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美盈森（香港）国际控股有限公司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台湾美盈森有限公司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中山市美盈森环保科技有限公司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东莞市美芯龙物联网科技有限公司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武汉市美盈森环保科技有限公司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小美集科技有限公司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美莲检测有限公司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东莞市美之兰环保科技有限公司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郑州市美盈森环保科技有限公司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天津美盈森智谷科技有限公司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长沙美盈森智谷科技有限公司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四川宜美供应链管理有限公司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佛山市美盈森绿谷科技有限公司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中大绿谷实业股份有限公司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湖南美盈森实业有限公司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美盈森智谷（苏州）包装技术有限公司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江苏美彩供应链管理有限公司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80" w:header="745" w:top="1060" w:bottom="1160" w:left="980" w:right="980"/>
          <w:pgNumType w:start="128"/>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安徽美盈森智谷科技有限公司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MYS GROUP (VIETNAM) </w:t>
            </w:r>
            <w:r>
              <w:rPr>
                <w:rFonts w:ascii="Times New Roman"/>
                <w:spacing w:val="-3"/>
                <w:sz w:val="18"/>
              </w:rPr>
              <w:t>COMPANY</w:t>
            </w:r>
            <w:r>
              <w:rPr>
                <w:rFonts w:ascii="Times New Roman"/>
                <w:spacing w:val="-2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8" w:firstLine="420"/>
        <w:jc w:val="both"/>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号《关于实施企业所得税过渡优惠政策的通知》的规定，以及财政部、国家税务总局有关 </w:t>
      </w:r>
      <w:r>
        <w:rPr>
          <w:spacing w:val="-1"/>
        </w:rPr>
        <w:t>政策规定，</w:t>
      </w:r>
      <w:r>
        <w:rPr>
          <w:rFonts w:ascii="Times New Roman" w:hAnsi="Times New Roman" w:cs="Times New Roman" w:eastAsia="Times New Roman" w:hint="default"/>
          <w:spacing w:val="-1"/>
        </w:rPr>
        <w:t>“</w:t>
      </w:r>
      <w:r>
        <w:rPr>
          <w:spacing w:val="-1"/>
        </w:rPr>
        <w:t>自</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日起，在新税法施行后</w:t>
      </w:r>
      <w:r>
        <w:rPr>
          <w:rFonts w:ascii="Times New Roman" w:hAnsi="Times New Roman" w:cs="Times New Roman" w:eastAsia="Times New Roman" w:hint="default"/>
          <w:spacing w:val="-1"/>
        </w:rPr>
        <w:t>5</w:t>
      </w:r>
      <w:r>
        <w:rPr>
          <w:spacing w:val="-1"/>
        </w:rPr>
        <w:t>年内逐步过渡到法定税率的规定</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2008-2012</w:t>
      </w:r>
      <w:r>
        <w:rPr>
          <w:spacing w:val="-1"/>
        </w:rPr>
        <w:t>年执行的企业所得税</w:t>
      </w:r>
      <w:r>
        <w:rPr>
          <w:spacing w:val="-66"/>
        </w:rPr>
        <w:t> </w:t>
      </w:r>
      <w:r>
        <w:rPr/>
        <w:t>率分别为</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24%</w:t>
      </w:r>
      <w:r>
        <w:rPr/>
        <w:t>、</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2009</w:t>
      </w:r>
      <w:r>
        <w:rPr/>
        <w:t>年，公司被认定为国家级高新技术企业，有效期三年。依据企业所得税法的</w:t>
      </w:r>
      <w:r>
        <w:rPr>
          <w:spacing w:val="-36"/>
        </w:rPr>
        <w:t> </w:t>
      </w:r>
      <w:r>
        <w:rPr>
          <w:spacing w:val="-36"/>
        </w:rPr>
      </w:r>
      <w:r>
        <w:rPr>
          <w:spacing w:val="-1"/>
        </w:rPr>
        <w:t>规定，</w:t>
      </w: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年公司重新申请高新技术企业资质复审，并于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spacing w:val="-59"/>
        </w:rPr>
        <w:t> </w:t>
      </w:r>
      <w:r>
        <w:rPr>
          <w:rFonts w:ascii="Times New Roman" w:hAnsi="Times New Roman" w:cs="Times New Roman" w:eastAsia="Times New Roman" w:hint="default"/>
        </w:rPr>
        <w:t>12</w:t>
      </w:r>
      <w:r>
        <w:rPr/>
        <w:t>日取得证书，编号</w:t>
      </w:r>
      <w:r>
        <w:rPr>
          <w:rFonts w:ascii="Times New Roman" w:hAnsi="Times New Roman" w:cs="Times New Roman" w:eastAsia="Times New Roman" w:hint="default"/>
        </w:rPr>
        <w:t>GF201244200525</w:t>
      </w:r>
      <w:r>
        <w:rPr/>
        <w:t>，有效期三年，企业所得税优惠期为</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年公司重新申请高新技术</w:t>
      </w:r>
      <w:r>
        <w:rPr>
          <w:spacing w:val="-53"/>
        </w:rPr>
        <w:t> </w:t>
      </w:r>
      <w:r>
        <w:rPr>
          <w:spacing w:val="-53"/>
        </w:rPr>
      </w:r>
      <w:r>
        <w:rPr>
          <w:spacing w:val="-1"/>
        </w:rPr>
        <w:t>企业资质复审，并于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w:t>
      </w:r>
      <w:r>
        <w:rPr>
          <w:spacing w:val="-1"/>
        </w:rPr>
        <w:t>日取得证书，编号</w:t>
      </w:r>
      <w:r>
        <w:rPr>
          <w:rFonts w:ascii="Times New Roman" w:hAnsi="Times New Roman" w:cs="Times New Roman" w:eastAsia="Times New Roman" w:hint="default"/>
          <w:spacing w:val="-1"/>
        </w:rPr>
        <w:t>GR201544201258</w:t>
      </w:r>
      <w:r>
        <w:rPr>
          <w:spacing w:val="-1"/>
        </w:rPr>
        <w:t>，有效期三年，自</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年所得税按</w:t>
      </w:r>
      <w:r>
        <w:rPr>
          <w:rFonts w:ascii="Times New Roman" w:hAnsi="Times New Roman" w:cs="Times New Roman" w:eastAsia="Times New Roman" w:hint="default"/>
          <w:spacing w:val="-1"/>
        </w:rPr>
        <w:t>15%</w:t>
      </w:r>
      <w:r>
        <w:rPr>
          <w:spacing w:val="-1"/>
        </w:rPr>
        <w:t>计算缴</w:t>
      </w:r>
      <w:r>
        <w:rPr>
          <w:spacing w:val="-65"/>
        </w:rPr>
        <w:t> </w:t>
      </w:r>
      <w:r>
        <w:rPr/>
        <w:t>纳。</w:t>
      </w:r>
    </w:p>
    <w:p>
      <w:pPr>
        <w:pStyle w:val="BodyText"/>
        <w:spacing w:line="300" w:lineRule="auto" w:before="152"/>
        <w:ind w:right="94" w:firstLine="420"/>
        <w:jc w:val="left"/>
      </w:pPr>
      <w:r>
        <w:rPr/>
        <w:t>子公司</w:t>
      </w:r>
      <w:r>
        <w:rPr>
          <w:rFonts w:ascii="Times New Roman" w:hAnsi="Times New Roman" w:cs="Times New Roman" w:eastAsia="Times New Roman" w:hint="default"/>
        </w:rPr>
        <w:t>“</w:t>
      </w:r>
      <w:r>
        <w:rPr/>
        <w:t>东莞市美盈森环保科技有限公司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日被认定为国家高新技术企业，编号</w:t>
      </w:r>
      <w:r>
        <w:rPr>
          <w:rFonts w:ascii="Times New Roman" w:hAnsi="Times New Roman" w:cs="Times New Roman" w:eastAsia="Times New Roman" w:hint="default"/>
        </w:rPr>
        <w:t>GR201444000733</w:t>
      </w:r>
      <w:r>
        <w:rPr/>
        <w:t>，有效期 三年，企业所得税优惠期为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日取得证书， 编号</w:t>
      </w:r>
      <w:r>
        <w:rPr>
          <w:rFonts w:ascii="Times New Roman" w:hAnsi="Times New Roman" w:cs="Times New Roman" w:eastAsia="Times New Roman" w:hint="default"/>
        </w:rPr>
        <w:t>GR201744008258</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91" w:firstLine="420"/>
        <w:jc w:val="both"/>
      </w:pPr>
      <w:r>
        <w:rPr>
          <w:spacing w:val="-1"/>
        </w:rPr>
        <w:t>子公司</w:t>
      </w:r>
      <w:r>
        <w:rPr>
          <w:rFonts w:ascii="Times New Roman" w:hAnsi="Times New Roman" w:cs="Times New Roman" w:eastAsia="Times New Roman" w:hint="default"/>
          <w:spacing w:val="-1"/>
        </w:rPr>
        <w:t>“</w:t>
      </w:r>
      <w:r>
        <w:rPr>
          <w:spacing w:val="-1"/>
        </w:rPr>
        <w:t>苏州美盈森环保科技有限公司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日被认定为国家高新技术企业，编号</w:t>
      </w:r>
      <w:r>
        <w:rPr>
          <w:rFonts w:ascii="Times New Roman" w:hAnsi="Times New Roman" w:cs="Times New Roman" w:eastAsia="Times New Roman" w:hint="default"/>
          <w:spacing w:val="-2"/>
        </w:rPr>
        <w:t>GR201432002227</w:t>
      </w:r>
      <w:r>
        <w:rPr>
          <w:spacing w:val="-2"/>
        </w:rPr>
        <w:t>，有效期三</w:t>
      </w:r>
      <w:r>
        <w:rPr/>
        <w:t> 年，企业所得税优惠期为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年公司重新申请高新技术企业资质复审，并于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日取得证书，编 号</w:t>
      </w:r>
      <w:r>
        <w:rPr>
          <w:rFonts w:ascii="Times New Roman" w:hAnsi="Times New Roman" w:cs="Times New Roman" w:eastAsia="Times New Roman" w:hint="default"/>
        </w:rPr>
        <w:t>GR201732003893</w:t>
      </w:r>
      <w:r>
        <w:rPr/>
        <w:t>，有效期三年，自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88" w:firstLine="420"/>
        <w:jc w:val="both"/>
      </w:pPr>
      <w:r>
        <w:rPr>
          <w:spacing w:val="-1"/>
        </w:rPr>
        <w:t>子公司</w:t>
      </w:r>
      <w:r>
        <w:rPr>
          <w:rFonts w:ascii="Times New Roman" w:hAnsi="Times New Roman" w:cs="Times New Roman" w:eastAsia="Times New Roman" w:hint="default"/>
          <w:spacing w:val="-1"/>
        </w:rPr>
        <w:t>“</w:t>
      </w:r>
      <w:r>
        <w:rPr>
          <w:spacing w:val="-1"/>
        </w:rPr>
        <w:t>东莞市美芯龙物联网科技有限公司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日被认定为国家高新技术企业，编号</w:t>
      </w:r>
      <w:r>
        <w:rPr>
          <w:rFonts w:ascii="Times New Roman" w:hAnsi="Times New Roman" w:cs="Times New Roman" w:eastAsia="Times New Roman" w:hint="default"/>
          <w:spacing w:val="-1"/>
        </w:rPr>
        <w:t>GR201644001621</w:t>
      </w:r>
      <w:r>
        <w:rPr>
          <w:spacing w:val="-1"/>
        </w:rPr>
        <w:t>，有效</w:t>
      </w:r>
      <w:r>
        <w:rPr/>
        <w:t> 期三年，自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45" w:firstLine="420"/>
        <w:jc w:val="both"/>
      </w:pPr>
      <w:r>
        <w:rPr/>
        <w:t>子公司 </w:t>
      </w:r>
      <w:r>
        <w:rPr>
          <w:rFonts w:ascii="Times New Roman" w:hAnsi="Times New Roman" w:cs="Times New Roman" w:eastAsia="Times New Roman" w:hint="default"/>
        </w:rPr>
        <w:t>“</w:t>
      </w:r>
      <w:r>
        <w:rPr/>
        <w:t>中山市美盈森环保科技有限公司</w:t>
      </w:r>
      <w:r>
        <w:rPr>
          <w:rFonts w:ascii="Times New Roman" w:hAnsi="Times New Roman" w:cs="Times New Roman" w:eastAsia="Times New Roman" w:hint="default"/>
        </w:rPr>
        <w:t>”</w:t>
      </w:r>
      <w:r>
        <w:rPr/>
        <w:t>、</w:t>
      </w:r>
      <w:r>
        <w:rPr>
          <w:spacing w:val="-39"/>
        </w:rPr>
        <w:t> </w:t>
      </w:r>
      <w:r>
        <w:rPr>
          <w:rFonts w:ascii="Times New Roman" w:hAnsi="Times New Roman" w:cs="Times New Roman" w:eastAsia="Times New Roman" w:hint="default"/>
        </w:rPr>
        <w:t>“</w:t>
      </w:r>
      <w:r>
        <w:rPr/>
        <w:t>武汉市美盈森环保科技有限公司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成都市美盈森环保科技有限公司</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郑州市美盈森环保科技有限公司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天津美盈森智谷科技有限公司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长沙美盈森智谷科技有限公司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四川泸美供应链</w:t>
      </w:r>
      <w:r>
        <w:rPr>
          <w:spacing w:val="-18"/>
        </w:rPr>
        <w:t> </w:t>
      </w:r>
      <w:r>
        <w:rPr>
          <w:spacing w:val="-18"/>
        </w:rPr>
      </w:r>
      <w:r>
        <w:rPr/>
        <w:t>管理有限公司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小美集科技有限公司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美莲检测有限公司</w:t>
      </w:r>
      <w:r>
        <w:rPr>
          <w:rFonts w:ascii="Times New Roman" w:hAnsi="Times New Roman" w:cs="Times New Roman" w:eastAsia="Times New Roman" w:hint="default"/>
        </w:rPr>
        <w:t>”</w:t>
      </w:r>
      <w:r>
        <w:rPr/>
        <w:t>等公司企业所得税税率均为</w:t>
      </w:r>
      <w:r>
        <w:rPr>
          <w:rFonts w:ascii="Times New Roman" w:hAnsi="Times New Roman" w:cs="Times New Roman" w:eastAsia="Times New Roman" w:hint="default"/>
        </w:rPr>
        <w:t>25%</w:t>
      </w:r>
      <w:r>
        <w:rPr/>
        <w:t>。</w:t>
      </w:r>
    </w:p>
    <w:p>
      <w:pPr>
        <w:pStyle w:val="BodyText"/>
        <w:spacing w:line="240" w:lineRule="auto" w:before="133"/>
        <w:ind w:left="573" w:right="94"/>
        <w:jc w:val="left"/>
      </w:pPr>
      <w:r>
        <w:rPr/>
        <w:t>子公司</w:t>
      </w:r>
      <w:r>
        <w:rPr>
          <w:rFonts w:ascii="Times New Roman" w:hAnsi="Times New Roman" w:cs="Times New Roman" w:eastAsia="Times New Roman" w:hint="default"/>
        </w:rPr>
        <w:t>“</w:t>
      </w:r>
      <w:r>
        <w:rPr/>
        <w:t>重庆市美盈森环保包装工程有限公司</w:t>
      </w:r>
      <w:r>
        <w:rPr>
          <w:rFonts w:ascii="Times New Roman" w:hAnsi="Times New Roman" w:cs="Times New Roman" w:eastAsia="Times New Roman" w:hint="default"/>
        </w:rPr>
        <w:t>”</w:t>
      </w:r>
      <w:r>
        <w:rPr/>
        <w:t>因地处西部大开发区域，享受</w:t>
      </w:r>
      <w:r>
        <w:rPr>
          <w:rFonts w:ascii="Times New Roman" w:hAnsi="Times New Roman" w:cs="Times New Roman" w:eastAsia="Times New Roman" w:hint="default"/>
        </w:rPr>
        <w:t>15%</w:t>
      </w:r>
      <w:r>
        <w:rPr/>
        <w:t>的企业所得税优惠税率。</w:t>
      </w:r>
    </w:p>
    <w:p>
      <w:pPr>
        <w:spacing w:line="240" w:lineRule="auto" w:before="13"/>
        <w:rPr>
          <w:rFonts w:ascii="宋体" w:hAnsi="宋体" w:cs="宋体" w:eastAsia="宋体" w:hint="default"/>
          <w:sz w:val="13"/>
          <w:szCs w:val="13"/>
        </w:rPr>
      </w:pPr>
    </w:p>
    <w:p>
      <w:pPr>
        <w:pStyle w:val="BodyText"/>
        <w:spacing w:line="300" w:lineRule="auto"/>
        <w:ind w:right="189" w:firstLine="420"/>
        <w:jc w:val="both"/>
      </w:pPr>
      <w:r>
        <w:rPr>
          <w:spacing w:val="-1"/>
        </w:rPr>
        <w:t>子公司</w:t>
      </w:r>
      <w:r>
        <w:rPr>
          <w:rFonts w:ascii="Times New Roman" w:hAnsi="Times New Roman" w:cs="Times New Roman" w:eastAsia="Times New Roman" w:hint="default"/>
          <w:spacing w:val="-1"/>
        </w:rPr>
        <w:t>“</w:t>
      </w:r>
      <w:r>
        <w:rPr>
          <w:spacing w:val="-1"/>
        </w:rPr>
        <w:t>深圳市金之彩文化创意有限公司</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22</w:t>
      </w:r>
      <w:r>
        <w:rPr>
          <w:spacing w:val="-2"/>
        </w:rPr>
        <w:t>日被认定为高新技术企业，有效期三年，</w:t>
      </w:r>
      <w:r>
        <w:rPr>
          <w:rFonts w:ascii="Times New Roman" w:hAnsi="Times New Roman" w:cs="Times New Roman" w:eastAsia="Times New Roman" w:hint="default"/>
          <w:spacing w:val="-2"/>
        </w:rPr>
        <w:t>2016</w:t>
      </w:r>
      <w:r>
        <w:rPr>
          <w:spacing w:val="-2"/>
        </w:rPr>
        <w:t>年公司重新申请高</w:t>
      </w:r>
      <w:r>
        <w:rPr/>
        <w:t> 新技术企业资质复审，并于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日取得证书，编号</w:t>
      </w:r>
      <w:r>
        <w:rPr>
          <w:rFonts w:ascii="Times New Roman" w:hAnsi="Times New Roman" w:cs="Times New Roman" w:eastAsia="Times New Roman" w:hint="default"/>
        </w:rPr>
        <w:t>GR201644203451</w:t>
      </w:r>
      <w:r>
        <w:rPr/>
        <w:t>，自</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年所得税按</w:t>
      </w:r>
      <w:r>
        <w:rPr>
          <w:rFonts w:ascii="Times New Roman" w:hAnsi="Times New Roman" w:cs="Times New Roman" w:eastAsia="Times New Roman" w:hint="default"/>
        </w:rPr>
        <w:t>15%</w:t>
      </w:r>
      <w:r>
        <w:rPr/>
        <w:t>计算缴纳。</w:t>
      </w:r>
    </w:p>
    <w:p>
      <w:pPr>
        <w:pStyle w:val="BodyText"/>
        <w:spacing w:line="300" w:lineRule="auto" w:before="133"/>
        <w:ind w:right="100" w:firstLine="420"/>
        <w:jc w:val="both"/>
      </w:pPr>
      <w:r>
        <w:rPr>
          <w:spacing w:val="-1"/>
        </w:rPr>
        <w:t>根据香港特别行政区相关的税收政策规定，子公司</w:t>
      </w:r>
      <w:r>
        <w:rPr>
          <w:rFonts w:ascii="Times New Roman" w:hAnsi="Times New Roman" w:cs="Times New Roman" w:eastAsia="Times New Roman" w:hint="default"/>
          <w:spacing w:val="-1"/>
        </w:rPr>
        <w:t>“</w:t>
      </w:r>
      <w:r>
        <w:rPr>
          <w:spacing w:val="-1"/>
        </w:rPr>
        <w:t>美盈森（香港）国际控股有限公司</w:t>
      </w:r>
      <w:r>
        <w:rPr>
          <w:rFonts w:ascii="Times New Roman" w:hAnsi="Times New Roman" w:cs="Times New Roman" w:eastAsia="Times New Roman" w:hint="default"/>
          <w:spacing w:val="-1"/>
        </w:rPr>
        <w:t>”</w:t>
      </w:r>
      <w:r>
        <w:rPr>
          <w:spacing w:val="-1"/>
        </w:rPr>
        <w:t>只按</w:t>
      </w:r>
      <w:r>
        <w:rPr>
          <w:rFonts w:ascii="Times New Roman" w:hAnsi="Times New Roman" w:cs="Times New Roman" w:eastAsia="Times New Roman" w:hint="default"/>
          <w:spacing w:val="-1"/>
        </w:rPr>
        <w:t>16.50%</w:t>
      </w:r>
      <w:r>
        <w:rPr>
          <w:spacing w:val="-1"/>
        </w:rPr>
        <w:t>的税率计缴利得税，</w:t>
      </w:r>
      <w:r>
        <w:rPr/>
        <w:t> 无需缴纳其他税费。</w:t>
      </w:r>
    </w:p>
    <w:p>
      <w:pPr>
        <w:pStyle w:val="BodyText"/>
        <w:spacing w:line="240" w:lineRule="auto" w:before="151"/>
        <w:ind w:left="604" w:right="94"/>
        <w:jc w:val="left"/>
      </w:pPr>
      <w:r>
        <w:rPr/>
        <w:t>香港美盈森下属子公司台湾美盈森营利事业所得税率</w:t>
      </w:r>
      <w:r>
        <w:rPr>
          <w:rFonts w:ascii="Times New Roman" w:hAnsi="Times New Roman" w:cs="Times New Roman" w:eastAsia="Times New Roman" w:hint="default"/>
        </w:rPr>
        <w:t>17%</w:t>
      </w:r>
      <w:r>
        <w:rPr/>
        <w:t>。</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本公司其他税项按国家有关规定缴纳。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pStyle w:val="Heading2"/>
        <w:spacing w:line="240" w:lineRule="auto"/>
        <w:ind w:right="94"/>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1,003,533.68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773,474.75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2,044,074,965.67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2,069,002,367.79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108,218,710.60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6,751,749.69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2,153,297,209.95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2,076,527,592.23</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49,895,560.78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23,273,037.85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49,895,560.78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23,273,037.85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111,724,622.38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111,724,622.38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0"/>
        <w:ind w:right="905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1224"/>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224"/>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917,356,</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267.26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54,425,4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862,930,7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71.54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722,753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,598.20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41,978,47</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680,775,11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9.20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3,439,17</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3,438,60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563.74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3,052,4</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24.22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3,052,424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920,795,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439.15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57,864,1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03.87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6.28%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862,931,3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35.28</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725,806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,022.42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45,030,90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3.22</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6.20%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680,775,11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9.20</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80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4293" w:space="4536"/>
            <w:col w:w="13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891,188,377.94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44,550,770.16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891,188,377.94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44,550,770.16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7,532,175.86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753,217.59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5,656,325.09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1,716,281.27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11,150,422.52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5,576,260.85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1,828,965.85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1,828,965.85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917,356,267.26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54,425,495.72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5.93%</w:t>
            </w:r>
          </w:p>
        </w:tc>
      </w:tr>
    </w:tbl>
    <w:p>
      <w:pPr>
        <w:pStyle w:val="BodyText"/>
        <w:spacing w:line="357" w:lineRule="auto" w:before="49"/>
        <w:ind w:right="7974"/>
        <w:jc w:val="left"/>
      </w:pPr>
      <w:r>
        <w:rPr/>
        <w:t>确定该组合依据的说明： 无</w:t>
      </w:r>
    </w:p>
    <w:p>
      <w:pPr>
        <w:pStyle w:val="BodyText"/>
        <w:spacing w:line="240" w:lineRule="auto" w:before="29"/>
        <w:ind w:right="1224"/>
        <w:jc w:val="left"/>
      </w:pPr>
      <w:r>
        <w:rPr/>
        <w:t>组合中，采用余额百分比法计提坏账准备的应收账款：</w:t>
      </w:r>
    </w:p>
    <w:p>
      <w:pPr>
        <w:pStyle w:val="BodyText"/>
        <w:spacing w:line="338" w:lineRule="auto" w:before="117"/>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453"/>
        <w:gridCol w:w="1697"/>
        <w:gridCol w:w="1330"/>
        <w:gridCol w:w="1536"/>
        <w:gridCol w:w="1695"/>
        <w:gridCol w:w="1145"/>
      </w:tblGrid>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70"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80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453"/>
        <w:gridCol w:w="1697"/>
        <w:gridCol w:w="1330"/>
        <w:gridCol w:w="1536"/>
        <w:gridCol w:w="1695"/>
        <w:gridCol w:w="1145"/>
      </w:tblGrid>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成都三叶鞋业有限公司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362,437.54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362,437.54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6"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成都双流新得亿鞋业有限公司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231,638.49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231,638.49</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成都市嘉妮诺鞋业有限公司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219,512.12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219,512.12</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65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6"/>
                <w:sz w:val="18"/>
                <w:szCs w:val="18"/>
              </w:rPr>
              <w:t>深圳市金鸿彩包装制品有限公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210,710.50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210,710.50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常德武陵酿酒有限公司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193,810.26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193,810.26</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6"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其他零散客户</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2,221,062.98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2,220,499.24</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0" w:right="0"/>
              <w:jc w:val="center"/>
              <w:rPr>
                <w:rFonts w:ascii="宋体" w:hAnsi="宋体" w:cs="宋体" w:eastAsia="宋体" w:hint="default"/>
                <w:sz w:val="18"/>
                <w:szCs w:val="18"/>
              </w:rPr>
            </w:pPr>
            <w:r>
              <w:rPr>
                <w:rFonts w:ascii="宋体"/>
                <w:sz w:val="18"/>
              </w:rPr>
              <w:t> </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35" w:right="0"/>
              <w:jc w:val="left"/>
              <w:rPr>
                <w:rFonts w:ascii="Times New Roman" w:hAnsi="Times New Roman" w:cs="Times New Roman" w:eastAsia="Times New Roman" w:hint="default"/>
                <w:sz w:val="18"/>
                <w:szCs w:val="18"/>
              </w:rPr>
            </w:pPr>
            <w:r>
              <w:rPr>
                <w:rFonts w:ascii="Times New Roman"/>
                <w:sz w:val="18"/>
              </w:rPr>
              <w:t>99.97</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3,439,171.89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3,438,608.15</w:t>
            </w:r>
          </w:p>
        </w:tc>
        <w:tc>
          <w:tcPr>
            <w:tcW w:w="1536" w:type="dxa"/>
            <w:tcBorders>
              <w:top w:val="single" w:sz="6" w:space="0" w:color="000000"/>
              <w:left w:val="single" w:sz="6" w:space="0" w:color="000000"/>
              <w:bottom w:val="single" w:sz="6" w:space="0" w:color="000000"/>
              <w:right w:val="single" w:sz="6" w:space="0" w:color="000000"/>
            </w:tcBorders>
          </w:tcPr>
          <w:p>
            <w:pP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35" w:right="0"/>
              <w:jc w:val="left"/>
              <w:rPr>
                <w:rFonts w:ascii="宋体" w:hAnsi="宋体" w:cs="宋体" w:eastAsia="宋体" w:hint="default"/>
                <w:sz w:val="18"/>
                <w:szCs w:val="18"/>
              </w:rPr>
            </w:pPr>
            <w:r>
              <w:rPr>
                <w:rFonts w:ascii="Times New Roman"/>
                <w:sz w:val="18"/>
              </w:rPr>
              <w:t>99.98</w:t>
            </w:r>
            <w:r>
              <w:rPr>
                <w:rFonts w:ascii="宋体"/>
                <w:sz w:val="18"/>
              </w:rPr>
              <w:t> </w:t>
            </w:r>
          </w:p>
        </w:tc>
        <w:tc>
          <w:tcPr>
            <w:tcW w:w="114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80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12,833,200.65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6548" w:space="2281"/>
            <w:col w:w="13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224"/>
        <w:jc w:val="left"/>
      </w:pPr>
      <w:r>
        <w:rPr/>
        <w:t>其中重要的应收账款核销情况：</w:t>
      </w:r>
    </w:p>
    <w:p>
      <w:pPr>
        <w:pStyle w:val="BodyText"/>
        <w:spacing w:line="240" w:lineRule="auto" w:before="115"/>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59"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0"/>
        <w:ind w:right="8334"/>
        <w:jc w:val="left"/>
      </w:pPr>
      <w:r>
        <w:rPr/>
        <w:t>应收账款核销说明： 无</w:t>
      </w:r>
    </w:p>
    <w:p>
      <w:pPr>
        <w:spacing w:line="240" w:lineRule="auto" w:before="6"/>
        <w:rPr>
          <w:rFonts w:ascii="宋体" w:hAnsi="宋体" w:cs="宋体" w:eastAsia="宋体" w:hint="default"/>
          <w:sz w:val="20"/>
          <w:szCs w:val="20"/>
        </w:rPr>
      </w:pPr>
    </w:p>
    <w:p>
      <w:pPr>
        <w:pStyle w:val="Heading4"/>
        <w:spacing w:line="240" w:lineRule="auto"/>
        <w:ind w:right="122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92"/>
        <w:gridCol w:w="1786"/>
        <w:gridCol w:w="2086"/>
        <w:gridCol w:w="2035"/>
        <w:gridCol w:w="1750"/>
      </w:tblGrid>
      <w:tr>
        <w:trPr>
          <w:trHeight w:val="34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01" w:right="0"/>
              <w:jc w:val="left"/>
              <w:rPr>
                <w:rFonts w:ascii="宋体" w:hAnsi="宋体" w:cs="宋体" w:eastAsia="宋体" w:hint="default"/>
                <w:sz w:val="18"/>
                <w:szCs w:val="18"/>
              </w:rPr>
            </w:pPr>
            <w:r>
              <w:rPr>
                <w:rFonts w:ascii="宋体" w:hAnsi="宋体" w:cs="宋体" w:eastAsia="宋体" w:hint="default"/>
                <w:sz w:val="18"/>
                <w:szCs w:val="18"/>
              </w:rPr>
              <w:t>占应收账款余额比例</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49,553,743.37</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5.38%</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2,477,687.17</w:t>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42,634,183.71</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4.63%</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2,131,709.19</w:t>
            </w:r>
          </w:p>
        </w:tc>
      </w:tr>
      <w:tr>
        <w:trPr>
          <w:trHeight w:val="349"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42,327,241.68</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4.60%</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2,116,362.08</w:t>
            </w:r>
          </w:p>
        </w:tc>
      </w:tr>
      <w:tr>
        <w:trPr>
          <w:trHeight w:val="346"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24,392,681.21</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1,219,634.06</w:t>
            </w:r>
          </w:p>
        </w:tc>
      </w:tr>
      <w:tr>
        <w:trPr>
          <w:trHeight w:val="34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供销关系</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23,893,528.41</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2.59%</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1,194,676.42</w:t>
            </w:r>
          </w:p>
        </w:tc>
      </w:tr>
      <w:tr>
        <w:trPr>
          <w:trHeight w:val="348" w:hRule="exact"/>
        </w:trPr>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182,801,378.38</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19.85%</w:t>
            </w:r>
          </w:p>
        </w:tc>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9,140,068.92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800"/>
        </w:sectPr>
      </w:pPr>
    </w:p>
    <w:p>
      <w:pPr>
        <w:spacing w:line="240" w:lineRule="auto" w:before="10"/>
        <w:rPr>
          <w:rFonts w:ascii="宋体" w:hAnsi="宋体" w:cs="宋体" w:eastAsia="宋体" w:hint="default"/>
          <w:b/>
          <w:bCs/>
          <w:sz w:val="24"/>
          <w:szCs w:val="24"/>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22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22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90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1224"/>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22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6,627,914.54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9,547,057.16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90.56%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1,048,426.34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598,451.25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503,185.09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36,488.80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230,095.30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359,965.20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8,409,621.27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10,541,962.41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50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7"/>
        <w:rPr>
          <w:rFonts w:ascii="宋体" w:hAnsi="宋体" w:cs="宋体" w:eastAsia="宋体" w:hint="default"/>
          <w:sz w:val="21"/>
          <w:szCs w:val="21"/>
        </w:rPr>
      </w:pPr>
    </w:p>
    <w:p>
      <w:pPr>
        <w:pStyle w:val="Heading4"/>
        <w:spacing w:line="240" w:lineRule="auto"/>
        <w:ind w:right="1224"/>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160"/>
        <w:gridCol w:w="2626"/>
        <w:gridCol w:w="3070"/>
      </w:tblGrid>
      <w:tr>
        <w:trPr>
          <w:trHeight w:val="34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占预付账款金额比例</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MITSUIBUSSANPACKAGINGCO.LTD</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1,518,523.12</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18.06%</w:t>
            </w:r>
          </w:p>
        </w:tc>
      </w:tr>
      <w:tr>
        <w:trPr>
          <w:trHeight w:val="34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四川省瑞展科技有限公司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9.28%</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江苏省电力公司吴江市供电公司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539,106.81</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6.41%</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佛山市顺德区海博模具机械有限公司</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350,586.20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4.17%</w:t>
            </w:r>
          </w:p>
        </w:tc>
      </w:tr>
      <w:tr>
        <w:trPr>
          <w:trHeight w:val="346"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重庆市电力公司沙坪坝供电局</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3.57%</w:t>
            </w:r>
          </w:p>
        </w:tc>
      </w:tr>
      <w:tr>
        <w:trPr>
          <w:trHeight w:val="348" w:hRule="exact"/>
        </w:trPr>
        <w:tc>
          <w:tcPr>
            <w:tcW w:w="4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3,488,216.13</w:t>
            </w:r>
          </w:p>
        </w:tc>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41.49%</w:t>
            </w:r>
          </w:p>
        </w:tc>
      </w:tr>
    </w:tbl>
    <w:p>
      <w:pPr>
        <w:pStyle w:val="BodyText"/>
        <w:spacing w:line="357" w:lineRule="auto" w:before="49"/>
        <w:ind w:right="9054"/>
        <w:jc w:val="left"/>
      </w:pPr>
      <w:r>
        <w:rPr/>
        <w:t>其他说明： 无</w:t>
      </w:r>
    </w:p>
    <w:p>
      <w:pPr>
        <w:spacing w:after="0" w:line="357" w:lineRule="auto"/>
        <w:jc w:val="left"/>
        <w:sectPr>
          <w:pgSz w:w="11910" w:h="16840"/>
          <w:pgMar w:header="745" w:footer="980" w:top="1060" w:bottom="1160" w:left="980" w:right="80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13,741,592.64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5,178,796.61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13,741,592.64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5,178,796.61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73" w:right="38"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四川固佳贸易有限责任公司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874"/>
        <w:jc w:val="left"/>
      </w:pPr>
      <w:r>
        <w:rPr/>
        <w:t>其他说明： 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7"/>
        <w:gridCol w:w="656"/>
        <w:gridCol w:w="761"/>
        <w:gridCol w:w="814"/>
        <w:gridCol w:w="934"/>
        <w:gridCol w:w="931"/>
      </w:tblGrid>
      <w:tr>
        <w:trPr>
          <w:trHeight w:val="402"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64,339,9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96.32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64,286,99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6.32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63,458,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917.38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974,237.0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62,484,680.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756,475.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617,975.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592,850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65,096,4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71.32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670,975.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1.03%</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64,425,49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6.32</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3"/>
              <w:ind w:left="84" w:right="0"/>
              <w:jc w:val="left"/>
              <w:rPr>
                <w:rFonts w:ascii="Times New Roman" w:hAnsi="Times New Roman" w:cs="Times New Roman" w:eastAsia="Times New Roman" w:hint="default"/>
                <w:sz w:val="18"/>
                <w:szCs w:val="18"/>
              </w:rPr>
            </w:pPr>
            <w:r>
              <w:rPr>
                <w:rFonts w:ascii="Times New Roman"/>
                <w:sz w:val="18"/>
              </w:rPr>
              <w:t>64,051,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767.38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1,567,087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2.45%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62,484,680.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0" w:header="745" w:top="1060" w:bottom="1160" w:left="980" w:right="800"/>
          <w:pgNumType w:start="135"/>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4473" w:space="4356"/>
            <w:col w:w="13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206"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357" w:lineRule="auto" w:before="49"/>
        <w:ind w:right="7974"/>
        <w:jc w:val="left"/>
      </w:pPr>
      <w:r>
        <w:rPr/>
        <w:t>确定该组合依据的说明： 无</w:t>
      </w:r>
    </w:p>
    <w:p>
      <w:pPr>
        <w:pStyle w:val="BodyText"/>
        <w:spacing w:line="240" w:lineRule="auto" w:before="29"/>
        <w:ind w:right="1224"/>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2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794"/>
        <w:gridCol w:w="2614"/>
        <w:gridCol w:w="2223"/>
        <w:gridCol w:w="2225"/>
      </w:tblGrid>
      <w:tr>
        <w:trPr>
          <w:trHeight w:val="389" w:hRule="exact"/>
        </w:trPr>
        <w:tc>
          <w:tcPr>
            <w:tcW w:w="27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6" w:hRule="exact"/>
        </w:trPr>
        <w:tc>
          <w:tcPr>
            <w:tcW w:w="2794" w:type="dxa"/>
            <w:vMerge/>
            <w:tcBorders>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保证金、备用金、股权回购款等</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64,286,996.32</w:t>
            </w:r>
          </w:p>
        </w:tc>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tabs>
                <w:tab w:pos="396"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64,286,996.32</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r>
    </w:tbl>
    <w:p>
      <w:pPr>
        <w:pStyle w:val="BodyText"/>
        <w:spacing w:line="338" w:lineRule="auto" w:before="49"/>
        <w:ind w:right="1224"/>
        <w:jc w:val="left"/>
      </w:pPr>
      <w:r>
        <w:rPr/>
        <w:t>注</w:t>
      </w:r>
      <w:r>
        <w:rPr>
          <w:rFonts w:ascii="Times New Roman" w:hAnsi="Times New Roman" w:cs="Times New Roman" w:eastAsia="Times New Roman" w:hint="default"/>
        </w:rPr>
        <w:t>1</w:t>
      </w:r>
      <w:r>
        <w:rPr/>
        <w:t>：其他应收款主要是保证金、备用金、股权回购款等，故未计提坏账准备。 注</w:t>
      </w:r>
      <w:r>
        <w:rPr>
          <w:rFonts w:ascii="Times New Roman" w:hAnsi="Times New Roman" w:cs="Times New Roman" w:eastAsia="Times New Roman" w:hint="default"/>
        </w:rPr>
        <w:t>2</w:t>
      </w:r>
      <w:r>
        <w:rPr/>
        <w:t>：股权回购款主要是处置汇天云网集团应收其原股东的款项，截止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日已全部收回该股权回购款。</w:t>
      </w:r>
    </w:p>
    <w:p>
      <w:pPr>
        <w:spacing w:line="240" w:lineRule="auto" w:before="12"/>
        <w:rPr>
          <w:rFonts w:ascii="宋体" w:hAnsi="宋体" w:cs="宋体" w:eastAsia="宋体" w:hint="default"/>
          <w:sz w:val="19"/>
          <w:szCs w:val="19"/>
        </w:rPr>
      </w:pPr>
    </w:p>
    <w:p>
      <w:pPr>
        <w:pStyle w:val="Heading4"/>
        <w:spacing w:line="240" w:lineRule="auto"/>
        <w:ind w:right="12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3798"/>
        <w:jc w:val="left"/>
      </w:pPr>
      <w:r>
        <w:rPr/>
        <w:t>本期计提坏账准备金额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896,112.04</w:t>
      </w:r>
      <w:r>
        <w:rPr>
          <w:rFonts w:ascii="Times New Roman" w:hAnsi="Times New Roman" w:cs="Times New Roman" w:eastAsia="Times New Roman" w:hint="default"/>
          <w:spacing w:val="-1"/>
        </w:rPr>
        <w:t> </w:t>
      </w:r>
      <w:r>
        <w:rPr/>
        <w:t>元。 其中本期坏账准备转回或收回金额重要的：</w:t>
      </w:r>
    </w:p>
    <w:p>
      <w:pPr>
        <w:spacing w:after="0" w:line="338" w:lineRule="auto"/>
        <w:jc w:val="left"/>
        <w:sectPr>
          <w:type w:val="continuous"/>
          <w:pgSz w:w="11910" w:h="16840"/>
          <w:pgMar w:top="1060" w:bottom="1160" w:left="980" w:right="80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8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6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974"/>
        <w:jc w:val="left"/>
      </w:pPr>
      <w:r>
        <w:rPr/>
        <w:t>其他应收款核销说明：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12,206,116.87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15,883,578.01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22,923,679.98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36,762,912.26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19,866,137.35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7,452,804.34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9,358,029.42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车辆储值卡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149,542.32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140,657.54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2,498,190.46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1,906,590.15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65,096,471.32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64,051,767.38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郑荣华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股权回购款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19,866,137.35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30.52%</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宁乡经济技术开发 区建设投资有限公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w:t>
            </w: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7"/>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某客户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岳阳城陵矶临港产 业新区财政局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泸州益和纸品包装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30,556,137.35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46.94%</w:t>
            </w:r>
          </w:p>
        </w:tc>
        <w:tc>
          <w:tcPr>
            <w:tcW w:w="15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9"/>
        <w:gridCol w:w="1366"/>
        <w:gridCol w:w="1368"/>
        <w:gridCol w:w="1366"/>
        <w:gridCol w:w="1369"/>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375,184,858.76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375,184,858.76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220,024,417.85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220,024,417.85</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54,866,338.21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7,837,206.01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47,029,132.20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36,359,987.74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7,837,206.01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28,522,781.73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239,054,284.74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14,387,948.21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224,666,336.53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145,225,774.77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13,640,678.41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131,585,096.36</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409,870.96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409,870.96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6,727,599.38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6,727,599.38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5,644,905.23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5,644,905.23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676,242,952.05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0" w:right="0"/>
              <w:jc w:val="left"/>
              <w:rPr>
                <w:rFonts w:ascii="Times New Roman" w:hAnsi="Times New Roman" w:cs="Times New Roman" w:eastAsia="Times New Roman" w:hint="default"/>
                <w:sz w:val="18"/>
                <w:szCs w:val="18"/>
              </w:rPr>
            </w:pPr>
            <w:r>
              <w:rPr>
                <w:rFonts w:ascii="Times New Roman"/>
                <w:sz w:val="18"/>
              </w:rPr>
              <w:t>22,225,154.22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654,017,797.83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407,255,085.59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21,477,884.42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385,777,201.17</w:t>
            </w:r>
          </w:p>
        </w:tc>
      </w:tr>
    </w:tbl>
    <w:p>
      <w:pPr>
        <w:pStyle w:val="BodyText"/>
        <w:spacing w:line="338" w:lineRule="auto" w:before="49"/>
        <w:ind w:right="16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7"/>
        <w:rPr>
          <w:rFonts w:ascii="宋体" w:hAnsi="宋体" w:cs="宋体" w:eastAsia="宋体" w:hint="default"/>
          <w:sz w:val="21"/>
          <w:szCs w:val="21"/>
        </w:rPr>
      </w:pPr>
    </w:p>
    <w:p>
      <w:pPr>
        <w:pStyle w:val="Heading4"/>
        <w:spacing w:line="240" w:lineRule="auto"/>
        <w:ind w:right="1224"/>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7,837,206.01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7,837,206.01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13,640,678.41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1,906,217.99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1,158,948.19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14,387,948.21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21,477,884.42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1,906,217.99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1,158,948.19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22,225,154.22</w:t>
            </w:r>
          </w:p>
        </w:tc>
      </w:tr>
    </w:tbl>
    <w:p>
      <w:pPr>
        <w:spacing w:line="240" w:lineRule="auto" w:before="6"/>
        <w:rPr>
          <w:rFonts w:ascii="宋体" w:hAnsi="宋体" w:cs="宋体" w:eastAsia="宋体" w:hint="default"/>
          <w:sz w:val="19"/>
          <w:szCs w:val="19"/>
        </w:rPr>
      </w:pPr>
    </w:p>
    <w:p>
      <w:pPr>
        <w:spacing w:before="37"/>
        <w:ind w:left="152" w:right="1224" w:firstLine="0"/>
        <w:jc w:val="left"/>
        <w:rPr>
          <w:rFonts w:ascii="宋体" w:hAnsi="宋体" w:cs="宋体" w:eastAsia="宋体" w:hint="default"/>
          <w:sz w:val="20"/>
          <w:szCs w:val="20"/>
        </w:rPr>
      </w:pPr>
      <w:r>
        <w:rPr>
          <w:rFonts w:ascii="宋体" w:hAnsi="宋体" w:cs="宋体" w:eastAsia="宋体" w:hint="default"/>
          <w:sz w:val="20"/>
          <w:szCs w:val="20"/>
        </w:rPr>
        <w:t>存货跌价准备计提依据及本年转回或转销原因：</w:t>
      </w:r>
    </w:p>
    <w:p>
      <w:pPr>
        <w:spacing w:line="240" w:lineRule="auto" w:before="5"/>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503"/>
        <w:gridCol w:w="2813"/>
        <w:gridCol w:w="2710"/>
        <w:gridCol w:w="2830"/>
      </w:tblGrid>
      <w:tr>
        <w:trPr>
          <w:trHeight w:val="348"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8"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13" w:type="dxa"/>
            <w:tcBorders>
              <w:top w:val="single" w:sz="6" w:space="0" w:color="000000"/>
              <w:left w:val="single" w:sz="6" w:space="0" w:color="000000"/>
              <w:bottom w:val="single" w:sz="6" w:space="0" w:color="000000"/>
              <w:right w:val="single" w:sz="6" w:space="0" w:color="000000"/>
            </w:tcBorders>
          </w:tcPr>
          <w:p>
            <w:pPr/>
          </w:p>
        </w:tc>
        <w:tc>
          <w:tcPr>
            <w:tcW w:w="2710" w:type="dxa"/>
            <w:tcBorders>
              <w:top w:val="single" w:sz="6" w:space="0" w:color="000000"/>
              <w:left w:val="single" w:sz="6" w:space="0" w:color="000000"/>
              <w:bottom w:val="single" w:sz="6" w:space="0" w:color="000000"/>
              <w:right w:val="single" w:sz="6" w:space="0" w:color="000000"/>
            </w:tcBorders>
          </w:tcPr>
          <w:p>
            <w:pP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r>
      <w:tr>
        <w:trPr>
          <w:trHeight w:val="346"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r>
      <w:tr>
        <w:trPr>
          <w:trHeight w:val="348" w:hRule="exact"/>
        </w:trPr>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 </w:t>
            </w:r>
          </w:p>
        </w:tc>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实现销售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22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224"/>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1224"/>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待抵扣、待认证进项税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53,428,768.93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3,707,275.80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950,102.53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2,149,583.08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54,378,871.46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5,856,858.88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80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8"/>
        <w:gridCol w:w="1196"/>
        <w:gridCol w:w="1248"/>
        <w:gridCol w:w="1368"/>
        <w:gridCol w:w="1366"/>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1"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2"/>
        <w:gridCol w:w="869"/>
        <w:gridCol w:w="871"/>
        <w:gridCol w:w="869"/>
        <w:gridCol w:w="871"/>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四川固佳 贸易有限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900,000.00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9.00%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广州民营 投资股份 有限公司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0.17%</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900,000.00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7"/>
        <w:gridCol w:w="1367"/>
        <w:gridCol w:w="1366"/>
        <w:gridCol w:w="1369"/>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四川金剑 包装制品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5"/>
              <w:jc w:val="righ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58" w:right="0"/>
              <w:jc w:val="left"/>
              <w:rPr>
                <w:rFonts w:ascii="Times New Roman" w:hAnsi="Times New Roman" w:cs="Times New Roman" w:eastAsia="Times New Roman" w:hint="default"/>
                <w:sz w:val="18"/>
                <w:szCs w:val="18"/>
              </w:rPr>
            </w:pPr>
            <w:r>
              <w:rPr>
                <w:rFonts w:ascii="Times New Roman"/>
                <w:sz w:val="18"/>
              </w:rPr>
              <w:t>324,619,773.29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6" w:right="0"/>
              <w:jc w:val="left"/>
              <w:rPr>
                <w:rFonts w:ascii="Times New Roman" w:hAnsi="Times New Roman" w:cs="Times New Roman" w:eastAsia="Times New Roman" w:hint="default"/>
                <w:sz w:val="18"/>
                <w:szCs w:val="18"/>
              </w:rPr>
            </w:pPr>
            <w:r>
              <w:rPr>
                <w:rFonts w:ascii="Times New Roman"/>
                <w:sz w:val="18"/>
              </w:rPr>
              <w:t>324,619,773.29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二、本期变动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119,005,699.67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119,005,699.67</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117,839,653.62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117,839,653.62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3,928,399.64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3,928,399.64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5,094,445.69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5,094,445.69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443,625,472.96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443,625,472.96</w:t>
            </w:r>
          </w:p>
        </w:tc>
      </w:tr>
    </w:tbl>
    <w:p>
      <w:pPr>
        <w:spacing w:line="240" w:lineRule="auto" w:before="5"/>
        <w:rPr>
          <w:rFonts w:ascii="宋体" w:hAnsi="宋体" w:cs="宋体" w:eastAsia="宋体" w:hint="default"/>
          <w:sz w:val="20"/>
          <w:szCs w:val="20"/>
        </w:rPr>
      </w:pPr>
    </w:p>
    <w:p>
      <w:pPr>
        <w:pStyle w:val="BodyText"/>
        <w:spacing w:line="316" w:lineRule="auto" w:before="44"/>
        <w:ind w:right="186"/>
        <w:jc w:val="left"/>
      </w:pPr>
      <w:r>
        <w:rPr>
          <w:spacing w:val="-2"/>
        </w:rPr>
        <w:t>备注：公司委托沃克森（北京）国际资产评估有限公司对自持投资性房地产进行评估以确定投资性房地产的公允价值，评估</w:t>
      </w:r>
      <w:r>
        <w:rPr>
          <w:spacing w:val="-64"/>
        </w:rPr>
        <w:t> </w:t>
      </w:r>
      <w:r>
        <w:rPr>
          <w:spacing w:val="-64"/>
        </w:rPr>
      </w:r>
      <w:r>
        <w:rPr/>
        <w:t>报告以</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日为评估基准日，分别出具了沃克森评报字【</w:t>
      </w:r>
      <w:r>
        <w:rPr>
          <w:rFonts w:ascii="Times New Roman" w:hAnsi="Times New Roman" w:cs="Times New Roman" w:eastAsia="Times New Roman" w:hint="default"/>
          <w:spacing w:val="-3"/>
        </w:rPr>
        <w:t>2018</w:t>
      </w:r>
      <w:r>
        <w:rPr>
          <w:spacing w:val="-3"/>
        </w:rPr>
        <w:t>】第</w:t>
      </w:r>
      <w:r>
        <w:rPr>
          <w:spacing w:val="-47"/>
        </w:rPr>
        <w:t> </w:t>
      </w:r>
      <w:r>
        <w:rPr>
          <w:rFonts w:ascii="Times New Roman" w:hAnsi="Times New Roman" w:cs="Times New Roman" w:eastAsia="Times New Roman" w:hint="default"/>
        </w:rPr>
        <w:t>0155 </w:t>
      </w:r>
      <w:r>
        <w:rPr/>
        <w:t>号《美盈森集团股份有限公司基于财务</w:t>
      </w:r>
    </w:p>
    <w:p>
      <w:pPr>
        <w:pStyle w:val="BodyText"/>
        <w:spacing w:line="240" w:lineRule="auto" w:before="1"/>
        <w:ind w:right="0"/>
        <w:jc w:val="left"/>
      </w:pPr>
      <w:r>
        <w:rPr/>
        <w:t>报告目的所涉及的投资性房地产公允价值资产评估报告》，采用收益法确定评估总值</w:t>
      </w:r>
      <w:r>
        <w:rPr>
          <w:spacing w:val="-58"/>
        </w:rPr>
        <w:t> </w:t>
      </w:r>
      <w:r>
        <w:rPr>
          <w:rFonts w:ascii="Times New Roman" w:hAnsi="Times New Roman" w:cs="Times New Roman" w:eastAsia="Times New Roman" w:hint="default"/>
        </w:rPr>
        <w:t>40,019.17</w:t>
      </w:r>
      <w:r>
        <w:rPr>
          <w:rFonts w:ascii="Times New Roman" w:hAnsi="Times New Roman" w:cs="Times New Roman" w:eastAsia="Times New Roman" w:hint="default"/>
          <w:spacing w:val="-13"/>
        </w:rPr>
        <w:t> </w:t>
      </w:r>
      <w:r>
        <w:rPr>
          <w:spacing w:val="-4"/>
        </w:rPr>
        <w:t>万元；沃克森评报字【</w:t>
      </w:r>
      <w:r>
        <w:rPr>
          <w:rFonts w:ascii="Times New Roman" w:hAnsi="Times New Roman" w:cs="Times New Roman" w:eastAsia="Times New Roman" w:hint="default"/>
          <w:spacing w:val="-4"/>
        </w:rPr>
        <w:t>2018</w:t>
      </w:r>
      <w:r>
        <w:rPr>
          <w:spacing w:val="-4"/>
        </w:rPr>
        <w:t>】</w:t>
      </w:r>
    </w:p>
    <w:p>
      <w:pPr>
        <w:pStyle w:val="BodyText"/>
        <w:spacing w:line="240" w:lineRule="auto" w:before="63"/>
        <w:ind w:right="94"/>
        <w:jc w:val="left"/>
      </w:pPr>
      <w:r>
        <w:rPr/>
        <w:t>第</w:t>
      </w:r>
      <w:r>
        <w:rPr>
          <w:spacing w:val="-42"/>
        </w:rPr>
        <w:t> </w:t>
      </w:r>
      <w:r>
        <w:rPr>
          <w:rFonts w:ascii="Times New Roman" w:hAnsi="Times New Roman" w:cs="Times New Roman" w:eastAsia="Times New Roman" w:hint="default"/>
        </w:rPr>
        <w:t>0156</w:t>
      </w:r>
      <w:r>
        <w:rPr>
          <w:rFonts w:ascii="Times New Roman" w:hAnsi="Times New Roman" w:cs="Times New Roman" w:eastAsia="Times New Roman" w:hint="default"/>
          <w:spacing w:val="4"/>
        </w:rPr>
        <w:t> </w:t>
      </w:r>
      <w:r>
        <w:rPr/>
        <w:t>号《美盈森集团股份有限公司基于财务报告目的所涉及的重庆市美盈森环保包装工程有限公司投资性房地产公允价</w:t>
      </w:r>
    </w:p>
    <w:p>
      <w:pPr>
        <w:pStyle w:val="BodyText"/>
        <w:spacing w:line="240" w:lineRule="auto" w:before="65"/>
        <w:ind w:right="94"/>
        <w:jc w:val="left"/>
      </w:pPr>
      <w:r>
        <w:rPr/>
        <w:t>值资产评估报告》，采用收益法确定评估总值</w:t>
      </w:r>
      <w:r>
        <w:rPr>
          <w:spacing w:val="-48"/>
        </w:rPr>
        <w:t> </w:t>
      </w:r>
      <w:r>
        <w:rPr>
          <w:rFonts w:ascii="Times New Roman" w:hAnsi="Times New Roman" w:cs="Times New Roman" w:eastAsia="Times New Roman" w:hint="default"/>
        </w:rPr>
        <w:t>4,343.37</w:t>
      </w:r>
      <w:r>
        <w:rPr>
          <w:rFonts w:ascii="Times New Roman" w:hAnsi="Times New Roman" w:cs="Times New Roman" w:eastAsia="Times New Roman" w:hint="default"/>
          <w:spacing w:val="-2"/>
        </w:rPr>
        <w:t> </w:t>
      </w:r>
      <w:r>
        <w:rPr/>
        <w:t>万元。</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重庆美盈森仓库及宿舍楼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43,433,730.96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357" w:lineRule="auto" w:before="49"/>
        <w:ind w:right="909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9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14" w:space="0" w:color="D2D2D2"/>
            </w:tcBorders>
            <w:shd w:val="clear" w:color="auto" w:fill="E0FFFF"/>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484,064,275.83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592,240,697.75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48,668,785.90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35,610,285.22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12,817,585.41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1,173,401,630.11</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151,964,470.43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80,390,357.19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7,322,047.52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9,915,642.38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3,925,576.46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253,518,093.98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1,163,318.37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33,356,525.99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5,659,143.95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9,915,642.38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3,817,884.14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53,912,514.83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146,872,752.42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47,033,831.20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1,656,497.54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107,692.32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195,670,773.48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6,406.03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6,406.03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）投资性房地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3,928,399.64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3,928,399.64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80,617,768.14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73,369,985.13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9,561,875.01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2,947,994.89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9,906,541.33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176,404,164.50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7,475,509.89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9,519,398.12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2,067,620.26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244,017.10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19,306,545.37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）转投资性房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60,890,353.42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60,890,353.42</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19,727,414.72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18,580,477.33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38,307,892.05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494,889.46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32,962.51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729,634.01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）企业合并减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46,819,108.45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847,412.12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9,503,219.08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57,169,739.65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555,410,978.12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599,261,069.81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46,428,958.41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42,577,932.71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6,836,620.54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1,250,515,559.59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74,547,778.88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228,244,250.29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36,467,913.75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26,671,480.89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8,456,614.10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374,388,037.92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16,726,405.59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41,186,213.07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3,163,532.00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2,629,201.56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1,700,275.16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65,405,627.38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16,726,405.59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41,186,213.07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3,159,963.85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2,629,201.56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1,700,275.16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65,402,059.23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3,568.15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8,377,472.46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32,988,688.91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8,388,595.27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2,280,642.93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6,763,639.60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58,799,039.17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3,555,879.95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8,361,431.99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1,964,239.25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36,626.55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13,918,177.74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）转入投资性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5,098,995.54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5,098,995.54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）转入在建工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3,278,476.92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7,011,791.42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10,290,268.34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）汇率变动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142,933.70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72,015.59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257,110.51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）企业合并减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22,278,083.84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301,405.74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6,654,997.46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29,234,487.04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82,896,712.01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236,441,774.45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31,242,850.48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27,020,039.52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3,393,249.66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380,994,626.12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136,931.56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179,540.45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9"/>
        <w:gridCol w:w="1366"/>
        <w:gridCol w:w="1368"/>
        <w:gridCol w:w="1368"/>
        <w:gridCol w:w="136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136,931.56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42,608.89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179,540.45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472,514,266.11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362,682,363.80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15,143,499.04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15,557,893.19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3,443,370.88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869,341,393.02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409,516,496.95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363,859,515.89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12,158,263.26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8,938,804.33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4,360,971.30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798,834,051.73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重庆美盈森厂区厂房、办公楼及宿舍楼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87,257,053.88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8"/>
              <w:jc w:val="center"/>
              <w:rPr>
                <w:rFonts w:ascii="宋体" w:hAnsi="宋体" w:cs="宋体" w:eastAsia="宋体" w:hint="default"/>
                <w:sz w:val="18"/>
                <w:szCs w:val="18"/>
              </w:rPr>
            </w:pPr>
            <w:r>
              <w:rPr>
                <w:rFonts w:ascii="宋体" w:hAnsi="宋体" w:cs="宋体" w:eastAsia="宋体" w:hint="default"/>
                <w:sz w:val="18"/>
                <w:szCs w:val="18"/>
              </w:rPr>
              <w:t>东莞美盈森厂区厂房、办公楼及宿舍楼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234,034,627.60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宿迁厂区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25,897,806.82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泸州厂区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18,846,694.18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合江厂区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2,584,498.30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低碳环保包装研 发总部基地项目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152,328,322.37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152,328,322.37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22,574,293.65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22,574,293.65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总部技术改造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3,182,044.39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3,182,044.39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环保包装生产建 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14,373,327.96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14,373,327.96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46,971,754.81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46,971,754.81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成都综合基地项 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5,809,668.52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5,809,668.52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4,477,100.11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4,477,100.11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纸板线智能热力 系统</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战略性包装工业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440,936.42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440,936.42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97,087.38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97,087.38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1,610,053.60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1,610,053.60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182,100.00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（东莞）项目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35,701,265.71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35,701,265.71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846,743.19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846,743.19</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（成都）项目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27,249,314.17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27,249,314.17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包装印刷工业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智慧型工厂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（长沙）项目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1,626,887.74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1,626,887.74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239,139,776.49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239,139,776.49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78,583,123.53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78,583,123.53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3"/>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（东莞）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660,476,</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800.00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846,743.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128,399,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163.29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93,544,6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40.77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35,701,2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65.71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募股资 </w:t>
            </w:r>
            <w:r>
              <w:rPr>
                <w:rFonts w:ascii="宋体" w:hAnsi="宋体" w:cs="宋体" w:eastAsia="宋体" w:hint="default"/>
                <w:spacing w:val="-11"/>
                <w:sz w:val="18"/>
                <w:szCs w:val="18"/>
              </w:rPr>
              <w:t>金、其他</w:t>
            </w:r>
          </w:p>
        </w:tc>
      </w:tr>
      <w:tr>
        <w:trPr>
          <w:trHeight w:val="196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（长沙）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1,626,88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1,626,88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募股资 </w:t>
            </w:r>
            <w:r>
              <w:rPr>
                <w:rFonts w:ascii="宋体" w:hAnsi="宋体" w:cs="宋体" w:eastAsia="宋体" w:hint="default"/>
                <w:spacing w:val="-11"/>
                <w:sz w:val="18"/>
                <w:szCs w:val="18"/>
              </w:rPr>
              <w:t>金、其他</w:t>
            </w:r>
          </w:p>
        </w:tc>
      </w:tr>
      <w:tr>
        <w:trPr>
          <w:trHeight w:val="19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2"/>
              <w:jc w:val="left"/>
              <w:rPr>
                <w:rFonts w:ascii="宋体" w:hAnsi="宋体" w:cs="宋体" w:eastAsia="宋体" w:hint="default"/>
                <w:sz w:val="18"/>
                <w:szCs w:val="18"/>
              </w:rPr>
            </w:pPr>
            <w:r>
              <w:rPr>
                <w:rFonts w:ascii="宋体" w:hAnsi="宋体" w:cs="宋体" w:eastAsia="宋体" w:hint="default"/>
                <w:sz w:val="18"/>
                <w:szCs w:val="18"/>
              </w:rPr>
              <w:t>包装印 刷工业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 型工厂</w:t>
            </w:r>
          </w:p>
          <w:p>
            <w:pPr>
              <w:pStyle w:val="TableParagraph"/>
              <w:spacing w:line="316" w:lineRule="auto" w:before="22"/>
              <w:ind w:left="24" w:right="-22"/>
              <w:jc w:val="left"/>
              <w:rPr>
                <w:rFonts w:ascii="宋体" w:hAnsi="宋体" w:cs="宋体" w:eastAsia="宋体" w:hint="default"/>
                <w:sz w:val="18"/>
                <w:szCs w:val="18"/>
              </w:rPr>
            </w:pPr>
            <w:r>
              <w:rPr>
                <w:rFonts w:ascii="宋体" w:hAnsi="宋体" w:cs="宋体" w:eastAsia="宋体" w:hint="default"/>
                <w:sz w:val="18"/>
                <w:szCs w:val="18"/>
              </w:rPr>
              <w:t>（成都）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600,703,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900.00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27,249,3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27,249,3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14.17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募股资 </w:t>
            </w:r>
            <w:r>
              <w:rPr>
                <w:rFonts w:ascii="宋体" w:hAnsi="宋体" w:cs="宋体" w:eastAsia="宋体" w:hint="default"/>
                <w:spacing w:val="-11"/>
                <w:sz w:val="18"/>
                <w:szCs w:val="18"/>
              </w:rPr>
              <w:t>金、其他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成都综 合基地 项目工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4,477,10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1,332,56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5,809,66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低碳环 保包装 研发总 部基地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22,574,2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93.65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129,754,</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028.72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152,328,</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322.37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尚未投 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2,011,18</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0,700.00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27,898,1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288,361,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962.33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93,544,6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222,715,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458.51</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0"/>
          <w:szCs w:val="20"/>
        </w:rPr>
      </w:pPr>
    </w:p>
    <w:p>
      <w:pPr>
        <w:pStyle w:val="BodyText"/>
        <w:spacing w:line="240" w:lineRule="auto" w:before="44"/>
        <w:ind w:right="0"/>
        <w:jc w:val="left"/>
      </w:pPr>
      <w:r>
        <w:rPr/>
        <w:t>注：包装印刷工业</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智慧型工厂（东莞）项目中部分已达到预定可使用状态的房屋建筑物本期转入固定资产。</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16</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种植业</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畜牧养殖业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林业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水产业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10" w:space="0" w:color="D2D2D2"/>
            </w:tcBorders>
            <w:shd w:val="clear" w:color="auto" w:fill="E0FFFF"/>
          </w:tcPr>
          <w:p>
            <w:pP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898,195.61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898,195.61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自行培育</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898,195.61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898,195.61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898,195.61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270,219,172.50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7,703,573.88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277,922,746.38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160,282,328.91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3,151,547.00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163,433,875.91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160,282,328.91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3,151,547.00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163,433,875.91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3,813,214.65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4,979,880.99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8,793,095.64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3,813,214.65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3,813,214.65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322,933.88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322,933.88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4,656,947.11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4,656,947.11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426,688,286.76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5,875,239.89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432,563,526.65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29,491,826.95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3,869,337.08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33,361,164.03</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6,854,574.98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1,809,627.48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8,664,202.46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6,854,574.98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1,809,627.48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8,664,202.46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334,205.36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2,209,672.82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2,543,878.18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 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334,205.36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334,205.36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100,862.57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100,862.57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2,108,810.25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2,108,810.25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36,012,196.57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3,469,291.74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39,481,488.31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390,676,090.19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2,405,948.15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393,082,038.34</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240,727,345.55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3,834,236.80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244,561,582.35</w:t>
            </w:r>
          </w:p>
        </w:tc>
      </w:tr>
    </w:tbl>
    <w:p>
      <w:pPr>
        <w:pStyle w:val="BodyText"/>
        <w:spacing w:line="240" w:lineRule="auto" w:before="4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美盈森智谷土地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18,615,044.83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产权证书正在办理中</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359"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160"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13" w:space="0" w:color="D2D2D2"/>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12" w:space="0" w:color="D2D2D2"/>
              <w:right w:val="single" w:sz="4" w:space="0" w:color="FFFFFF"/>
            </w:tcBorders>
            <w:shd w:val="clear" w:color="auto" w:fill="E0FFFF"/>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tcBorders>
              <w:left w:val="single" w:sz="12"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2D2D2"/>
              <w:right w:val="single" w:sz="4" w:space="0" w:color="FFFFFF"/>
            </w:tcBorders>
            <w:shd w:val="clear" w:color="auto" w:fill="E0FFFF"/>
          </w:tcPr>
          <w:p>
            <w:pPr/>
          </w:p>
        </w:tc>
        <w:tc>
          <w:tcPr>
            <w:tcW w:w="1366" w:type="dxa"/>
            <w:vMerge/>
            <w:tcBorders>
              <w:left w:val="single" w:sz="4" w:space="0" w:color="FFFFFF"/>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12" w:space="0" w:color="D2D2D2"/>
              <w:bottom w:val="single" w:sz="4" w:space="0" w:color="000000"/>
              <w:right w:val="single" w:sz="4" w:space="0" w:color="FFFFFF"/>
            </w:tcBorders>
            <w:shd w:val="clear" w:color="auto" w:fill="E0FFFF"/>
          </w:tcPr>
          <w:p>
            <w:pPr/>
          </w:p>
        </w:tc>
        <w:tc>
          <w:tcPr>
            <w:tcW w:w="1366"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174,891,428.47</w:t>
            </w:r>
          </w:p>
        </w:tc>
        <w:tc>
          <w:tcPr>
            <w:tcW w:w="1369" w:type="dxa"/>
            <w:tcBorders>
              <w:top w:val="single" w:sz="48"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174,891,428.47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21,731,347.62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21,731,347.62</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196,622,776.09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21,731,347.62</w:t>
            </w:r>
          </w:p>
        </w:tc>
        <w:tc>
          <w:tcPr>
            <w:tcW w:w="1368" w:type="dxa"/>
            <w:tcBorders>
              <w:top w:val="single" w:sz="4" w:space="0" w:color="000000"/>
              <w:left w:val="single" w:sz="4" w:space="0" w:color="000000"/>
              <w:bottom w:val="single" w:sz="4" w:space="0" w:color="000000"/>
              <w:right w:val="single" w:sz="4" w:space="0" w:color="FFFFFF"/>
            </w:tcBorders>
          </w:tcPr>
          <w:p>
            <w:pPr/>
          </w:p>
        </w:tc>
        <w:tc>
          <w:tcPr>
            <w:tcW w:w="136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174,891,428.47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9"/>
        <w:gridCol w:w="1366"/>
        <w:gridCol w:w="1368"/>
        <w:gridCol w:w="1368"/>
        <w:gridCol w:w="1366"/>
      </w:tblGrid>
      <w:tr>
        <w:trPr>
          <w:trHeight w:val="360"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367" w:type="dxa"/>
            <w:vMerge/>
            <w:tcBorders>
              <w:left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12" w:space="0" w:color="D2D2D2"/>
              <w:right w:val="single" w:sz="13" w:space="0" w:color="D2D2D2"/>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12" w:space="0" w:color="D2D2D2"/>
              <w:right w:val="single" w:sz="10" w:space="0" w:color="D2D2D2"/>
            </w:tcBorders>
            <w:shd w:val="clear" w:color="auto" w:fill="E0FFFF"/>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67" w:type="dxa"/>
            <w:vMerge/>
            <w:tcBorders>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tcBorders>
              <w:left w:val="single" w:sz="12" w:space="0" w:color="D2D2D2"/>
              <w:right w:val="single" w:sz="13" w:space="0" w:color="D2D2D2"/>
            </w:tcBorders>
            <w:shd w:val="clear" w:color="auto" w:fill="E0FFFF"/>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tcBorders>
              <w:left w:val="single" w:sz="12" w:space="0" w:color="D2D2D2"/>
              <w:right w:val="single" w:sz="10" w:space="0" w:color="D2D2D2"/>
            </w:tcBorders>
            <w:shd w:val="clear" w:color="auto" w:fill="E0FFFF"/>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12" w:space="0" w:color="D2D2D2"/>
              <w:bottom w:val="single" w:sz="4" w:space="0" w:color="000000"/>
              <w:right w:val="single" w:sz="13" w:space="0" w:color="D2D2D2"/>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12"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139,482,084.64</w:t>
            </w:r>
          </w:p>
        </w:tc>
        <w:tc>
          <w:tcPr>
            <w:tcW w:w="1369"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5,430,094.58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5" w:space="0" w:color="D2D2D2"/>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144,912,179.22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5,590,474.67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5,590,474.67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145,072,559.31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5,430,094.58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5,590,474.67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144,912,179.22</w:t>
            </w:r>
          </w:p>
        </w:tc>
      </w:tr>
    </w:tbl>
    <w:p>
      <w:pPr>
        <w:pStyle w:val="BodyText"/>
        <w:spacing w:line="240" w:lineRule="auto" w:before="49"/>
        <w:ind w:right="0"/>
        <w:jc w:val="both"/>
      </w:pPr>
      <w:r>
        <w:rPr/>
        <w:t>说明商誉减值测试过程、参数及商誉减值损失的确认方法：</w:t>
      </w:r>
    </w:p>
    <w:p>
      <w:pPr>
        <w:pStyle w:val="BodyText"/>
        <w:spacing w:line="300" w:lineRule="auto" w:before="117"/>
        <w:ind w:right="151"/>
        <w:jc w:val="both"/>
      </w:pPr>
      <w:r>
        <w:rPr>
          <w:spacing w:val="-2"/>
        </w:rPr>
        <w:t>公司聘请具有证券从业资格的评估机构沃克森（北京）国际资产评估有限公司出具的沃克森咨报字【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0191</w:t>
      </w:r>
      <w:r>
        <w:rPr>
          <w:spacing w:val="-2"/>
        </w:rPr>
        <w:t>号《深圳</w:t>
      </w:r>
      <w:r>
        <w:rPr>
          <w:spacing w:val="-58"/>
        </w:rPr>
        <w:t> </w:t>
      </w:r>
      <w:r>
        <w:rPr>
          <w:spacing w:val="-58"/>
        </w:rPr>
      </w:r>
      <w:r>
        <w:rPr>
          <w:spacing w:val="-2"/>
        </w:rPr>
        <w:t>市金之彩文化创意有限公司以商誉减值测试为目的的价值咨询报告》。咨询报告以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日为价值咨询基准日，根据</w:t>
      </w:r>
      <w:r>
        <w:rPr>
          <w:spacing w:val="-61"/>
        </w:rPr>
        <w:t> </w:t>
      </w:r>
      <w:r>
        <w:rPr>
          <w:spacing w:val="-61"/>
        </w:rPr>
      </w:r>
      <w:r>
        <w:rPr/>
        <w:t>收益法测算结果，金之彩资产组的可回收价值为</w:t>
      </w:r>
      <w:r>
        <w:rPr>
          <w:rFonts w:ascii="Times New Roman" w:hAnsi="Times New Roman" w:cs="Times New Roman" w:eastAsia="Times New Roman" w:hint="default"/>
        </w:rPr>
        <w:t>20,593.97</w:t>
      </w:r>
      <w:r>
        <w:rPr/>
        <w:t>万元。根据减值测试结果，计提相应的资产减值损失。</w:t>
      </w:r>
    </w:p>
    <w:p>
      <w:pPr>
        <w:spacing w:line="240" w:lineRule="auto" w:before="0"/>
        <w:rPr>
          <w:rFonts w:ascii="宋体" w:hAnsi="宋体" w:cs="宋体" w:eastAsia="宋体" w:hint="default"/>
          <w:sz w:val="18"/>
          <w:szCs w:val="18"/>
        </w:rPr>
      </w:pPr>
    </w:p>
    <w:p>
      <w:pPr>
        <w:pStyle w:val="BodyText"/>
        <w:spacing w:line="357" w:lineRule="auto" w:before="130"/>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办公场所装修费、绿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化工程、景观湖等</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14,926,050.67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16,515,073.85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9,467,136.99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597,520.04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21,376,467.49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14,926,050.67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16,515,073.85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9,467,136.99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597,520.04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21,376,467.49</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84,170,068.40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12,858,620.06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71,462,735.02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10,968,515.10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3,842,222.01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667,333.30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4,108,888.73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727,333.31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177,032.10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26,554.82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88,189,322.51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13,552,508.18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75,571,623.75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11,695,848.41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按公允价值模式计量的 投资性房地产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147,068,157.22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22,060,223.58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141,390,144.87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21,208,521.73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1,661,797.80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415,449.45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147,068,157.22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22,060,223.58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143,051,942.67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21,623,971.18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13,552,508.18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11,695,848.41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22,060,223.58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21,623,971.18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64,488,027.76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54,213,775.05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64,488,027.76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54,213,775.05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6,692,925.26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3,719,137.91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3,719,137.91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3,362,626.57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3,362,626.57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6,799,391.76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6,799,391.76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25,526,814.28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33,639,693.55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25,080,057.24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年度亏损</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64,488,027.76</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54,213,775.05</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21</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42,752,166.57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20,075,847.87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预付土地交易保证金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816,791.97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5,039,869.34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58,068,958.54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39,615,717.21</w:t>
            </w:r>
          </w:p>
        </w:tc>
      </w:tr>
    </w:tbl>
    <w:p>
      <w:pPr>
        <w:pStyle w:val="BodyText"/>
        <w:spacing w:line="360" w:lineRule="auto" w:before="49"/>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353,833,483.99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353,833,483.99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357" w:lineRule="auto" w:before="49"/>
        <w:ind w:right="7974"/>
        <w:jc w:val="left"/>
      </w:pPr>
      <w:r>
        <w:rPr/>
        <w:t>短期借款分类的说明：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440,195,708.94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321,890,402.38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440,195,708.94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321,890,402.38</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450,212,929.23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291,286,716.50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34,627,205.66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23,543,311.91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484,840,134.89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314,830,028.41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重庆中达正建筑工程有限公司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5,474,686.45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5,474,686.45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11,540,122.64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8,239,135.55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2,878,147.91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1,138,924.14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14,418,270.55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9,378,059.69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21,392,039.13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465,351,523.47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453,028,468.55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33,715,094.05</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3,575.30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23,607,010.64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23,568,460.82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42,125.12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270,321.92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317,436.11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33,891.40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21,476,620.02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489,228,856.03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476,914,365.48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33,791,110.57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21,278,482.50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433,416,811.67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421,028,931.33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33,666,362.84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15,042.98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17,284,346.35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17,277,483.20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21,906.13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9,400,804.89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9,472,493.46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7,042.08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78,485.22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6,705,081.32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6,776,524.46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7,042.08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1,736,531.57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1,736,640.65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735,458.67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735,595.02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残疾人就业险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223,733.33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4,753,007.09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4,753,007.09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496,553.47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496,553.47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19,783.00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21,392,039.13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465,351,523.47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453,028,468.55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33,715,094.05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3,454.20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22,651,497.30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22,615,890.02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39,061.48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955,513.34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952,570.80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3,063.64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3,575.30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23,607,010.64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23,568,460.82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42,125.12</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6,650,279.19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10,126,993.89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23,524,548.47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24,608,410.67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1,262,115.64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875,854.05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946,820.02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1,114,950.95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726,361.67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854,427.28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2,624,639.87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2,942,841.47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35,734,764.86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40,523,478.31</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3,574,500.69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1,291,251.49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应缴印花税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51,747.43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11,653,211.00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12,526,973.01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20,304,349.72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5,664,531.84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35,532,061.41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19,534,503.77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5,068,889.97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658,806.62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5,727,696.59</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2,283,485.31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2,283,485.31</w:t>
            </w:r>
          </w:p>
        </w:tc>
      </w:tr>
    </w:tbl>
    <w:p>
      <w:pPr>
        <w:pStyle w:val="BodyText"/>
        <w:spacing w:line="240" w:lineRule="auto" w:before="49"/>
        <w:ind w:right="0"/>
        <w:jc w:val="left"/>
      </w:pPr>
      <w:r>
        <w:rPr/>
        <w:t>长期借款分类的说明：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57" w:lineRule="auto" w:before="44"/>
        <w:ind w:right="7614"/>
        <w:jc w:val="left"/>
      </w:pPr>
      <w:r>
        <w:rPr/>
        <w:t>无 其他说明，包括利率区间：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31</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分期购买设备款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2,063,410.94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2,063,410.94</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10,387,130.21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999,573.87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55,387,556.34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10,387,130.21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999,573.87</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55,387,556.34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市级技术 中心项目资 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2,335,508.41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309,085.84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2,026,422.57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投资项目 发展专项资 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688,888.73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66,666.72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622,222.01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深圳家居 产品创意设 计工程实验 室项目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3,939,825.91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420,914.15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3,518,911.76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4. 2010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w:t>
            </w:r>
          </w:p>
          <w:p>
            <w:pPr>
              <w:pStyle w:val="TableParagraph"/>
              <w:spacing w:line="316" w:lineRule="auto" w:before="63"/>
              <w:ind w:left="24" w:right="129"/>
              <w:jc w:val="both"/>
              <w:rPr>
                <w:rFonts w:ascii="宋体" w:hAnsi="宋体" w:cs="宋体" w:eastAsia="宋体" w:hint="default"/>
                <w:sz w:val="18"/>
                <w:szCs w:val="18"/>
              </w:rPr>
            </w:pPr>
            <w:r>
              <w:rPr>
                <w:rFonts w:ascii="宋体" w:hAnsi="宋体" w:cs="宋体" w:eastAsia="宋体" w:hint="default"/>
                <w:sz w:val="18"/>
                <w:szCs w:val="18"/>
              </w:rPr>
              <w:t>金属复合工 艺技改项目 拨款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4"/>
        <w:gridCol w:w="1063"/>
        <w:gridCol w:w="1064"/>
        <w:gridCol w:w="1063"/>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实现自动 一体化包装 生产线的工 艺创新项目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废纸循环 纸浮雕</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印 刷产品产业 化及市场推 广项目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环保立体 代金属高档 包装项目研 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微纳结构 材料高端印 刷文化工程 实验室</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中小企业 推广基金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2,907.16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2,907.16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招商引资</w:t>
            </w:r>
            <w:r>
              <w:rPr>
                <w:rFonts w:ascii="宋体" w:hAnsi="宋体" w:cs="宋体" w:eastAsia="宋体" w:hint="default"/>
                <w:spacing w:val="-87"/>
                <w:sz w:val="18"/>
                <w:szCs w:val="18"/>
              </w:rPr>
              <w:t> </w:t>
            </w:r>
            <w:r>
              <w:rPr>
                <w:rFonts w:ascii="宋体" w:hAnsi="宋体" w:cs="宋体" w:eastAsia="宋体" w:hint="default"/>
                <w:sz w:val="18"/>
                <w:szCs w:val="18"/>
              </w:rPr>
              <w:t>固定资产投 资补助款</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10,387,130.2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999,573.87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55,387,556.3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1,542,323,685.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1,542,323,685.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34</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left="623" w:right="0"/>
              <w:jc w:val="left"/>
              <w:rPr>
                <w:rFonts w:ascii="Times New Roman" w:hAnsi="Times New Roman" w:cs="Times New Roman" w:eastAsia="Times New Roman" w:hint="default"/>
                <w:sz w:val="18"/>
                <w:szCs w:val="18"/>
              </w:rPr>
            </w:pPr>
            <w:r>
              <w:rPr>
                <w:rFonts w:ascii="Times New Roman"/>
                <w:sz w:val="18"/>
              </w:rPr>
              <w:t>1,292,346,249.52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2" w:right="0"/>
              <w:jc w:val="left"/>
              <w:rPr>
                <w:rFonts w:ascii="Times New Roman" w:hAnsi="Times New Roman" w:cs="Times New Roman" w:eastAsia="Times New Roman" w:hint="default"/>
                <w:sz w:val="18"/>
                <w:szCs w:val="18"/>
              </w:rPr>
            </w:pPr>
            <w:r>
              <w:rPr>
                <w:rFonts w:ascii="Times New Roman"/>
                <w:sz w:val="18"/>
              </w:rPr>
              <w:t>1,292,346,249.52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1,292,346,249.52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1,292,346,249.52</w:t>
            </w:r>
          </w:p>
        </w:tc>
      </w:tr>
    </w:tbl>
    <w:p>
      <w:pPr>
        <w:pStyle w:val="BodyText"/>
        <w:spacing w:line="357" w:lineRule="auto" w:before="49"/>
        <w:ind w:right="5634"/>
        <w:jc w:val="left"/>
      </w:pPr>
      <w:r>
        <w:rPr/>
        <w:t>其他说明，包括本期增减变动情况、变动原因说明：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6"/>
        <w:gridCol w:w="1152"/>
        <w:gridCol w:w="934"/>
        <w:gridCol w:w="936"/>
        <w:gridCol w:w="937"/>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8"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1"/>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7"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9,914,858.08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55,576,667.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55,576,667.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09</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65,491,52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5.17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5,799,546.23</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-2,992,619.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-2,992,619.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35</w:t>
            </w:r>
          </w:p>
        </w:tc>
        <w:tc>
          <w:tcPr>
            <w:tcW w:w="93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2,806,926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9"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4,115,311.85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58,569,286.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58,569,286.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44</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62,684,59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8.29</w:t>
            </w: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9,914,858.08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55,576,667.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55,576,667.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09</w:t>
            </w:r>
          </w:p>
        </w:tc>
        <w:tc>
          <w:tcPr>
            <w:tcW w:w="93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65,491,52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5.17</w:t>
            </w:r>
          </w:p>
        </w:tc>
      </w:tr>
    </w:tbl>
    <w:p>
      <w:pPr>
        <w:pStyle w:val="BodyText"/>
        <w:spacing w:line="360" w:lineRule="auto" w:before="49"/>
        <w:ind w:right="3114"/>
        <w:jc w:val="left"/>
      </w:pPr>
      <w:r>
        <w:rPr/>
        <w:t>其他说明，包括对现金流量套期损益的有效部分转为被套期项目初始确认金额调整：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114,206,726.21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8,312,315.21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122,519,041.42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114,206,726.21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8,312,315.21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122,519,041.42</w:t>
            </w:r>
          </w:p>
        </w:tc>
      </w:tr>
    </w:tbl>
    <w:p>
      <w:pPr>
        <w:pStyle w:val="BodyText"/>
        <w:spacing w:line="240" w:lineRule="auto" w:before="49"/>
        <w:ind w:right="0"/>
        <w:jc w:val="left"/>
      </w:pPr>
      <w:r>
        <w:rPr/>
        <w:t>盈余公积说明，包括本期增减变动情况、变动原因说明：</w:t>
      </w:r>
    </w:p>
    <w:p>
      <w:pPr>
        <w:pStyle w:val="BodyText"/>
        <w:spacing w:line="300" w:lineRule="auto" w:before="115"/>
        <w:ind w:right="144" w:firstLine="300"/>
        <w:jc w:val="left"/>
      </w:pPr>
      <w:r>
        <w:rPr>
          <w:rFonts w:ascii="Times New Roman" w:hAnsi="Times New Roman" w:cs="Times New Roman" w:eastAsia="Times New Roman" w:hint="default"/>
        </w:rPr>
        <w:t>2017</w:t>
      </w:r>
      <w:r>
        <w:rPr/>
        <w:t>年盈余公积的增加系根据《公司法》和本公司章程的规定按母公司当期净利润的</w:t>
      </w:r>
      <w:r>
        <w:rPr>
          <w:rFonts w:ascii="Times New Roman" w:hAnsi="Times New Roman" w:cs="Times New Roman" w:eastAsia="Times New Roman" w:hint="default"/>
        </w:rPr>
        <w:t>10%</w:t>
      </w:r>
      <w:r>
        <w:rPr/>
        <w:t>计提的法定盈余公积；法定盈 余公积累计提取达到本公司注册资本</w:t>
      </w:r>
      <w:r>
        <w:rPr>
          <w:rFonts w:ascii="Times New Roman" w:hAnsi="Times New Roman" w:cs="Times New Roman" w:eastAsia="Times New Roman" w:hint="default"/>
        </w:rPr>
        <w:t>50%</w:t>
      </w:r>
      <w:r>
        <w:rPr/>
        <w:t>以上时，可不再提取。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0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1,001,096,424.14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824,830,227.10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1,001,096,424.14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824,830,227.10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348,186,315.19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223,397,139.15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8,312,315.21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12,801,342.11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33,931,121.07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34,329,600.00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1,307,039,303.05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1,001,096,424.14</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38</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4"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2,768,627,947.74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1,862,664,508.75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2,175,702,396.30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1,561,691,714.43</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88,791,355.23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9,301,298.18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43,573,960.66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3,997,927.19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2,857,419,302.97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1,871,965,806.93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2,219,276,356.96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1,565,689,641.62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10,207,306.87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6,815,722.29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8,161,809.61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5,060,352.63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4,675,293.17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2,510,611.63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3,923,451.50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2,301,729.42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35,730.00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1,884,026.05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1,734,479.72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4,544.73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1,143,229.03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28,900,381.93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19,601,854.72</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10,266,568.23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5,584,500.38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9,527,789.04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4,819,660.08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34,389,249.60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14,533,793.83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50,288,604.44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41,792,187.49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3,084,581.56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2,180,382.18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1,320,528.17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1,533,494.96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73,697,567.83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59,397,203.53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4,672,216.52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5,191,343.61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7,184,641.76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4,479,368.00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2,135,172.05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1,099,949.05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316,668.79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290,136.04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20,997.81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10,409,014.09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6,280,043.37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487,167.42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809,184.70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2,820,524.31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853,477.94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4,083.00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10,730,770.13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5,725,559.49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221,410,455.45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154,595,365.46</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4,782,401.39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3,877,344.93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4,218,776.34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2,563,461.36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3,447,961.18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2,185,177.58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86,615,560.36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68,546,601.77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7,435,816.19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6,419,344.94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6,683,808.60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5,279,674.61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498,754.40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312,300.99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13,884,776.63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13,642,159.93</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4,047,311.92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2,794,414.53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2,010,297.00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1,691,585.61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6,805,955.56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3,444,541.66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管理费列支的税金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2,960,026.79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3,986,225.05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1,709,995.70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14,852,585.89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16,943,715.33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113,109,419.74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67,807,968.99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4,292,565.27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4,040,349.28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1,467,346.92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1,309,135.87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8,674,321.30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6,228,653.29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571,101.92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681,376.29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16,306,092.22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12,886,215.72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318,933.19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358,156.24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150,192.46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265,800.33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447,551.03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9,635,141.66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3,586,987.78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4,736,080.66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3,524,999.43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2,150,021.69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1,014,414.82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321,204,115.79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234,406,346.93</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6,285,449.22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1,557,876.97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34,860,015.00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19,085,462.97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33,156,078.40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8,066,249.99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8,119,557.74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28,734,640.34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1,482,829.63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812,061.81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104,869.85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-2,055,215.49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-37,279,044.69</w:t>
            </w: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17,785,592.83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14,149,332.16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1,906,217.99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3,333,449.56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3,409,935.30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5,430,094.58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69,413,715.59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25,121,905.40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90,306,432.61</w:t>
            </w:r>
          </w:p>
        </w:tc>
      </w:tr>
    </w:tbl>
    <w:p>
      <w:pPr>
        <w:pStyle w:val="BodyText"/>
        <w:spacing w:line="360" w:lineRule="auto" w:before="49"/>
        <w:ind w:right="8874"/>
        <w:jc w:val="left"/>
      </w:pPr>
      <w:r>
        <w:rPr/>
        <w:t>其他说明： 无</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5,094,445.69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74,946,266.99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5,094,445.69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74,946,266.99</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-4,410,365.51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7,740,221.01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7,798,221.01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-4,410,365.51</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-169,465.13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-1,030,508.43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-169,465.13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年一季度出口信用保险保费资助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中国出口信用保险公司深圳分公司资信 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中国国际贸易促进委员会深圳市委员会 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年市战略性新兴产业专项资金资助 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309,085.84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深圳家居产品创意设计工程实验室项目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420,914.15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市 工业设计创新攻关成果转化应用第一批 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深圳市市场和质量监督管理委员会知识 产权专利资金资助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收到深圳市经济贸易和信息化委员会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军民融合专项资金第一批资助款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深圳市监督管理局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年第一批专利资 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科学枝术研发投入补助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机器换人项目补助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年一季度发展、改革发电补助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513,907.53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招商局（经费补助）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802,489.92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投资项目发展专项资金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66,666.72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经信委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年度上档升级补助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东莞科技局高新培育补贴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年代金属复合工艺技改项目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118,824.82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洋河经发局产业引导资金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6,453,118.98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1,668,926.67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11,927,823.89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1,668,926.67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134,249.92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703,650.35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134,249.92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固定资产损坏报废利得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1,803,176.59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12,631,474.24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1,803,176.59</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56.400002pt;margin-top:22.741734pt;width:479.05pt;height:536.25pt;mso-position-horizontal-relative:page;mso-position-vertical-relative:paragraph;z-index:-1118368" coordorigin="1128,455" coordsize="9581,10725">
            <v:group style="position:absolute;left:1140;top:469;width:1055;height:156" coordorigin="1140,469" coordsize="1055,156">
              <v:shape style="position:absolute;left:1140;top:469;width:1055;height:156" coordorigin="1140,469" coordsize="1055,156" path="m1140,625l2194,625,2194,469,1140,469,1140,625xe" filled="true" fillcolor="#d2d2d2" stroked="false">
                <v:path arrowok="t"/>
                <v:fill type="solid"/>
              </v:shape>
            </v:group>
            <v:group style="position:absolute;left:1151;top:625;width:2;height:392" coordorigin="1151,625" coordsize="2,392">
              <v:shape style="position:absolute;left:1151;top:625;width:2;height:392" coordorigin="1151,625" coordsize="0,392" path="m1151,625l1151,1016e" filled="false" stroked="true" strokeweight="1.08pt" strokecolor="#d2d2d2">
                <v:path arrowok="t"/>
              </v:shape>
            </v:group>
            <v:group style="position:absolute;left:2183;top:625;width:2;height:392" coordorigin="2183,625" coordsize="2,392">
              <v:shape style="position:absolute;left:2183;top:625;width:2;height:392" coordorigin="2183,625" coordsize="0,392" path="m2183,625l2183,1016e" filled="false" stroked="true" strokeweight="1.08pt" strokecolor="#d2d2d2">
                <v:path arrowok="t"/>
              </v:shape>
            </v:group>
            <v:group style="position:absolute;left:1140;top:1016;width:1055;height:156" coordorigin="1140,1016" coordsize="1055,156">
              <v:shape style="position:absolute;left:1140;top:1016;width:1055;height:156" coordorigin="1140,1016" coordsize="1055,156" path="m1140,1172l2194,1172,2194,1016,1140,1016,1140,1172xe" filled="true" fillcolor="#d2d2d2" stroked="false">
                <v:path arrowok="t"/>
                <v:fill type="solid"/>
              </v:shape>
            </v:group>
            <v:group style="position:absolute;left:1162;top:625;width:1011;height:392" coordorigin="1162,625" coordsize="1011,392">
              <v:shape style="position:absolute;left:1162;top:625;width:1011;height:392" coordorigin="1162,625" coordsize="1011,392" path="m1162,1016l2172,1016,2172,625,1162,625,1162,1016xe" filled="true" fillcolor="#d2d2d2" stroked="false">
                <v:path arrowok="t"/>
                <v:fill type="solid"/>
              </v:shape>
            </v:group>
            <v:group style="position:absolute;left:2204;top:469;width:1054;height:156" coordorigin="2204,469" coordsize="1054,156">
              <v:shape style="position:absolute;left:2204;top:469;width:1054;height:156" coordorigin="2204,469" coordsize="1054,156" path="m2204,625l3257,625,3257,469,2204,469,2204,625xe" filled="true" fillcolor="#d2d2d2" stroked="false">
                <v:path arrowok="t"/>
                <v:fill type="solid"/>
              </v:shape>
            </v:group>
            <v:group style="position:absolute;left:2216;top:625;width:2;height:392" coordorigin="2216,625" coordsize="2,392">
              <v:shape style="position:absolute;left:2216;top:625;width:2;height:392" coordorigin="2216,625" coordsize="0,392" path="m2216,625l2216,1016e" filled="false" stroked="true" strokeweight="1.2pt" strokecolor="#d2d2d2">
                <v:path arrowok="t"/>
              </v:shape>
            </v:group>
            <v:group style="position:absolute;left:3245;top:625;width:2;height:392" coordorigin="3245,625" coordsize="2,392">
              <v:shape style="position:absolute;left:3245;top:625;width:2;height:392" coordorigin="3245,625" coordsize="0,392" path="m3245,625l3245,1016e" filled="false" stroked="true" strokeweight="1.2pt" strokecolor="#d2d2d2">
                <v:path arrowok="t"/>
              </v:shape>
            </v:group>
            <v:group style="position:absolute;left:2204;top:1016;width:1054;height:156" coordorigin="2204,1016" coordsize="1054,156">
              <v:shape style="position:absolute;left:2204;top:1016;width:1054;height:156" coordorigin="2204,1016" coordsize="1054,156" path="m2204,1172l3257,1172,3257,1016,2204,1016,2204,1172xe" filled="true" fillcolor="#d2d2d2" stroked="false">
                <v:path arrowok="t"/>
                <v:fill type="solid"/>
              </v:shape>
            </v:group>
            <v:group style="position:absolute;left:2228;top:625;width:1006;height:392" coordorigin="2228,625" coordsize="1006,392">
              <v:shape style="position:absolute;left:2228;top:625;width:1006;height:392" coordorigin="2228,625" coordsize="1006,392" path="m2228,1016l3233,1016,3233,625,2228,625,2228,1016xe" filled="true" fillcolor="#d2d2d2" stroked="false">
                <v:path arrowok="t"/>
                <v:fill type="solid"/>
              </v:shape>
            </v:group>
            <v:group style="position:absolute;left:3267;top:469;width:1055;height:156" coordorigin="3267,469" coordsize="1055,156">
              <v:shape style="position:absolute;left:3267;top:469;width:1055;height:156" coordorigin="3267,469" coordsize="1055,156" path="m3267,625l4321,625,4321,469,3267,469,3267,625xe" filled="true" fillcolor="#d2d2d2" stroked="false">
                <v:path arrowok="t"/>
                <v:fill type="solid"/>
              </v:shape>
            </v:group>
            <v:group style="position:absolute;left:3279;top:625;width:2;height:392" coordorigin="3279,625" coordsize="2,392">
              <v:shape style="position:absolute;left:3279;top:625;width:2;height:392" coordorigin="3279,625" coordsize="0,392" path="m3279,625l3279,1016e" filled="false" stroked="true" strokeweight="1.2pt" strokecolor="#d2d2d2">
                <v:path arrowok="t"/>
              </v:shape>
            </v:group>
            <v:group style="position:absolute;left:4309;top:625;width:2;height:392" coordorigin="4309,625" coordsize="2,392">
              <v:shape style="position:absolute;left:4309;top:625;width:2;height:392" coordorigin="4309,625" coordsize="0,392" path="m4309,625l4309,1016e" filled="false" stroked="true" strokeweight="1.2pt" strokecolor="#d2d2d2">
                <v:path arrowok="t"/>
              </v:shape>
            </v:group>
            <v:group style="position:absolute;left:3267;top:1016;width:1055;height:156" coordorigin="3267,1016" coordsize="1055,156">
              <v:shape style="position:absolute;left:3267;top:1016;width:1055;height:156" coordorigin="3267,1016" coordsize="1055,156" path="m3267,1172l4321,1172,4321,1016,3267,1016,3267,1172xe" filled="true" fillcolor="#d2d2d2" stroked="false">
                <v:path arrowok="t"/>
                <v:fill type="solid"/>
              </v:shape>
            </v:group>
            <v:group style="position:absolute;left:3291;top:625;width:1007;height:392" coordorigin="3291,625" coordsize="1007,392">
              <v:shape style="position:absolute;left:3291;top:625;width:1007;height:392" coordorigin="3291,625" coordsize="1007,392" path="m3291,1016l4297,1016,4297,625,3291,625,3291,1016xe" filled="true" fillcolor="#d2d2d2" stroked="false">
                <v:path arrowok="t"/>
                <v:fill type="solid"/>
              </v:shape>
            </v:group>
            <v:group style="position:absolute;left:4331;top:469;width:1054;height:156" coordorigin="4331,469" coordsize="1054,156">
              <v:shape style="position:absolute;left:4331;top:469;width:1054;height:156" coordorigin="4331,469" coordsize="1054,156" path="m4331,625l5384,625,5384,469,4331,469,4331,625xe" filled="true" fillcolor="#d2d2d2" stroked="false">
                <v:path arrowok="t"/>
                <v:fill type="solid"/>
              </v:shape>
            </v:group>
            <v:group style="position:absolute;left:4343;top:625;width:2;height:392" coordorigin="4343,625" coordsize="2,392">
              <v:shape style="position:absolute;left:4343;top:625;width:2;height:392" coordorigin="4343,625" coordsize="0,392" path="m4343,625l4343,1016e" filled="false" stroked="true" strokeweight="1.2pt" strokecolor="#d2d2d2">
                <v:path arrowok="t"/>
              </v:shape>
            </v:group>
            <v:group style="position:absolute;left:5372;top:625;width:2;height:392" coordorigin="5372,625" coordsize="2,392">
              <v:shape style="position:absolute;left:5372;top:625;width:2;height:392" coordorigin="5372,625" coordsize="0,392" path="m5372,625l5372,1016e" filled="false" stroked="true" strokeweight="1.2pt" strokecolor="#d2d2d2">
                <v:path arrowok="t"/>
              </v:shape>
            </v:group>
            <v:group style="position:absolute;left:4331;top:1016;width:1054;height:156" coordorigin="4331,1016" coordsize="1054,156">
              <v:shape style="position:absolute;left:4331;top:1016;width:1054;height:156" coordorigin="4331,1016" coordsize="1054,156" path="m4331,1172l5384,1172,5384,1016,4331,1016,4331,1172xe" filled="true" fillcolor="#d2d2d2" stroked="false">
                <v:path arrowok="t"/>
                <v:fill type="solid"/>
              </v:shape>
            </v:group>
            <v:group style="position:absolute;left:4355;top:625;width:1006;height:392" coordorigin="4355,625" coordsize="1006,392">
              <v:shape style="position:absolute;left:4355;top:625;width:1006;height:392" coordorigin="4355,625" coordsize="1006,392" path="m4355,1016l5360,1016,5360,625,4355,625,4355,1016xe" filled="true" fillcolor="#d2d2d2" stroked="false">
                <v:path arrowok="t"/>
                <v:fill type="solid"/>
              </v:shape>
            </v:group>
            <v:group style="position:absolute;left:5406;top:469;width:2;height:704" coordorigin="5406,469" coordsize="2,704">
              <v:shape style="position:absolute;left:5406;top:469;width:2;height:704" coordorigin="5406,469" coordsize="0,704" path="m5406,469l5406,1172e" filled="false" stroked="true" strokeweight="1.2pt" strokecolor="#d2d2d2">
                <v:path arrowok="t"/>
              </v:shape>
            </v:group>
            <v:group style="position:absolute;left:6435;top:469;width:2;height:704" coordorigin="6435,469" coordsize="2,704">
              <v:shape style="position:absolute;left:6435;top:469;width:2;height:704" coordorigin="6435,469" coordsize="0,704" path="m6435,469l6435,1172e" filled="false" stroked="true" strokeweight="1.2pt" strokecolor="#d2d2d2">
                <v:path arrowok="t"/>
              </v:shape>
            </v:group>
            <v:group style="position:absolute;left:5418;top:469;width:1006;height:351" coordorigin="5418,469" coordsize="1006,351">
              <v:shape style="position:absolute;left:5418;top:469;width:1006;height:351" coordorigin="5418,469" coordsize="1006,351" path="m5418,820l6423,820,6423,469,5418,469,5418,820xe" filled="true" fillcolor="#d2d2d2" stroked="false">
                <v:path arrowok="t"/>
                <v:fill type="solid"/>
              </v:shape>
            </v:group>
            <v:group style="position:absolute;left:5418;top:820;width:1006;height:353" coordorigin="5418,820" coordsize="1006,353">
              <v:shape style="position:absolute;left:5418;top:820;width:1006;height:353" coordorigin="5418,820" coordsize="1006,353" path="m5418,1172l6423,1172,6423,820,5418,820,5418,1172xe" filled="true" fillcolor="#d2d2d2" stroked="false">
                <v:path arrowok="t"/>
                <v:fill type="solid"/>
              </v:shape>
            </v:group>
            <v:group style="position:absolute;left:6469;top:469;width:2;height:704" coordorigin="6469,469" coordsize="2,704">
              <v:shape style="position:absolute;left:6469;top:469;width:2;height:704" coordorigin="6469,469" coordsize="0,704" path="m6469,469l6469,1172e" filled="false" stroked="true" strokeweight="1.2pt" strokecolor="#d2d2d2">
                <v:path arrowok="t"/>
              </v:shape>
            </v:group>
            <v:group style="position:absolute;left:7499;top:469;width:2;height:704" coordorigin="7499,469" coordsize="2,704">
              <v:shape style="position:absolute;left:7499;top:469;width:2;height:704" coordorigin="7499,469" coordsize="0,704" path="m7499,469l7499,1172e" filled="false" stroked="true" strokeweight="1.2pt" strokecolor="#d2d2d2">
                <v:path arrowok="t"/>
              </v:shape>
            </v:group>
            <v:group style="position:absolute;left:6481;top:469;width:1007;height:351" coordorigin="6481,469" coordsize="1007,351">
              <v:shape style="position:absolute;left:6481;top:469;width:1007;height:351" coordorigin="6481,469" coordsize="1007,351" path="m6481,820l7487,820,7487,469,6481,469,6481,820xe" filled="true" fillcolor="#d2d2d2" stroked="false">
                <v:path arrowok="t"/>
                <v:fill type="solid"/>
              </v:shape>
            </v:group>
            <v:group style="position:absolute;left:6481;top:820;width:1007;height:353" coordorigin="6481,820" coordsize="1007,353">
              <v:shape style="position:absolute;left:6481;top:820;width:1007;height:353" coordorigin="6481,820" coordsize="1007,353" path="m6481,1172l7487,1172,7487,820,6481,820,6481,1172xe" filled="true" fillcolor="#d2d2d2" stroked="false">
                <v:path arrowok="t"/>
                <v:fill type="solid"/>
              </v:shape>
            </v:group>
            <v:group style="position:absolute;left:7531;top:469;width:2;height:704" coordorigin="7531,469" coordsize="2,704">
              <v:shape style="position:absolute;left:7531;top:469;width:2;height:704" coordorigin="7531,469" coordsize="0,704" path="m7531,469l7531,1172e" filled="false" stroked="true" strokeweight="1.08pt" strokecolor="#d2d2d2">
                <v:path arrowok="t"/>
              </v:shape>
            </v:group>
            <v:group style="position:absolute;left:8562;top:469;width:2;height:704" coordorigin="8562,469" coordsize="2,704">
              <v:shape style="position:absolute;left:8562;top:469;width:2;height:704" coordorigin="8562,469" coordsize="0,704" path="m8562,469l8562,1172e" filled="false" stroked="true" strokeweight="1.2pt" strokecolor="#d2d2d2">
                <v:path arrowok="t"/>
              </v:shape>
            </v:group>
            <v:group style="position:absolute;left:7542;top:469;width:1008;height:351" coordorigin="7542,469" coordsize="1008,351">
              <v:shape style="position:absolute;left:7542;top:469;width:1008;height:351" coordorigin="7542,469" coordsize="1008,351" path="m7542,820l8550,820,8550,469,7542,469,7542,820xe" filled="true" fillcolor="#d2d2d2" stroked="false">
                <v:path arrowok="t"/>
                <v:fill type="solid"/>
              </v:shape>
            </v:group>
            <v:group style="position:absolute;left:7542;top:820;width:1008;height:353" coordorigin="7542,820" coordsize="1008,353">
              <v:shape style="position:absolute;left:7542;top:820;width:1008;height:353" coordorigin="7542,820" coordsize="1008,353" path="m7542,1172l8550,1172,8550,820,7542,820,7542,1172xe" filled="true" fillcolor="#d2d2d2" stroked="false">
                <v:path arrowok="t"/>
                <v:fill type="solid"/>
              </v:shape>
            </v:group>
            <v:group style="position:absolute;left:8595;top:469;width:2;height:704" coordorigin="8595,469" coordsize="2,704">
              <v:shape style="position:absolute;left:8595;top:469;width:2;height:704" coordorigin="8595,469" coordsize="0,704" path="m8595,469l8595,1172e" filled="false" stroked="true" strokeweight="1.08pt" strokecolor="#d2d2d2">
                <v:path arrowok="t"/>
              </v:shape>
            </v:group>
            <v:group style="position:absolute;left:9626;top:469;width:2;height:704" coordorigin="9626,469" coordsize="2,704">
              <v:shape style="position:absolute;left:9626;top:469;width:2;height:704" coordorigin="9626,469" coordsize="0,704" path="m9626,469l9626,1172e" filled="false" stroked="true" strokeweight="1.2pt" strokecolor="#d2d2d2">
                <v:path arrowok="t"/>
              </v:shape>
            </v:group>
            <v:group style="position:absolute;left:8605;top:469;width:1009;height:351" coordorigin="8605,469" coordsize="1009,351">
              <v:shape style="position:absolute;left:8605;top:469;width:1009;height:351" coordorigin="8605,469" coordsize="1009,351" path="m8605,820l9614,820,9614,469,8605,469,8605,820xe" filled="true" fillcolor="#d2d2d2" stroked="false">
                <v:path arrowok="t"/>
                <v:fill type="solid"/>
              </v:shape>
            </v:group>
            <v:group style="position:absolute;left:8605;top:820;width:1009;height:353" coordorigin="8605,820" coordsize="1009,353">
              <v:shape style="position:absolute;left:8605;top:820;width:1009;height:353" coordorigin="8605,820" coordsize="1009,353" path="m8605,1172l9614,1172,9614,820,8605,820,8605,1172xe" filled="true" fillcolor="#d2d2d2" stroked="false">
                <v:path arrowok="t"/>
                <v:fill type="solid"/>
              </v:shape>
            </v:group>
            <v:group style="position:absolute;left:9658;top:469;width:2;height:704" coordorigin="9658,469" coordsize="2,704">
              <v:shape style="position:absolute;left:9658;top:469;width:2;height:704" coordorigin="9658,469" coordsize="0,704" path="m9658,469l9658,1172e" filled="false" stroked="true" strokeweight="1.08pt" strokecolor="#d2d2d2">
                <v:path arrowok="t"/>
              </v:shape>
            </v:group>
            <v:group style="position:absolute;left:10688;top:469;width:2;height:704" coordorigin="10688,469" coordsize="2,704">
              <v:shape style="position:absolute;left:10688;top:469;width:2;height:704" coordorigin="10688,469" coordsize="0,704" path="m10688,469l10688,1172e" filled="false" stroked="true" strokeweight="1.08pt" strokecolor="#d2d2d2">
                <v:path arrowok="t"/>
              </v:shape>
            </v:group>
            <v:group style="position:absolute;left:9669;top:469;width:1008;height:351" coordorigin="9669,469" coordsize="1008,351">
              <v:shape style="position:absolute;left:9669;top:469;width:1008;height:351" coordorigin="9669,469" coordsize="1008,351" path="m9669,820l10677,820,10677,469,9669,469,9669,820xe" filled="true" fillcolor="#d2d2d2" stroked="false">
                <v:path arrowok="t"/>
                <v:fill type="solid"/>
              </v:shape>
            </v:group>
            <v:group style="position:absolute;left:9669;top:820;width:1008;height:353" coordorigin="9669,820" coordsize="1008,353">
              <v:shape style="position:absolute;left:9669;top:820;width:1008;height:353" coordorigin="9669,820" coordsize="1008,353" path="m9669,1172l10677,1172,10677,820,9669,820,9669,1172xe" filled="true" fillcolor="#d2d2d2" stroked="false">
                <v:path arrowok="t"/>
                <v:fill type="solid"/>
              </v:shape>
            </v:group>
            <v:group style="position:absolute;left:1138;top:464;width:1057;height:2" coordorigin="1138,464" coordsize="1057,2">
              <v:shape style="position:absolute;left:1138;top:464;width:1057;height:2" coordorigin="1138,464" coordsize="1057,0" path="m1138,464l2194,464e" filled="false" stroked="true" strokeweight=".48001pt" strokecolor="#000000">
                <v:path arrowok="t"/>
              </v:shape>
            </v:group>
            <v:group style="position:absolute;left:2204;top:464;width:1054;height:2" coordorigin="2204,464" coordsize="1054,2">
              <v:shape style="position:absolute;left:2204;top:464;width:1054;height:2" coordorigin="2204,464" coordsize="1054,0" path="m2204,464l3257,464e" filled="false" stroked="true" strokeweight=".48001pt" strokecolor="#000000">
                <v:path arrowok="t"/>
              </v:shape>
            </v:group>
            <v:group style="position:absolute;left:3267;top:464;width:1055;height:2" coordorigin="3267,464" coordsize="1055,2">
              <v:shape style="position:absolute;left:3267;top:464;width:1055;height:2" coordorigin="3267,464" coordsize="1055,0" path="m3267,464l4321,464e" filled="false" stroked="true" strokeweight=".48001pt" strokecolor="#000000">
                <v:path arrowok="t"/>
              </v:shape>
            </v:group>
            <v:group style="position:absolute;left:4331;top:464;width:1054;height:2" coordorigin="4331,464" coordsize="1054,2">
              <v:shape style="position:absolute;left:4331;top:464;width:1054;height:2" coordorigin="4331,464" coordsize="1054,0" path="m4331,464l5384,464e" filled="false" stroked="true" strokeweight=".48001pt" strokecolor="#000000">
                <v:path arrowok="t"/>
              </v:shape>
            </v:group>
            <v:group style="position:absolute;left:5394;top:464;width:1052;height:2" coordorigin="5394,464" coordsize="1052,2">
              <v:shape style="position:absolute;left:5394;top:464;width:1052;height:2" coordorigin="5394,464" coordsize="1052,0" path="m5394,464l6445,464e" filled="false" stroked="true" strokeweight=".48001pt" strokecolor="#000000">
                <v:path arrowok="t"/>
              </v:shape>
            </v:group>
            <v:group style="position:absolute;left:6455;top:464;width:1055;height:2" coordorigin="6455,464" coordsize="1055,2">
              <v:shape style="position:absolute;left:6455;top:464;width:1055;height:2" coordorigin="6455,464" coordsize="1055,0" path="m6455,464l7509,464e" filled="false" stroked="true" strokeweight=".48001pt" strokecolor="#000000">
                <v:path arrowok="t"/>
              </v:shape>
            </v:group>
            <v:group style="position:absolute;left:7518;top:464;width:1054;height:2" coordorigin="7518,464" coordsize="1054,2">
              <v:shape style="position:absolute;left:7518;top:464;width:1054;height:2" coordorigin="7518,464" coordsize="1054,0" path="m7518,464l8572,464e" filled="false" stroked="true" strokeweight=".48001pt" strokecolor="#000000">
                <v:path arrowok="t"/>
              </v:shape>
            </v:group>
            <v:group style="position:absolute;left:8581;top:464;width:1055;height:2" coordorigin="8581,464" coordsize="1055,2">
              <v:shape style="position:absolute;left:8581;top:464;width:1055;height:2" coordorigin="8581,464" coordsize="1055,0" path="m8581,464l9635,464e" filled="false" stroked="true" strokeweight=".48001pt" strokecolor="#000000">
                <v:path arrowok="t"/>
              </v:shape>
            </v:group>
            <v:group style="position:absolute;left:9645;top:464;width:1054;height:2" coordorigin="9645,464" coordsize="1054,2">
              <v:shape style="position:absolute;left:9645;top:464;width:1054;height:2" coordorigin="9645,464" coordsize="1054,0" path="m9645,464l10699,464e" filled="false" stroked="true" strokeweight=".48001pt" strokecolor="#000000">
                <v:path arrowok="t"/>
              </v:shape>
            </v:group>
            <v:group style="position:absolute;left:5394;top:1182;width:1054;height:469" coordorigin="5394,1182" coordsize="1054,469">
              <v:shape style="position:absolute;left:5394;top:1182;width:1054;height:469" coordorigin="5394,1182" coordsize="1054,469" path="m5394,1651l6447,1651,6447,1182,5394,1182,5394,1651xe" filled="true" fillcolor="#ffffff" stroked="false">
                <v:path arrowok="t"/>
                <v:fill type="solid"/>
              </v:shape>
            </v:group>
            <v:group style="position:absolute;left:1138;top:1177;width:1057;height:2" coordorigin="1138,1177" coordsize="1057,2">
              <v:shape style="position:absolute;left:1138;top:1177;width:1057;height:2" coordorigin="1138,1177" coordsize="1057,0" path="m1138,1177l2194,1177e" filled="false" stroked="true" strokeweight=".48001pt" strokecolor="#000000">
                <v:path arrowok="t"/>
              </v:shape>
            </v:group>
            <v:group style="position:absolute;left:2204;top:1177;width:1054;height:2" coordorigin="2204,1177" coordsize="1054,2">
              <v:shape style="position:absolute;left:2204;top:1177;width:1054;height:2" coordorigin="2204,1177" coordsize="1054,0" path="m2204,1177l3257,1177e" filled="false" stroked="true" strokeweight=".48001pt" strokecolor="#000000">
                <v:path arrowok="t"/>
              </v:shape>
            </v:group>
            <v:group style="position:absolute;left:3267;top:1177;width:1055;height:2" coordorigin="3267,1177" coordsize="1055,2">
              <v:shape style="position:absolute;left:3267;top:1177;width:1055;height:2" coordorigin="3267,1177" coordsize="1055,0" path="m3267,1177l4321,1177e" filled="false" stroked="true" strokeweight=".48001pt" strokecolor="#000000">
                <v:path arrowok="t"/>
              </v:shape>
            </v:group>
            <v:group style="position:absolute;left:4331;top:1177;width:1054;height:2" coordorigin="4331,1177" coordsize="1054,2">
              <v:shape style="position:absolute;left:4331;top:1177;width:1054;height:2" coordorigin="4331,1177" coordsize="1054,0" path="m4331,1177l5384,1177e" filled="false" stroked="true" strokeweight=".48001pt" strokecolor="#000000">
                <v:path arrowok="t"/>
              </v:shape>
            </v:group>
            <v:group style="position:absolute;left:5394;top:1177;width:1052;height:2" coordorigin="5394,1177" coordsize="1052,2">
              <v:shape style="position:absolute;left:5394;top:1177;width:1052;height:2" coordorigin="5394,1177" coordsize="1052,0" path="m5394,1177l6445,1177e" filled="false" stroked="true" strokeweight=".48001pt" strokecolor="#000000">
                <v:path arrowok="t"/>
              </v:shape>
            </v:group>
            <v:group style="position:absolute;left:6455;top:1177;width:1055;height:2" coordorigin="6455,1177" coordsize="1055,2">
              <v:shape style="position:absolute;left:6455;top:1177;width:1055;height:2" coordorigin="6455,1177" coordsize="1055,0" path="m6455,1177l7509,1177e" filled="false" stroked="true" strokeweight=".48001pt" strokecolor="#000000">
                <v:path arrowok="t"/>
              </v:shape>
            </v:group>
            <v:group style="position:absolute;left:7518;top:1177;width:1054;height:2" coordorigin="7518,1177" coordsize="1054,2">
              <v:shape style="position:absolute;left:7518;top:1177;width:1054;height:2" coordorigin="7518,1177" coordsize="1054,0" path="m7518,1177l8572,1177e" filled="false" stroked="true" strokeweight=".48001pt" strokecolor="#000000">
                <v:path arrowok="t"/>
              </v:shape>
            </v:group>
            <v:group style="position:absolute;left:8581;top:1177;width:1055;height:2" coordorigin="8581,1177" coordsize="1055,2">
              <v:shape style="position:absolute;left:8581;top:1177;width:1055;height:2" coordorigin="8581,1177" coordsize="1055,0" path="m8581,1177l9635,1177e" filled="false" stroked="true" strokeweight=".48001pt" strokecolor="#000000">
                <v:path arrowok="t"/>
              </v:shape>
            </v:group>
            <v:group style="position:absolute;left:9645;top:1177;width:1054;height:2" coordorigin="9645,1177" coordsize="1054,2">
              <v:shape style="position:absolute;left:9645;top:1177;width:1054;height:2" coordorigin="9645,1177" coordsize="1054,0" path="m9645,1177l10699,1177e" filled="false" stroked="true" strokeweight=".48001pt" strokecolor="#000000">
                <v:path arrowok="t"/>
              </v:shape>
            </v:group>
            <v:group style="position:absolute;left:5394;top:9836;width:1054;height:468" coordorigin="5394,9836" coordsize="1054,468">
              <v:shape style="position:absolute;left:5394;top:9836;width:1054;height:468" coordorigin="5394,9836" coordsize="1054,468" path="m5394,10304l6447,10304,6447,9836,5394,9836,5394,10304xe" filled="true" fillcolor="#ffffff" stroked="false">
                <v:path arrowok="t"/>
                <v:fill type="solid"/>
              </v:shape>
            </v:group>
            <v:group style="position:absolute;left:1138;top:9831;width:1057;height:2" coordorigin="1138,9831" coordsize="1057,2">
              <v:shape style="position:absolute;left:1138;top:9831;width:1057;height:2" coordorigin="1138,9831" coordsize="1057,0" path="m1138,9831l2194,9831e" filled="false" stroked="true" strokeweight=".47998pt" strokecolor="#000000">
                <v:path arrowok="t"/>
              </v:shape>
            </v:group>
            <v:group style="position:absolute;left:2204;top:9831;width:1054;height:2" coordorigin="2204,9831" coordsize="1054,2">
              <v:shape style="position:absolute;left:2204;top:9831;width:1054;height:2" coordorigin="2204,9831" coordsize="1054,0" path="m2204,9831l3257,9831e" filled="false" stroked="true" strokeweight=".47998pt" strokecolor="#000000">
                <v:path arrowok="t"/>
              </v:shape>
            </v:group>
            <v:group style="position:absolute;left:3267;top:9831;width:1055;height:2" coordorigin="3267,9831" coordsize="1055,2">
              <v:shape style="position:absolute;left:3267;top:9831;width:1055;height:2" coordorigin="3267,9831" coordsize="1055,0" path="m3267,9831l4321,9831e" filled="false" stroked="true" strokeweight=".47998pt" strokecolor="#000000">
                <v:path arrowok="t"/>
              </v:shape>
            </v:group>
            <v:group style="position:absolute;left:4331;top:9831;width:1054;height:2" coordorigin="4331,9831" coordsize="1054,2">
              <v:shape style="position:absolute;left:4331;top:9831;width:1054;height:2" coordorigin="4331,9831" coordsize="1054,0" path="m4331,9831l5384,9831e" filled="false" stroked="true" strokeweight=".47998pt" strokecolor="#000000">
                <v:path arrowok="t"/>
              </v:shape>
            </v:group>
            <v:group style="position:absolute;left:5394;top:9831;width:1052;height:2" coordorigin="5394,9831" coordsize="1052,2">
              <v:shape style="position:absolute;left:5394;top:9831;width:1052;height:2" coordorigin="5394,9831" coordsize="1052,0" path="m5394,9831l6445,9831e" filled="false" stroked="true" strokeweight=".47998pt" strokecolor="#000000">
                <v:path arrowok="t"/>
              </v:shape>
            </v:group>
            <v:group style="position:absolute;left:6455;top:9831;width:1055;height:2" coordorigin="6455,9831" coordsize="1055,2">
              <v:shape style="position:absolute;left:6455;top:9831;width:1055;height:2" coordorigin="6455,9831" coordsize="1055,0" path="m6455,9831l7509,9831e" filled="false" stroked="true" strokeweight=".47998pt" strokecolor="#000000">
                <v:path arrowok="t"/>
              </v:shape>
            </v:group>
            <v:group style="position:absolute;left:7518;top:9831;width:1054;height:2" coordorigin="7518,9831" coordsize="1054,2">
              <v:shape style="position:absolute;left:7518;top:9831;width:1054;height:2" coordorigin="7518,9831" coordsize="1054,0" path="m7518,9831l8572,9831e" filled="false" stroked="true" strokeweight=".47998pt" strokecolor="#000000">
                <v:path arrowok="t"/>
              </v:shape>
            </v:group>
            <v:group style="position:absolute;left:8581;top:9831;width:1055;height:2" coordorigin="8581,9831" coordsize="1055,2">
              <v:shape style="position:absolute;left:8581;top:9831;width:1055;height:2" coordorigin="8581,9831" coordsize="1055,0" path="m8581,9831l9635,9831e" filled="false" stroked="true" strokeweight=".47998pt" strokecolor="#000000">
                <v:path arrowok="t"/>
              </v:shape>
            </v:group>
            <v:group style="position:absolute;left:9645;top:9831;width:1054;height:2" coordorigin="9645,9831" coordsize="1054,2">
              <v:shape style="position:absolute;left:9645;top:9831;width:1054;height:2" coordorigin="9645,9831" coordsize="1054,0" path="m9645,9831l10699,9831e" filled="false" stroked="true" strokeweight=".47998pt" strokecolor="#000000">
                <v:path arrowok="t"/>
              </v:shape>
            </v:group>
            <v:group style="position:absolute;left:1133;top:460;width:2;height:10716" coordorigin="1133,460" coordsize="2,10716">
              <v:shape style="position:absolute;left:1133;top:460;width:2;height:10716" coordorigin="1133,460" coordsize="0,10716" path="m1133,460l1133,11175e" filled="false" stroked="true" strokeweight=".48pt" strokecolor="#000000">
                <v:path arrowok="t"/>
              </v:shape>
            </v:group>
            <v:group style="position:absolute;left:2199;top:460;width:2;height:10716" coordorigin="2199,460" coordsize="2,10716">
              <v:shape style="position:absolute;left:2199;top:460;width:2;height:10716" coordorigin="2199,460" coordsize="0,10716" path="m2199,460l2199,11175e" filled="false" stroked="true" strokeweight=".48pt" strokecolor="#000000">
                <v:path arrowok="t"/>
              </v:shape>
            </v:group>
            <v:group style="position:absolute;left:3262;top:460;width:2;height:10716" coordorigin="3262,460" coordsize="2,10716">
              <v:shape style="position:absolute;left:3262;top:460;width:2;height:10716" coordorigin="3262,460" coordsize="0,10716" path="m3262,460l3262,11175e" filled="false" stroked="true" strokeweight=".48pt" strokecolor="#000000">
                <v:path arrowok="t"/>
              </v:shape>
            </v:group>
            <v:group style="position:absolute;left:4326;top:460;width:2;height:10716" coordorigin="4326,460" coordsize="2,10716">
              <v:shape style="position:absolute;left:4326;top:460;width:2;height:10716" coordorigin="4326,460" coordsize="0,10716" path="m4326,460l4326,11175e" filled="false" stroked="true" strokeweight=".48pt" strokecolor="#000000">
                <v:path arrowok="t"/>
              </v:shape>
            </v:group>
            <v:group style="position:absolute;left:5394;top:2522;width:1054;height:468" coordorigin="5394,2522" coordsize="1054,468">
              <v:shape style="position:absolute;left:5394;top:2522;width:1054;height:468" coordorigin="5394,2522" coordsize="1054,468" path="m5394,2990l6447,2990,6447,2522,5394,2522,5394,2990xe" filled="true" fillcolor="#ffffff" stroked="false">
                <v:path arrowok="t"/>
                <v:fill type="solid"/>
              </v:shape>
            </v:group>
            <v:group style="position:absolute;left:5394;top:3859;width:1054;height:468" coordorigin="5394,3859" coordsize="1054,468">
              <v:shape style="position:absolute;left:5394;top:3859;width:1054;height:468" coordorigin="5394,3859" coordsize="1054,468" path="m5394,4327l6447,4327,6447,3859,5394,3859,5394,4327xe" filled="true" fillcolor="#ffffff" stroked="false">
                <v:path arrowok="t"/>
                <v:fill type="solid"/>
              </v:shape>
            </v:group>
            <v:group style="position:absolute;left:5394;top:6847;width:1054;height:468" coordorigin="5394,6847" coordsize="1054,468">
              <v:shape style="position:absolute;left:5394;top:6847;width:1054;height:468" coordorigin="5394,6847" coordsize="1054,468" path="m5394,7315l6447,7315,6447,6847,5394,6847,5394,7315xe" filled="true" fillcolor="#ffffff" stroked="false">
                <v:path arrowok="t"/>
                <v:fill type="solid"/>
              </v:shape>
            </v:group>
            <v:group style="position:absolute;left:5389;top:460;width:2;height:10716" coordorigin="5389,460" coordsize="2,10716">
              <v:shape style="position:absolute;left:5389;top:460;width:2;height:10716" coordorigin="5389,460" coordsize="0,10716" path="m5389,460l5389,11175e" filled="false" stroked="true" strokeweight=".47998pt" strokecolor="#000000">
                <v:path arrowok="t"/>
              </v:shape>
            </v:group>
            <v:group style="position:absolute;left:6450;top:460;width:2;height:10716" coordorigin="6450,460" coordsize="2,10716">
              <v:shape style="position:absolute;left:6450;top:460;width:2;height:10716" coordorigin="6450,460" coordsize="0,10716" path="m6450,460l6450,11175e" filled="false" stroked="true" strokeweight=".47998pt" strokecolor="#000000">
                <v:path arrowok="t"/>
              </v:shape>
            </v:group>
            <v:group style="position:absolute;left:7513;top:460;width:2;height:10716" coordorigin="7513,460" coordsize="2,10716">
              <v:shape style="position:absolute;left:7513;top:460;width:2;height:10716" coordorigin="7513,460" coordsize="0,10716" path="m7513,460l7513,11175e" filled="false" stroked="true" strokeweight=".48001pt" strokecolor="#000000">
                <v:path arrowok="t"/>
              </v:shape>
            </v:group>
            <v:group style="position:absolute;left:8577;top:460;width:2;height:10716" coordorigin="8577,460" coordsize="2,10716">
              <v:shape style="position:absolute;left:8577;top:460;width:2;height:10716" coordorigin="8577,460" coordsize="0,10716" path="m8577,460l8577,11175e" filled="false" stroked="true" strokeweight=".47998pt" strokecolor="#000000">
                <v:path arrowok="t"/>
              </v:shape>
            </v:group>
            <v:group style="position:absolute;left:9640;top:460;width:2;height:10716" coordorigin="9640,460" coordsize="2,10716">
              <v:shape style="position:absolute;left:9640;top:460;width:2;height:10716" coordorigin="9640,460" coordsize="0,10716" path="m9640,460l9640,11175e" filled="false" stroked="true" strokeweight=".48001pt" strokecolor="#000000">
                <v:path arrowok="t"/>
              </v:shape>
            </v:group>
            <v:group style="position:absolute;left:10704;top:460;width:2;height:10716" coordorigin="10704,460" coordsize="2,10716">
              <v:shape style="position:absolute;left:10704;top:460;width:2;height:10716" coordorigin="10704,460" coordsize="0,10716" path="m10704,460l10704,11175e" filled="false" stroked="true" strokeweight=".47998pt" strokecolor="#000000">
                <v:path arrowok="t"/>
              </v:shape>
            </v:group>
            <w10:wrap type="none"/>
          </v:group>
        </w:pict>
      </w:r>
      <w:r>
        <w:rPr/>
        <w:t>单位：</w:t>
      </w:r>
      <w:r>
        <w:rPr>
          <w:spacing w:val="1"/>
        </w:rPr>
        <w:t> </w:t>
      </w:r>
      <w:r>
        <w:rPr/>
        <w:t>元</w:t>
      </w:r>
    </w:p>
    <w:p>
      <w:pPr>
        <w:spacing w:line="240" w:lineRule="auto" w:before="9"/>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1066"/>
        <w:gridCol w:w="2127"/>
        <w:gridCol w:w="1092"/>
        <w:gridCol w:w="1032"/>
        <w:gridCol w:w="1064"/>
        <w:gridCol w:w="1063"/>
        <w:gridCol w:w="2127"/>
      </w:tblGrid>
      <w:tr>
        <w:trPr>
          <w:trHeight w:val="713" w:hRule="exact"/>
        </w:trPr>
        <w:tc>
          <w:tcPr>
            <w:tcW w:w="1066"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tabs>
                <w:tab w:pos="1235" w:val="left" w:leader="none"/>
              </w:tabs>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发放主体</w:t>
              <w:tab/>
              <w:t>发放原因</w:t>
            </w:r>
          </w:p>
        </w:tc>
        <w:tc>
          <w:tcPr>
            <w:tcW w:w="109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32"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4" w:lineRule="auto" w:before="53"/>
              <w:ind w:left="52"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4"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4" w:lineRule="auto" w:before="53"/>
              <w:ind w:left="444" w:right="77"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4" w:lineRule="auto" w:before="53"/>
              <w:ind w:left="441" w:right="79"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2127" w:type="dxa"/>
            <w:tcBorders>
              <w:top w:val="nil" w:sz="6" w:space="0" w:color="auto"/>
              <w:left w:val="nil" w:sz="6" w:space="0" w:color="auto"/>
              <w:bottom w:val="nil" w:sz="6" w:space="0" w:color="auto"/>
              <w:right w:val="nil" w:sz="6" w:space="0" w:color="auto"/>
            </w:tcBorders>
          </w:tcPr>
          <w:p>
            <w:pPr>
              <w:pStyle w:val="TableParagraph"/>
              <w:tabs>
                <w:tab w:pos="1145" w:val="left" w:leader="none"/>
              </w:tabs>
              <w:spacing w:line="297" w:lineRule="auto" w:before="53"/>
              <w:ind w:left="441" w:right="53" w:hanging="360"/>
              <w:jc w:val="left"/>
              <w:rPr>
                <w:rFonts w:ascii="宋体" w:hAnsi="宋体" w:cs="宋体" w:eastAsia="宋体" w:hint="default"/>
                <w:sz w:val="18"/>
                <w:szCs w:val="18"/>
              </w:rPr>
            </w:pPr>
            <w:r>
              <w:rPr>
                <w:rFonts w:ascii="宋体" w:hAnsi="宋体" w:cs="宋体" w:eastAsia="宋体" w:hint="default"/>
                <w:sz w:val="18"/>
                <w:szCs w:val="18"/>
              </w:rPr>
              <w:t>上期发生金</w:t>
            </w:r>
            <w:r>
              <w:rPr>
                <w:rFonts w:ascii="宋体" w:hAnsi="宋体" w:cs="宋体" w:eastAsia="宋体" w:hint="default"/>
                <w:spacing w:val="49"/>
                <w:sz w:val="18"/>
                <w:szCs w:val="18"/>
              </w:rPr>
              <w:t> </w:t>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额</w:t>
              <w:tab/>
              <w:t>与收益相关</w:t>
            </w:r>
          </w:p>
        </w:tc>
      </w:tr>
      <w:tr>
        <w:trPr>
          <w:trHeight w:val="1340"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319" w:lineRule="auto" w:before="53"/>
              <w:ind w:left="28" w:right="135"/>
              <w:jc w:val="both"/>
              <w:rPr>
                <w:rFonts w:ascii="宋体" w:hAnsi="宋体" w:cs="宋体" w:eastAsia="宋体" w:hint="default"/>
                <w:sz w:val="18"/>
                <w:szCs w:val="18"/>
              </w:rPr>
            </w:pPr>
            <w:r>
              <w:rPr>
                <w:rFonts w:ascii="宋体" w:hAnsi="宋体" w:cs="宋体" w:eastAsia="宋体" w:hint="default"/>
                <w:sz w:val="18"/>
                <w:szCs w:val="18"/>
              </w:rPr>
              <w:t>重庆市沙坪 坝区商业委 员会发展专 项资金</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28" w:right="674"/>
              <w:jc w:val="left"/>
              <w:rPr>
                <w:rFonts w:ascii="宋体" w:hAnsi="宋体" w:cs="宋体" w:eastAsia="宋体" w:hint="default"/>
                <w:sz w:val="18"/>
                <w:szCs w:val="18"/>
              </w:rPr>
            </w:pPr>
            <w:r>
              <w:rPr>
                <w:rFonts w:ascii="宋体" w:hAnsi="宋体" w:cs="宋体" w:eastAsia="宋体" w:hint="default"/>
                <w:sz w:val="18"/>
                <w:szCs w:val="18"/>
              </w:rPr>
              <w:t>重庆沙坪坝 区发展和改</w:t>
            </w:r>
            <w:r>
              <w:rPr>
                <w:rFonts w:ascii="宋体" w:hAnsi="宋体" w:cs="宋体" w:eastAsia="宋体" w:hint="default"/>
                <w:spacing w:val="73"/>
                <w:sz w:val="18"/>
                <w:szCs w:val="18"/>
              </w:rPr>
              <w:t> </w:t>
            </w:r>
            <w:r>
              <w:rPr>
                <w:rFonts w:ascii="宋体" w:hAnsi="宋体" w:cs="宋体" w:eastAsia="宋体" w:hint="default"/>
                <w:sz w:val="18"/>
                <w:szCs w:val="18"/>
              </w:rPr>
              <w:t>补助</w:t>
            </w:r>
            <w:r>
              <w:rPr>
                <w:rFonts w:ascii="宋体" w:hAnsi="宋体" w:cs="宋体" w:eastAsia="宋体" w:hint="default"/>
                <w:sz w:val="18"/>
                <w:szCs w:val="18"/>
              </w:rPr>
              <w:t> 革委员会</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319" w:lineRule="auto" w:before="53"/>
              <w:ind w:left="28"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66,666.72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与资产相关</w:t>
            </w:r>
          </w:p>
        </w:tc>
      </w:tr>
      <w:tr>
        <w:trPr>
          <w:trHeight w:val="1337"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8" w:right="135"/>
              <w:jc w:val="left"/>
              <w:rPr>
                <w:rFonts w:ascii="宋体" w:hAnsi="宋体" w:cs="宋体" w:eastAsia="宋体" w:hint="default"/>
                <w:sz w:val="18"/>
                <w:szCs w:val="18"/>
              </w:rPr>
            </w:pPr>
            <w:r>
              <w:rPr>
                <w:rFonts w:ascii="宋体" w:hAnsi="宋体" w:cs="宋体" w:eastAsia="宋体" w:hint="default"/>
                <w:sz w:val="18"/>
                <w:szCs w:val="18"/>
              </w:rPr>
              <w:t>代金属复合 工艺补助</w:t>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28" w:right="0"/>
              <w:jc w:val="left"/>
              <w:rPr>
                <w:rFonts w:ascii="宋体" w:hAnsi="宋体" w:cs="宋体" w:eastAsia="宋体" w:hint="default"/>
                <w:sz w:val="18"/>
                <w:szCs w:val="18"/>
              </w:rPr>
            </w:pPr>
            <w:r>
              <w:rPr>
                <w:rFonts w:ascii="宋体" w:hAnsi="宋体" w:cs="宋体" w:eastAsia="宋体" w:hint="default"/>
                <w:sz w:val="18"/>
                <w:szCs w:val="18"/>
              </w:rPr>
              <w:t>深圳发展和</w:t>
            </w:r>
          </w:p>
          <w:p>
            <w:pPr>
              <w:pStyle w:val="TableParagraph"/>
              <w:spacing w:line="155" w:lineRule="exact"/>
              <w:ind w:left="1091"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195" w:lineRule="exact"/>
              <w:ind w:left="28" w:right="0"/>
              <w:jc w:val="left"/>
              <w:rPr>
                <w:rFonts w:ascii="宋体" w:hAnsi="宋体" w:cs="宋体" w:eastAsia="宋体" w:hint="default"/>
                <w:sz w:val="18"/>
                <w:szCs w:val="18"/>
              </w:rPr>
            </w:pPr>
            <w:r>
              <w:rPr>
                <w:rFonts w:ascii="宋体" w:hAnsi="宋体" w:cs="宋体" w:eastAsia="宋体" w:hint="default"/>
                <w:sz w:val="18"/>
                <w:szCs w:val="18"/>
              </w:rPr>
              <w:t>改革委员会</w:t>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3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nil" w:sz="6" w:space="0" w:color="auto"/>
              <w:bottom w:val="single" w:sz="4" w:space="0" w:color="000000"/>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与资产相关</w:t>
            </w:r>
          </w:p>
        </w:tc>
      </w:tr>
      <w:tr>
        <w:trPr>
          <w:trHeight w:val="979" w:hRule="exact"/>
        </w:trPr>
        <w:tc>
          <w:tcPr>
            <w:tcW w:w="1066" w:type="dxa"/>
            <w:tcBorders>
              <w:top w:val="single" w:sz="4" w:space="0" w:color="000000"/>
              <w:left w:val="nil" w:sz="6" w:space="0" w:color="auto"/>
              <w:bottom w:val="nil" w:sz="6" w:space="0" w:color="auto"/>
              <w:right w:val="nil" w:sz="6" w:space="0" w:color="auto"/>
            </w:tcBorders>
          </w:tcPr>
          <w:p>
            <w:pPr>
              <w:pStyle w:val="TableParagraph"/>
              <w:spacing w:line="309" w:lineRule="auto" w:before="49"/>
              <w:ind w:left="28" w:right="41"/>
              <w:jc w:val="left"/>
              <w:rPr>
                <w:rFonts w:ascii="宋体" w:hAnsi="宋体" w:cs="宋体" w:eastAsia="宋体" w:hint="default"/>
                <w:sz w:val="18"/>
                <w:szCs w:val="18"/>
              </w:rPr>
            </w:pPr>
            <w:r>
              <w:rPr>
                <w:rFonts w:ascii="宋体" w:hAnsi="宋体" w:cs="宋体" w:eastAsia="宋体" w:hint="default"/>
                <w:sz w:val="18"/>
                <w:szCs w:val="18"/>
              </w:rPr>
              <w:t>深圳市财政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新兴 产业发展专</w:t>
            </w: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28" w:right="0"/>
              <w:jc w:val="left"/>
              <w:rPr>
                <w:rFonts w:ascii="宋体" w:hAnsi="宋体" w:cs="宋体" w:eastAsia="宋体" w:hint="default"/>
                <w:sz w:val="18"/>
                <w:szCs w:val="18"/>
              </w:rPr>
            </w:pPr>
            <w:r>
              <w:rPr>
                <w:rFonts w:ascii="宋体" w:hAnsi="宋体" w:cs="宋体" w:eastAsia="宋体" w:hint="default"/>
                <w:sz w:val="18"/>
                <w:szCs w:val="18"/>
              </w:rPr>
              <w:t>深圳市财政</w:t>
            </w:r>
          </w:p>
          <w:p>
            <w:pPr>
              <w:pStyle w:val="TableParagraph"/>
              <w:spacing w:line="156" w:lineRule="exact"/>
              <w:ind w:left="1091"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28"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1,529,447.43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与资产相关</w:t>
            </w:r>
          </w:p>
        </w:tc>
      </w:tr>
      <w:tr>
        <w:trPr>
          <w:trHeight w:val="360"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项资金补贴</w:t>
            </w:r>
          </w:p>
        </w:tc>
        <w:tc>
          <w:tcPr>
            <w:tcW w:w="2127" w:type="dxa"/>
            <w:tcBorders>
              <w:top w:val="nil" w:sz="6" w:space="0" w:color="auto"/>
              <w:left w:val="nil" w:sz="6" w:space="0" w:color="auto"/>
              <w:bottom w:val="single" w:sz="4" w:space="0" w:color="000000"/>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32" w:type="dxa"/>
            <w:tcBorders>
              <w:top w:val="nil" w:sz="6" w:space="0" w:color="auto"/>
              <w:left w:val="nil" w:sz="6" w:space="0" w:color="auto"/>
              <w:bottom w:val="single" w:sz="4" w:space="0" w:color="000000"/>
              <w:right w:val="nil" w:sz="6" w:space="0" w:color="auto"/>
            </w:tcBorders>
          </w:tcPr>
          <w:p>
            <w:pPr/>
          </w:p>
        </w:tc>
        <w:tc>
          <w:tcPr>
            <w:tcW w:w="1064"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
        </w:tc>
      </w:tr>
      <w:tr>
        <w:trPr>
          <w:trHeight w:val="355" w:hRule="exact"/>
        </w:trPr>
        <w:tc>
          <w:tcPr>
            <w:tcW w:w="1066"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32" w:type="dxa"/>
            <w:tcBorders>
              <w:top w:val="single" w:sz="4" w:space="0" w:color="000000"/>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2127" w:type="dxa"/>
            <w:tcBorders>
              <w:top w:val="single" w:sz="4" w:space="0" w:color="000000"/>
              <w:left w:val="nil" w:sz="6" w:space="0" w:color="auto"/>
              <w:bottom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财政局失业</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重庆沙坪坝</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17"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保险稳岗补</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12"/>
                <w:sz w:val="18"/>
                <w:szCs w:val="18"/>
              </w:rPr>
              <w:t>区财政局、四</w:t>
            </w:r>
            <w:r>
              <w:rPr>
                <w:rFonts w:ascii="宋体" w:hAnsi="宋体" w:cs="宋体" w:eastAsia="宋体" w:hint="default"/>
                <w:spacing w:val="-35"/>
                <w:sz w:val="18"/>
                <w:szCs w:val="18"/>
              </w:rPr>
              <w:t> </w:t>
            </w:r>
            <w:r>
              <w:rPr>
                <w:rFonts w:ascii="宋体" w:hAnsi="宋体" w:cs="宋体" w:eastAsia="宋体" w:hint="default"/>
                <w:sz w:val="18"/>
                <w:szCs w:val="18"/>
              </w:rPr>
              <w:t>补助</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362,711.08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贴</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川财政局</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60" w:hRule="exact"/>
        </w:trPr>
        <w:tc>
          <w:tcPr>
            <w:tcW w:w="1066"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32" w:type="dxa"/>
            <w:tcBorders>
              <w:top w:val="nil" w:sz="6" w:space="0" w:color="auto"/>
              <w:left w:val="nil" w:sz="6" w:space="0" w:color="auto"/>
              <w:bottom w:val="single" w:sz="4" w:space="0" w:color="000000"/>
              <w:right w:val="nil" w:sz="6" w:space="0" w:color="auto"/>
            </w:tcBorders>
          </w:tcPr>
          <w:p>
            <w:pPr/>
          </w:p>
        </w:tc>
        <w:tc>
          <w:tcPr>
            <w:tcW w:w="1064"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
        </w:tc>
      </w:tr>
      <w:tr>
        <w:trPr>
          <w:trHeight w:val="1339" w:hRule="exact"/>
        </w:trPr>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35"/>
              <w:jc w:val="both"/>
              <w:rPr>
                <w:rFonts w:ascii="宋体" w:hAnsi="宋体" w:cs="宋体" w:eastAsia="宋体" w:hint="default"/>
                <w:sz w:val="18"/>
                <w:szCs w:val="18"/>
              </w:rPr>
            </w:pPr>
            <w:r>
              <w:rPr>
                <w:rFonts w:ascii="宋体" w:hAnsi="宋体" w:cs="宋体" w:eastAsia="宋体" w:hint="default"/>
                <w:sz w:val="18"/>
                <w:szCs w:val="18"/>
              </w:rPr>
              <w:t>深圳市市场 监督管理局 专利资助费</w:t>
            </w: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5"/>
              <w:ind w:left="28" w:right="0"/>
              <w:jc w:val="left"/>
              <w:rPr>
                <w:rFonts w:ascii="宋体" w:hAnsi="宋体" w:cs="宋体" w:eastAsia="宋体" w:hint="default"/>
                <w:sz w:val="18"/>
                <w:szCs w:val="18"/>
              </w:rPr>
            </w:pPr>
            <w:r>
              <w:rPr>
                <w:rFonts w:ascii="宋体" w:hAnsi="宋体" w:cs="宋体" w:eastAsia="宋体" w:hint="default"/>
                <w:sz w:val="18"/>
                <w:szCs w:val="18"/>
              </w:rPr>
              <w:t>深圳市市场</w:t>
            </w:r>
          </w:p>
          <w:p>
            <w:pPr>
              <w:pStyle w:val="TableParagraph"/>
              <w:spacing w:line="156" w:lineRule="exact"/>
              <w:ind w:left="1091" w:right="0"/>
              <w:jc w:val="left"/>
              <w:rPr>
                <w:rFonts w:ascii="宋体" w:hAnsi="宋体" w:cs="宋体" w:eastAsia="宋体" w:hint="default"/>
                <w:sz w:val="18"/>
                <w:szCs w:val="18"/>
              </w:rPr>
            </w:pPr>
            <w:r>
              <w:rPr>
                <w:rFonts w:ascii="宋体" w:hAnsi="宋体" w:cs="宋体" w:eastAsia="宋体" w:hint="default"/>
                <w:sz w:val="18"/>
                <w:szCs w:val="18"/>
              </w:rPr>
              <w:t>补助</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监督管理局</w:t>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3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nil" w:sz="6" w:space="0" w:color="auto"/>
              <w:bottom w:val="single" w:sz="4" w:space="0" w:color="000000"/>
              <w:right w:val="nil" w:sz="6" w:space="0" w:color="auto"/>
            </w:tcBorders>
          </w:tcPr>
          <w:p>
            <w:pPr/>
          </w:p>
        </w:tc>
        <w:tc>
          <w:tcPr>
            <w:tcW w:w="212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19,000.00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tc>
      </w:tr>
      <w:tr>
        <w:trPr>
          <w:trHeight w:val="354" w:hRule="exact"/>
        </w:trPr>
        <w:tc>
          <w:tcPr>
            <w:tcW w:w="1066"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深圳市财政</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317"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税局退税款</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12"/>
                <w:sz w:val="18"/>
                <w:szCs w:val="18"/>
              </w:rPr>
              <w:t>局、东莞市财</w:t>
            </w:r>
            <w:r>
              <w:rPr>
                <w:rFonts w:ascii="宋体" w:hAnsi="宋体" w:cs="宋体" w:eastAsia="宋体" w:hint="default"/>
                <w:spacing w:val="-35"/>
                <w:sz w:val="18"/>
                <w:szCs w:val="18"/>
              </w:rPr>
              <w:t> </w:t>
            </w:r>
            <w:r>
              <w:rPr>
                <w:rFonts w:ascii="宋体" w:hAnsi="宋体" w:cs="宋体" w:eastAsia="宋体" w:hint="default"/>
                <w:sz w:val="18"/>
                <w:szCs w:val="18"/>
              </w:rPr>
              <w:t>补助</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资等地方性</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5" w:right="0"/>
              <w:jc w:val="left"/>
              <w:rPr>
                <w:rFonts w:ascii="Times New Roman" w:hAnsi="Times New Roman" w:cs="Times New Roman" w:eastAsia="Times New Roman" w:hint="default"/>
                <w:sz w:val="18"/>
                <w:szCs w:val="18"/>
              </w:rPr>
            </w:pPr>
            <w:r>
              <w:rPr>
                <w:rFonts w:ascii="Times New Roman"/>
                <w:sz w:val="18"/>
              </w:rPr>
              <w:t>279,426.67</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355,702.11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与收益相关</w:t>
            </w:r>
          </w:p>
        </w:tc>
      </w:tr>
      <w:tr>
        <w:trPr>
          <w:trHeight w:val="306" w:hRule="exact"/>
        </w:trPr>
        <w:tc>
          <w:tcPr>
            <w:tcW w:w="1066"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政局等</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扶持政策而</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246" w:hRule="exact"/>
        </w:trPr>
        <w:tc>
          <w:tcPr>
            <w:tcW w:w="1066"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32"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2127" w:type="dxa"/>
            <w:tcBorders>
              <w:top w:val="nil" w:sz="6" w:space="0" w:color="auto"/>
              <w:left w:val="nil" w:sz="6" w:space="0" w:color="auto"/>
              <w:bottom w:val="nil" w:sz="6" w:space="0" w:color="auto"/>
              <w:right w:val="nil" w:sz="6" w:space="0" w:color="auto"/>
            </w:tcBorders>
          </w:tcPr>
          <w:p>
            <w:pPr/>
          </w:p>
        </w:tc>
      </w:tr>
      <w:tr>
        <w:trPr>
          <w:trHeight w:val="1453"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8" w:right="135"/>
              <w:jc w:val="both"/>
              <w:rPr>
                <w:rFonts w:ascii="宋体" w:hAnsi="宋体" w:cs="宋体" w:eastAsia="宋体" w:hint="default"/>
                <w:sz w:val="18"/>
                <w:szCs w:val="18"/>
              </w:rPr>
            </w:pPr>
            <w:r>
              <w:rPr>
                <w:rFonts w:ascii="宋体" w:hAnsi="宋体" w:cs="宋体" w:eastAsia="宋体" w:hint="default"/>
                <w:sz w:val="18"/>
                <w:szCs w:val="18"/>
              </w:rPr>
              <w:t>光明新区质 量奖奖励资 金</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光明新区发</w:t>
            </w:r>
          </w:p>
          <w:p>
            <w:pPr>
              <w:pStyle w:val="TableParagraph"/>
              <w:spacing w:line="156" w:lineRule="exact"/>
              <w:ind w:left="1091" w:right="0"/>
              <w:jc w:val="left"/>
              <w:rPr>
                <w:rFonts w:ascii="宋体" w:hAnsi="宋体" w:cs="宋体" w:eastAsia="宋体" w:hint="default"/>
                <w:sz w:val="18"/>
                <w:szCs w:val="18"/>
              </w:rPr>
            </w:pPr>
            <w:r>
              <w:rPr>
                <w:rFonts w:ascii="宋体" w:hAnsi="宋体" w:cs="宋体" w:eastAsia="宋体" w:hint="default"/>
                <w:sz w:val="18"/>
                <w:szCs w:val="18"/>
              </w:rPr>
              <w:t>奖励</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展和财政局</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8" w:right="-17"/>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single" w:sz="4" w:space="0" w:color="000000"/>
              <w:right w:val="nil" w:sz="6" w:space="0" w:color="auto"/>
            </w:tcBorders>
          </w:tcPr>
          <w:p>
            <w:pP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2"/>
              <w:jc w:val="right"/>
              <w:rPr>
                <w:rFonts w:ascii="宋体" w:hAnsi="宋体" w:cs="宋体" w:eastAsia="宋体" w:hint="default"/>
                <w:sz w:val="18"/>
                <w:szCs w:val="18"/>
              </w:rPr>
            </w:pP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0"/>
        <w:jc w:val="both"/>
      </w:pPr>
      <w:r>
        <w:rPr/>
        <w:t>短期出口信 用保险保费 资助</w:t>
      </w:r>
    </w:p>
    <w:p>
      <w:pPr>
        <w:pStyle w:val="BodyText"/>
        <w:spacing w:line="319" w:lineRule="auto" w:before="44"/>
        <w:ind w:left="125" w:right="-19"/>
        <w:jc w:val="left"/>
      </w:pPr>
      <w:r>
        <w:rPr/>
        <w:br w:type="column"/>
      </w:r>
      <w:r>
        <w:rPr/>
        <w:t>深圳市经济 贸易和信息 </w:t>
      </w:r>
      <w:r>
        <w:rPr>
          <w:spacing w:val="-12"/>
        </w:rPr>
        <w:t>化委员会、光</w:t>
      </w:r>
      <w:r>
        <w:rPr>
          <w:spacing w:val="-35"/>
        </w:rPr>
        <w:t> </w:t>
      </w:r>
      <w:r>
        <w:rPr/>
        <w:t>补助</w:t>
      </w:r>
      <w:r>
        <w:rPr/>
        <w:t> 明新区发展 和财政局</w:t>
      </w:r>
    </w:p>
    <w:p>
      <w:pPr>
        <w:pStyle w:val="BodyText"/>
        <w:spacing w:line="310" w:lineRule="atLeast" w:before="126"/>
        <w:ind w:left="181" w:right="5472"/>
        <w:jc w:val="left"/>
      </w:pPr>
      <w:r>
        <w:rPr/>
        <w:br w:type="column"/>
      </w:r>
      <w:r>
        <w:rPr/>
        <w:t>因研究开发、 技术更新及</w:t>
      </w:r>
    </w:p>
    <w:p>
      <w:pPr>
        <w:pStyle w:val="BodyText"/>
        <w:tabs>
          <w:tab w:pos="2307"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101,700.00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240" w:lineRule="auto"/>
        <w:ind w:left="181" w:right="-20"/>
        <w:jc w:val="left"/>
      </w:pPr>
      <w:r>
        <w:rPr/>
        <w:t>研发专利款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spacing w:line="196" w:lineRule="exact"/>
        <w:ind w:left="125" w:right="-19"/>
        <w:jc w:val="left"/>
      </w:pPr>
      <w:r>
        <w:rPr/>
        <w:t>东莞市财政</w:t>
      </w:r>
    </w:p>
    <w:p>
      <w:pPr>
        <w:pStyle w:val="BodyText"/>
        <w:spacing w:line="155" w:lineRule="exact"/>
        <w:ind w:left="0" w:right="0"/>
        <w:jc w:val="right"/>
      </w:pPr>
      <w:r>
        <w:rPr/>
        <w:t>补助</w:t>
      </w:r>
    </w:p>
    <w:p>
      <w:pPr>
        <w:pStyle w:val="BodyText"/>
        <w:spacing w:line="195" w:lineRule="exact"/>
        <w:ind w:left="125" w:right="-19"/>
        <w:jc w:val="left"/>
      </w:pPr>
      <w:r>
        <w:rPr/>
        <w:t>局</w:t>
      </w:r>
    </w:p>
    <w:p>
      <w:pPr>
        <w:pStyle w:val="BodyText"/>
        <w:spacing w:line="310" w:lineRule="atLeast" w:before="33"/>
        <w:ind w:left="181" w:right="5472"/>
        <w:jc w:val="left"/>
      </w:pPr>
      <w:r>
        <w:rPr/>
        <w:br w:type="column"/>
      </w:r>
      <w:r>
        <w:rPr/>
        <w:t>因研究开发、 技术更新及</w:t>
      </w:r>
    </w:p>
    <w:p>
      <w:pPr>
        <w:pStyle w:val="BodyText"/>
        <w:tabs>
          <w:tab w:pos="2307" w:val="left" w:leader="none"/>
          <w:tab w:pos="4629" w:val="left" w:leader="none"/>
        </w:tabs>
        <w:spacing w:line="124" w:lineRule="exact"/>
        <w:ind w:left="1244" w:right="0"/>
        <w:jc w:val="left"/>
      </w:pPr>
      <w:r>
        <w:rPr/>
        <w:t>否</w:t>
        <w:tab/>
        <w:t>否</w:t>
        <w:tab/>
      </w:r>
      <w:r>
        <w:rPr>
          <w:rFonts w:ascii="Times New Roman" w:hAnsi="Times New Roman" w:cs="Times New Roman" w:eastAsia="Times New Roman" w:hint="default"/>
        </w:rPr>
        <w:t>300,000.00</w:t>
      </w:r>
      <w:r>
        <w:rPr>
          <w:rFonts w:ascii="Times New Roman" w:hAnsi="Times New Roman" w:cs="Times New Roman" w:eastAsia="Times New Roman" w:hint="default"/>
          <w:spacing w:val="9"/>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中小企业推 广基金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香港中小企 业市场推广</w:t>
      </w:r>
      <w:r>
        <w:rPr>
          <w:spacing w:val="73"/>
        </w:rPr>
        <w:t> </w:t>
      </w:r>
      <w:r>
        <w:rPr/>
        <w:t>补助</w:t>
      </w:r>
      <w:r>
        <w:rPr/>
        <w:t> 基金组</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720" w:val="left" w:leader="none"/>
        </w:tabs>
        <w:spacing w:line="86" w:lineRule="exact"/>
        <w:ind w:left="1244" w:right="0"/>
        <w:jc w:val="left"/>
      </w:pPr>
      <w:r>
        <w:rPr/>
        <w:t>否</w:t>
        <w:tab/>
        <w:t>否</w:t>
        <w:tab/>
      </w:r>
      <w:r>
        <w:rPr>
          <w:rFonts w:ascii="Times New Roman" w:hAnsi="Times New Roman" w:cs="Times New Roman" w:eastAsia="Times New Roman" w:hint="default"/>
        </w:rPr>
        <w:t>16,629.60</w:t>
      </w:r>
      <w:r>
        <w:rPr>
          <w:rFonts w:ascii="Times New Roman" w:hAnsi="Times New Roman" w:cs="Times New Roman" w:eastAsia="Times New Roman" w:hint="default"/>
          <w:spacing w:val="8"/>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pStyle w:val="BodyText"/>
        <w:spacing w:line="240" w:lineRule="auto" w:before="121"/>
        <w:ind w:left="181" w:right="-20"/>
        <w:jc w:val="left"/>
      </w:pPr>
      <w:r>
        <w:rPr/>
        <w:t>省级专利资</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深圳财政局、</w:t>
      </w:r>
    </w:p>
    <w:p>
      <w:pPr>
        <w:pStyle w:val="BodyText"/>
        <w:spacing w:line="196" w:lineRule="exact"/>
        <w:ind w:left="0" w:right="0"/>
        <w:jc w:val="right"/>
      </w:pPr>
      <w:r>
        <w:rPr/>
        <w:t>补助</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809" w:val="left" w:leader="none"/>
        </w:tabs>
        <w:spacing w:line="135" w:lineRule="exact"/>
        <w:ind w:left="1244" w:right="0"/>
        <w:jc w:val="left"/>
      </w:pPr>
      <w:r>
        <w:rPr/>
        <w:pict>
          <v:shape style="position:absolute;margin-left:56.639999pt;margin-top:4.765652pt;width:372.2pt;height:112.2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1064"/>
                    <w:gridCol w:w="1063"/>
                    <w:gridCol w:w="1061"/>
                    <w:gridCol w:w="1064"/>
                    <w:gridCol w:w="1063"/>
                  </w:tblGrid>
                  <w:tr>
                    <w:trPr>
                      <w:trHeight w:val="606" w:hRule="exact"/>
                    </w:trPr>
                    <w:tc>
                      <w:tcPr>
                        <w:tcW w:w="1066"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四川财政局</w:t>
                        </w:r>
                      </w:p>
                    </w:tc>
                    <w:tc>
                      <w:tcPr>
                        <w:tcW w:w="1064"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nil" w:sz="6" w:space="0" w:color="auto"/>
                          <w:bottom w:val="single" w:sz="4" w:space="0" w:color="000000"/>
                          <w:right w:val="nil" w:sz="6" w:space="0" w:color="auto"/>
                        </w:tcBorders>
                      </w:tcPr>
                      <w:p>
                        <w:pPr/>
                      </w:p>
                    </w:tc>
                    <w:tc>
                      <w:tcPr>
                        <w:tcW w:w="1064" w:type="dxa"/>
                        <w:tcBorders>
                          <w:top w:val="nil" w:sz="6" w:space="0" w:color="auto"/>
                          <w:left w:val="nil" w:sz="6" w:space="0" w:color="auto"/>
                          <w:bottom w:val="single" w:sz="4" w:space="0" w:color="000000"/>
                          <w:right w:val="nil" w:sz="6" w:space="0" w:color="auto"/>
                        </w:tcBorders>
                      </w:tcPr>
                      <w:p>
                        <w:pPr/>
                      </w:p>
                    </w:tc>
                    <w:tc>
                      <w:tcPr>
                        <w:tcW w:w="1063" w:type="dxa"/>
                        <w:vMerge w:val="restart"/>
                        <w:tcBorders>
                          <w:top w:val="nil" w:sz="6" w:space="0" w:color="auto"/>
                          <w:left w:val="nil" w:sz="6" w:space="0" w:color="auto"/>
                          <w:right w:val="nil" w:sz="6" w:space="0" w:color="auto"/>
                        </w:tcBorders>
                      </w:tcPr>
                      <w:p>
                        <w:pPr/>
                      </w:p>
                    </w:tc>
                  </w:tr>
                  <w:tr>
                    <w:trPr>
                      <w:trHeight w:val="355" w:hRule="exact"/>
                    </w:trPr>
                    <w:tc>
                      <w:tcPr>
                        <w:tcW w:w="1066"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1" w:type="dxa"/>
                        <w:tcBorders>
                          <w:top w:val="single" w:sz="4" w:space="0" w:color="000000"/>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政府招商引</w:t>
                        </w:r>
                      </w:p>
                    </w:tc>
                    <w:tc>
                      <w:tcPr>
                        <w:tcW w:w="1061"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62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税局退税款</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四川财政局</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32"/>
                          <w:jc w:val="left"/>
                          <w:rPr>
                            <w:rFonts w:ascii="宋体" w:hAnsi="宋体" w:cs="宋体" w:eastAsia="宋体" w:hint="default"/>
                            <w:sz w:val="18"/>
                            <w:szCs w:val="18"/>
                          </w:rPr>
                        </w:pPr>
                        <w:r>
                          <w:rPr>
                            <w:rFonts w:ascii="宋体" w:hAnsi="宋体" w:cs="宋体" w:eastAsia="宋体" w:hint="default"/>
                            <w:sz w:val="18"/>
                            <w:szCs w:val="18"/>
                          </w:rPr>
                          <w:t>资等地方性 扶持政策而</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nil" w:sz="6" w:space="0" w:color="auto"/>
                          <w:bottom w:val="nil" w:sz="6" w:space="0" w:color="auto"/>
                          <w:right w:val="nil" w:sz="6" w:space="0" w:color="auto"/>
                        </w:tcBorders>
                      </w:tcPr>
                      <w:p>
                        <w:pPr/>
                      </w:p>
                    </w:tc>
                  </w:tr>
                  <w:tr>
                    <w:trPr>
                      <w:trHeight w:val="346"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否</w:t>
        <w:tab/>
        <w:t>否</w:t>
        <w:tab/>
      </w:r>
      <w:r>
        <w:rPr>
          <w:rFonts w:ascii="Times New Roman" w:hAnsi="Times New Roman" w:cs="Times New Roman" w:eastAsia="Times New Roman" w:hint="default"/>
        </w:rPr>
        <w:t>3,000.00</w:t>
      </w:r>
      <w:r>
        <w:rPr>
          <w:rFonts w:ascii="Times New Roman" w:hAnsi="Times New Roman" w:cs="Times New Roman" w:eastAsia="Times New Roman" w:hint="default"/>
          <w:spacing w:val="10"/>
        </w:rPr>
        <w:t> </w:t>
      </w:r>
      <w:r>
        <w:rPr/>
        <w:t>与收益相关</w:t>
      </w:r>
    </w:p>
    <w:p>
      <w:pPr>
        <w:spacing w:after="0" w:line="135" w:lineRule="exact"/>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0" w:right="355"/>
        <w:jc w:val="right"/>
      </w:pPr>
      <w:r>
        <w:rPr>
          <w:rFonts w:ascii="Times New Roman" w:hAnsi="Times New Roman" w:cs="Times New Roman" w:eastAsia="Times New Roman" w:hint="default"/>
        </w:rPr>
        <w:t>2,570,687.38</w:t>
      </w:r>
      <w:r>
        <w:rPr>
          <w:rFonts w:ascii="Times New Roman" w:hAnsi="Times New Roman" w:cs="Times New Roman" w:eastAsia="Times New Roman" w:hint="default"/>
          <w:spacing w:val="8"/>
        </w:rPr>
        <w:t> </w:t>
      </w:r>
      <w:r>
        <w:rPr/>
        <w:t>与收益相关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980" w:right="980"/>
        </w:sectPr>
      </w:pPr>
    </w:p>
    <w:p>
      <w:pPr>
        <w:pStyle w:val="BodyText"/>
        <w:spacing w:line="316" w:lineRule="auto" w:before="44"/>
        <w:ind w:left="181" w:right="0"/>
        <w:jc w:val="both"/>
      </w:pPr>
      <w:r>
        <w:rPr/>
        <w:t>深圳家居产 品创意设计 工程实验室 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pStyle w:val="BodyText"/>
        <w:spacing w:line="240" w:lineRule="auto"/>
        <w:ind w:left="125" w:right="-19"/>
        <w:jc w:val="left"/>
      </w:pPr>
      <w:r>
        <w:rPr/>
        <w:t>深圳财政局</w:t>
      </w:r>
      <w:r>
        <w:rPr>
          <w:spacing w:val="73"/>
        </w:rPr>
        <w:t> </w:t>
      </w:r>
      <w:r>
        <w:rPr/>
        <w:t>补助</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629" w:val="left" w:leader="none"/>
        </w:tabs>
        <w:spacing w:line="88" w:lineRule="exact"/>
        <w:ind w:left="1244" w:right="0"/>
        <w:jc w:val="left"/>
      </w:pPr>
      <w:r>
        <w:rPr/>
        <w:t>否</w:t>
        <w:tab/>
        <w:t>否</w:t>
        <w:tab/>
      </w:r>
      <w:r>
        <w:rPr>
          <w:rFonts w:ascii="Times New Roman" w:hAnsi="Times New Roman" w:cs="Times New Roman" w:eastAsia="Times New Roman" w:hint="default"/>
        </w:rPr>
        <w:t>360,174.09</w:t>
      </w:r>
      <w:r>
        <w:rPr>
          <w:rFonts w:ascii="Times New Roman" w:hAnsi="Times New Roman" w:cs="Times New Roman" w:eastAsia="Times New Roman" w:hint="default"/>
          <w:spacing w:val="9"/>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4"/>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年度市 长质量奖奖 金</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77" w:right="-20"/>
        <w:jc w:val="left"/>
      </w:pPr>
      <w:r>
        <w:rPr/>
        <w:t>深圳市市场 和质量监督</w:t>
      </w:r>
      <w:r>
        <w:rPr>
          <w:spacing w:val="73"/>
        </w:rPr>
        <w:t> </w:t>
      </w:r>
      <w:r>
        <w:rPr/>
        <w:t>奖励</w:t>
      </w:r>
      <w:r>
        <w:rPr/>
        <w:t> 管理委员会</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500,000.00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0"/>
        <w:jc w:val="both"/>
      </w:pPr>
      <w:r>
        <w:rPr/>
        <w:t>国内发明专 利和优势企 业资助奖励 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光明新区发</w:t>
      </w:r>
    </w:p>
    <w:p>
      <w:pPr>
        <w:pStyle w:val="BodyText"/>
        <w:spacing w:line="155" w:lineRule="exact"/>
        <w:ind w:left="0" w:right="0"/>
        <w:jc w:val="right"/>
      </w:pPr>
      <w:r>
        <w:rPr/>
        <w:t>奖励</w:t>
      </w:r>
    </w:p>
    <w:p>
      <w:pPr>
        <w:pStyle w:val="BodyText"/>
        <w:spacing w:line="195" w:lineRule="exact"/>
        <w:ind w:left="125" w:right="-19"/>
        <w:jc w:val="left"/>
      </w:pPr>
      <w:r>
        <w:rPr/>
        <w:t>展和财政局</w:t>
      </w:r>
    </w:p>
    <w:p>
      <w:pPr>
        <w:pStyle w:val="BodyText"/>
        <w:spacing w:line="310" w:lineRule="exact" w:before="6"/>
        <w:ind w:left="181" w:right="5472"/>
        <w:jc w:val="left"/>
      </w:pPr>
      <w:r>
        <w:rPr/>
        <w:br w:type="column"/>
      </w:r>
      <w:r>
        <w:rPr/>
        <w:t>因研究开发、 技术更新及</w:t>
      </w:r>
    </w:p>
    <w:p>
      <w:pPr>
        <w:pStyle w:val="BodyText"/>
        <w:tabs>
          <w:tab w:pos="2307" w:val="left" w:leader="none"/>
          <w:tab w:pos="4720" w:val="left" w:leader="none"/>
        </w:tabs>
        <w:spacing w:line="88" w:lineRule="exact"/>
        <w:ind w:left="1244" w:right="0"/>
        <w:jc w:val="left"/>
      </w:pPr>
      <w:r>
        <w:rPr/>
        <w:t>否</w:t>
        <w:tab/>
        <w:t>否</w:t>
        <w:tab/>
      </w:r>
      <w:r>
        <w:rPr>
          <w:rFonts w:ascii="Times New Roman" w:hAnsi="Times New Roman" w:cs="Times New Roman" w:eastAsia="Times New Roman" w:hint="default"/>
        </w:rPr>
        <w:t>60,000.00</w:t>
      </w:r>
      <w:r>
        <w:rPr>
          <w:rFonts w:ascii="Times New Roman" w:hAnsi="Times New Roman" w:cs="Times New Roman" w:eastAsia="Times New Roman" w:hint="default"/>
          <w:spacing w:val="8"/>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4"/>
        <w:rPr>
          <w:rFonts w:ascii="宋体" w:hAnsi="宋体" w:cs="宋体" w:eastAsia="宋体" w:hint="default"/>
          <w:sz w:val="20"/>
          <w:szCs w:val="20"/>
        </w:rPr>
      </w:pPr>
    </w:p>
    <w:p>
      <w:pPr>
        <w:pStyle w:val="BodyText"/>
        <w:spacing w:line="309" w:lineRule="auto"/>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年度两 化融合项目 资助款</w:t>
      </w:r>
    </w:p>
    <w:p>
      <w:pPr>
        <w:pStyle w:val="BodyText"/>
        <w:spacing w:line="310" w:lineRule="atLeast" w:before="35"/>
        <w:ind w:left="77" w:right="503"/>
        <w:jc w:val="left"/>
      </w:pPr>
      <w:r>
        <w:rPr/>
        <w:br w:type="column"/>
      </w:r>
      <w:r>
        <w:rPr/>
        <w:t>深圳市深圳 市经济贸易</w:t>
      </w:r>
    </w:p>
    <w:p>
      <w:pPr>
        <w:pStyle w:val="BodyText"/>
        <w:spacing w:line="116" w:lineRule="exact"/>
        <w:ind w:left="0" w:right="0"/>
        <w:jc w:val="right"/>
      </w:pPr>
      <w:r>
        <w:rPr/>
        <w:t>补助</w:t>
      </w:r>
    </w:p>
    <w:p>
      <w:pPr>
        <w:pStyle w:val="BodyText"/>
        <w:spacing w:line="196" w:lineRule="exact"/>
        <w:ind w:left="77" w:right="-20"/>
        <w:jc w:val="left"/>
      </w:pPr>
      <w:r>
        <w:rPr/>
        <w:t>和信息化委</w:t>
      </w:r>
    </w:p>
    <w:p>
      <w:pPr>
        <w:pStyle w:val="BodyText"/>
        <w:spacing w:line="240" w:lineRule="auto" w:before="76"/>
        <w:ind w:left="77" w:right="-20"/>
        <w:jc w:val="left"/>
      </w:pPr>
      <w:r>
        <w:rPr/>
        <w:t>员会</w:t>
      </w:r>
    </w:p>
    <w:p>
      <w:pPr>
        <w:pStyle w:val="BodyText"/>
        <w:spacing w:line="310" w:lineRule="atLeast" w:before="35"/>
        <w:ind w:left="181" w:right="5472"/>
        <w:jc w:val="left"/>
      </w:pPr>
      <w:r>
        <w:rPr/>
        <w:br w:type="column"/>
      </w:r>
      <w:r>
        <w:rPr/>
        <w:t>因研究开发、 技术更新及</w:t>
      </w:r>
    </w:p>
    <w:p>
      <w:pPr>
        <w:pStyle w:val="BodyText"/>
        <w:tabs>
          <w:tab w:pos="2307"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200,000.00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240" w:lineRule="auto" w:before="44"/>
        <w:ind w:left="181" w:right="-18"/>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年光明</w:t>
      </w:r>
    </w:p>
    <w:p>
      <w:pPr>
        <w:spacing w:line="240" w:lineRule="auto" w:before="9"/>
        <w:rPr>
          <w:rFonts w:ascii="宋体" w:hAnsi="宋体" w:cs="宋体" w:eastAsia="宋体" w:hint="default"/>
          <w:sz w:val="13"/>
          <w:szCs w:val="13"/>
        </w:rPr>
      </w:pPr>
      <w:r>
        <w:rPr/>
        <w:br w:type="column"/>
      </w:r>
      <w:r>
        <w:rPr>
          <w:rFonts w:ascii="宋体"/>
          <w:sz w:val="13"/>
        </w:rPr>
      </w:r>
    </w:p>
    <w:p>
      <w:pPr>
        <w:pStyle w:val="BodyText"/>
        <w:spacing w:line="212" w:lineRule="exact"/>
        <w:ind w:left="77" w:right="-20"/>
        <w:jc w:val="left"/>
      </w:pPr>
      <w:r>
        <w:rPr/>
        <w:t>光明新区发</w:t>
      </w:r>
    </w:p>
    <w:p>
      <w:pPr>
        <w:pStyle w:val="BodyText"/>
        <w:spacing w:line="240" w:lineRule="auto" w:before="44"/>
        <w:ind w:left="181" w:right="0"/>
        <w:jc w:val="left"/>
      </w:pPr>
      <w:r>
        <w:rPr/>
        <w:br w:type="column"/>
      </w:r>
      <w:r>
        <w:rPr/>
        <w:t>因研究开发、</w:t>
      </w:r>
    </w:p>
    <w:p>
      <w:pPr>
        <w:spacing w:after="0" w:line="240" w:lineRule="auto"/>
        <w:jc w:val="left"/>
        <w:sectPr>
          <w:type w:val="continuous"/>
          <w:pgSz w:w="11910" w:h="16840"/>
          <w:pgMar w:top="1060" w:bottom="1160" w:left="980" w:right="980"/>
          <w:cols w:num="3" w:equalWidth="0">
            <w:col w:w="1131" w:space="40"/>
            <w:col w:w="978" w:space="1045"/>
            <w:col w:w="6756"/>
          </w:cols>
        </w:sectPr>
      </w:pPr>
    </w:p>
    <w:p>
      <w:pPr>
        <w:pStyle w:val="BodyText"/>
        <w:spacing w:line="199" w:lineRule="exact"/>
        <w:ind w:left="181" w:right="-20"/>
        <w:jc w:val="left"/>
      </w:pPr>
      <w:r>
        <w:rPr/>
        <w:pict>
          <v:group style="position:absolute;margin-left:56.400002pt;margin-top:71.759979pt;width:479.05pt;height:683.65pt;mso-position-horizontal-relative:page;mso-position-vertical-relative:page;z-index:-1118344" coordorigin="1128,1435" coordsize="9581,13673">
            <v:group style="position:absolute;left:5394;top:1450;width:1054;height:625" coordorigin="5394,1450" coordsize="1054,625">
              <v:shape style="position:absolute;left:5394;top:1450;width:1054;height:625" coordorigin="5394,1450" coordsize="1054,625" path="m5394,2074l6447,2074,6447,1450,5394,1450,5394,2074xe" filled="true" fillcolor="#ffffff" stroked="false">
                <v:path arrowok="t"/>
                <v:fill type="solid"/>
              </v:shape>
            </v:group>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5;height:2" coordorigin="6455,1445" coordsize="1055,2">
              <v:shape style="position:absolute;left:6455;top:1445;width:1055;height:2" coordorigin="6455,1445" coordsize="1055,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3101;width:1054;height:468" coordorigin="5394,3101" coordsize="1054,468">
              <v:shape style="position:absolute;left:5394;top:3101;width:1054;height:468" coordorigin="5394,3101" coordsize="1054,468" path="m5394,3569l6447,3569,6447,3101,5394,3101,5394,3569xe" filled="true" fillcolor="#ffffff" stroked="false">
                <v:path arrowok="t"/>
                <v:fill type="solid"/>
              </v:shape>
            </v:group>
            <v:group style="position:absolute;left:1138;top:3094;width:1057;height:2" coordorigin="1138,3094" coordsize="1057,2">
              <v:shape style="position:absolute;left:1138;top:3094;width:1057;height:2" coordorigin="1138,3094" coordsize="1057,0" path="m1138,3094l2194,3094e" filled="false" stroked="true" strokeweight=".48pt" strokecolor="#000000">
                <v:path arrowok="t"/>
              </v:shape>
            </v:group>
            <v:group style="position:absolute;left:2204;top:3094;width:1054;height:2" coordorigin="2204,3094" coordsize="1054,2">
              <v:shape style="position:absolute;left:2204;top:3094;width:1054;height:2" coordorigin="2204,3094" coordsize="1054,0" path="m2204,3094l3257,3094e" filled="false" stroked="true" strokeweight=".48pt" strokecolor="#000000">
                <v:path arrowok="t"/>
              </v:shape>
            </v:group>
            <v:group style="position:absolute;left:3267;top:3094;width:1055;height:2" coordorigin="3267,3094" coordsize="1055,2">
              <v:shape style="position:absolute;left:3267;top:3094;width:1055;height:2" coordorigin="3267,3094" coordsize="1055,0" path="m3267,3094l4321,3094e" filled="false" stroked="true" strokeweight=".48pt" strokecolor="#000000">
                <v:path arrowok="t"/>
              </v:shape>
            </v:group>
            <v:group style="position:absolute;left:4331;top:3094;width:1054;height:2" coordorigin="4331,3094" coordsize="1054,2">
              <v:shape style="position:absolute;left:4331;top:3094;width:1054;height:2" coordorigin="4331,3094" coordsize="1054,0" path="m4331,3094l5384,3094e" filled="false" stroked="true" strokeweight=".48pt" strokecolor="#000000">
                <v:path arrowok="t"/>
              </v:shape>
            </v:group>
            <v:group style="position:absolute;left:5394;top:3094;width:1052;height:2" coordorigin="5394,3094" coordsize="1052,2">
              <v:shape style="position:absolute;left:5394;top:3094;width:1052;height:2" coordorigin="5394,3094" coordsize="1052,0" path="m5394,3094l6445,3094e" filled="false" stroked="true" strokeweight=".48pt" strokecolor="#000000">
                <v:path arrowok="t"/>
              </v:shape>
            </v:group>
            <v:group style="position:absolute;left:6455;top:3094;width:1055;height:2" coordorigin="6455,3094" coordsize="1055,2">
              <v:shape style="position:absolute;left:6455;top:3094;width:1055;height:2" coordorigin="6455,3094" coordsize="1055,0" path="m6455,3094l7509,3094e" filled="false" stroked="true" strokeweight=".48pt" strokecolor="#000000">
                <v:path arrowok="t"/>
              </v:shape>
            </v:group>
            <v:group style="position:absolute;left:7518;top:3094;width:1054;height:2" coordorigin="7518,3094" coordsize="1054,2">
              <v:shape style="position:absolute;left:7518;top:3094;width:1054;height:2" coordorigin="7518,3094" coordsize="1054,0" path="m7518,3094l8572,3094e" filled="false" stroked="true" strokeweight=".48pt" strokecolor="#000000">
                <v:path arrowok="t"/>
              </v:shape>
            </v:group>
            <v:group style="position:absolute;left:8581;top:3094;width:1055;height:2" coordorigin="8581,3094" coordsize="1055,2">
              <v:shape style="position:absolute;left:8581;top:3094;width:1055;height:2" coordorigin="8581,3094" coordsize="1055,0" path="m8581,3094l9635,3094e" filled="false" stroked="true" strokeweight=".48pt" strokecolor="#000000">
                <v:path arrowok="t"/>
              </v:shape>
            </v:group>
            <v:group style="position:absolute;left:9645;top:3094;width:1054;height:2" coordorigin="9645,3094" coordsize="1054,2">
              <v:shape style="position:absolute;left:9645;top:3094;width:1054;height:2" coordorigin="9645,3094" coordsize="1054,0" path="m9645,3094l10699,3094e" filled="false" stroked="true" strokeweight=".48pt" strokecolor="#000000">
                <v:path arrowok="t"/>
              </v:shape>
            </v:group>
            <v:group style="position:absolute;left:5394;top:4438;width:1054;height:468" coordorigin="5394,4438" coordsize="1054,468">
              <v:shape style="position:absolute;left:5394;top:4438;width:1054;height:468" coordorigin="5394,4438" coordsize="1054,468" path="m5394,4906l6447,4906,6447,4438,5394,4438,5394,4906xe" filled="true" fillcolor="#ffffff" stroked="false">
                <v:path arrowok="t"/>
                <v:fill type="solid"/>
              </v:shape>
            </v:group>
            <v:group style="position:absolute;left:1138;top:4433;width:1057;height:2" coordorigin="1138,4433" coordsize="1057,2">
              <v:shape style="position:absolute;left:1138;top:4433;width:1057;height:2" coordorigin="1138,4433" coordsize="1057,0" path="m1138,4433l2194,4433e" filled="false" stroked="true" strokeweight=".48001pt" strokecolor="#000000">
                <v:path arrowok="t"/>
              </v:shape>
            </v:group>
            <v:group style="position:absolute;left:2204;top:4433;width:1054;height:2" coordorigin="2204,4433" coordsize="1054,2">
              <v:shape style="position:absolute;left:2204;top:4433;width:1054;height:2" coordorigin="2204,4433" coordsize="1054,0" path="m2204,4433l3257,4433e" filled="false" stroked="true" strokeweight=".48001pt" strokecolor="#000000">
                <v:path arrowok="t"/>
              </v:shape>
            </v:group>
            <v:group style="position:absolute;left:3267;top:4433;width:1055;height:2" coordorigin="3267,4433" coordsize="1055,2">
              <v:shape style="position:absolute;left:3267;top:4433;width:1055;height:2" coordorigin="3267,4433" coordsize="1055,0" path="m3267,4433l4321,4433e" filled="false" stroked="true" strokeweight=".48001pt" strokecolor="#000000">
                <v:path arrowok="t"/>
              </v:shape>
            </v:group>
            <v:group style="position:absolute;left:4331;top:4433;width:1054;height:2" coordorigin="4331,4433" coordsize="1054,2">
              <v:shape style="position:absolute;left:4331;top:4433;width:1054;height:2" coordorigin="4331,4433" coordsize="1054,0" path="m4331,4433l5384,4433e" filled="false" stroked="true" strokeweight=".48001pt" strokecolor="#000000">
                <v:path arrowok="t"/>
              </v:shape>
            </v:group>
            <v:group style="position:absolute;left:5394;top:4433;width:1052;height:2" coordorigin="5394,4433" coordsize="1052,2">
              <v:shape style="position:absolute;left:5394;top:4433;width:1052;height:2" coordorigin="5394,4433" coordsize="1052,0" path="m5394,4433l6445,4433e" filled="false" stroked="true" strokeweight=".48001pt" strokecolor="#000000">
                <v:path arrowok="t"/>
              </v:shape>
            </v:group>
            <v:group style="position:absolute;left:6455;top:4433;width:1055;height:2" coordorigin="6455,4433" coordsize="1055,2">
              <v:shape style="position:absolute;left:6455;top:4433;width:1055;height:2" coordorigin="6455,4433" coordsize="1055,0" path="m6455,4433l7509,4433e" filled="false" stroked="true" strokeweight=".48001pt" strokecolor="#000000">
                <v:path arrowok="t"/>
              </v:shape>
            </v:group>
            <v:group style="position:absolute;left:7518;top:4433;width:1054;height:2" coordorigin="7518,4433" coordsize="1054,2">
              <v:shape style="position:absolute;left:7518;top:4433;width:1054;height:2" coordorigin="7518,4433" coordsize="1054,0" path="m7518,4433l8572,4433e" filled="false" stroked="true" strokeweight=".48001pt" strokecolor="#000000">
                <v:path arrowok="t"/>
              </v:shape>
            </v:group>
            <v:group style="position:absolute;left:8581;top:4433;width:1055;height:2" coordorigin="8581,4433" coordsize="1055,2">
              <v:shape style="position:absolute;left:8581;top:4433;width:1055;height:2" coordorigin="8581,4433" coordsize="1055,0" path="m8581,4433l9635,4433e" filled="false" stroked="true" strokeweight=".48001pt" strokecolor="#000000">
                <v:path arrowok="t"/>
              </v:shape>
            </v:group>
            <v:group style="position:absolute;left:9645;top:4433;width:1054;height:2" coordorigin="9645,4433" coordsize="1054,2">
              <v:shape style="position:absolute;left:9645;top:4433;width:1054;height:2" coordorigin="9645,4433" coordsize="1054,0" path="m9645,4433l10699,4433e" filled="false" stroked="true" strokeweight=".48001pt" strokecolor="#000000">
                <v:path arrowok="t"/>
              </v:shape>
            </v:group>
            <v:group style="position:absolute;left:3267;top:5778;width:1055;height:468" coordorigin="3267,5778" coordsize="1055,468">
              <v:shape style="position:absolute;left:3267;top:5778;width:1055;height:468" coordorigin="3267,5778" coordsize="1055,468" path="m3267,6246l4321,6246,4321,5778,3267,5778,3267,6246xe" filled="true" fillcolor="#ffffff" stroked="false">
                <v:path arrowok="t"/>
                <v:fill type="solid"/>
              </v:shape>
            </v:group>
            <v:group style="position:absolute;left:3279;top:6246;width:2;height:392" coordorigin="3279,6246" coordsize="2,392">
              <v:shape style="position:absolute;left:3279;top:6246;width:2;height:392" coordorigin="3279,6246" coordsize="0,392" path="m3279,6246l3279,6637e" filled="false" stroked="true" strokeweight="1.2pt" strokecolor="#ffffff">
                <v:path arrowok="t"/>
              </v:shape>
            </v:group>
            <v:group style="position:absolute;left:1138;top:5771;width:1057;height:2" coordorigin="1138,5771" coordsize="1057,2">
              <v:shape style="position:absolute;left:1138;top:5771;width:1057;height:2" coordorigin="1138,5771" coordsize="1057,0" path="m1138,5771l2194,5771e" filled="false" stroked="true" strokeweight=".48001pt" strokecolor="#000000">
                <v:path arrowok="t"/>
              </v:shape>
            </v:group>
            <v:group style="position:absolute;left:2204;top:5771;width:1054;height:2" coordorigin="2204,5771" coordsize="1054,2">
              <v:shape style="position:absolute;left:2204;top:5771;width:1054;height:2" coordorigin="2204,5771" coordsize="1054,0" path="m2204,5771l3257,5771e" filled="false" stroked="true" strokeweight=".48001pt" strokecolor="#000000">
                <v:path arrowok="t"/>
              </v:shape>
            </v:group>
            <v:group style="position:absolute;left:3267;top:5771;width:1055;height:2" coordorigin="3267,5771" coordsize="1055,2">
              <v:shape style="position:absolute;left:3267;top:5771;width:1055;height:2" coordorigin="3267,5771" coordsize="1055,0" path="m3267,5771l4321,5771e" filled="false" stroked="true" strokeweight=".48001pt" strokecolor="#000000">
                <v:path arrowok="t"/>
              </v:shape>
            </v:group>
            <v:group style="position:absolute;left:5394;top:5778;width:1054;height:468" coordorigin="5394,5778" coordsize="1054,468">
              <v:shape style="position:absolute;left:5394;top:5778;width:1054;height:468" coordorigin="5394,5778" coordsize="1054,468" path="m5394,6246l6447,6246,6447,5778,5394,5778,5394,6246xe" filled="true" fillcolor="#ffffff" stroked="false">
                <v:path arrowok="t"/>
                <v:fill type="solid"/>
              </v:shape>
            </v:group>
            <v:group style="position:absolute;left:4331;top:5771;width:1054;height:2" coordorigin="4331,5771" coordsize="1054,2">
              <v:shape style="position:absolute;left:4331;top:5771;width:1054;height:2" coordorigin="4331,5771" coordsize="1054,0" path="m4331,5771l5384,5771e" filled="false" stroked="true" strokeweight=".48001pt" strokecolor="#000000">
                <v:path arrowok="t"/>
              </v:shape>
            </v:group>
            <v:group style="position:absolute;left:5394;top:5771;width:1052;height:2" coordorigin="5394,5771" coordsize="1052,2">
              <v:shape style="position:absolute;left:5394;top:5771;width:1052;height:2" coordorigin="5394,5771" coordsize="1052,0" path="m5394,5771l6445,5771e" filled="false" stroked="true" strokeweight=".48001pt" strokecolor="#000000">
                <v:path arrowok="t"/>
              </v:shape>
            </v:group>
            <v:group style="position:absolute;left:6455;top:5771;width:1055;height:2" coordorigin="6455,5771" coordsize="1055,2">
              <v:shape style="position:absolute;left:6455;top:5771;width:1055;height:2" coordorigin="6455,5771" coordsize="1055,0" path="m6455,5771l7509,5771e" filled="false" stroked="true" strokeweight=".48001pt" strokecolor="#000000">
                <v:path arrowok="t"/>
              </v:shape>
            </v:group>
            <v:group style="position:absolute;left:7518;top:5771;width:1054;height:2" coordorigin="7518,5771" coordsize="1054,2">
              <v:shape style="position:absolute;left:7518;top:5771;width:1054;height:2" coordorigin="7518,5771" coordsize="1054,0" path="m7518,5771l8572,5771e" filled="false" stroked="true" strokeweight=".48001pt" strokecolor="#000000">
                <v:path arrowok="t"/>
              </v:shape>
            </v:group>
            <v:group style="position:absolute;left:8581;top:5771;width:1055;height:2" coordorigin="8581,5771" coordsize="1055,2">
              <v:shape style="position:absolute;left:8581;top:5771;width:1055;height:2" coordorigin="8581,5771" coordsize="1055,0" path="m8581,5771l9635,5771e" filled="false" stroked="true" strokeweight=".48001pt" strokecolor="#000000">
                <v:path arrowok="t"/>
              </v:shape>
            </v:group>
            <v:group style="position:absolute;left:9645;top:5771;width:1054;height:2" coordorigin="9645,5771" coordsize="1054,2">
              <v:shape style="position:absolute;left:9645;top:5771;width:1054;height:2" coordorigin="9645,5771" coordsize="1054,0" path="m9645,5771l10699,5771e" filled="false" stroked="true" strokeweight=".48001pt" strokecolor="#000000">
                <v:path arrowok="t"/>
              </v:shape>
            </v:group>
            <v:group style="position:absolute;left:5394;top:8766;width:1054;height:468" coordorigin="5394,8766" coordsize="1054,468">
              <v:shape style="position:absolute;left:5394;top:8766;width:1054;height:468" coordorigin="5394,8766" coordsize="1054,468" path="m5394,9234l6447,9234,6447,8766,5394,8766,5394,9234xe" filled="true" fillcolor="#ffffff" stroked="false">
                <v:path arrowok="t"/>
                <v:fill type="solid"/>
              </v:shape>
            </v:group>
            <v:group style="position:absolute;left:1138;top:8759;width:1057;height:2" coordorigin="1138,8759" coordsize="1057,2">
              <v:shape style="position:absolute;left:1138;top:8759;width:1057;height:2" coordorigin="1138,8759" coordsize="1057,0" path="m1138,8759l2194,8759e" filled="false" stroked="true" strokeweight=".47998pt" strokecolor="#000000">
                <v:path arrowok="t"/>
              </v:shape>
            </v:group>
            <v:group style="position:absolute;left:2204;top:8759;width:1054;height:2" coordorigin="2204,8759" coordsize="1054,2">
              <v:shape style="position:absolute;left:2204;top:8759;width:1054;height:2" coordorigin="2204,8759" coordsize="1054,0" path="m2204,8759l3257,8759e" filled="false" stroked="true" strokeweight=".47998pt" strokecolor="#000000">
                <v:path arrowok="t"/>
              </v:shape>
            </v:group>
            <v:group style="position:absolute;left:3267;top:8759;width:1055;height:2" coordorigin="3267,8759" coordsize="1055,2">
              <v:shape style="position:absolute;left:3267;top:8759;width:1055;height:2" coordorigin="3267,8759" coordsize="1055,0" path="m3267,8759l4321,8759e" filled="false" stroked="true" strokeweight=".47998pt" strokecolor="#000000">
                <v:path arrowok="t"/>
              </v:shape>
            </v:group>
            <v:group style="position:absolute;left:4331;top:8759;width:1054;height:2" coordorigin="4331,8759" coordsize="1054,2">
              <v:shape style="position:absolute;left:4331;top:8759;width:1054;height:2" coordorigin="4331,8759" coordsize="1054,0" path="m4331,8759l5384,8759e" filled="false" stroked="true" strokeweight=".47998pt" strokecolor="#000000">
                <v:path arrowok="t"/>
              </v:shape>
            </v:group>
            <v:group style="position:absolute;left:5394;top:8759;width:1052;height:2" coordorigin="5394,8759" coordsize="1052,2">
              <v:shape style="position:absolute;left:5394;top:8759;width:1052;height:2" coordorigin="5394,8759" coordsize="1052,0" path="m5394,8759l6445,8759e" filled="false" stroked="true" strokeweight=".47998pt" strokecolor="#000000">
                <v:path arrowok="t"/>
              </v:shape>
            </v:group>
            <v:group style="position:absolute;left:6455;top:8759;width:1055;height:2" coordorigin="6455,8759" coordsize="1055,2">
              <v:shape style="position:absolute;left:6455;top:8759;width:1055;height:2" coordorigin="6455,8759" coordsize="1055,0" path="m6455,8759l7509,8759e" filled="false" stroked="true" strokeweight=".47998pt" strokecolor="#000000">
                <v:path arrowok="t"/>
              </v:shape>
            </v:group>
            <v:group style="position:absolute;left:7518;top:8759;width:1054;height:2" coordorigin="7518,8759" coordsize="1054,2">
              <v:shape style="position:absolute;left:7518;top:8759;width:1054;height:2" coordorigin="7518,8759" coordsize="1054,0" path="m7518,8759l8572,8759e" filled="false" stroked="true" strokeweight=".47998pt" strokecolor="#000000">
                <v:path arrowok="t"/>
              </v:shape>
            </v:group>
            <v:group style="position:absolute;left:8581;top:8759;width:1055;height:2" coordorigin="8581,8759" coordsize="1055,2">
              <v:shape style="position:absolute;left:8581;top:8759;width:1055;height:2" coordorigin="8581,8759" coordsize="1055,0" path="m8581,8759l9635,8759e" filled="false" stroked="true" strokeweight=".47998pt" strokecolor="#000000">
                <v:path arrowok="t"/>
              </v:shape>
            </v:group>
            <v:group style="position:absolute;left:9645;top:8759;width:1054;height:2" coordorigin="9645,8759" coordsize="1054,2">
              <v:shape style="position:absolute;left:9645;top:8759;width:1054;height:2" coordorigin="9645,8759" coordsize="1054,0" path="m9645,8759l10699,8759e" filled="false" stroked="true" strokeweight=".47998pt" strokecolor="#000000">
                <v:path arrowok="t"/>
              </v:shape>
            </v:group>
            <v:group style="position:absolute;left:5394;top:10103;width:1054;height:468" coordorigin="5394,10103" coordsize="1054,468">
              <v:shape style="position:absolute;left:5394;top:10103;width:1054;height:468" coordorigin="5394,10103" coordsize="1054,468" path="m5394,10571l6447,10571,6447,10103,5394,10103,5394,10571xe" filled="true" fillcolor="#ffffff" stroked="false">
                <v:path arrowok="t"/>
                <v:fill type="solid"/>
              </v:shape>
            </v:group>
            <v:group style="position:absolute;left:1138;top:10098;width:1057;height:2" coordorigin="1138,10098" coordsize="1057,2">
              <v:shape style="position:absolute;left:1138;top:10098;width:1057;height:2" coordorigin="1138,10098" coordsize="1057,0" path="m1138,10098l2194,10098e" filled="false" stroked="true" strokeweight=".48001pt" strokecolor="#000000">
                <v:path arrowok="t"/>
              </v:shape>
            </v:group>
            <v:group style="position:absolute;left:2204;top:10098;width:1054;height:2" coordorigin="2204,10098" coordsize="1054,2">
              <v:shape style="position:absolute;left:2204;top:10098;width:1054;height:2" coordorigin="2204,10098" coordsize="1054,0" path="m2204,10098l3257,10098e" filled="false" stroked="true" strokeweight=".48001pt" strokecolor="#000000">
                <v:path arrowok="t"/>
              </v:shape>
            </v:group>
            <v:group style="position:absolute;left:3267;top:10098;width:1055;height:2" coordorigin="3267,10098" coordsize="1055,2">
              <v:shape style="position:absolute;left:3267;top:10098;width:1055;height:2" coordorigin="3267,10098" coordsize="1055,0" path="m3267,10098l4321,10098e" filled="false" stroked="true" strokeweight=".48001pt" strokecolor="#000000">
                <v:path arrowok="t"/>
              </v:shape>
            </v:group>
            <v:group style="position:absolute;left:4331;top:10098;width:1054;height:2" coordorigin="4331,10098" coordsize="1054,2">
              <v:shape style="position:absolute;left:4331;top:10098;width:1054;height:2" coordorigin="4331,10098" coordsize="1054,0" path="m4331,10098l5384,10098e" filled="false" stroked="true" strokeweight=".48001pt" strokecolor="#000000">
                <v:path arrowok="t"/>
              </v:shape>
            </v:group>
            <v:group style="position:absolute;left:5394;top:10098;width:1052;height:2" coordorigin="5394,10098" coordsize="1052,2">
              <v:shape style="position:absolute;left:5394;top:10098;width:1052;height:2" coordorigin="5394,10098" coordsize="1052,0" path="m5394,10098l6445,10098e" filled="false" stroked="true" strokeweight=".48001pt" strokecolor="#000000">
                <v:path arrowok="t"/>
              </v:shape>
            </v:group>
            <v:group style="position:absolute;left:6455;top:10098;width:1055;height:2" coordorigin="6455,10098" coordsize="1055,2">
              <v:shape style="position:absolute;left:6455;top:10098;width:1055;height:2" coordorigin="6455,10098" coordsize="1055,0" path="m6455,10098l7509,10098e" filled="false" stroked="true" strokeweight=".48001pt" strokecolor="#000000">
                <v:path arrowok="t"/>
              </v:shape>
            </v:group>
            <v:group style="position:absolute;left:7518;top:10098;width:1054;height:2" coordorigin="7518,10098" coordsize="1054,2">
              <v:shape style="position:absolute;left:7518;top:10098;width:1054;height:2" coordorigin="7518,10098" coordsize="1054,0" path="m7518,10098l8572,10098e" filled="false" stroked="true" strokeweight=".48001pt" strokecolor="#000000">
                <v:path arrowok="t"/>
              </v:shape>
            </v:group>
            <v:group style="position:absolute;left:8581;top:10098;width:1055;height:2" coordorigin="8581,10098" coordsize="1055,2">
              <v:shape style="position:absolute;left:8581;top:10098;width:1055;height:2" coordorigin="8581,10098" coordsize="1055,0" path="m8581,10098l9635,10098e" filled="false" stroked="true" strokeweight=".48001pt" strokecolor="#000000">
                <v:path arrowok="t"/>
              </v:shape>
            </v:group>
            <v:group style="position:absolute;left:9645;top:10098;width:1054;height:2" coordorigin="9645,10098" coordsize="1054,2">
              <v:shape style="position:absolute;left:9645;top:10098;width:1054;height:2" coordorigin="9645,10098" coordsize="1054,0" path="m9645,10098l10699,10098e" filled="false" stroked="true" strokeweight=".48001pt" strokecolor="#000000">
                <v:path arrowok="t"/>
              </v:shape>
            </v:group>
            <v:group style="position:absolute;left:5394;top:11442;width:1054;height:468" coordorigin="5394,11442" coordsize="1054,468">
              <v:shape style="position:absolute;left:5394;top:11442;width:1054;height:468" coordorigin="5394,11442" coordsize="1054,468" path="m5394,11910l6447,11910,6447,11442,5394,11442,5394,11910xe" filled="true" fillcolor="#ffffff" stroked="false">
                <v:path arrowok="t"/>
                <v:fill type="solid"/>
              </v:shape>
            </v:group>
            <v:group style="position:absolute;left:1138;top:11435;width:1057;height:2" coordorigin="1138,11435" coordsize="1057,2">
              <v:shape style="position:absolute;left:1138;top:11435;width:1057;height:2" coordorigin="1138,11435" coordsize="1057,0" path="m1138,11435l2194,11435e" filled="false" stroked="true" strokeweight=".47998pt" strokecolor="#000000">
                <v:path arrowok="t"/>
              </v:shape>
            </v:group>
            <v:group style="position:absolute;left:2204;top:11435;width:1054;height:2" coordorigin="2204,11435" coordsize="1054,2">
              <v:shape style="position:absolute;left:2204;top:11435;width:1054;height:2" coordorigin="2204,11435" coordsize="1054,0" path="m2204,11435l3257,11435e" filled="false" stroked="true" strokeweight=".47998pt" strokecolor="#000000">
                <v:path arrowok="t"/>
              </v:shape>
            </v:group>
            <v:group style="position:absolute;left:3267;top:11435;width:1055;height:2" coordorigin="3267,11435" coordsize="1055,2">
              <v:shape style="position:absolute;left:3267;top:11435;width:1055;height:2" coordorigin="3267,11435" coordsize="1055,0" path="m3267,11435l4321,11435e" filled="false" stroked="true" strokeweight=".47998pt" strokecolor="#000000">
                <v:path arrowok="t"/>
              </v:shape>
            </v:group>
            <v:group style="position:absolute;left:4331;top:11435;width:1054;height:2" coordorigin="4331,11435" coordsize="1054,2">
              <v:shape style="position:absolute;left:4331;top:11435;width:1054;height:2" coordorigin="4331,11435" coordsize="1054,0" path="m4331,11435l5384,11435e" filled="false" stroked="true" strokeweight=".47998pt" strokecolor="#000000">
                <v:path arrowok="t"/>
              </v:shape>
            </v:group>
            <v:group style="position:absolute;left:5394;top:11435;width:1052;height:2" coordorigin="5394,11435" coordsize="1052,2">
              <v:shape style="position:absolute;left:5394;top:11435;width:1052;height:2" coordorigin="5394,11435" coordsize="1052,0" path="m5394,11435l6445,11435e" filled="false" stroked="true" strokeweight=".47998pt" strokecolor="#000000">
                <v:path arrowok="t"/>
              </v:shape>
            </v:group>
            <v:group style="position:absolute;left:6455;top:11435;width:1055;height:2" coordorigin="6455,11435" coordsize="1055,2">
              <v:shape style="position:absolute;left:6455;top:11435;width:1055;height:2" coordorigin="6455,11435" coordsize="1055,0" path="m6455,11435l7509,11435e" filled="false" stroked="true" strokeweight=".47998pt" strokecolor="#000000">
                <v:path arrowok="t"/>
              </v:shape>
            </v:group>
            <v:group style="position:absolute;left:7518;top:11435;width:1054;height:2" coordorigin="7518,11435" coordsize="1054,2">
              <v:shape style="position:absolute;left:7518;top:11435;width:1054;height:2" coordorigin="7518,11435" coordsize="1054,0" path="m7518,11435l8572,11435e" filled="false" stroked="true" strokeweight=".47998pt" strokecolor="#000000">
                <v:path arrowok="t"/>
              </v:shape>
            </v:group>
            <v:group style="position:absolute;left:8581;top:11435;width:1055;height:2" coordorigin="8581,11435" coordsize="1055,2">
              <v:shape style="position:absolute;left:8581;top:11435;width:1055;height:2" coordorigin="8581,11435" coordsize="1055,0" path="m8581,11435l9635,11435e" filled="false" stroked="true" strokeweight=".47998pt" strokecolor="#000000">
                <v:path arrowok="t"/>
              </v:shape>
            </v:group>
            <v:group style="position:absolute;left:9645;top:11435;width:1054;height:2" coordorigin="9645,11435" coordsize="1054,2">
              <v:shape style="position:absolute;left:9645;top:11435;width:1054;height:2" coordorigin="9645,11435" coordsize="1054,0" path="m9645,11435l10699,11435e" filled="false" stroked="true" strokeweight=".47998pt" strokecolor="#000000">
                <v:path arrowok="t"/>
              </v:shape>
            </v:group>
            <v:group style="position:absolute;left:5394;top:12779;width:1054;height:469" coordorigin="5394,12779" coordsize="1054,469">
              <v:shape style="position:absolute;left:5394;top:12779;width:1054;height:469" coordorigin="5394,12779" coordsize="1054,469" path="m5394,13248l6447,13248,6447,12779,5394,12779,5394,13248xe" filled="true" fillcolor="#ffffff" stroked="false">
                <v:path arrowok="t"/>
                <v:fill type="solid"/>
              </v:shape>
            </v:group>
            <v:group style="position:absolute;left:1138;top:12774;width:1057;height:2" coordorigin="1138,12774" coordsize="1057,2">
              <v:shape style="position:absolute;left:1138;top:12774;width:1057;height:2" coordorigin="1138,12774" coordsize="1057,0" path="m1138,12774l2194,12774e" filled="false" stroked="true" strokeweight=".48004pt" strokecolor="#000000">
                <v:path arrowok="t"/>
              </v:shape>
            </v:group>
            <v:group style="position:absolute;left:2204;top:12774;width:1054;height:2" coordorigin="2204,12774" coordsize="1054,2">
              <v:shape style="position:absolute;left:2204;top:12774;width:1054;height:2" coordorigin="2204,12774" coordsize="1054,0" path="m2204,12774l3257,12774e" filled="false" stroked="true" strokeweight=".48004pt" strokecolor="#000000">
                <v:path arrowok="t"/>
              </v:shape>
            </v:group>
            <v:group style="position:absolute;left:3267;top:12774;width:1055;height:2" coordorigin="3267,12774" coordsize="1055,2">
              <v:shape style="position:absolute;left:3267;top:12774;width:1055;height:2" coordorigin="3267,12774" coordsize="1055,0" path="m3267,12774l4321,12774e" filled="false" stroked="true" strokeweight=".48004pt" strokecolor="#000000">
                <v:path arrowok="t"/>
              </v:shape>
            </v:group>
            <v:group style="position:absolute;left:4331;top:12774;width:1054;height:2" coordorigin="4331,12774" coordsize="1054,2">
              <v:shape style="position:absolute;left:4331;top:12774;width:1054;height:2" coordorigin="4331,12774" coordsize="1054,0" path="m4331,12774l5384,12774e" filled="false" stroked="true" strokeweight=".48004pt" strokecolor="#000000">
                <v:path arrowok="t"/>
              </v:shape>
            </v:group>
            <v:group style="position:absolute;left:5394;top:12774;width:1052;height:2" coordorigin="5394,12774" coordsize="1052,2">
              <v:shape style="position:absolute;left:5394;top:12774;width:1052;height:2" coordorigin="5394,12774" coordsize="1052,0" path="m5394,12774l6445,12774e" filled="false" stroked="true" strokeweight=".48004pt" strokecolor="#000000">
                <v:path arrowok="t"/>
              </v:shape>
            </v:group>
            <v:group style="position:absolute;left:6455;top:12774;width:1055;height:2" coordorigin="6455,12774" coordsize="1055,2">
              <v:shape style="position:absolute;left:6455;top:12774;width:1055;height:2" coordorigin="6455,12774" coordsize="1055,0" path="m6455,12774l7509,12774e" filled="false" stroked="true" strokeweight=".48004pt" strokecolor="#000000">
                <v:path arrowok="t"/>
              </v:shape>
            </v:group>
            <v:group style="position:absolute;left:7518;top:12774;width:1054;height:2" coordorigin="7518,12774" coordsize="1054,2">
              <v:shape style="position:absolute;left:7518;top:12774;width:1054;height:2" coordorigin="7518,12774" coordsize="1054,0" path="m7518,12774l8572,12774e" filled="false" stroked="true" strokeweight=".48004pt" strokecolor="#000000">
                <v:path arrowok="t"/>
              </v:shape>
            </v:group>
            <v:group style="position:absolute;left:8581;top:12774;width:1055;height:2" coordorigin="8581,12774" coordsize="1055,2">
              <v:shape style="position:absolute;left:8581;top:12774;width:1055;height:2" coordorigin="8581,12774" coordsize="1055,0" path="m8581,12774l9635,12774e" filled="false" stroked="true" strokeweight=".48004pt" strokecolor="#000000">
                <v:path arrowok="t"/>
              </v:shape>
            </v:group>
            <v:group style="position:absolute;left:9645;top:12774;width:1054;height:2" coordorigin="9645,12774" coordsize="1054,2">
              <v:shape style="position:absolute;left:9645;top:12774;width:1054;height:2" coordorigin="9645,12774" coordsize="1054,0" path="m9645,12774l10699,12774e" filled="false" stroked="true" strokeweight=".48004pt" strokecolor="#000000">
                <v:path arrowok="t"/>
              </v:shape>
            </v:group>
            <v:group style="position:absolute;left:5394;top:14119;width:1054;height:291" coordorigin="5394,14119" coordsize="1054,291">
              <v:shape style="position:absolute;left:5394;top:14119;width:1054;height:291" coordorigin="5394,14119" coordsize="1054,291" path="m5394,14409l6447,14409,6447,14119,5394,14119,5394,14409xe" filled="true" fillcolor="#ffffff" stroked="false">
                <v:path arrowok="t"/>
                <v:fill type="solid"/>
              </v:shape>
            </v:group>
            <v:group style="position:absolute;left:1138;top:14112;width:1057;height:2" coordorigin="1138,14112" coordsize="1057,2">
              <v:shape style="position:absolute;left:1138;top:14112;width:1057;height:2" coordorigin="1138,14112" coordsize="1057,0" path="m1138,14112l2194,14112e" filled="false" stroked="true" strokeweight=".47998pt" strokecolor="#000000">
                <v:path arrowok="t"/>
              </v:shape>
            </v:group>
            <v:group style="position:absolute;left:2204;top:14112;width:1054;height:2" coordorigin="2204,14112" coordsize="1054,2">
              <v:shape style="position:absolute;left:2204;top:14112;width:1054;height:2" coordorigin="2204,14112" coordsize="1054,0" path="m2204,14112l3257,14112e" filled="false" stroked="true" strokeweight=".47998pt" strokecolor="#000000">
                <v:path arrowok="t"/>
              </v:shape>
            </v:group>
            <v:group style="position:absolute;left:3267;top:14112;width:1055;height:2" coordorigin="3267,14112" coordsize="1055,2">
              <v:shape style="position:absolute;left:3267;top:14112;width:1055;height:2" coordorigin="3267,14112" coordsize="1055,0" path="m3267,14112l4321,14112e" filled="false" stroked="true" strokeweight=".47998pt" strokecolor="#000000">
                <v:path arrowok="t"/>
              </v:shape>
            </v:group>
            <v:group style="position:absolute;left:4331;top:14112;width:1054;height:2" coordorigin="4331,14112" coordsize="1054,2">
              <v:shape style="position:absolute;left:4331;top:14112;width:1054;height:2" coordorigin="4331,14112" coordsize="1054,0" path="m4331,14112l5384,14112e" filled="false" stroked="true" strokeweight=".47998pt" strokecolor="#000000">
                <v:path arrowok="t"/>
              </v:shape>
            </v:group>
            <v:group style="position:absolute;left:5394;top:14112;width:1052;height:2" coordorigin="5394,14112" coordsize="1052,2">
              <v:shape style="position:absolute;left:5394;top:14112;width:1052;height:2" coordorigin="5394,14112" coordsize="1052,0" path="m5394,14112l6445,14112e" filled="false" stroked="true" strokeweight=".47998pt" strokecolor="#000000">
                <v:path arrowok="t"/>
              </v:shape>
            </v:group>
            <v:group style="position:absolute;left:6455;top:14112;width:1055;height:2" coordorigin="6455,14112" coordsize="1055,2">
              <v:shape style="position:absolute;left:6455;top:14112;width:1055;height:2" coordorigin="6455,14112" coordsize="1055,0" path="m6455,14112l7509,14112e" filled="false" stroked="true" strokeweight=".47998pt" strokecolor="#000000">
                <v:path arrowok="t"/>
              </v:shape>
            </v:group>
            <v:group style="position:absolute;left:7518;top:14112;width:1054;height:2" coordorigin="7518,14112" coordsize="1054,2">
              <v:shape style="position:absolute;left:7518;top:14112;width:1054;height:2" coordorigin="7518,14112" coordsize="1054,0" path="m7518,14112l8572,14112e" filled="false" stroked="true" strokeweight=".47998pt" strokecolor="#000000">
                <v:path arrowok="t"/>
              </v:shape>
            </v:group>
            <v:group style="position:absolute;left:8581;top:14112;width:1055;height:2" coordorigin="8581,14112" coordsize="1055,2">
              <v:shape style="position:absolute;left:8581;top:14112;width:1055;height:2" coordorigin="8581,14112" coordsize="1055,0" path="m8581,14112l9635,14112e" filled="false" stroked="true" strokeweight=".47998pt" strokecolor="#000000">
                <v:path arrowok="t"/>
              </v:shape>
            </v:group>
            <v:group style="position:absolute;left:9645;top:14112;width:1054;height:2" coordorigin="9645,14112" coordsize="1054,2">
              <v:shape style="position:absolute;left:9645;top:14112;width:1054;height:2" coordorigin="9645,14112" coordsize="1054,0" path="m9645,14112l10699,14112e" filled="false" stroked="true" strokeweight=".47998pt" strokecolor="#000000">
                <v:path arrowok="t"/>
              </v:shape>
            </v:group>
            <v:group style="position:absolute;left:1133;top:1440;width:2;height:13663" coordorigin="1133,1440" coordsize="2,13663">
              <v:shape style="position:absolute;left:1133;top:1440;width:2;height:13663" coordorigin="1133,1440" coordsize="0,13663" path="m1133,1440l1133,15103e" filled="false" stroked="true" strokeweight=".48pt" strokecolor="#000000">
                <v:path arrowok="t"/>
              </v:shape>
            </v:group>
            <v:group style="position:absolute;left:1138;top:15098;width:1057;height:2" coordorigin="1138,15098" coordsize="1057,2">
              <v:shape style="position:absolute;left:1138;top:15098;width:1057;height:2" coordorigin="1138,15098" coordsize="1057,0" path="m1138,15098l2194,15098e" filled="false" stroked="true" strokeweight=".47998pt" strokecolor="#000000">
                <v:path arrowok="t"/>
              </v:shape>
            </v:group>
            <v:group style="position:absolute;left:2199;top:1440;width:2;height:13663" coordorigin="2199,1440" coordsize="2,13663">
              <v:shape style="position:absolute;left:2199;top:1440;width:2;height:13663" coordorigin="2199,1440" coordsize="0,13663" path="m2199,1440l2199,15103e" filled="false" stroked="true" strokeweight=".48pt" strokecolor="#000000">
                <v:path arrowok="t"/>
              </v:shape>
            </v:group>
            <v:group style="position:absolute;left:2204;top:15098;width:1054;height:2" coordorigin="2204,15098" coordsize="1054,2">
              <v:shape style="position:absolute;left:2204;top:15098;width:1054;height:2" coordorigin="2204,15098" coordsize="1054,0" path="m2204,15098l3257,15098e" filled="false" stroked="true" strokeweight=".47998pt" strokecolor="#000000">
                <v:path arrowok="t"/>
              </v:shape>
            </v:group>
            <v:group style="position:absolute;left:3262;top:1440;width:2;height:13663" coordorigin="3262,1440" coordsize="2,13663">
              <v:shape style="position:absolute;left:3262;top:1440;width:2;height:13663" coordorigin="3262,1440" coordsize="0,13663" path="m3262,1440l3262,15103e" filled="false" stroked="true" strokeweight=".48pt" strokecolor="#000000">
                <v:path arrowok="t"/>
              </v:shape>
            </v:group>
            <v:group style="position:absolute;left:3267;top:15098;width:1055;height:2" coordorigin="3267,15098" coordsize="1055,2">
              <v:shape style="position:absolute;left:3267;top:15098;width:1055;height:2" coordorigin="3267,15098" coordsize="1055,0" path="m3267,15098l4321,15098e" filled="false" stroked="true" strokeweight=".47998pt" strokecolor="#000000">
                <v:path arrowok="t"/>
              </v:shape>
            </v:group>
            <v:group style="position:absolute;left:4326;top:1440;width:2;height:13663" coordorigin="4326,1440" coordsize="2,13663">
              <v:shape style="position:absolute;left:4326;top:1440;width:2;height:13663" coordorigin="4326,1440" coordsize="0,13663" path="m4326,1440l4326,15103e" filled="false" stroked="true" strokeweight=".48pt" strokecolor="#000000">
                <v:path arrowok="t"/>
              </v:shape>
            </v:group>
            <v:group style="position:absolute;left:4331;top:15098;width:1054;height:2" coordorigin="4331,15098" coordsize="1054,2">
              <v:shape style="position:absolute;left:4331;top:15098;width:1054;height:2" coordorigin="4331,15098" coordsize="1054,0" path="m4331,15098l5384,15098e" filled="false" stroked="true" strokeweight=".47998pt" strokecolor="#000000">
                <v:path arrowok="t"/>
              </v:shape>
            </v:group>
            <v:group style="position:absolute;left:5389;top:1440;width:2;height:13663" coordorigin="5389,1440" coordsize="2,13663">
              <v:shape style="position:absolute;left:5389;top:1440;width:2;height:13663" coordorigin="5389,1440" coordsize="0,13663" path="m5389,1440l5389,15103e" filled="false" stroked="true" strokeweight=".47998pt" strokecolor="#000000">
                <v:path arrowok="t"/>
              </v:shape>
            </v:group>
            <v:group style="position:absolute;left:5394;top:15098;width:1052;height:2" coordorigin="5394,15098" coordsize="1052,2">
              <v:shape style="position:absolute;left:5394;top:15098;width:1052;height:2" coordorigin="5394,15098" coordsize="1052,0" path="m5394,15098l6445,15098e" filled="false" stroked="true" strokeweight=".47998pt" strokecolor="#000000">
                <v:path arrowok="t"/>
              </v:shape>
            </v:group>
            <v:group style="position:absolute;left:6450;top:1440;width:2;height:13663" coordorigin="6450,1440" coordsize="2,13663">
              <v:shape style="position:absolute;left:6450;top:1440;width:2;height:13663" coordorigin="6450,1440" coordsize="0,13663" path="m6450,1440l6450,15103e" filled="false" stroked="true" strokeweight=".47998pt" strokecolor="#000000">
                <v:path arrowok="t"/>
              </v:shape>
            </v:group>
            <v:group style="position:absolute;left:6455;top:15098;width:1055;height:2" coordorigin="6455,15098" coordsize="1055,2">
              <v:shape style="position:absolute;left:6455;top:15098;width:1055;height:2" coordorigin="6455,15098" coordsize="1055,0" path="m6455,15098l7509,15098e" filled="false" stroked="true" strokeweight=".47998pt" strokecolor="#000000">
                <v:path arrowok="t"/>
              </v:shape>
            </v:group>
            <v:group style="position:absolute;left:7513;top:1440;width:2;height:13663" coordorigin="7513,1440" coordsize="2,13663">
              <v:shape style="position:absolute;left:7513;top:1440;width:2;height:13663" coordorigin="7513,1440" coordsize="0,13663" path="m7513,1440l7513,15103e" filled="false" stroked="true" strokeweight=".48001pt" strokecolor="#000000">
                <v:path arrowok="t"/>
              </v:shape>
            </v:group>
            <v:group style="position:absolute;left:7518;top:15098;width:1054;height:2" coordorigin="7518,15098" coordsize="1054,2">
              <v:shape style="position:absolute;left:7518;top:15098;width:1054;height:2" coordorigin="7518,15098" coordsize="1054,0" path="m7518,15098l8572,15098e" filled="false" stroked="true" strokeweight=".47998pt" strokecolor="#000000">
                <v:path arrowok="t"/>
              </v:shape>
            </v:group>
            <v:group style="position:absolute;left:8577;top:1440;width:2;height:13663" coordorigin="8577,1440" coordsize="2,13663">
              <v:shape style="position:absolute;left:8577;top:1440;width:2;height:13663" coordorigin="8577,1440" coordsize="0,13663" path="m8577,1440l8577,15103e" filled="false" stroked="true" strokeweight=".47998pt" strokecolor="#000000">
                <v:path arrowok="t"/>
              </v:shape>
            </v:group>
            <v:group style="position:absolute;left:8581;top:15098;width:1055;height:2" coordorigin="8581,15098" coordsize="1055,2">
              <v:shape style="position:absolute;left:8581;top:15098;width:1055;height:2" coordorigin="8581,15098" coordsize="1055,0" path="m8581,15098l9635,15098e" filled="false" stroked="true" strokeweight=".47998pt" strokecolor="#000000">
                <v:path arrowok="t"/>
              </v:shape>
            </v:group>
            <v:group style="position:absolute;left:9640;top:1440;width:2;height:13663" coordorigin="9640,1440" coordsize="2,13663">
              <v:shape style="position:absolute;left:9640;top:1440;width:2;height:13663" coordorigin="9640,1440" coordsize="0,13663" path="m9640,1440l9640,15103e" filled="false" stroked="true" strokeweight=".48001pt" strokecolor="#000000">
                <v:path arrowok="t"/>
              </v:shape>
            </v:group>
            <v:group style="position:absolute;left:9645;top:15098;width:1054;height:2" coordorigin="9645,15098" coordsize="1054,2">
              <v:shape style="position:absolute;left:9645;top:15098;width:1054;height:2" coordorigin="9645,15098" coordsize="1054,0" path="m9645,15098l10699,15098e" filled="false" stroked="true" strokeweight=".47998pt" strokecolor="#000000">
                <v:path arrowok="t"/>
              </v:shape>
            </v:group>
            <v:group style="position:absolute;left:10704;top:1440;width:2;height:13663" coordorigin="10704,1440" coordsize="2,13663">
              <v:shape style="position:absolute;left:10704;top:1440;width:2;height:13663" coordorigin="10704,1440" coordsize="0,13663" path="m10704,1440l10704,15103e" filled="false" stroked="true" strokeweight=".47998pt" strokecolor="#000000">
                <v:path arrowok="t"/>
              </v:shape>
            </v:group>
            <w10:wrap type="none"/>
          </v:group>
        </w:pict>
      </w:r>
      <w:r>
        <w:rPr/>
        <w:t>新区经济发</w:t>
      </w:r>
    </w:p>
    <w:p>
      <w:pPr>
        <w:pStyle w:val="BodyText"/>
        <w:spacing w:line="240" w:lineRule="auto" w:before="76"/>
        <w:ind w:left="181" w:right="-20"/>
        <w:jc w:val="left"/>
      </w:pPr>
      <w:r>
        <w:rPr/>
        <w:t>展专项资金</w:t>
      </w:r>
    </w:p>
    <w:p>
      <w:pPr>
        <w:spacing w:line="140"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补助</w:t>
      </w:r>
    </w:p>
    <w:p>
      <w:pPr>
        <w:pStyle w:val="BodyText"/>
        <w:spacing w:line="196" w:lineRule="exact"/>
        <w:ind w:left="125" w:right="-19"/>
        <w:jc w:val="left"/>
      </w:pPr>
      <w:r>
        <w:rPr/>
        <w:t>展和财政局</w:t>
      </w:r>
    </w:p>
    <w:p>
      <w:pPr>
        <w:pStyle w:val="BodyText"/>
        <w:spacing w:line="199" w:lineRule="exact"/>
        <w:ind w:left="181" w:right="-20"/>
        <w:jc w:val="left"/>
      </w:pPr>
      <w:r>
        <w:rPr/>
        <w:br w:type="column"/>
      </w:r>
      <w:r>
        <w:rPr/>
        <w:t>技术更新及</w:t>
      </w:r>
    </w:p>
    <w:p>
      <w:pPr>
        <w:pStyle w:val="BodyText"/>
        <w:spacing w:line="240" w:lineRule="auto" w:before="76"/>
        <w:ind w:left="181" w:right="-20"/>
        <w:jc w:val="left"/>
      </w:pPr>
      <w:r>
        <w:rPr/>
        <w:t>改造等获得</w:t>
      </w:r>
    </w:p>
    <w:p>
      <w:pPr>
        <w:pStyle w:val="BodyText"/>
        <w:tabs>
          <w:tab w:pos="1186" w:val="left" w:leader="none"/>
          <w:tab w:pos="3507" w:val="left" w:leader="none"/>
        </w:tabs>
        <w:spacing w:line="194" w:lineRule="exact"/>
        <w:ind w:left="123" w:right="0"/>
        <w:jc w:val="left"/>
      </w:pPr>
      <w:r>
        <w:rPr/>
        <w:br w:type="column"/>
      </w:r>
      <w:r>
        <w:rPr/>
        <w:t>否</w:t>
        <w:tab/>
        <w:t>否</w:t>
        <w:tab/>
      </w:r>
      <w:r>
        <w:rPr>
          <w:rFonts w:ascii="Times New Roman" w:hAnsi="Times New Roman" w:cs="Times New Roman" w:eastAsia="Times New Roman" w:hint="default"/>
        </w:rPr>
        <w:t>800,000.00</w:t>
      </w:r>
      <w:r>
        <w:rPr>
          <w:rFonts w:ascii="Times New Roman" w:hAnsi="Times New Roman" w:cs="Times New Roman" w:eastAsia="Times New Roman" w:hint="default"/>
          <w:spacing w:val="9"/>
        </w:rPr>
        <w:t> </w:t>
      </w:r>
      <w:r>
        <w:rPr/>
        <w:t>与收益相关</w:t>
      </w:r>
    </w:p>
    <w:p>
      <w:pPr>
        <w:spacing w:after="0" w:line="194" w:lineRule="exact"/>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6"/>
        <w:rPr>
          <w:rFonts w:ascii="宋体" w:hAnsi="宋体" w:cs="宋体" w:eastAsia="宋体" w:hint="default"/>
          <w:sz w:val="26"/>
          <w:szCs w:val="26"/>
        </w:rPr>
      </w:pPr>
    </w:p>
    <w:p>
      <w:pPr>
        <w:pStyle w:val="BodyText"/>
        <w:tabs>
          <w:tab w:pos="3374" w:val="left" w:leader="none"/>
        </w:tabs>
        <w:spacing w:line="240" w:lineRule="auto" w:before="44"/>
        <w:ind w:left="181" w:right="0"/>
        <w:jc w:val="left"/>
      </w:pPr>
      <w:r>
        <w:rPr/>
        <w:t>资助</w:t>
        <w:tab/>
        <w:t>的补助</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企业研究开 发资助计划</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深圳市科技</w:t>
      </w:r>
    </w:p>
    <w:p>
      <w:pPr>
        <w:pStyle w:val="BodyText"/>
        <w:spacing w:line="156" w:lineRule="exact"/>
        <w:ind w:left="0" w:right="0"/>
        <w:jc w:val="right"/>
      </w:pPr>
      <w:r>
        <w:rPr/>
        <w:t>补助</w:t>
      </w:r>
    </w:p>
    <w:p>
      <w:pPr>
        <w:pStyle w:val="BodyText"/>
        <w:spacing w:line="196" w:lineRule="exact"/>
        <w:ind w:left="125" w:right="-19"/>
        <w:jc w:val="left"/>
      </w:pPr>
      <w:r>
        <w:rPr/>
        <w:t>创新委员会</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494" w:val="left" w:leader="none"/>
        </w:tabs>
        <w:spacing w:line="86" w:lineRule="exact"/>
        <w:ind w:left="1244" w:right="0"/>
        <w:jc w:val="left"/>
      </w:pPr>
      <w:r>
        <w:rPr/>
        <w:t>否</w:t>
        <w:tab/>
        <w:t>否</w:t>
        <w:tab/>
      </w:r>
      <w:r>
        <w:rPr>
          <w:rFonts w:ascii="Times New Roman" w:hAnsi="Times New Roman" w:cs="Times New Roman" w:eastAsia="Times New Roman" w:hint="default"/>
        </w:rPr>
        <w:t>1,589,000.00</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年企业 研究经费投 入奖励奖金</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20"/>
        <w:jc w:val="left"/>
      </w:pPr>
      <w:r>
        <w:rPr/>
        <w:t>东莞市财政</w:t>
      </w:r>
    </w:p>
    <w:p>
      <w:pPr>
        <w:pStyle w:val="BodyText"/>
        <w:spacing w:line="156" w:lineRule="exact"/>
        <w:ind w:left="0" w:right="0"/>
        <w:jc w:val="right"/>
      </w:pPr>
      <w:r>
        <w:rPr/>
        <w:t>奖励</w:t>
      </w:r>
    </w:p>
    <w:p>
      <w:pPr>
        <w:pStyle w:val="BodyText"/>
        <w:spacing w:line="196" w:lineRule="exact"/>
        <w:ind w:left="77" w:right="-20"/>
        <w:jc w:val="left"/>
      </w:pPr>
      <w:r>
        <w:rPr/>
        <w:t>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103,000.00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年企业 研究开发补 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20"/>
        <w:jc w:val="left"/>
      </w:pPr>
      <w:r>
        <w:rPr/>
        <w:t>东莞市财政</w:t>
      </w:r>
    </w:p>
    <w:p>
      <w:pPr>
        <w:pStyle w:val="BodyText"/>
        <w:spacing w:line="156" w:lineRule="exact"/>
        <w:ind w:left="0" w:right="0"/>
        <w:jc w:val="right"/>
      </w:pPr>
      <w:r>
        <w:rPr/>
        <w:t>补助</w:t>
      </w:r>
    </w:p>
    <w:p>
      <w:pPr>
        <w:pStyle w:val="BodyText"/>
        <w:spacing w:line="196" w:lineRule="exact"/>
        <w:ind w:left="77" w:right="-20"/>
        <w:jc w:val="left"/>
      </w:pPr>
      <w:r>
        <w:rPr/>
        <w:t>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930,100.00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81" w:right="-20"/>
        <w:jc w:val="left"/>
      </w:pPr>
      <w:r>
        <w:rPr/>
        <w:t>财政补助款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东莞市财政</w:t>
      </w:r>
    </w:p>
    <w:p>
      <w:pPr>
        <w:pStyle w:val="BodyText"/>
        <w:spacing w:line="156" w:lineRule="exact"/>
        <w:ind w:left="0" w:right="0"/>
        <w:jc w:val="right"/>
      </w:pPr>
      <w:r>
        <w:rPr/>
        <w:t>补助</w:t>
      </w:r>
    </w:p>
    <w:p>
      <w:pPr>
        <w:pStyle w:val="BodyText"/>
        <w:spacing w:line="196" w:lineRule="exact"/>
        <w:ind w:left="125" w:right="-19"/>
        <w:jc w:val="left"/>
      </w:pPr>
      <w:r>
        <w:rPr/>
        <w:t>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3,400.00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吴江开发区 科技奖励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125" w:right="-19"/>
        <w:jc w:val="left"/>
      </w:pPr>
      <w:r>
        <w:rPr/>
        <w:t>吴江财政局</w:t>
      </w:r>
      <w:r>
        <w:rPr>
          <w:spacing w:val="73"/>
        </w:rPr>
        <w:t> </w:t>
      </w:r>
      <w:r>
        <w:rPr/>
        <w:t>补助</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720" w:val="left" w:leader="none"/>
        </w:tabs>
        <w:spacing w:line="86" w:lineRule="exact"/>
        <w:ind w:left="1244" w:right="0"/>
        <w:jc w:val="left"/>
      </w:pP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8"/>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19" w:lineRule="auto"/>
        <w:ind w:left="181" w:right="0"/>
        <w:jc w:val="both"/>
      </w:pPr>
      <w:r>
        <w:rPr/>
        <w:t>科技局给予 知识产权奖 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left="125" w:right="-19"/>
        <w:jc w:val="left"/>
      </w:pPr>
      <w:r>
        <w:rPr/>
        <w:t>吴江科技局</w:t>
      </w:r>
      <w:r>
        <w:rPr>
          <w:spacing w:val="73"/>
        </w:rPr>
        <w:t> </w:t>
      </w:r>
      <w:r>
        <w:rPr/>
        <w:t>奖励</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3,000.00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年第二 期产业人才 培训资助费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20"/>
        <w:jc w:val="left"/>
      </w:pPr>
      <w:r>
        <w:rPr/>
        <w:t>吴江开发区</w:t>
      </w:r>
    </w:p>
    <w:p>
      <w:pPr>
        <w:pStyle w:val="BodyText"/>
        <w:spacing w:line="156" w:lineRule="exact"/>
        <w:ind w:left="0" w:right="0"/>
        <w:jc w:val="right"/>
      </w:pPr>
      <w:r>
        <w:rPr/>
        <w:t>奖励</w:t>
      </w:r>
    </w:p>
    <w:p>
      <w:pPr>
        <w:pStyle w:val="BodyText"/>
        <w:spacing w:line="196" w:lineRule="exact"/>
        <w:ind w:left="77" w:right="-20"/>
        <w:jc w:val="left"/>
      </w:pPr>
      <w:r>
        <w:rPr/>
        <w:t>财政局</w:t>
      </w:r>
    </w:p>
    <w:p>
      <w:pPr>
        <w:pStyle w:val="BodyText"/>
        <w:spacing w:line="312" w:lineRule="exact" w:before="5"/>
        <w:ind w:left="181" w:right="5472"/>
        <w:jc w:val="left"/>
      </w:pPr>
      <w:r>
        <w:rPr/>
        <w:br w:type="column"/>
      </w:r>
      <w:r>
        <w:rPr/>
        <w:t>因研究开发、 技术更新及</w:t>
      </w:r>
    </w:p>
    <w:p>
      <w:pPr>
        <w:pStyle w:val="BodyText"/>
        <w:tabs>
          <w:tab w:pos="2307"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3,540.00</w:t>
      </w:r>
      <w:r>
        <w:rPr>
          <w:rFonts w:ascii="Times New Roman" w:hAnsi="Times New Roman" w:cs="Times New Roman" w:eastAsia="Times New Roman" w:hint="default"/>
          <w:spacing w:val="10"/>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pStyle w:val="BodyText"/>
        <w:spacing w:line="309" w:lineRule="auto" w:before="121"/>
        <w:ind w:left="181" w:right="0"/>
        <w:jc w:val="both"/>
      </w:pPr>
      <w:r>
        <w:rPr/>
        <w:t>社会保险</w:t>
      </w:r>
      <w:r>
        <w:rPr>
          <w:rFonts w:ascii="Times New Roman" w:hAnsi="Times New Roman" w:cs="Times New Roman" w:eastAsia="Times New Roman" w:hint="default"/>
        </w:rPr>
        <w:t>/</w:t>
      </w:r>
      <w:r>
        <w:rPr/>
        <w:t>困 难企业社保 补退款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316" w:lineRule="auto" w:before="121"/>
        <w:ind w:left="75" w:right="-20"/>
        <w:jc w:val="left"/>
      </w:pPr>
      <w:r>
        <w:rPr/>
        <w:t>重庆沙坪坝 </w:t>
      </w:r>
      <w:r>
        <w:rPr>
          <w:spacing w:val="-12"/>
        </w:rPr>
        <w:t>区社保局、深</w:t>
      </w:r>
      <w:r>
        <w:rPr>
          <w:spacing w:val="-35"/>
        </w:rPr>
        <w:t> </w:t>
      </w:r>
      <w:r>
        <w:rPr/>
        <w:t>补助</w:t>
      </w:r>
      <w:r>
        <w:rPr/>
        <w:t> 圳社保局</w:t>
      </w:r>
    </w:p>
    <w:p>
      <w:pPr>
        <w:pStyle w:val="BodyText"/>
        <w:spacing w:line="316" w:lineRule="auto" w:before="44"/>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186"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rPr>
        <w:t>995,065.48</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133" w:space="40"/>
            <w:col w:w="1499" w:space="522"/>
            <w:col w:w="1082" w:space="40"/>
            <w:col w:w="5634"/>
          </w:cols>
        </w:sect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BodyText"/>
        <w:spacing w:line="316" w:lineRule="auto"/>
        <w:ind w:left="181" w:right="-20"/>
        <w:jc w:val="left"/>
      </w:pPr>
      <w:r>
        <w:rPr/>
        <w:t>经济运行工 作经费补助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pStyle w:val="BodyText"/>
        <w:spacing w:line="196" w:lineRule="exact"/>
        <w:ind w:left="125" w:right="-19"/>
        <w:jc w:val="left"/>
      </w:pPr>
      <w:r>
        <w:rPr/>
        <w:t>重庆沙坪坝</w:t>
      </w:r>
    </w:p>
    <w:p>
      <w:pPr>
        <w:pStyle w:val="BodyText"/>
        <w:spacing w:line="156" w:lineRule="exact"/>
        <w:ind w:left="0" w:right="0"/>
        <w:jc w:val="right"/>
      </w:pPr>
      <w:r>
        <w:rPr/>
        <w:t>补助</w:t>
      </w:r>
    </w:p>
    <w:p>
      <w:pPr>
        <w:pStyle w:val="BodyText"/>
        <w:spacing w:line="196" w:lineRule="exact"/>
        <w:ind w:left="125" w:right="-19"/>
        <w:jc w:val="left"/>
      </w:pPr>
      <w:r>
        <w:rPr/>
        <w:t>区经信委</w:t>
      </w:r>
    </w:p>
    <w:p>
      <w:pPr>
        <w:pStyle w:val="BodyText"/>
        <w:spacing w:line="319" w:lineRule="auto" w:before="110"/>
        <w:ind w:left="181" w:right="0"/>
        <w:jc w:val="both"/>
      </w:pPr>
      <w:r>
        <w:rPr/>
        <w:br w:type="column"/>
      </w:r>
      <w:r>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tabs>
          <w:tab w:pos="1186" w:val="left" w:leader="none"/>
          <w:tab w:pos="3598" w:val="left" w:leader="none"/>
        </w:tabs>
        <w:spacing w:line="240" w:lineRule="auto"/>
        <w:ind w:left="123" w:right="0"/>
        <w:jc w:val="left"/>
      </w:pPr>
      <w:r>
        <w:rPr/>
        <w:t>否</w:t>
        <w:tab/>
        <w:t>否</w:t>
        <w:tab/>
      </w:r>
      <w:r>
        <w:rPr>
          <w:rFonts w:ascii="Times New Roman" w:hAnsi="Times New Roman" w:cs="Times New Roman" w:eastAsia="Times New Roman" w:hint="default"/>
        </w:rPr>
        <w:t>30,000.00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pStyle w:val="BodyText"/>
        <w:spacing w:line="316" w:lineRule="auto" w:before="106"/>
        <w:ind w:left="181" w:right="-20"/>
        <w:jc w:val="left"/>
      </w:pPr>
      <w:r>
        <w:rPr/>
        <w:pict>
          <v:group style="position:absolute;margin-left:56.400002pt;margin-top:71.759979pt;width:479.05pt;height:688.2pt;mso-position-horizontal-relative:page;mso-position-vertical-relative:page;z-index:-1118296" coordorigin="1128,1435" coordsize="9581,13764">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5;height:2" coordorigin="6455,1445" coordsize="1055,2">
              <v:shape style="position:absolute;left:6455;top:1445;width:1055;height:2" coordorigin="6455,1445" coordsize="1055,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1812;width:1054;height:469" coordorigin="5394,1812" coordsize="1054,469">
              <v:shape style="position:absolute;left:5394;top:1812;width:1054;height:469" coordorigin="5394,1812" coordsize="1054,469" path="m5394,2280l6447,2280,6447,1812,5394,1812,5394,2280xe" filled="true" fillcolor="#ffffff" stroked="false">
                <v:path arrowok="t"/>
                <v:fill type="solid"/>
              </v:shape>
            </v:group>
            <v:group style="position:absolute;left:1138;top:1807;width:1057;height:2" coordorigin="1138,1807" coordsize="1057,2">
              <v:shape style="position:absolute;left:1138;top:1807;width:1057;height:2" coordorigin="1138,1807" coordsize="1057,0" path="m1138,1807l2194,1807e" filled="false" stroked="true" strokeweight=".48pt" strokecolor="#000000">
                <v:path arrowok="t"/>
              </v:shape>
            </v:group>
            <v:group style="position:absolute;left:2204;top:1807;width:1054;height:2" coordorigin="2204,1807" coordsize="1054,2">
              <v:shape style="position:absolute;left:2204;top:1807;width:1054;height:2" coordorigin="2204,1807" coordsize="1054,0" path="m2204,1807l3257,1807e" filled="false" stroked="true" strokeweight=".48pt" strokecolor="#000000">
                <v:path arrowok="t"/>
              </v:shape>
            </v:group>
            <v:group style="position:absolute;left:3267;top:1807;width:1055;height:2" coordorigin="3267,1807" coordsize="1055,2">
              <v:shape style="position:absolute;left:3267;top:1807;width:1055;height:2" coordorigin="3267,1807" coordsize="1055,0" path="m3267,1807l4321,1807e" filled="false" stroked="true" strokeweight=".48pt" strokecolor="#000000">
                <v:path arrowok="t"/>
              </v:shape>
            </v:group>
            <v:group style="position:absolute;left:4331;top:1807;width:1054;height:2" coordorigin="4331,1807" coordsize="1054,2">
              <v:shape style="position:absolute;left:4331;top:1807;width:1054;height:2" coordorigin="4331,1807" coordsize="1054,0" path="m4331,1807l5384,1807e" filled="false" stroked="true" strokeweight=".48pt" strokecolor="#000000">
                <v:path arrowok="t"/>
              </v:shape>
            </v:group>
            <v:group style="position:absolute;left:5394;top:1807;width:1052;height:2" coordorigin="5394,1807" coordsize="1052,2">
              <v:shape style="position:absolute;left:5394;top:1807;width:1052;height:2" coordorigin="5394,1807" coordsize="1052,0" path="m5394,1807l6445,1807e" filled="false" stroked="true" strokeweight=".48pt" strokecolor="#000000">
                <v:path arrowok="t"/>
              </v:shape>
            </v:group>
            <v:group style="position:absolute;left:6455;top:1807;width:1055;height:2" coordorigin="6455,1807" coordsize="1055,2">
              <v:shape style="position:absolute;left:6455;top:1807;width:1055;height:2" coordorigin="6455,1807" coordsize="1055,0" path="m6455,1807l7509,1807e" filled="false" stroked="true" strokeweight=".48pt" strokecolor="#000000">
                <v:path arrowok="t"/>
              </v:shape>
            </v:group>
            <v:group style="position:absolute;left:7518;top:1807;width:1054;height:2" coordorigin="7518,1807" coordsize="1054,2">
              <v:shape style="position:absolute;left:7518;top:1807;width:1054;height:2" coordorigin="7518,1807" coordsize="1054,0" path="m7518,1807l8572,1807e" filled="false" stroked="true" strokeweight=".48pt" strokecolor="#000000">
                <v:path arrowok="t"/>
              </v:shape>
            </v:group>
            <v:group style="position:absolute;left:8581;top:1807;width:1055;height:2" coordorigin="8581,1807" coordsize="1055,2">
              <v:shape style="position:absolute;left:8581;top:1807;width:1055;height:2" coordorigin="8581,1807" coordsize="1055,0" path="m8581,1807l9635,1807e" filled="false" stroked="true" strokeweight=".48pt" strokecolor="#000000">
                <v:path arrowok="t"/>
              </v:shape>
            </v:group>
            <v:group style="position:absolute;left:9645;top:1807;width:1054;height:2" coordorigin="9645,1807" coordsize="1054,2">
              <v:shape style="position:absolute;left:9645;top:1807;width:1054;height:2" coordorigin="9645,1807" coordsize="1054,0" path="m9645,1807l10699,1807e" filled="false" stroked="true" strokeweight=".48pt" strokecolor="#000000">
                <v:path arrowok="t"/>
              </v:shape>
            </v:group>
            <v:group style="position:absolute;left:5394;top:3149;width:1054;height:468" coordorigin="5394,3149" coordsize="1054,468">
              <v:shape style="position:absolute;left:5394;top:3149;width:1054;height:468" coordorigin="5394,3149" coordsize="1054,468" path="m5394,3617l6447,3617,6447,3149,5394,3149,5394,3617xe" filled="true" fillcolor="#ffffff" stroked="false">
                <v:path arrowok="t"/>
                <v:fill type="solid"/>
              </v:shape>
            </v:group>
            <v:group style="position:absolute;left:1138;top:3144;width:1057;height:2" coordorigin="1138,3144" coordsize="1057,2">
              <v:shape style="position:absolute;left:1138;top:3144;width:1057;height:2" coordorigin="1138,3144" coordsize="1057,0" path="m1138,3144l2194,3144e" filled="false" stroked="true" strokeweight=".48pt" strokecolor="#000000">
                <v:path arrowok="t"/>
              </v:shape>
            </v:group>
            <v:group style="position:absolute;left:2204;top:3144;width:1054;height:2" coordorigin="2204,3144" coordsize="1054,2">
              <v:shape style="position:absolute;left:2204;top:3144;width:1054;height:2" coordorigin="2204,3144" coordsize="1054,0" path="m2204,3144l3257,3144e" filled="false" stroked="true" strokeweight=".48pt" strokecolor="#000000">
                <v:path arrowok="t"/>
              </v:shape>
            </v:group>
            <v:group style="position:absolute;left:3267;top:3144;width:1055;height:2" coordorigin="3267,3144" coordsize="1055,2">
              <v:shape style="position:absolute;left:3267;top:3144;width:1055;height:2" coordorigin="3267,3144" coordsize="1055,0" path="m3267,3144l4321,3144e" filled="false" stroked="true" strokeweight=".48pt" strokecolor="#000000">
                <v:path arrowok="t"/>
              </v:shape>
            </v:group>
            <v:group style="position:absolute;left:4331;top:3144;width:1054;height:2" coordorigin="4331,3144" coordsize="1054,2">
              <v:shape style="position:absolute;left:4331;top:3144;width:1054;height:2" coordorigin="4331,3144" coordsize="1054,0" path="m4331,3144l5384,3144e" filled="false" stroked="true" strokeweight=".48pt" strokecolor="#000000">
                <v:path arrowok="t"/>
              </v:shape>
            </v:group>
            <v:group style="position:absolute;left:5394;top:3144;width:1052;height:2" coordorigin="5394,3144" coordsize="1052,2">
              <v:shape style="position:absolute;left:5394;top:3144;width:1052;height:2" coordorigin="5394,3144" coordsize="1052,0" path="m5394,3144l6445,3144e" filled="false" stroked="true" strokeweight=".48pt" strokecolor="#000000">
                <v:path arrowok="t"/>
              </v:shape>
            </v:group>
            <v:group style="position:absolute;left:6455;top:3144;width:1055;height:2" coordorigin="6455,3144" coordsize="1055,2">
              <v:shape style="position:absolute;left:6455;top:3144;width:1055;height:2" coordorigin="6455,3144" coordsize="1055,0" path="m6455,3144l7509,3144e" filled="false" stroked="true" strokeweight=".48pt" strokecolor="#000000">
                <v:path arrowok="t"/>
              </v:shape>
            </v:group>
            <v:group style="position:absolute;left:7518;top:3144;width:1054;height:2" coordorigin="7518,3144" coordsize="1054,2">
              <v:shape style="position:absolute;left:7518;top:3144;width:1054;height:2" coordorigin="7518,3144" coordsize="1054,0" path="m7518,3144l8572,3144e" filled="false" stroked="true" strokeweight=".48pt" strokecolor="#000000">
                <v:path arrowok="t"/>
              </v:shape>
            </v:group>
            <v:group style="position:absolute;left:8581;top:3144;width:1055;height:2" coordorigin="8581,3144" coordsize="1055,2">
              <v:shape style="position:absolute;left:8581;top:3144;width:1055;height:2" coordorigin="8581,3144" coordsize="1055,0" path="m8581,3144l9635,3144e" filled="false" stroked="true" strokeweight=".48pt" strokecolor="#000000">
                <v:path arrowok="t"/>
              </v:shape>
            </v:group>
            <v:group style="position:absolute;left:9645;top:3144;width:1054;height:2" coordorigin="9645,3144" coordsize="1054,2">
              <v:shape style="position:absolute;left:9645;top:3144;width:1054;height:2" coordorigin="9645,3144" coordsize="1054,0" path="m9645,3144l10699,3144e" filled="false" stroked="true" strokeweight=".48pt" strokecolor="#000000">
                <v:path arrowok="t"/>
              </v:shape>
            </v:group>
            <v:group style="position:absolute;left:5394;top:4488;width:1054;height:468" coordorigin="5394,4488" coordsize="1054,468">
              <v:shape style="position:absolute;left:5394;top:4488;width:1054;height:468" coordorigin="5394,4488" coordsize="1054,468" path="m5394,4956l6447,4956,6447,4488,5394,4488,5394,4956xe" filled="true" fillcolor="#ffffff" stroked="false">
                <v:path arrowok="t"/>
                <v:fill type="solid"/>
              </v:shape>
            </v:group>
            <v:group style="position:absolute;left:1138;top:4484;width:1057;height:2" coordorigin="1138,4484" coordsize="1057,2">
              <v:shape style="position:absolute;left:1138;top:4484;width:1057;height:2" coordorigin="1138,4484" coordsize="1057,0" path="m1138,4484l2194,4484e" filled="false" stroked="true" strokeweight=".48pt" strokecolor="#000000">
                <v:path arrowok="t"/>
              </v:shape>
            </v:group>
            <v:group style="position:absolute;left:2204;top:4484;width:1054;height:2" coordorigin="2204,4484" coordsize="1054,2">
              <v:shape style="position:absolute;left:2204;top:4484;width:1054;height:2" coordorigin="2204,4484" coordsize="1054,0" path="m2204,4484l3257,4484e" filled="false" stroked="true" strokeweight=".48pt" strokecolor="#000000">
                <v:path arrowok="t"/>
              </v:shape>
            </v:group>
            <v:group style="position:absolute;left:3267;top:4484;width:1055;height:2" coordorigin="3267,4484" coordsize="1055,2">
              <v:shape style="position:absolute;left:3267;top:4484;width:1055;height:2" coordorigin="3267,4484" coordsize="1055,0" path="m3267,4484l4321,4484e" filled="false" stroked="true" strokeweight=".48pt" strokecolor="#000000">
                <v:path arrowok="t"/>
              </v:shape>
            </v:group>
            <v:group style="position:absolute;left:4331;top:4484;width:1054;height:2" coordorigin="4331,4484" coordsize="1054,2">
              <v:shape style="position:absolute;left:4331;top:4484;width:1054;height:2" coordorigin="4331,4484" coordsize="1054,0" path="m4331,4484l5384,4484e" filled="false" stroked="true" strokeweight=".48pt" strokecolor="#000000">
                <v:path arrowok="t"/>
              </v:shape>
            </v:group>
            <v:group style="position:absolute;left:5394;top:4484;width:1052;height:2" coordorigin="5394,4484" coordsize="1052,2">
              <v:shape style="position:absolute;left:5394;top:4484;width:1052;height:2" coordorigin="5394,4484" coordsize="1052,0" path="m5394,4484l6445,4484e" filled="false" stroked="true" strokeweight=".48pt" strokecolor="#000000">
                <v:path arrowok="t"/>
              </v:shape>
            </v:group>
            <v:group style="position:absolute;left:6455;top:4484;width:1055;height:2" coordorigin="6455,4484" coordsize="1055,2">
              <v:shape style="position:absolute;left:6455;top:4484;width:1055;height:2" coordorigin="6455,4484" coordsize="1055,0" path="m6455,4484l7509,4484e" filled="false" stroked="true" strokeweight=".48pt" strokecolor="#000000">
                <v:path arrowok="t"/>
              </v:shape>
            </v:group>
            <v:group style="position:absolute;left:7518;top:4484;width:1054;height:2" coordorigin="7518,4484" coordsize="1054,2">
              <v:shape style="position:absolute;left:7518;top:4484;width:1054;height:2" coordorigin="7518,4484" coordsize="1054,0" path="m7518,4484l8572,4484e" filled="false" stroked="true" strokeweight=".48pt" strokecolor="#000000">
                <v:path arrowok="t"/>
              </v:shape>
            </v:group>
            <v:group style="position:absolute;left:8581;top:4484;width:1055;height:2" coordorigin="8581,4484" coordsize="1055,2">
              <v:shape style="position:absolute;left:8581;top:4484;width:1055;height:2" coordorigin="8581,4484" coordsize="1055,0" path="m8581,4484l9635,4484e" filled="false" stroked="true" strokeweight=".48pt" strokecolor="#000000">
                <v:path arrowok="t"/>
              </v:shape>
            </v:group>
            <v:group style="position:absolute;left:9645;top:4484;width:1054;height:2" coordorigin="9645,4484" coordsize="1054,2">
              <v:shape style="position:absolute;left:9645;top:4484;width:1054;height:2" coordorigin="9645,4484" coordsize="1054,0" path="m9645,4484l10699,4484e" filled="false" stroked="true" strokeweight=".48pt" strokecolor="#000000">
                <v:path arrowok="t"/>
              </v:shape>
            </v:group>
            <v:group style="position:absolute;left:5394;top:5826;width:1054;height:468" coordorigin="5394,5826" coordsize="1054,468">
              <v:shape style="position:absolute;left:5394;top:5826;width:1054;height:468" coordorigin="5394,5826" coordsize="1054,468" path="m5394,6294l6447,6294,6447,5826,5394,5826,5394,6294xe" filled="true" fillcolor="#ffffff" stroked="false">
                <v:path arrowok="t"/>
                <v:fill type="solid"/>
              </v:shape>
            </v:group>
            <v:group style="position:absolute;left:1138;top:5821;width:1057;height:2" coordorigin="1138,5821" coordsize="1057,2">
              <v:shape style="position:absolute;left:1138;top:5821;width:1057;height:2" coordorigin="1138,5821" coordsize="1057,0" path="m1138,5821l2194,5821e" filled="false" stroked="true" strokeweight=".47998pt" strokecolor="#000000">
                <v:path arrowok="t"/>
              </v:shape>
            </v:group>
            <v:group style="position:absolute;left:2204;top:5821;width:1054;height:2" coordorigin="2204,5821" coordsize="1054,2">
              <v:shape style="position:absolute;left:2204;top:5821;width:1054;height:2" coordorigin="2204,5821" coordsize="1054,0" path="m2204,5821l3257,5821e" filled="false" stroked="true" strokeweight=".47998pt" strokecolor="#000000">
                <v:path arrowok="t"/>
              </v:shape>
            </v:group>
            <v:group style="position:absolute;left:3267;top:5821;width:1055;height:2" coordorigin="3267,5821" coordsize="1055,2">
              <v:shape style="position:absolute;left:3267;top:5821;width:1055;height:2" coordorigin="3267,5821" coordsize="1055,0" path="m3267,5821l4321,5821e" filled="false" stroked="true" strokeweight=".47998pt" strokecolor="#000000">
                <v:path arrowok="t"/>
              </v:shape>
            </v:group>
            <v:group style="position:absolute;left:4331;top:5821;width:1054;height:2" coordorigin="4331,5821" coordsize="1054,2">
              <v:shape style="position:absolute;left:4331;top:5821;width:1054;height:2" coordorigin="4331,5821" coordsize="1054,0" path="m4331,5821l5384,5821e" filled="false" stroked="true" strokeweight=".47998pt" strokecolor="#000000">
                <v:path arrowok="t"/>
              </v:shape>
            </v:group>
            <v:group style="position:absolute;left:5394;top:5821;width:1052;height:2" coordorigin="5394,5821" coordsize="1052,2">
              <v:shape style="position:absolute;left:5394;top:5821;width:1052;height:2" coordorigin="5394,5821" coordsize="1052,0" path="m5394,5821l6445,5821e" filled="false" stroked="true" strokeweight=".47998pt" strokecolor="#000000">
                <v:path arrowok="t"/>
              </v:shape>
            </v:group>
            <v:group style="position:absolute;left:6455;top:5821;width:1055;height:2" coordorigin="6455,5821" coordsize="1055,2">
              <v:shape style="position:absolute;left:6455;top:5821;width:1055;height:2" coordorigin="6455,5821" coordsize="1055,0" path="m6455,5821l7509,5821e" filled="false" stroked="true" strokeweight=".47998pt" strokecolor="#000000">
                <v:path arrowok="t"/>
              </v:shape>
            </v:group>
            <v:group style="position:absolute;left:7518;top:5821;width:1054;height:2" coordorigin="7518,5821" coordsize="1054,2">
              <v:shape style="position:absolute;left:7518;top:5821;width:1054;height:2" coordorigin="7518,5821" coordsize="1054,0" path="m7518,5821l8572,5821e" filled="false" stroked="true" strokeweight=".47998pt" strokecolor="#000000">
                <v:path arrowok="t"/>
              </v:shape>
            </v:group>
            <v:group style="position:absolute;left:8581;top:5821;width:1055;height:2" coordorigin="8581,5821" coordsize="1055,2">
              <v:shape style="position:absolute;left:8581;top:5821;width:1055;height:2" coordorigin="8581,5821" coordsize="1055,0" path="m8581,5821l9635,5821e" filled="false" stroked="true" strokeweight=".47998pt" strokecolor="#000000">
                <v:path arrowok="t"/>
              </v:shape>
            </v:group>
            <v:group style="position:absolute;left:9645;top:5821;width:1054;height:2" coordorigin="9645,5821" coordsize="1054,2">
              <v:shape style="position:absolute;left:9645;top:5821;width:1054;height:2" coordorigin="9645,5821" coordsize="1054,0" path="m9645,5821l10699,5821e" filled="false" stroked="true" strokeweight=".47998pt" strokecolor="#000000">
                <v:path arrowok="t"/>
              </v:shape>
            </v:group>
            <v:group style="position:absolute;left:5394;top:7165;width:1054;height:468" coordorigin="5394,7165" coordsize="1054,468">
              <v:shape style="position:absolute;left:5394;top:7165;width:1054;height:468" coordorigin="5394,7165" coordsize="1054,468" path="m5394,7633l6447,7633,6447,7165,5394,7165,5394,7633xe" filled="true" fillcolor="#ffffff" stroked="false">
                <v:path arrowok="t"/>
                <v:fill type="solid"/>
              </v:shape>
            </v:group>
            <v:group style="position:absolute;left:1138;top:7160;width:1057;height:2" coordorigin="1138,7160" coordsize="1057,2">
              <v:shape style="position:absolute;left:1138;top:7160;width:1057;height:2" coordorigin="1138,7160" coordsize="1057,0" path="m1138,7160l2194,7160e" filled="false" stroked="true" strokeweight=".48001pt" strokecolor="#000000">
                <v:path arrowok="t"/>
              </v:shape>
            </v:group>
            <v:group style="position:absolute;left:2204;top:7160;width:1054;height:2" coordorigin="2204,7160" coordsize="1054,2">
              <v:shape style="position:absolute;left:2204;top:7160;width:1054;height:2" coordorigin="2204,7160" coordsize="1054,0" path="m2204,7160l3257,7160e" filled="false" stroked="true" strokeweight=".48001pt" strokecolor="#000000">
                <v:path arrowok="t"/>
              </v:shape>
            </v:group>
            <v:group style="position:absolute;left:3267;top:7160;width:1055;height:2" coordorigin="3267,7160" coordsize="1055,2">
              <v:shape style="position:absolute;left:3267;top:7160;width:1055;height:2" coordorigin="3267,7160" coordsize="1055,0" path="m3267,7160l4321,7160e" filled="false" stroked="true" strokeweight=".48001pt" strokecolor="#000000">
                <v:path arrowok="t"/>
              </v:shape>
            </v:group>
            <v:group style="position:absolute;left:4331;top:7160;width:1054;height:2" coordorigin="4331,7160" coordsize="1054,2">
              <v:shape style="position:absolute;left:4331;top:7160;width:1054;height:2" coordorigin="4331,7160" coordsize="1054,0" path="m4331,7160l5384,7160e" filled="false" stroked="true" strokeweight=".48001pt" strokecolor="#000000">
                <v:path arrowok="t"/>
              </v:shape>
            </v:group>
            <v:group style="position:absolute;left:5394;top:7160;width:1052;height:2" coordorigin="5394,7160" coordsize="1052,2">
              <v:shape style="position:absolute;left:5394;top:7160;width:1052;height:2" coordorigin="5394,7160" coordsize="1052,0" path="m5394,7160l6445,7160e" filled="false" stroked="true" strokeweight=".48001pt" strokecolor="#000000">
                <v:path arrowok="t"/>
              </v:shape>
            </v:group>
            <v:group style="position:absolute;left:6455;top:7160;width:1055;height:2" coordorigin="6455,7160" coordsize="1055,2">
              <v:shape style="position:absolute;left:6455;top:7160;width:1055;height:2" coordorigin="6455,7160" coordsize="1055,0" path="m6455,7160l7509,7160e" filled="false" stroked="true" strokeweight=".48001pt" strokecolor="#000000">
                <v:path arrowok="t"/>
              </v:shape>
            </v:group>
            <v:group style="position:absolute;left:7518;top:7160;width:1054;height:2" coordorigin="7518,7160" coordsize="1054,2">
              <v:shape style="position:absolute;left:7518;top:7160;width:1054;height:2" coordorigin="7518,7160" coordsize="1054,0" path="m7518,7160l8572,7160e" filled="false" stroked="true" strokeweight=".48001pt" strokecolor="#000000">
                <v:path arrowok="t"/>
              </v:shape>
            </v:group>
            <v:group style="position:absolute;left:8581;top:7160;width:1055;height:2" coordorigin="8581,7160" coordsize="1055,2">
              <v:shape style="position:absolute;left:8581;top:7160;width:1055;height:2" coordorigin="8581,7160" coordsize="1055,0" path="m8581,7160l9635,7160e" filled="false" stroked="true" strokeweight=".48001pt" strokecolor="#000000">
                <v:path arrowok="t"/>
              </v:shape>
            </v:group>
            <v:group style="position:absolute;left:9645;top:7160;width:1054;height:2" coordorigin="9645,7160" coordsize="1054,2">
              <v:shape style="position:absolute;left:9645;top:7160;width:1054;height:2" coordorigin="9645,7160" coordsize="1054,0" path="m9645,7160l10699,7160e" filled="false" stroked="true" strokeweight=".48001pt" strokecolor="#000000">
                <v:path arrowok="t"/>
              </v:shape>
            </v:group>
            <v:group style="position:absolute;left:5394;top:8502;width:1054;height:468" coordorigin="5394,8502" coordsize="1054,468">
              <v:shape style="position:absolute;left:5394;top:8502;width:1054;height:468" coordorigin="5394,8502" coordsize="1054,468" path="m5394,8970l6447,8970,6447,8502,5394,8502,5394,8970xe" filled="true" fillcolor="#ffffff" stroked="false">
                <v:path arrowok="t"/>
                <v:fill type="solid"/>
              </v:shape>
            </v:group>
            <v:group style="position:absolute;left:1138;top:8497;width:1057;height:2" coordorigin="1138,8497" coordsize="1057,2">
              <v:shape style="position:absolute;left:1138;top:8497;width:1057;height:2" coordorigin="1138,8497" coordsize="1057,0" path="m1138,8497l2194,8497e" filled="false" stroked="true" strokeweight=".48001pt" strokecolor="#000000">
                <v:path arrowok="t"/>
              </v:shape>
            </v:group>
            <v:group style="position:absolute;left:2204;top:8497;width:1054;height:2" coordorigin="2204,8497" coordsize="1054,2">
              <v:shape style="position:absolute;left:2204;top:8497;width:1054;height:2" coordorigin="2204,8497" coordsize="1054,0" path="m2204,8497l3257,8497e" filled="false" stroked="true" strokeweight=".48001pt" strokecolor="#000000">
                <v:path arrowok="t"/>
              </v:shape>
            </v:group>
            <v:group style="position:absolute;left:3267;top:8497;width:1055;height:2" coordorigin="3267,8497" coordsize="1055,2">
              <v:shape style="position:absolute;left:3267;top:8497;width:1055;height:2" coordorigin="3267,8497" coordsize="1055,0" path="m3267,8497l4321,8497e" filled="false" stroked="true" strokeweight=".48001pt" strokecolor="#000000">
                <v:path arrowok="t"/>
              </v:shape>
            </v:group>
            <v:group style="position:absolute;left:4331;top:8497;width:1054;height:2" coordorigin="4331,8497" coordsize="1054,2">
              <v:shape style="position:absolute;left:4331;top:8497;width:1054;height:2" coordorigin="4331,8497" coordsize="1054,0" path="m4331,8497l5384,8497e" filled="false" stroked="true" strokeweight=".48001pt" strokecolor="#000000">
                <v:path arrowok="t"/>
              </v:shape>
            </v:group>
            <v:group style="position:absolute;left:5394;top:8497;width:1052;height:2" coordorigin="5394,8497" coordsize="1052,2">
              <v:shape style="position:absolute;left:5394;top:8497;width:1052;height:2" coordorigin="5394,8497" coordsize="1052,0" path="m5394,8497l6445,8497e" filled="false" stroked="true" strokeweight=".48001pt" strokecolor="#000000">
                <v:path arrowok="t"/>
              </v:shape>
            </v:group>
            <v:group style="position:absolute;left:6455;top:8497;width:1055;height:2" coordorigin="6455,8497" coordsize="1055,2">
              <v:shape style="position:absolute;left:6455;top:8497;width:1055;height:2" coordorigin="6455,8497" coordsize="1055,0" path="m6455,8497l7509,8497e" filled="false" stroked="true" strokeweight=".48001pt" strokecolor="#000000">
                <v:path arrowok="t"/>
              </v:shape>
            </v:group>
            <v:group style="position:absolute;left:7518;top:8497;width:1054;height:2" coordorigin="7518,8497" coordsize="1054,2">
              <v:shape style="position:absolute;left:7518;top:8497;width:1054;height:2" coordorigin="7518,8497" coordsize="1054,0" path="m7518,8497l8572,8497e" filled="false" stroked="true" strokeweight=".48001pt" strokecolor="#000000">
                <v:path arrowok="t"/>
              </v:shape>
            </v:group>
            <v:group style="position:absolute;left:8581;top:8497;width:1055;height:2" coordorigin="8581,8497" coordsize="1055,2">
              <v:shape style="position:absolute;left:8581;top:8497;width:1055;height:2" coordorigin="8581,8497" coordsize="1055,0" path="m8581,8497l9635,8497e" filled="false" stroked="true" strokeweight=".48001pt" strokecolor="#000000">
                <v:path arrowok="t"/>
              </v:shape>
            </v:group>
            <v:group style="position:absolute;left:9645;top:8497;width:1054;height:2" coordorigin="9645,8497" coordsize="1054,2">
              <v:shape style="position:absolute;left:9645;top:8497;width:1054;height:2" coordorigin="9645,8497" coordsize="1054,0" path="m9645,8497l10699,8497e" filled="false" stroked="true" strokeweight=".48001pt" strokecolor="#000000">
                <v:path arrowok="t"/>
              </v:shape>
            </v:group>
            <v:group style="position:absolute;left:5394;top:9841;width:1054;height:468" coordorigin="5394,9841" coordsize="1054,468">
              <v:shape style="position:absolute;left:5394;top:9841;width:1054;height:468" coordorigin="5394,9841" coordsize="1054,468" path="m5394,10309l6447,10309,6447,9841,5394,9841,5394,10309xe" filled="true" fillcolor="#ffffff" stroked="false">
                <v:path arrowok="t"/>
                <v:fill type="solid"/>
              </v:shape>
            </v:group>
            <v:group style="position:absolute;left:1138;top:9837;width:1057;height:2" coordorigin="1138,9837" coordsize="1057,2">
              <v:shape style="position:absolute;left:1138;top:9837;width:1057;height:2" coordorigin="1138,9837" coordsize="1057,0" path="m1138,9837l2194,9837e" filled="false" stroked="true" strokeweight=".47998pt" strokecolor="#000000">
                <v:path arrowok="t"/>
              </v:shape>
            </v:group>
            <v:group style="position:absolute;left:2204;top:9837;width:1054;height:2" coordorigin="2204,9837" coordsize="1054,2">
              <v:shape style="position:absolute;left:2204;top:9837;width:1054;height:2" coordorigin="2204,9837" coordsize="1054,0" path="m2204,9837l3257,9837e" filled="false" stroked="true" strokeweight=".47998pt" strokecolor="#000000">
                <v:path arrowok="t"/>
              </v:shape>
            </v:group>
            <v:group style="position:absolute;left:3267;top:9837;width:1055;height:2" coordorigin="3267,9837" coordsize="1055,2">
              <v:shape style="position:absolute;left:3267;top:9837;width:1055;height:2" coordorigin="3267,9837" coordsize="1055,0" path="m3267,9837l4321,9837e" filled="false" stroked="true" strokeweight=".47998pt" strokecolor="#000000">
                <v:path arrowok="t"/>
              </v:shape>
            </v:group>
            <v:group style="position:absolute;left:4331;top:9837;width:1054;height:2" coordorigin="4331,9837" coordsize="1054,2">
              <v:shape style="position:absolute;left:4331;top:9837;width:1054;height:2" coordorigin="4331,9837" coordsize="1054,0" path="m4331,9837l5384,9837e" filled="false" stroked="true" strokeweight=".47998pt" strokecolor="#000000">
                <v:path arrowok="t"/>
              </v:shape>
            </v:group>
            <v:group style="position:absolute;left:5394;top:9837;width:1052;height:2" coordorigin="5394,9837" coordsize="1052,2">
              <v:shape style="position:absolute;left:5394;top:9837;width:1052;height:2" coordorigin="5394,9837" coordsize="1052,0" path="m5394,9837l6445,9837e" filled="false" stroked="true" strokeweight=".47998pt" strokecolor="#000000">
                <v:path arrowok="t"/>
              </v:shape>
            </v:group>
            <v:group style="position:absolute;left:6455;top:9837;width:1055;height:2" coordorigin="6455,9837" coordsize="1055,2">
              <v:shape style="position:absolute;left:6455;top:9837;width:1055;height:2" coordorigin="6455,9837" coordsize="1055,0" path="m6455,9837l7509,9837e" filled="false" stroked="true" strokeweight=".47998pt" strokecolor="#000000">
                <v:path arrowok="t"/>
              </v:shape>
            </v:group>
            <v:group style="position:absolute;left:7518;top:9837;width:1054;height:2" coordorigin="7518,9837" coordsize="1054,2">
              <v:shape style="position:absolute;left:7518;top:9837;width:1054;height:2" coordorigin="7518,9837" coordsize="1054,0" path="m7518,9837l8572,9837e" filled="false" stroked="true" strokeweight=".47998pt" strokecolor="#000000">
                <v:path arrowok="t"/>
              </v:shape>
            </v:group>
            <v:group style="position:absolute;left:8581;top:9837;width:1055;height:2" coordorigin="8581,9837" coordsize="1055,2">
              <v:shape style="position:absolute;left:8581;top:9837;width:1055;height:2" coordorigin="8581,9837" coordsize="1055,0" path="m8581,9837l9635,9837e" filled="false" stroked="true" strokeweight=".47998pt" strokecolor="#000000">
                <v:path arrowok="t"/>
              </v:shape>
            </v:group>
            <v:group style="position:absolute;left:9645;top:9837;width:1054;height:2" coordorigin="9645,9837" coordsize="1054,2">
              <v:shape style="position:absolute;left:9645;top:9837;width:1054;height:2" coordorigin="9645,9837" coordsize="1054,0" path="m9645,9837l10699,9837e" filled="false" stroked="true" strokeweight=".47998pt" strokecolor="#000000">
                <v:path arrowok="t"/>
              </v:shape>
            </v:group>
            <v:group style="position:absolute;left:1138;top:11173;width:1057;height:2" coordorigin="1138,11173" coordsize="1057,2">
              <v:shape style="position:absolute;left:1138;top:11173;width:1057;height:2" coordorigin="1138,11173" coordsize="1057,0" path="m1138,11173l2194,11173e" filled="false" stroked="true" strokeweight=".47998pt" strokecolor="#000000">
                <v:path arrowok="t"/>
              </v:shape>
            </v:group>
            <v:group style="position:absolute;left:2204;top:11173;width:1054;height:2" coordorigin="2204,11173" coordsize="1054,2">
              <v:shape style="position:absolute;left:2204;top:11173;width:1054;height:2" coordorigin="2204,11173" coordsize="1054,0" path="m2204,11173l3257,11173e" filled="false" stroked="true" strokeweight=".47998pt" strokecolor="#000000">
                <v:path arrowok="t"/>
              </v:shape>
            </v:group>
            <v:group style="position:absolute;left:3267;top:11173;width:1055;height:2" coordorigin="3267,11173" coordsize="1055,2">
              <v:shape style="position:absolute;left:3267;top:11173;width:1055;height:2" coordorigin="3267,11173" coordsize="1055,0" path="m3267,11173l4321,11173e" filled="false" stroked="true" strokeweight=".47998pt" strokecolor="#000000">
                <v:path arrowok="t"/>
              </v:shape>
            </v:group>
            <v:group style="position:absolute;left:4331;top:11173;width:1054;height:2" coordorigin="4331,11173" coordsize="1054,2">
              <v:shape style="position:absolute;left:4331;top:11173;width:1054;height:2" coordorigin="4331,11173" coordsize="1054,0" path="m4331,11173l5384,11173e" filled="false" stroked="true" strokeweight=".47998pt" strokecolor="#000000">
                <v:path arrowok="t"/>
              </v:shape>
            </v:group>
            <v:group style="position:absolute;left:5394;top:11173;width:1052;height:2" coordorigin="5394,11173" coordsize="1052,2">
              <v:shape style="position:absolute;left:5394;top:11173;width:1052;height:2" coordorigin="5394,11173" coordsize="1052,0" path="m5394,11173l6445,11173e" filled="false" stroked="true" strokeweight=".47998pt" strokecolor="#000000">
                <v:path arrowok="t"/>
              </v:shape>
            </v:group>
            <v:group style="position:absolute;left:6455;top:11173;width:1055;height:2" coordorigin="6455,11173" coordsize="1055,2">
              <v:shape style="position:absolute;left:6455;top:11173;width:1055;height:2" coordorigin="6455,11173" coordsize="1055,0" path="m6455,11173l7509,11173e" filled="false" stroked="true" strokeweight=".47998pt" strokecolor="#000000">
                <v:path arrowok="t"/>
              </v:shape>
            </v:group>
            <v:group style="position:absolute;left:7518;top:11173;width:1054;height:2" coordorigin="7518,11173" coordsize="1054,2">
              <v:shape style="position:absolute;left:7518;top:11173;width:1054;height:2" coordorigin="7518,11173" coordsize="1054,0" path="m7518,11173l8572,11173e" filled="false" stroked="true" strokeweight=".47998pt" strokecolor="#000000">
                <v:path arrowok="t"/>
              </v:shape>
            </v:group>
            <v:group style="position:absolute;left:8581;top:11173;width:1055;height:2" coordorigin="8581,11173" coordsize="1055,2">
              <v:shape style="position:absolute;left:8581;top:11173;width:1055;height:2" coordorigin="8581,11173" coordsize="1055,0" path="m8581,11173l9635,11173e" filled="false" stroked="true" strokeweight=".47998pt" strokecolor="#000000">
                <v:path arrowok="t"/>
              </v:shape>
            </v:group>
            <v:group style="position:absolute;left:9645;top:11173;width:1054;height:2" coordorigin="9645,11173" coordsize="1054,2">
              <v:shape style="position:absolute;left:9645;top:11173;width:1054;height:2" coordorigin="9645,11173" coordsize="1054,0" path="m9645,11173l10699,11173e" filled="false" stroked="true" strokeweight=".47998pt" strokecolor="#000000">
                <v:path arrowok="t"/>
              </v:shape>
            </v:group>
            <v:group style="position:absolute;left:1138;top:12825;width:1057;height:2" coordorigin="1138,12825" coordsize="1057,2">
              <v:shape style="position:absolute;left:1138;top:12825;width:1057;height:2" coordorigin="1138,12825" coordsize="1057,0" path="m1138,12825l2194,12825e" filled="false" stroked="true" strokeweight=".47998pt" strokecolor="#000000">
                <v:path arrowok="t"/>
              </v:shape>
            </v:group>
            <v:group style="position:absolute;left:2204;top:12825;width:1054;height:2" coordorigin="2204,12825" coordsize="1054,2">
              <v:shape style="position:absolute;left:2204;top:12825;width:1054;height:2" coordorigin="2204,12825" coordsize="1054,0" path="m2204,12825l3257,12825e" filled="false" stroked="true" strokeweight=".47998pt" strokecolor="#000000">
                <v:path arrowok="t"/>
              </v:shape>
            </v:group>
            <v:group style="position:absolute;left:3267;top:12825;width:1055;height:2" coordorigin="3267,12825" coordsize="1055,2">
              <v:shape style="position:absolute;left:3267;top:12825;width:1055;height:2" coordorigin="3267,12825" coordsize="1055,0" path="m3267,12825l4321,12825e" filled="false" stroked="true" strokeweight=".47998pt" strokecolor="#000000">
                <v:path arrowok="t"/>
              </v:shape>
            </v:group>
            <v:group style="position:absolute;left:4331;top:12825;width:1054;height:2" coordorigin="4331,12825" coordsize="1054,2">
              <v:shape style="position:absolute;left:4331;top:12825;width:1054;height:2" coordorigin="4331,12825" coordsize="1054,0" path="m4331,12825l5384,12825e" filled="false" stroked="true" strokeweight=".47998pt" strokecolor="#000000">
                <v:path arrowok="t"/>
              </v:shape>
            </v:group>
            <v:group style="position:absolute;left:5394;top:12825;width:1052;height:2" coordorigin="5394,12825" coordsize="1052,2">
              <v:shape style="position:absolute;left:5394;top:12825;width:1052;height:2" coordorigin="5394,12825" coordsize="1052,0" path="m5394,12825l6445,12825e" filled="false" stroked="true" strokeweight=".47998pt" strokecolor="#000000">
                <v:path arrowok="t"/>
              </v:shape>
            </v:group>
            <v:group style="position:absolute;left:6455;top:12825;width:1055;height:2" coordorigin="6455,12825" coordsize="1055,2">
              <v:shape style="position:absolute;left:6455;top:12825;width:1055;height:2" coordorigin="6455,12825" coordsize="1055,0" path="m6455,12825l7509,12825e" filled="false" stroked="true" strokeweight=".47998pt" strokecolor="#000000">
                <v:path arrowok="t"/>
              </v:shape>
            </v:group>
            <v:group style="position:absolute;left:7518;top:12825;width:1054;height:2" coordorigin="7518,12825" coordsize="1054,2">
              <v:shape style="position:absolute;left:7518;top:12825;width:1054;height:2" coordorigin="7518,12825" coordsize="1054,0" path="m7518,12825l8572,12825e" filled="false" stroked="true" strokeweight=".47998pt" strokecolor="#000000">
                <v:path arrowok="t"/>
              </v:shape>
            </v:group>
            <v:group style="position:absolute;left:8581;top:12825;width:1055;height:2" coordorigin="8581,12825" coordsize="1055,2">
              <v:shape style="position:absolute;left:8581;top:12825;width:1055;height:2" coordorigin="8581,12825" coordsize="1055,0" path="m8581,12825l9635,12825e" filled="false" stroked="true" strokeweight=".47998pt" strokecolor="#000000">
                <v:path arrowok="t"/>
              </v:shape>
            </v:group>
            <v:group style="position:absolute;left:9645;top:12825;width:1054;height:2" coordorigin="9645,12825" coordsize="1054,2">
              <v:shape style="position:absolute;left:9645;top:12825;width:1054;height:2" coordorigin="9645,12825" coordsize="1054,0" path="m9645,12825l10699,12825e" filled="false" stroked="true" strokeweight=".47998pt" strokecolor="#000000">
                <v:path arrowok="t"/>
              </v:shape>
            </v:group>
            <v:group style="position:absolute;left:5394;top:14479;width:1054;height:156" coordorigin="5394,14479" coordsize="1054,156">
              <v:shape style="position:absolute;left:5394;top:14479;width:1054;height:156" coordorigin="5394,14479" coordsize="1054,156" path="m5394,14635l6447,14635,6447,14479,5394,14479,5394,14635xe" filled="true" fillcolor="#ffffff" stroked="false">
                <v:path arrowok="t"/>
                <v:fill type="solid"/>
              </v:shape>
            </v:group>
            <v:group style="position:absolute;left:5406;top:14635;width:2;height:394" coordorigin="5406,14635" coordsize="2,394">
              <v:shape style="position:absolute;left:5406;top:14635;width:2;height:394" coordorigin="5406,14635" coordsize="0,394" path="m5406,14635l5406,15028e" filled="false" stroked="true" strokeweight="1.2pt" strokecolor="#ffffff">
                <v:path arrowok="t"/>
              </v:shape>
            </v:group>
            <v:group style="position:absolute;left:1138;top:14474;width:1057;height:2" coordorigin="1138,14474" coordsize="1057,2">
              <v:shape style="position:absolute;left:1138;top:14474;width:1057;height:2" coordorigin="1138,14474" coordsize="1057,0" path="m1138,14474l2194,14474e" filled="false" stroked="true" strokeweight=".48004pt" strokecolor="#000000">
                <v:path arrowok="t"/>
              </v:shape>
            </v:group>
            <v:group style="position:absolute;left:2204;top:14474;width:1054;height:2" coordorigin="2204,14474" coordsize="1054,2">
              <v:shape style="position:absolute;left:2204;top:14474;width:1054;height:2" coordorigin="2204,14474" coordsize="1054,0" path="m2204,14474l3257,14474e" filled="false" stroked="true" strokeweight=".48004pt" strokecolor="#000000">
                <v:path arrowok="t"/>
              </v:shape>
            </v:group>
            <v:group style="position:absolute;left:3267;top:14474;width:1055;height:2" coordorigin="3267,14474" coordsize="1055,2">
              <v:shape style="position:absolute;left:3267;top:14474;width:1055;height:2" coordorigin="3267,14474" coordsize="1055,0" path="m3267,14474l4321,14474e" filled="false" stroked="true" strokeweight=".48004pt" strokecolor="#000000">
                <v:path arrowok="t"/>
              </v:shape>
            </v:group>
            <v:group style="position:absolute;left:4331;top:14474;width:1054;height:2" coordorigin="4331,14474" coordsize="1054,2">
              <v:shape style="position:absolute;left:4331;top:14474;width:1054;height:2" coordorigin="4331,14474" coordsize="1054,0" path="m4331,14474l5384,14474e" filled="false" stroked="true" strokeweight=".48004pt" strokecolor="#000000">
                <v:path arrowok="t"/>
              </v:shape>
            </v:group>
            <v:group style="position:absolute;left:5394;top:14474;width:1052;height:2" coordorigin="5394,14474" coordsize="1052,2">
              <v:shape style="position:absolute;left:5394;top:14474;width:1052;height:2" coordorigin="5394,14474" coordsize="1052,0" path="m5394,14474l6445,14474e" filled="false" stroked="true" strokeweight=".48004pt" strokecolor="#000000">
                <v:path arrowok="t"/>
              </v:shape>
            </v:group>
            <v:group style="position:absolute;left:6455;top:14474;width:1055;height:2" coordorigin="6455,14474" coordsize="1055,2">
              <v:shape style="position:absolute;left:6455;top:14474;width:1055;height:2" coordorigin="6455,14474" coordsize="1055,0" path="m6455,14474l7509,14474e" filled="false" stroked="true" strokeweight=".48004pt" strokecolor="#000000">
                <v:path arrowok="t"/>
              </v:shape>
            </v:group>
            <v:group style="position:absolute;left:7518;top:14474;width:1054;height:2" coordorigin="7518,14474" coordsize="1054,2">
              <v:shape style="position:absolute;left:7518;top:14474;width:1054;height:2" coordorigin="7518,14474" coordsize="1054,0" path="m7518,14474l8572,14474e" filled="false" stroked="true" strokeweight=".48004pt" strokecolor="#000000">
                <v:path arrowok="t"/>
              </v:shape>
            </v:group>
            <v:group style="position:absolute;left:8581;top:14474;width:1055;height:2" coordorigin="8581,14474" coordsize="1055,2">
              <v:shape style="position:absolute;left:8581;top:14474;width:1055;height:2" coordorigin="8581,14474" coordsize="1055,0" path="m8581,14474l9635,14474e" filled="false" stroked="true" strokeweight=".48004pt" strokecolor="#000000">
                <v:path arrowok="t"/>
              </v:shape>
            </v:group>
            <v:group style="position:absolute;left:9645;top:14474;width:1054;height:2" coordorigin="9645,14474" coordsize="1054,2">
              <v:shape style="position:absolute;left:9645;top:14474;width:1054;height:2" coordorigin="9645,14474" coordsize="1054,0" path="m9645,14474l10699,14474e" filled="false" stroked="true" strokeweight=".48004pt" strokecolor="#000000">
                <v:path arrowok="t"/>
              </v:shape>
            </v:group>
            <v:group style="position:absolute;left:1133;top:1440;width:2;height:13754" coordorigin="1133,1440" coordsize="2,13754">
              <v:shape style="position:absolute;left:1133;top:1440;width:2;height:13754" coordorigin="1133,1440" coordsize="0,13754" path="m1133,1440l1133,15194e" filled="false" stroked="true" strokeweight=".48pt" strokecolor="#000000">
                <v:path arrowok="t"/>
              </v:shape>
            </v:group>
            <v:group style="position:absolute;left:1138;top:15189;width:1057;height:2" coordorigin="1138,15189" coordsize="1057,2">
              <v:shape style="position:absolute;left:1138;top:15189;width:1057;height:2" coordorigin="1138,15189" coordsize="1057,0" path="m1138,15189l2194,15189e" filled="false" stroked="true" strokeweight=".47998pt" strokecolor="#000000">
                <v:path arrowok="t"/>
              </v:shape>
            </v:group>
            <v:group style="position:absolute;left:2199;top:1440;width:2;height:13754" coordorigin="2199,1440" coordsize="2,13754">
              <v:shape style="position:absolute;left:2199;top:1440;width:2;height:13754" coordorigin="2199,1440" coordsize="0,13754" path="m2199,1440l2199,15194e" filled="false" stroked="true" strokeweight=".48pt" strokecolor="#000000">
                <v:path arrowok="t"/>
              </v:shape>
            </v:group>
            <v:group style="position:absolute;left:2204;top:15189;width:1054;height:2" coordorigin="2204,15189" coordsize="1054,2">
              <v:shape style="position:absolute;left:2204;top:15189;width:1054;height:2" coordorigin="2204,15189" coordsize="1054,0" path="m2204,15189l3257,15189e" filled="false" stroked="true" strokeweight=".47998pt" strokecolor="#000000">
                <v:path arrowok="t"/>
              </v:shape>
            </v:group>
            <v:group style="position:absolute;left:3262;top:1440;width:2;height:13754" coordorigin="3262,1440" coordsize="2,13754">
              <v:shape style="position:absolute;left:3262;top:1440;width:2;height:13754" coordorigin="3262,1440" coordsize="0,13754" path="m3262,1440l3262,15194e" filled="false" stroked="true" strokeweight=".48pt" strokecolor="#000000">
                <v:path arrowok="t"/>
              </v:shape>
            </v:group>
            <v:group style="position:absolute;left:3267;top:15189;width:1055;height:2" coordorigin="3267,15189" coordsize="1055,2">
              <v:shape style="position:absolute;left:3267;top:15189;width:1055;height:2" coordorigin="3267,15189" coordsize="1055,0" path="m3267,15189l4321,15189e" filled="false" stroked="true" strokeweight=".47998pt" strokecolor="#000000">
                <v:path arrowok="t"/>
              </v:shape>
            </v:group>
            <v:group style="position:absolute;left:4326;top:1440;width:2;height:13754" coordorigin="4326,1440" coordsize="2,13754">
              <v:shape style="position:absolute;left:4326;top:1440;width:2;height:13754" coordorigin="4326,1440" coordsize="0,13754" path="m4326,1440l4326,15194e" filled="false" stroked="true" strokeweight=".48pt" strokecolor="#000000">
                <v:path arrowok="t"/>
              </v:shape>
            </v:group>
            <v:group style="position:absolute;left:4331;top:15189;width:1054;height:2" coordorigin="4331,15189" coordsize="1054,2">
              <v:shape style="position:absolute;left:4331;top:15189;width:1054;height:2" coordorigin="4331,15189" coordsize="1054,0" path="m4331,15189l5384,15189e" filled="false" stroked="true" strokeweight=".47998pt" strokecolor="#000000">
                <v:path arrowok="t"/>
              </v:shape>
            </v:group>
            <v:group style="position:absolute;left:5389;top:1440;width:2;height:13754" coordorigin="5389,1440" coordsize="2,13754">
              <v:shape style="position:absolute;left:5389;top:1440;width:2;height:13754" coordorigin="5389,1440" coordsize="0,13754" path="m5389,1440l5389,15194e" filled="false" stroked="true" strokeweight=".47998pt" strokecolor="#000000">
                <v:path arrowok="t"/>
              </v:shape>
            </v:group>
            <v:group style="position:absolute;left:5394;top:15189;width:1052;height:2" coordorigin="5394,15189" coordsize="1052,2">
              <v:shape style="position:absolute;left:5394;top:15189;width:1052;height:2" coordorigin="5394,15189" coordsize="1052,0" path="m5394,15189l6445,15189e" filled="false" stroked="true" strokeweight=".47998pt" strokecolor="#000000">
                <v:path arrowok="t"/>
              </v:shape>
            </v:group>
            <v:group style="position:absolute;left:6450;top:1440;width:2;height:13754" coordorigin="6450,1440" coordsize="2,13754">
              <v:shape style="position:absolute;left:6450;top:1440;width:2;height:13754" coordorigin="6450,1440" coordsize="0,13754" path="m6450,1440l6450,15194e" filled="false" stroked="true" strokeweight=".47998pt" strokecolor="#000000">
                <v:path arrowok="t"/>
              </v:shape>
            </v:group>
            <v:group style="position:absolute;left:6455;top:15189;width:1055;height:2" coordorigin="6455,15189" coordsize="1055,2">
              <v:shape style="position:absolute;left:6455;top:15189;width:1055;height:2" coordorigin="6455,15189" coordsize="1055,0" path="m6455,15189l7509,15189e" filled="false" stroked="true" strokeweight=".47998pt" strokecolor="#000000">
                <v:path arrowok="t"/>
              </v:shape>
            </v:group>
            <v:group style="position:absolute;left:7513;top:1440;width:2;height:13754" coordorigin="7513,1440" coordsize="2,13754">
              <v:shape style="position:absolute;left:7513;top:1440;width:2;height:13754" coordorigin="7513,1440" coordsize="0,13754" path="m7513,1440l7513,15194e" filled="false" stroked="true" strokeweight=".48001pt" strokecolor="#000000">
                <v:path arrowok="t"/>
              </v:shape>
            </v:group>
            <v:group style="position:absolute;left:7518;top:15189;width:1054;height:2" coordorigin="7518,15189" coordsize="1054,2">
              <v:shape style="position:absolute;left:7518;top:15189;width:1054;height:2" coordorigin="7518,15189" coordsize="1054,0" path="m7518,15189l8572,15189e" filled="false" stroked="true" strokeweight=".47998pt" strokecolor="#000000">
                <v:path arrowok="t"/>
              </v:shape>
            </v:group>
            <v:group style="position:absolute;left:8577;top:1440;width:2;height:13754" coordorigin="8577,1440" coordsize="2,13754">
              <v:shape style="position:absolute;left:8577;top:1440;width:2;height:13754" coordorigin="8577,1440" coordsize="0,13754" path="m8577,1440l8577,15194e" filled="false" stroked="true" strokeweight=".47998pt" strokecolor="#000000">
                <v:path arrowok="t"/>
              </v:shape>
            </v:group>
            <v:group style="position:absolute;left:8581;top:15189;width:1055;height:2" coordorigin="8581,15189" coordsize="1055,2">
              <v:shape style="position:absolute;left:8581;top:15189;width:1055;height:2" coordorigin="8581,15189" coordsize="1055,0" path="m8581,15189l9635,15189e" filled="false" stroked="true" strokeweight=".47998pt" strokecolor="#000000">
                <v:path arrowok="t"/>
              </v:shape>
            </v:group>
            <v:group style="position:absolute;left:9640;top:1440;width:2;height:13754" coordorigin="9640,1440" coordsize="2,13754">
              <v:shape style="position:absolute;left:9640;top:1440;width:2;height:13754" coordorigin="9640,1440" coordsize="0,13754" path="m9640,1440l9640,15194e" filled="false" stroked="true" strokeweight=".48001pt" strokecolor="#000000">
                <v:path arrowok="t"/>
              </v:shape>
            </v:group>
            <v:group style="position:absolute;left:9645;top:15189;width:1054;height:2" coordorigin="9645,15189" coordsize="1054,2">
              <v:shape style="position:absolute;left:9645;top:15189;width:1054;height:2" coordorigin="9645,15189" coordsize="1054,0" path="m9645,15189l10699,15189e" filled="false" stroked="true" strokeweight=".47998pt" strokecolor="#000000">
                <v:path arrowok="t"/>
              </v:shape>
            </v:group>
            <v:group style="position:absolute;left:10704;top:1440;width:2;height:13754" coordorigin="10704,1440" coordsize="2,13754">
              <v:shape style="position:absolute;left:10704;top:1440;width:2;height:13754" coordorigin="10704,1440" coordsize="0,13754" path="m10704,1440l10704,15194e" filled="false" stroked="true" strokeweight=".47998pt" strokecolor="#000000">
                <v:path arrowok="t"/>
              </v:shape>
            </v:group>
            <w10:wrap type="none"/>
          </v:group>
        </w:pict>
      </w:r>
      <w:r>
        <w:rPr/>
        <w:t>产业转型升 级奖励补贴</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ind w:left="125" w:right="-19"/>
        <w:jc w:val="left"/>
      </w:pPr>
      <w:r>
        <w:rPr/>
        <w:t>宿迁经发局</w:t>
      </w:r>
      <w:r>
        <w:rPr>
          <w:spacing w:val="73"/>
        </w:rPr>
        <w:t> </w:t>
      </w:r>
      <w:r>
        <w:rPr/>
        <w:t>奖励</w:t>
      </w:r>
    </w:p>
    <w:p>
      <w:pPr>
        <w:pStyle w:val="BodyText"/>
        <w:spacing w:line="185" w:lineRule="exact" w:before="127"/>
        <w:ind w:left="181" w:right="0"/>
        <w:jc w:val="left"/>
      </w:pPr>
      <w:r>
        <w:rPr/>
        <w:br w:type="column"/>
      </w:r>
      <w:r>
        <w:rPr/>
        <w:t>因研究开发、</w:t>
      </w:r>
    </w:p>
    <w:p>
      <w:pPr>
        <w:pStyle w:val="BodyText"/>
        <w:tabs>
          <w:tab w:pos="2307" w:val="left" w:leader="none"/>
          <w:tab w:pos="4720" w:val="left" w:leader="none"/>
        </w:tabs>
        <w:spacing w:line="162" w:lineRule="exact"/>
        <w:ind w:left="1244" w:right="0"/>
        <w:jc w:val="left"/>
      </w:pPr>
      <w:r>
        <w:rPr/>
        <w:t>否</w:t>
        <w:tab/>
        <w:t>否</w:t>
        <w:tab/>
      </w:r>
      <w:r>
        <w:rPr>
          <w:rFonts w:ascii="Times New Roman" w:hAnsi="Times New Roman" w:cs="Times New Roman" w:eastAsia="Times New Roman" w:hint="default"/>
        </w:rPr>
        <w:t>50,000.00</w:t>
      </w:r>
      <w:r>
        <w:rPr>
          <w:rFonts w:ascii="Times New Roman" w:hAnsi="Times New Roman" w:cs="Times New Roman" w:eastAsia="Times New Roman" w:hint="default"/>
          <w:spacing w:val="8"/>
        </w:rPr>
        <w:t> </w:t>
      </w:r>
      <w:r>
        <w:rPr/>
        <w:t>与收益相关</w:t>
      </w:r>
    </w:p>
    <w:p>
      <w:pPr>
        <w:pStyle w:val="BodyText"/>
        <w:spacing w:line="199" w:lineRule="exact"/>
        <w:ind w:left="181" w:right="5472"/>
        <w:jc w:val="left"/>
      </w:pPr>
      <w:r>
        <w:rPr/>
        <w:t>技术更新及</w:t>
      </w:r>
    </w:p>
    <w:p>
      <w:pPr>
        <w:spacing w:after="0" w:line="199" w:lineRule="exact"/>
        <w:jc w:val="left"/>
        <w:sectPr>
          <w:type w:val="continuous"/>
          <w:pgSz w:w="11910" w:h="16840"/>
          <w:pgMar w:top="1060" w:bottom="1160" w:left="980" w:right="980"/>
          <w:cols w:num="3" w:equalWidth="0">
            <w:col w:w="1082" w:space="40"/>
            <w:col w:w="1550" w:space="522"/>
            <w:col w:w="6756"/>
          </w:cols>
        </w:sectPr>
      </w:pPr>
    </w:p>
    <w:p>
      <w:pPr>
        <w:spacing w:line="240" w:lineRule="auto" w:before="2"/>
        <w:rPr>
          <w:rFonts w:ascii="宋体" w:hAnsi="宋体" w:cs="宋体" w:eastAsia="宋体" w:hint="default"/>
          <w:sz w:val="28"/>
          <w:szCs w:val="28"/>
        </w:rPr>
      </w:pPr>
    </w:p>
    <w:p>
      <w:pPr>
        <w:spacing w:line="6759" w:lineRule="exact"/>
        <w:ind w:left="148" w:right="0" w:firstLine="0"/>
        <w:rPr>
          <w:rFonts w:ascii="宋体" w:hAnsi="宋体" w:cs="宋体" w:eastAsia="宋体" w:hint="default"/>
          <w:sz w:val="20"/>
          <w:szCs w:val="20"/>
        </w:rPr>
      </w:pPr>
      <w:r>
        <w:rPr>
          <w:rFonts w:ascii="宋体" w:hAnsi="宋体" w:cs="宋体" w:eastAsia="宋体" w:hint="default"/>
          <w:position w:val="-134"/>
          <w:sz w:val="20"/>
          <w:szCs w:val="20"/>
        </w:rPr>
        <w:pict>
          <v:group style="width:479.05pt;height:338pt;mso-position-horizontal-relative:char;mso-position-vertical-relative:line" coordorigin="0,0" coordsize="9581,6760">
            <v:group style="position:absolute;left:10;top:10;width:1057;height:2" coordorigin="10,10" coordsize="1057,2">
              <v:shape style="position:absolute;left:10;top:10;width:1057;height:2" coordorigin="10,10" coordsize="1057,0" path="m10,10l1066,10e" filled="false" stroked="true" strokeweight=".48pt" strokecolor="#000000">
                <v:path arrowok="t"/>
              </v:shape>
            </v:group>
            <v:group style="position:absolute;left:1076;top:10;width:1054;height:2" coordorigin="1076,10" coordsize="1054,2">
              <v:shape style="position:absolute;left:1076;top:10;width:1054;height:2" coordorigin="1076,10" coordsize="1054,0" path="m1076,10l2129,10e" filled="false" stroked="true" strokeweight=".48pt" strokecolor="#000000">
                <v:path arrowok="t"/>
              </v:shape>
            </v:group>
            <v:group style="position:absolute;left:2139;top:10;width:1055;height:2" coordorigin="2139,10" coordsize="1055,2">
              <v:shape style="position:absolute;left:2139;top:10;width:1055;height:2" coordorigin="2139,10" coordsize="1055,0" path="m2139,10l3193,10e" filled="false" stroked="true" strokeweight=".48pt" strokecolor="#000000">
                <v:path arrowok="t"/>
              </v:shape>
            </v:group>
            <v:group style="position:absolute;left:3203;top:10;width:1054;height:2" coordorigin="3203,10" coordsize="1054,2">
              <v:shape style="position:absolute;left:3203;top:10;width:1054;height:2" coordorigin="3203,10" coordsize="1054,0" path="m3203,10l4256,10e" filled="false" stroked="true" strokeweight=".48pt" strokecolor="#000000">
                <v:path arrowok="t"/>
              </v:shape>
            </v:group>
            <v:group style="position:absolute;left:4266;top:10;width:1052;height:2" coordorigin="4266,10" coordsize="1052,2">
              <v:shape style="position:absolute;left:4266;top:10;width:1052;height:2" coordorigin="4266,10" coordsize="1052,0" path="m4266,10l5317,10e" filled="false" stroked="true" strokeweight=".48pt" strokecolor="#000000">
                <v:path arrowok="t"/>
              </v:shape>
            </v:group>
            <v:group style="position:absolute;left:5327;top:10;width:1055;height:2" coordorigin="5327,10" coordsize="1055,2">
              <v:shape style="position:absolute;left:5327;top:10;width:1055;height:2" coordorigin="5327,10" coordsize="1055,0" path="m5327,10l6381,10e" filled="false" stroked="true" strokeweight=".48pt" strokecolor="#000000">
                <v:path arrowok="t"/>
              </v:shape>
            </v:group>
            <v:group style="position:absolute;left:6390;top:10;width:1054;height:2" coordorigin="6390,10" coordsize="1054,2">
              <v:shape style="position:absolute;left:6390;top:10;width:1054;height:2" coordorigin="6390,10" coordsize="1054,0" path="m6390,10l7444,10e" filled="false" stroked="true" strokeweight=".48pt" strokecolor="#000000">
                <v:path arrowok="t"/>
              </v:shape>
            </v:group>
            <v:group style="position:absolute;left:7453;top:10;width:1055;height:2" coordorigin="7453,10" coordsize="1055,2">
              <v:shape style="position:absolute;left:7453;top:10;width:1055;height:2" coordorigin="7453,10" coordsize="1055,0" path="m7453,10l8507,10e" filled="false" stroked="true" strokeweight=".48pt" strokecolor="#000000">
                <v:path arrowok="t"/>
              </v:shape>
            </v:group>
            <v:group style="position:absolute;left:8517;top:10;width:1054;height:2" coordorigin="8517,10" coordsize="1054,2">
              <v:shape style="position:absolute;left:8517;top:10;width:1054;height:2" coordorigin="8517,10" coordsize="1054,0" path="m8517,10l9571,10e" filled="false" stroked="true" strokeweight=".48pt" strokecolor="#000000">
                <v:path arrowok="t"/>
              </v:shape>
            </v:group>
            <v:group style="position:absolute;left:4266;top:689;width:1054;height:468" coordorigin="4266,689" coordsize="1054,468">
              <v:shape style="position:absolute;left:4266;top:689;width:1054;height:468" coordorigin="4266,689" coordsize="1054,468" path="m4266,1157l5319,1157,5319,689,4266,689,4266,1157xe" filled="true" fillcolor="#ffffff" stroked="false">
                <v:path arrowok="t"/>
                <v:fill type="solid"/>
              </v:shape>
            </v:group>
            <v:group style="position:absolute;left:10;top:684;width:1057;height:2" coordorigin="10,684" coordsize="1057,2">
              <v:shape style="position:absolute;left:10;top:684;width:1057;height:2" coordorigin="10,684" coordsize="1057,0" path="m10,684l1066,684e" filled="false" stroked="true" strokeweight=".48pt" strokecolor="#000000">
                <v:path arrowok="t"/>
              </v:shape>
            </v:group>
            <v:group style="position:absolute;left:1076;top:684;width:1054;height:2" coordorigin="1076,684" coordsize="1054,2">
              <v:shape style="position:absolute;left:1076;top:684;width:1054;height:2" coordorigin="1076,684" coordsize="1054,0" path="m1076,684l2129,684e" filled="false" stroked="true" strokeweight=".48pt" strokecolor="#000000">
                <v:path arrowok="t"/>
              </v:shape>
            </v:group>
            <v:group style="position:absolute;left:2139;top:684;width:1055;height:2" coordorigin="2139,684" coordsize="1055,2">
              <v:shape style="position:absolute;left:2139;top:684;width:1055;height:2" coordorigin="2139,684" coordsize="1055,0" path="m2139,684l3193,684e" filled="false" stroked="true" strokeweight=".48pt" strokecolor="#000000">
                <v:path arrowok="t"/>
              </v:shape>
            </v:group>
            <v:group style="position:absolute;left:3203;top:684;width:1054;height:2" coordorigin="3203,684" coordsize="1054,2">
              <v:shape style="position:absolute;left:3203;top:684;width:1054;height:2" coordorigin="3203,684" coordsize="1054,0" path="m3203,684l4256,684e" filled="false" stroked="true" strokeweight=".48pt" strokecolor="#000000">
                <v:path arrowok="t"/>
              </v:shape>
            </v:group>
            <v:group style="position:absolute;left:4266;top:684;width:1052;height:2" coordorigin="4266,684" coordsize="1052,2">
              <v:shape style="position:absolute;left:4266;top:684;width:1052;height:2" coordorigin="4266,684" coordsize="1052,0" path="m4266,684l5317,684e" filled="false" stroked="true" strokeweight=".48pt" strokecolor="#000000">
                <v:path arrowok="t"/>
              </v:shape>
            </v:group>
            <v:group style="position:absolute;left:5327;top:684;width:1055;height:2" coordorigin="5327,684" coordsize="1055,2">
              <v:shape style="position:absolute;left:5327;top:684;width:1055;height:2" coordorigin="5327,684" coordsize="1055,0" path="m5327,684l6381,684e" filled="false" stroked="true" strokeweight=".48pt" strokecolor="#000000">
                <v:path arrowok="t"/>
              </v:shape>
            </v:group>
            <v:group style="position:absolute;left:6390;top:684;width:1054;height:2" coordorigin="6390,684" coordsize="1054,2">
              <v:shape style="position:absolute;left:6390;top:684;width:1054;height:2" coordorigin="6390,684" coordsize="1054,0" path="m6390,684l7444,684e" filled="false" stroked="true" strokeweight=".48pt" strokecolor="#000000">
                <v:path arrowok="t"/>
              </v:shape>
            </v:group>
            <v:group style="position:absolute;left:7453;top:684;width:1055;height:2" coordorigin="7453,684" coordsize="1055,2">
              <v:shape style="position:absolute;left:7453;top:684;width:1055;height:2" coordorigin="7453,684" coordsize="1055,0" path="m7453,684l8507,684e" filled="false" stroked="true" strokeweight=".48pt" strokecolor="#000000">
                <v:path arrowok="t"/>
              </v:shape>
            </v:group>
            <v:group style="position:absolute;left:8517;top:684;width:1054;height:2" coordorigin="8517,684" coordsize="1054,2">
              <v:shape style="position:absolute;left:8517;top:684;width:1054;height:2" coordorigin="8517,684" coordsize="1054,0" path="m8517,684l9571,684e" filled="false" stroked="true" strokeweight=".48pt" strokecolor="#000000">
                <v:path arrowok="t"/>
              </v:shape>
            </v:group>
            <v:group style="position:absolute;left:4266;top:2026;width:1054;height:468" coordorigin="4266,2026" coordsize="1054,468">
              <v:shape style="position:absolute;left:4266;top:2026;width:1054;height:468" coordorigin="4266,2026" coordsize="1054,468" path="m4266,2494l5319,2494,5319,2026,4266,2026,4266,2494xe" filled="true" fillcolor="#ffffff" stroked="false">
                <v:path arrowok="t"/>
                <v:fill type="solid"/>
              </v:shape>
            </v:group>
            <v:group style="position:absolute;left:10;top:2021;width:1057;height:2" coordorigin="10,2021" coordsize="1057,2">
              <v:shape style="position:absolute;left:10;top:2021;width:1057;height:2" coordorigin="10,2021" coordsize="1057,0" path="m10,2021l1066,2021e" filled="false" stroked="true" strokeweight=".48pt" strokecolor="#000000">
                <v:path arrowok="t"/>
              </v:shape>
            </v:group>
            <v:group style="position:absolute;left:1076;top:2021;width:1054;height:2" coordorigin="1076,2021" coordsize="1054,2">
              <v:shape style="position:absolute;left:1076;top:2021;width:1054;height:2" coordorigin="1076,2021" coordsize="1054,0" path="m1076,2021l2129,2021e" filled="false" stroked="true" strokeweight=".48pt" strokecolor="#000000">
                <v:path arrowok="t"/>
              </v:shape>
            </v:group>
            <v:group style="position:absolute;left:2139;top:2021;width:1055;height:2" coordorigin="2139,2021" coordsize="1055,2">
              <v:shape style="position:absolute;left:2139;top:2021;width:1055;height:2" coordorigin="2139,2021" coordsize="1055,0" path="m2139,2021l3193,2021e" filled="false" stroked="true" strokeweight=".48pt" strokecolor="#000000">
                <v:path arrowok="t"/>
              </v:shape>
            </v:group>
            <v:group style="position:absolute;left:3203;top:2021;width:1054;height:2" coordorigin="3203,2021" coordsize="1054,2">
              <v:shape style="position:absolute;left:3203;top:2021;width:1054;height:2" coordorigin="3203,2021" coordsize="1054,0" path="m3203,2021l4256,2021e" filled="false" stroked="true" strokeweight=".48pt" strokecolor="#000000">
                <v:path arrowok="t"/>
              </v:shape>
            </v:group>
            <v:group style="position:absolute;left:4266;top:2021;width:1052;height:2" coordorigin="4266,2021" coordsize="1052,2">
              <v:shape style="position:absolute;left:4266;top:2021;width:1052;height:2" coordorigin="4266,2021" coordsize="1052,0" path="m4266,2021l5317,2021e" filled="false" stroked="true" strokeweight=".48pt" strokecolor="#000000">
                <v:path arrowok="t"/>
              </v:shape>
            </v:group>
            <v:group style="position:absolute;left:5327;top:2021;width:1055;height:2" coordorigin="5327,2021" coordsize="1055,2">
              <v:shape style="position:absolute;left:5327;top:2021;width:1055;height:2" coordorigin="5327,2021" coordsize="1055,0" path="m5327,2021l6381,2021e" filled="false" stroked="true" strokeweight=".48pt" strokecolor="#000000">
                <v:path arrowok="t"/>
              </v:shape>
            </v:group>
            <v:group style="position:absolute;left:6390;top:2021;width:1054;height:2" coordorigin="6390,2021" coordsize="1054,2">
              <v:shape style="position:absolute;left:6390;top:2021;width:1054;height:2" coordorigin="6390,2021" coordsize="1054,0" path="m6390,2021l7444,2021e" filled="false" stroked="true" strokeweight=".48pt" strokecolor="#000000">
                <v:path arrowok="t"/>
              </v:shape>
            </v:group>
            <v:group style="position:absolute;left:7453;top:2021;width:1055;height:2" coordorigin="7453,2021" coordsize="1055,2">
              <v:shape style="position:absolute;left:7453;top:2021;width:1055;height:2" coordorigin="7453,2021" coordsize="1055,0" path="m7453,2021l8507,2021e" filled="false" stroked="true" strokeweight=".48pt" strokecolor="#000000">
                <v:path arrowok="t"/>
              </v:shape>
            </v:group>
            <v:group style="position:absolute;left:8517;top:2021;width:1054;height:2" coordorigin="8517,2021" coordsize="1054,2">
              <v:shape style="position:absolute;left:8517;top:2021;width:1054;height:2" coordorigin="8517,2021" coordsize="1054,0" path="m8517,2021l9571,2021e" filled="false" stroked="true" strokeweight=".48pt" strokecolor="#000000">
                <v:path arrowok="t"/>
              </v:shape>
            </v:group>
            <v:group style="position:absolute;left:4266;top:3365;width:1054;height:468" coordorigin="4266,3365" coordsize="1054,468">
              <v:shape style="position:absolute;left:4266;top:3365;width:1054;height:468" coordorigin="4266,3365" coordsize="1054,468" path="m4266,3833l5319,3833,5319,3365,4266,3365,4266,3833xe" filled="true" fillcolor="#ffffff" stroked="false">
                <v:path arrowok="t"/>
                <v:fill type="solid"/>
              </v:shape>
            </v:group>
            <v:group style="position:absolute;left:10;top:3360;width:1057;height:2" coordorigin="10,3360" coordsize="1057,2">
              <v:shape style="position:absolute;left:10;top:3360;width:1057;height:2" coordorigin="10,3360" coordsize="1057,0" path="m10,3360l1066,3360e" filled="false" stroked="true" strokeweight=".48pt" strokecolor="#000000">
                <v:path arrowok="t"/>
              </v:shape>
            </v:group>
            <v:group style="position:absolute;left:1076;top:3360;width:1054;height:2" coordorigin="1076,3360" coordsize="1054,2">
              <v:shape style="position:absolute;left:1076;top:3360;width:1054;height:2" coordorigin="1076,3360" coordsize="1054,0" path="m1076,3360l2129,3360e" filled="false" stroked="true" strokeweight=".48pt" strokecolor="#000000">
                <v:path arrowok="t"/>
              </v:shape>
            </v:group>
            <v:group style="position:absolute;left:2139;top:3360;width:1055;height:2" coordorigin="2139,3360" coordsize="1055,2">
              <v:shape style="position:absolute;left:2139;top:3360;width:1055;height:2" coordorigin="2139,3360" coordsize="1055,0" path="m2139,3360l3193,3360e" filled="false" stroked="true" strokeweight=".48pt" strokecolor="#000000">
                <v:path arrowok="t"/>
              </v:shape>
            </v:group>
            <v:group style="position:absolute;left:3203;top:3360;width:1054;height:2" coordorigin="3203,3360" coordsize="1054,2">
              <v:shape style="position:absolute;left:3203;top:3360;width:1054;height:2" coordorigin="3203,3360" coordsize="1054,0" path="m3203,3360l4256,3360e" filled="false" stroked="true" strokeweight=".48pt" strokecolor="#000000">
                <v:path arrowok="t"/>
              </v:shape>
            </v:group>
            <v:group style="position:absolute;left:4266;top:3360;width:1052;height:2" coordorigin="4266,3360" coordsize="1052,2">
              <v:shape style="position:absolute;left:4266;top:3360;width:1052;height:2" coordorigin="4266,3360" coordsize="1052,0" path="m4266,3360l5317,3360e" filled="false" stroked="true" strokeweight=".48pt" strokecolor="#000000">
                <v:path arrowok="t"/>
              </v:shape>
            </v:group>
            <v:group style="position:absolute;left:5327;top:3360;width:1055;height:2" coordorigin="5327,3360" coordsize="1055,2">
              <v:shape style="position:absolute;left:5327;top:3360;width:1055;height:2" coordorigin="5327,3360" coordsize="1055,0" path="m5327,3360l6381,3360e" filled="false" stroked="true" strokeweight=".48pt" strokecolor="#000000">
                <v:path arrowok="t"/>
              </v:shape>
            </v:group>
            <v:group style="position:absolute;left:6390;top:3360;width:1054;height:2" coordorigin="6390,3360" coordsize="1054,2">
              <v:shape style="position:absolute;left:6390;top:3360;width:1054;height:2" coordorigin="6390,3360" coordsize="1054,0" path="m6390,3360l7444,3360e" filled="false" stroked="true" strokeweight=".48pt" strokecolor="#000000">
                <v:path arrowok="t"/>
              </v:shape>
            </v:group>
            <v:group style="position:absolute;left:7453;top:3360;width:1055;height:2" coordorigin="7453,3360" coordsize="1055,2">
              <v:shape style="position:absolute;left:7453;top:3360;width:1055;height:2" coordorigin="7453,3360" coordsize="1055,0" path="m7453,3360l8507,3360e" filled="false" stroked="true" strokeweight=".48pt" strokecolor="#000000">
                <v:path arrowok="t"/>
              </v:shape>
            </v:group>
            <v:group style="position:absolute;left:8517;top:3360;width:1054;height:2" coordorigin="8517,3360" coordsize="1054,2">
              <v:shape style="position:absolute;left:8517;top:3360;width:1054;height:2" coordorigin="8517,3360" coordsize="1054,0" path="m8517,3360l9571,3360e" filled="false" stroked="true" strokeweight=".48pt" strokecolor="#000000">
                <v:path arrowok="t"/>
              </v:shape>
            </v:group>
            <v:group style="position:absolute;left:4266;top:4703;width:1054;height:468" coordorigin="4266,4703" coordsize="1054,468">
              <v:shape style="position:absolute;left:4266;top:4703;width:1054;height:468" coordorigin="4266,4703" coordsize="1054,468" path="m4266,5171l5319,5171,5319,4703,4266,4703,4266,5171xe" filled="true" fillcolor="#ffffff" stroked="false">
                <v:path arrowok="t"/>
                <v:fill type="solid"/>
              </v:shape>
            </v:group>
            <v:group style="position:absolute;left:10;top:4698;width:1057;height:2" coordorigin="10,4698" coordsize="1057,2">
              <v:shape style="position:absolute;left:10;top:4698;width:1057;height:2" coordorigin="10,4698" coordsize="1057,0" path="m10,4698l1066,4698e" filled="false" stroked="true" strokeweight=".48001pt" strokecolor="#000000">
                <v:path arrowok="t"/>
              </v:shape>
            </v:group>
            <v:group style="position:absolute;left:1076;top:4698;width:1054;height:2" coordorigin="1076,4698" coordsize="1054,2">
              <v:shape style="position:absolute;left:1076;top:4698;width:1054;height:2" coordorigin="1076,4698" coordsize="1054,0" path="m1076,4698l2129,4698e" filled="false" stroked="true" strokeweight=".48001pt" strokecolor="#000000">
                <v:path arrowok="t"/>
              </v:shape>
            </v:group>
            <v:group style="position:absolute;left:2139;top:4698;width:1055;height:2" coordorigin="2139,4698" coordsize="1055,2">
              <v:shape style="position:absolute;left:2139;top:4698;width:1055;height:2" coordorigin="2139,4698" coordsize="1055,0" path="m2139,4698l3193,4698e" filled="false" stroked="true" strokeweight=".48001pt" strokecolor="#000000">
                <v:path arrowok="t"/>
              </v:shape>
            </v:group>
            <v:group style="position:absolute;left:3203;top:4698;width:1054;height:2" coordorigin="3203,4698" coordsize="1054,2">
              <v:shape style="position:absolute;left:3203;top:4698;width:1054;height:2" coordorigin="3203,4698" coordsize="1054,0" path="m3203,4698l4256,4698e" filled="false" stroked="true" strokeweight=".48001pt" strokecolor="#000000">
                <v:path arrowok="t"/>
              </v:shape>
            </v:group>
            <v:group style="position:absolute;left:4266;top:4698;width:1052;height:2" coordorigin="4266,4698" coordsize="1052,2">
              <v:shape style="position:absolute;left:4266;top:4698;width:1052;height:2" coordorigin="4266,4698" coordsize="1052,0" path="m4266,4698l5317,4698e" filled="false" stroked="true" strokeweight=".48001pt" strokecolor="#000000">
                <v:path arrowok="t"/>
              </v:shape>
            </v:group>
            <v:group style="position:absolute;left:5327;top:4698;width:1055;height:2" coordorigin="5327,4698" coordsize="1055,2">
              <v:shape style="position:absolute;left:5327;top:4698;width:1055;height:2" coordorigin="5327,4698" coordsize="1055,0" path="m5327,4698l6381,4698e" filled="false" stroked="true" strokeweight=".48001pt" strokecolor="#000000">
                <v:path arrowok="t"/>
              </v:shape>
            </v:group>
            <v:group style="position:absolute;left:6390;top:4698;width:1054;height:2" coordorigin="6390,4698" coordsize="1054,2">
              <v:shape style="position:absolute;left:6390;top:4698;width:1054;height:2" coordorigin="6390,4698" coordsize="1054,0" path="m6390,4698l7444,4698e" filled="false" stroked="true" strokeweight=".48001pt" strokecolor="#000000">
                <v:path arrowok="t"/>
              </v:shape>
            </v:group>
            <v:group style="position:absolute;left:7453;top:4698;width:1055;height:2" coordorigin="7453,4698" coordsize="1055,2">
              <v:shape style="position:absolute;left:7453;top:4698;width:1055;height:2" coordorigin="7453,4698" coordsize="1055,0" path="m7453,4698l8507,4698e" filled="false" stroked="true" strokeweight=".48001pt" strokecolor="#000000">
                <v:path arrowok="t"/>
              </v:shape>
            </v:group>
            <v:group style="position:absolute;left:8517;top:4698;width:1054;height:2" coordorigin="8517,4698" coordsize="1054,2">
              <v:shape style="position:absolute;left:8517;top:4698;width:1054;height:2" coordorigin="8517,4698" coordsize="1054,0" path="m8517,4698l9571,4698e" filled="false" stroked="true" strokeweight=".48001pt" strokecolor="#000000">
                <v:path arrowok="t"/>
              </v:shape>
            </v:group>
            <v:group style="position:absolute;left:12;top:6042;width:1055;height:156" coordorigin="12,6042" coordsize="1055,156">
              <v:shape style="position:absolute;left:12;top:6042;width:1055;height:156" coordorigin="12,6042" coordsize="1055,156" path="m12,6198l1066,6198,1066,6042,12,6042,12,6198xe" filled="true" fillcolor="#d2d2d2" stroked="false">
                <v:path arrowok="t"/>
                <v:fill type="solid"/>
              </v:shape>
            </v:group>
            <v:group style="position:absolute;left:23;top:6198;width:2;height:392" coordorigin="23,6198" coordsize="2,392">
              <v:shape style="position:absolute;left:23;top:6198;width:2;height:392" coordorigin="23,6198" coordsize="0,392" path="m23,6198l23,6589e" filled="false" stroked="true" strokeweight="1.08pt" strokecolor="#d2d2d2">
                <v:path arrowok="t"/>
              </v:shape>
            </v:group>
            <v:group style="position:absolute;left:1055;top:6198;width:2;height:392" coordorigin="1055,6198" coordsize="2,392">
              <v:shape style="position:absolute;left:1055;top:6198;width:2;height:392" coordorigin="1055,6198" coordsize="0,392" path="m1055,6198l1055,6589e" filled="false" stroked="true" strokeweight="1.08pt" strokecolor="#d2d2d2">
                <v:path arrowok="t"/>
              </v:shape>
            </v:group>
            <v:group style="position:absolute;left:12;top:6589;width:1055;height:156" coordorigin="12,6589" coordsize="1055,156">
              <v:shape style="position:absolute;left:12;top:6589;width:1055;height:156" coordorigin="12,6589" coordsize="1055,156" path="m12,6745l1066,6745,1066,6589,12,6589,12,6745xe" filled="true" fillcolor="#d2d2d2" stroked="false">
                <v:path arrowok="t"/>
                <v:fill type="solid"/>
              </v:shape>
            </v:group>
            <v:group style="position:absolute;left:34;top:6198;width:1011;height:392" coordorigin="34,6198" coordsize="1011,392">
              <v:shape style="position:absolute;left:34;top:6198;width:1011;height:392" coordorigin="34,6198" coordsize="1011,392" path="m34,6589l1044,6589,1044,6198,34,6198,34,6589xe" filled="true" fillcolor="#d2d2d2" stroked="false">
                <v:path arrowok="t"/>
                <v:fill type="solid"/>
              </v:shape>
            </v:group>
            <v:group style="position:absolute;left:1076;top:6042;width:1054;height:156" coordorigin="1076,6042" coordsize="1054,156">
              <v:shape style="position:absolute;left:1076;top:6042;width:1054;height:156" coordorigin="1076,6042" coordsize="1054,156" path="m1076,6198l2129,6198,2129,6042,1076,6042,1076,6198xe" filled="true" fillcolor="#d2d2d2" stroked="false">
                <v:path arrowok="t"/>
                <v:fill type="solid"/>
              </v:shape>
            </v:group>
            <v:group style="position:absolute;left:1088;top:6198;width:2;height:392" coordorigin="1088,6198" coordsize="2,392">
              <v:shape style="position:absolute;left:1088;top:6198;width:2;height:392" coordorigin="1088,6198" coordsize="0,392" path="m1088,6198l1088,6589e" filled="false" stroked="true" strokeweight="1.2pt" strokecolor="#d2d2d2">
                <v:path arrowok="t"/>
              </v:shape>
            </v:group>
            <v:group style="position:absolute;left:2117;top:6198;width:2;height:392" coordorigin="2117,6198" coordsize="2,392">
              <v:shape style="position:absolute;left:2117;top:6198;width:2;height:392" coordorigin="2117,6198" coordsize="0,392" path="m2117,6198l2117,6589e" filled="false" stroked="true" strokeweight="1.2pt" strokecolor="#d2d2d2">
                <v:path arrowok="t"/>
              </v:shape>
            </v:group>
            <v:group style="position:absolute;left:1076;top:6589;width:1054;height:156" coordorigin="1076,6589" coordsize="1054,156">
              <v:shape style="position:absolute;left:1076;top:6589;width:1054;height:156" coordorigin="1076,6589" coordsize="1054,156" path="m1076,6745l2129,6745,2129,6589,1076,6589,1076,6745xe" filled="true" fillcolor="#d2d2d2" stroked="false">
                <v:path arrowok="t"/>
                <v:fill type="solid"/>
              </v:shape>
            </v:group>
            <v:group style="position:absolute;left:1100;top:6198;width:1006;height:392" coordorigin="1100,6198" coordsize="1006,392">
              <v:shape style="position:absolute;left:1100;top:6198;width:1006;height:392" coordorigin="1100,6198" coordsize="1006,392" path="m1100,6589l2105,6589,2105,6198,1100,6198,1100,6589xe" filled="true" fillcolor="#d2d2d2" stroked="false">
                <v:path arrowok="t"/>
                <v:fill type="solid"/>
              </v:shape>
            </v:group>
            <v:group style="position:absolute;left:2139;top:6042;width:1055;height:156" coordorigin="2139,6042" coordsize="1055,156">
              <v:shape style="position:absolute;left:2139;top:6042;width:1055;height:156" coordorigin="2139,6042" coordsize="1055,156" path="m2139,6198l3193,6198,3193,6042,2139,6042,2139,6198xe" filled="true" fillcolor="#d2d2d2" stroked="false">
                <v:path arrowok="t"/>
                <v:fill type="solid"/>
              </v:shape>
            </v:group>
            <v:group style="position:absolute;left:2151;top:6198;width:2;height:392" coordorigin="2151,6198" coordsize="2,392">
              <v:shape style="position:absolute;left:2151;top:6198;width:2;height:392" coordorigin="2151,6198" coordsize="0,392" path="m2151,6198l2151,6589e" filled="false" stroked="true" strokeweight="1.2pt" strokecolor="#d2d2d2">
                <v:path arrowok="t"/>
              </v:shape>
            </v:group>
            <v:group style="position:absolute;left:3181;top:6198;width:2;height:392" coordorigin="3181,6198" coordsize="2,392">
              <v:shape style="position:absolute;left:3181;top:6198;width:2;height:392" coordorigin="3181,6198" coordsize="0,392" path="m3181,6198l3181,6589e" filled="false" stroked="true" strokeweight="1.2pt" strokecolor="#d2d2d2">
                <v:path arrowok="t"/>
              </v:shape>
            </v:group>
            <v:group style="position:absolute;left:2139;top:6589;width:1055;height:156" coordorigin="2139,6589" coordsize="1055,156">
              <v:shape style="position:absolute;left:2139;top:6589;width:1055;height:156" coordorigin="2139,6589" coordsize="1055,156" path="m2139,6745l3193,6745,3193,6589,2139,6589,2139,6745xe" filled="true" fillcolor="#d2d2d2" stroked="false">
                <v:path arrowok="t"/>
                <v:fill type="solid"/>
              </v:shape>
            </v:group>
            <v:group style="position:absolute;left:2163;top:6198;width:1007;height:392" coordorigin="2163,6198" coordsize="1007,392">
              <v:shape style="position:absolute;left:2163;top:6198;width:1007;height:392" coordorigin="2163,6198" coordsize="1007,392" path="m2163,6589l3169,6589,3169,6198,2163,6198,2163,6589xe" filled="true" fillcolor="#d2d2d2" stroked="false">
                <v:path arrowok="t"/>
                <v:fill type="solid"/>
              </v:shape>
            </v:group>
            <v:group style="position:absolute;left:3203;top:6042;width:1054;height:156" coordorigin="3203,6042" coordsize="1054,156">
              <v:shape style="position:absolute;left:3203;top:6042;width:1054;height:156" coordorigin="3203,6042" coordsize="1054,156" path="m3203,6198l4256,6198,4256,6042,3203,6042,3203,6198xe" filled="true" fillcolor="#d2d2d2" stroked="false">
                <v:path arrowok="t"/>
                <v:fill type="solid"/>
              </v:shape>
            </v:group>
            <v:group style="position:absolute;left:3215;top:6198;width:2;height:392" coordorigin="3215,6198" coordsize="2,392">
              <v:shape style="position:absolute;left:3215;top:6198;width:2;height:392" coordorigin="3215,6198" coordsize="0,392" path="m3215,6198l3215,6589e" filled="false" stroked="true" strokeweight="1.2pt" strokecolor="#d2d2d2">
                <v:path arrowok="t"/>
              </v:shape>
            </v:group>
            <v:group style="position:absolute;left:4244;top:6198;width:2;height:392" coordorigin="4244,6198" coordsize="2,392">
              <v:shape style="position:absolute;left:4244;top:6198;width:2;height:392" coordorigin="4244,6198" coordsize="0,392" path="m4244,6198l4244,6589e" filled="false" stroked="true" strokeweight="1.2pt" strokecolor="#d2d2d2">
                <v:path arrowok="t"/>
              </v:shape>
            </v:group>
            <v:group style="position:absolute;left:3203;top:6589;width:1054;height:156" coordorigin="3203,6589" coordsize="1054,156">
              <v:shape style="position:absolute;left:3203;top:6589;width:1054;height:156" coordorigin="3203,6589" coordsize="1054,156" path="m3203,6745l4256,6745,4256,6589,3203,6589,3203,6745xe" filled="true" fillcolor="#d2d2d2" stroked="false">
                <v:path arrowok="t"/>
                <v:fill type="solid"/>
              </v:shape>
            </v:group>
            <v:group style="position:absolute;left:3227;top:6198;width:1006;height:392" coordorigin="3227,6198" coordsize="1006,392">
              <v:shape style="position:absolute;left:3227;top:6198;width:1006;height:392" coordorigin="3227,6198" coordsize="1006,392" path="m3227,6589l4232,6589,4232,6198,3227,6198,3227,6589xe" filled="true" fillcolor="#d2d2d2" stroked="false">
                <v:path arrowok="t"/>
                <v:fill type="solid"/>
              </v:shape>
            </v:group>
            <v:group style="position:absolute;left:4266;top:6042;width:1054;height:156" coordorigin="4266,6042" coordsize="1054,156">
              <v:shape style="position:absolute;left:4266;top:6042;width:1054;height:156" coordorigin="4266,6042" coordsize="1054,156" path="m4266,6198l5319,6198,5319,6042,4266,6042,4266,6198xe" filled="true" fillcolor="#d2d2d2" stroked="false">
                <v:path arrowok="t"/>
                <v:fill type="solid"/>
              </v:shape>
            </v:group>
            <v:group style="position:absolute;left:4278;top:6198;width:2;height:392" coordorigin="4278,6198" coordsize="2,392">
              <v:shape style="position:absolute;left:4278;top:6198;width:2;height:392" coordorigin="4278,6198" coordsize="0,392" path="m4278,6198l4278,6589e" filled="false" stroked="true" strokeweight="1.2pt" strokecolor="#d2d2d2">
                <v:path arrowok="t"/>
              </v:shape>
            </v:group>
            <v:group style="position:absolute;left:5307;top:6198;width:2;height:392" coordorigin="5307,6198" coordsize="2,392">
              <v:shape style="position:absolute;left:5307;top:6198;width:2;height:392" coordorigin="5307,6198" coordsize="0,392" path="m5307,6198l5307,6589e" filled="false" stroked="true" strokeweight="1.2pt" strokecolor="#d2d2d2">
                <v:path arrowok="t"/>
              </v:shape>
            </v:group>
            <v:group style="position:absolute;left:4266;top:6589;width:1054;height:156" coordorigin="4266,6589" coordsize="1054,156">
              <v:shape style="position:absolute;left:4266;top:6589;width:1054;height:156" coordorigin="4266,6589" coordsize="1054,156" path="m4266,6745l5319,6745,5319,6589,4266,6589,4266,6745xe" filled="true" fillcolor="#d2d2d2" stroked="false">
                <v:path arrowok="t"/>
                <v:fill type="solid"/>
              </v:shape>
            </v:group>
            <v:group style="position:absolute;left:4290;top:6198;width:1006;height:392" coordorigin="4290,6198" coordsize="1006,392">
              <v:shape style="position:absolute;left:4290;top:6198;width:1006;height:392" coordorigin="4290,6198" coordsize="1006,392" path="m4290,6589l5295,6589,5295,6198,4290,6198,4290,6589xe" filled="true" fillcolor="#d2d2d2" stroked="false">
                <v:path arrowok="t"/>
                <v:fill type="solid"/>
              </v:shape>
            </v:group>
            <v:group style="position:absolute;left:5329;top:6042;width:1055;height:156" coordorigin="5329,6042" coordsize="1055,156">
              <v:shape style="position:absolute;left:5329;top:6042;width:1055;height:156" coordorigin="5329,6042" coordsize="1055,156" path="m5329,6198l6383,6198,6383,6042,5329,6042,5329,6198xe" filled="true" fillcolor="#d2d2d2" stroked="false">
                <v:path arrowok="t"/>
                <v:fill type="solid"/>
              </v:shape>
            </v:group>
            <v:group style="position:absolute;left:5341;top:6198;width:2;height:392" coordorigin="5341,6198" coordsize="2,392">
              <v:shape style="position:absolute;left:5341;top:6198;width:2;height:392" coordorigin="5341,6198" coordsize="0,392" path="m5341,6198l5341,6589e" filled="false" stroked="true" strokeweight="1.2pt" strokecolor="#d2d2d2">
                <v:path arrowok="t"/>
              </v:shape>
            </v:group>
            <v:group style="position:absolute;left:6371;top:6198;width:2;height:392" coordorigin="6371,6198" coordsize="2,392">
              <v:shape style="position:absolute;left:6371;top:6198;width:2;height:392" coordorigin="6371,6198" coordsize="0,392" path="m6371,6198l6371,6589e" filled="false" stroked="true" strokeweight="1.2pt" strokecolor="#d2d2d2">
                <v:path arrowok="t"/>
              </v:shape>
            </v:group>
            <v:group style="position:absolute;left:5329;top:6589;width:1055;height:156" coordorigin="5329,6589" coordsize="1055,156">
              <v:shape style="position:absolute;left:5329;top:6589;width:1055;height:156" coordorigin="5329,6589" coordsize="1055,156" path="m5329,6745l6383,6745,6383,6589,5329,6589,5329,6745xe" filled="true" fillcolor="#d2d2d2" stroked="false">
                <v:path arrowok="t"/>
                <v:fill type="solid"/>
              </v:shape>
            </v:group>
            <v:group style="position:absolute;left:5353;top:6198;width:1007;height:392" coordorigin="5353,6198" coordsize="1007,392">
              <v:shape style="position:absolute;left:5353;top:6198;width:1007;height:392" coordorigin="5353,6198" coordsize="1007,392" path="m5353,6589l6359,6589,6359,6198,5353,6198,5353,6589xe" filled="true" fillcolor="#d2d2d2" stroked="false">
                <v:path arrowok="t"/>
                <v:fill type="solid"/>
              </v:shape>
            </v:group>
            <v:group style="position:absolute;left:10;top:6037;width:1057;height:2" coordorigin="10,6037" coordsize="1057,2">
              <v:shape style="position:absolute;left:10;top:6037;width:1057;height:2" coordorigin="10,6037" coordsize="1057,0" path="m10,6037l1066,6037e" filled="false" stroked="true" strokeweight=".47998pt" strokecolor="#000000">
                <v:path arrowok="t"/>
              </v:shape>
            </v:group>
            <v:group style="position:absolute;left:1076;top:6037;width:1054;height:2" coordorigin="1076,6037" coordsize="1054,2">
              <v:shape style="position:absolute;left:1076;top:6037;width:1054;height:2" coordorigin="1076,6037" coordsize="1054,0" path="m1076,6037l2129,6037e" filled="false" stroked="true" strokeweight=".47998pt" strokecolor="#000000">
                <v:path arrowok="t"/>
              </v:shape>
            </v:group>
            <v:group style="position:absolute;left:2139;top:6037;width:1055;height:2" coordorigin="2139,6037" coordsize="1055,2">
              <v:shape style="position:absolute;left:2139;top:6037;width:1055;height:2" coordorigin="2139,6037" coordsize="1055,0" path="m2139,6037l3193,6037e" filled="false" stroked="true" strokeweight=".47998pt" strokecolor="#000000">
                <v:path arrowok="t"/>
              </v:shape>
            </v:group>
            <v:group style="position:absolute;left:3203;top:6037;width:1054;height:2" coordorigin="3203,6037" coordsize="1054,2">
              <v:shape style="position:absolute;left:3203;top:6037;width:1054;height:2" coordorigin="3203,6037" coordsize="1054,0" path="m3203,6037l4256,6037e" filled="false" stroked="true" strokeweight=".47998pt" strokecolor="#000000">
                <v:path arrowok="t"/>
              </v:shape>
            </v:group>
            <v:group style="position:absolute;left:4266;top:6037;width:1052;height:2" coordorigin="4266,6037" coordsize="1052,2">
              <v:shape style="position:absolute;left:4266;top:6037;width:1052;height:2" coordorigin="4266,6037" coordsize="1052,0" path="m4266,6037l5317,6037e" filled="false" stroked="true" strokeweight=".47998pt" strokecolor="#000000">
                <v:path arrowok="t"/>
              </v:shape>
            </v:group>
            <v:group style="position:absolute;left:5327;top:6037;width:1055;height:2" coordorigin="5327,6037" coordsize="1055,2">
              <v:shape style="position:absolute;left:5327;top:6037;width:1055;height:2" coordorigin="5327,6037" coordsize="1055,0" path="m5327,6037l6381,6037e" filled="false" stroked="true" strokeweight=".47998pt" strokecolor="#000000">
                <v:path arrowok="t"/>
              </v:shape>
            </v:group>
            <v:group style="position:absolute;left:6390;top:6037;width:1054;height:2" coordorigin="6390,6037" coordsize="1054,2">
              <v:shape style="position:absolute;left:6390;top:6037;width:1054;height:2" coordorigin="6390,6037" coordsize="1054,0" path="m6390,6037l7444,6037e" filled="false" stroked="true" strokeweight=".47998pt" strokecolor="#000000">
                <v:path arrowok="t"/>
              </v:shape>
            </v:group>
            <v:group style="position:absolute;left:8520;top:6042;width:1052;height:156" coordorigin="8520,6042" coordsize="1052,156">
              <v:shape style="position:absolute;left:8520;top:6042;width:1052;height:156" coordorigin="8520,6042" coordsize="1052,156" path="m8520,6198l9571,6198,9571,6042,8520,6042,8520,6198xe" filled="true" fillcolor="#d2d2d2" stroked="false">
                <v:path arrowok="t"/>
                <v:fill type="solid"/>
              </v:shape>
            </v:group>
            <v:group style="position:absolute;left:8530;top:6198;width:2;height:392" coordorigin="8530,6198" coordsize="2,392">
              <v:shape style="position:absolute;left:8530;top:6198;width:2;height:392" coordorigin="8530,6198" coordsize="0,392" path="m8530,6198l8530,6589e" filled="false" stroked="true" strokeweight="1.08pt" strokecolor="#d2d2d2">
                <v:path arrowok="t"/>
              </v:shape>
            </v:group>
            <v:group style="position:absolute;left:9560;top:6198;width:2;height:392" coordorigin="9560,6198" coordsize="2,392">
              <v:shape style="position:absolute;left:9560;top:6198;width:2;height:392" coordorigin="9560,6198" coordsize="0,392" path="m9560,6198l9560,6589e" filled="false" stroked="true" strokeweight="1.08pt" strokecolor="#d2d2d2">
                <v:path arrowok="t"/>
              </v:shape>
            </v:group>
            <v:group style="position:absolute;left:8520;top:6589;width:1052;height:156" coordorigin="8520,6589" coordsize="1052,156">
              <v:shape style="position:absolute;left:8520;top:6589;width:1052;height:156" coordorigin="8520,6589" coordsize="1052,156" path="m8520,6745l9571,6745,9571,6589,8520,6589,8520,6745xe" filled="true" fillcolor="#d2d2d2" stroked="false">
                <v:path arrowok="t"/>
                <v:fill type="solid"/>
              </v:shape>
            </v:group>
            <v:group style="position:absolute;left:8541;top:6198;width:1008;height:392" coordorigin="8541,6198" coordsize="1008,392">
              <v:shape style="position:absolute;left:8541;top:6198;width:1008;height:392" coordorigin="8541,6198" coordsize="1008,392" path="m8541,6589l9549,6589,9549,6198,8541,6198,8541,6589xe" filled="true" fillcolor="#d2d2d2" stroked="false">
                <v:path arrowok="t"/>
                <v:fill type="solid"/>
              </v:shape>
            </v:group>
            <v:group style="position:absolute;left:7453;top:6037;width:1055;height:2" coordorigin="7453,6037" coordsize="1055,2">
              <v:shape style="position:absolute;left:7453;top:6037;width:1055;height:2" coordorigin="7453,6037" coordsize="1055,0" path="m7453,6037l8507,6037e" filled="false" stroked="true" strokeweight=".47998pt" strokecolor="#000000">
                <v:path arrowok="t"/>
              </v:shape>
            </v:group>
            <v:group style="position:absolute;left:8517;top:6037;width:1054;height:2" coordorigin="8517,6037" coordsize="1054,2">
              <v:shape style="position:absolute;left:8517;top:6037;width:1054;height:2" coordorigin="8517,6037" coordsize="1054,0" path="m8517,6037l9571,6037e" filled="false" stroked="true" strokeweight=".47998pt" strokecolor="#000000">
                <v:path arrowok="t"/>
              </v:shape>
            </v:group>
            <v:group style="position:absolute;left:5;top:5;width:2;height:6750" coordorigin="5,5" coordsize="2,6750">
              <v:shape style="position:absolute;left:5;top:5;width:2;height:6750" coordorigin="5,5" coordsize="0,6750" path="m5,5l5,6755e" filled="false" stroked="true" strokeweight=".48pt" strokecolor="#000000">
                <v:path arrowok="t"/>
              </v:shape>
            </v:group>
            <v:group style="position:absolute;left:10;top:6750;width:1057;height:2" coordorigin="10,6750" coordsize="1057,2">
              <v:shape style="position:absolute;left:10;top:6750;width:1057;height:2" coordorigin="10,6750" coordsize="1057,0" path="m10,6750l1066,6750e" filled="false" stroked="true" strokeweight=".48001pt" strokecolor="#000000">
                <v:path arrowok="t"/>
              </v:shape>
            </v:group>
            <v:group style="position:absolute;left:1071;top:5;width:2;height:6750" coordorigin="1071,5" coordsize="2,6750">
              <v:shape style="position:absolute;left:1071;top:5;width:2;height:6750" coordorigin="1071,5" coordsize="0,6750" path="m1071,5l1071,6755e" filled="false" stroked="true" strokeweight=".48pt" strokecolor="#000000">
                <v:path arrowok="t"/>
              </v:shape>
            </v:group>
            <v:group style="position:absolute;left:1076;top:6750;width:1054;height:2" coordorigin="1076,6750" coordsize="1054,2">
              <v:shape style="position:absolute;left:1076;top:6750;width:1054;height:2" coordorigin="1076,6750" coordsize="1054,0" path="m1076,6750l2129,6750e" filled="false" stroked="true" strokeweight=".48001pt" strokecolor="#000000">
                <v:path arrowok="t"/>
              </v:shape>
            </v:group>
            <v:group style="position:absolute;left:2134;top:5;width:2;height:6750" coordorigin="2134,5" coordsize="2,6750">
              <v:shape style="position:absolute;left:2134;top:5;width:2;height:6750" coordorigin="2134,5" coordsize="0,6750" path="m2134,5l2134,6755e" filled="false" stroked="true" strokeweight=".48pt" strokecolor="#000000">
                <v:path arrowok="t"/>
              </v:shape>
            </v:group>
            <v:group style="position:absolute;left:2139;top:6750;width:1055;height:2" coordorigin="2139,6750" coordsize="1055,2">
              <v:shape style="position:absolute;left:2139;top:6750;width:1055;height:2" coordorigin="2139,6750" coordsize="1055,0" path="m2139,6750l3193,6750e" filled="false" stroked="true" strokeweight=".48001pt" strokecolor="#000000">
                <v:path arrowok="t"/>
              </v:shape>
            </v:group>
            <v:group style="position:absolute;left:3198;top:5;width:2;height:6750" coordorigin="3198,5" coordsize="2,6750">
              <v:shape style="position:absolute;left:3198;top:5;width:2;height:6750" coordorigin="3198,5" coordsize="0,6750" path="m3198,5l3198,6755e" filled="false" stroked="true" strokeweight=".48pt" strokecolor="#000000">
                <v:path arrowok="t"/>
              </v:shape>
            </v:group>
            <v:group style="position:absolute;left:3203;top:6750;width:1054;height:2" coordorigin="3203,6750" coordsize="1054,2">
              <v:shape style="position:absolute;left:3203;top:6750;width:1054;height:2" coordorigin="3203,6750" coordsize="1054,0" path="m3203,6750l4256,6750e" filled="false" stroked="true" strokeweight=".48001pt" strokecolor="#000000">
                <v:path arrowok="t"/>
              </v:shape>
            </v:group>
            <v:group style="position:absolute;left:4261;top:5;width:2;height:6750" coordorigin="4261,5" coordsize="2,6750">
              <v:shape style="position:absolute;left:4261;top:5;width:2;height:6750" coordorigin="4261,5" coordsize="0,6750" path="m4261,5l4261,6755e" filled="false" stroked="true" strokeweight=".47998pt" strokecolor="#000000">
                <v:path arrowok="t"/>
              </v:shape>
            </v:group>
            <v:group style="position:absolute;left:4266;top:6750;width:1052;height:2" coordorigin="4266,6750" coordsize="1052,2">
              <v:shape style="position:absolute;left:4266;top:6750;width:1052;height:2" coordorigin="4266,6750" coordsize="1052,0" path="m4266,6750l5317,6750e" filled="false" stroked="true" strokeweight=".48001pt" strokecolor="#000000">
                <v:path arrowok="t"/>
              </v:shape>
            </v:group>
            <v:group style="position:absolute;left:5322;top:5;width:2;height:6750" coordorigin="5322,5" coordsize="2,6750">
              <v:shape style="position:absolute;left:5322;top:5;width:2;height:6750" coordorigin="5322,5" coordsize="0,6750" path="m5322,5l5322,6755e" filled="false" stroked="true" strokeweight=".47998pt" strokecolor="#000000">
                <v:path arrowok="t"/>
              </v:shape>
            </v:group>
            <v:group style="position:absolute;left:5327;top:6750;width:1055;height:2" coordorigin="5327,6750" coordsize="1055,2">
              <v:shape style="position:absolute;left:5327;top:6750;width:1055;height:2" coordorigin="5327,6750" coordsize="1055,0" path="m5327,6750l6381,6750e" filled="false" stroked="true" strokeweight=".48001pt" strokecolor="#000000">
                <v:path arrowok="t"/>
              </v:shape>
            </v:group>
            <v:group style="position:absolute;left:6385;top:5;width:2;height:6750" coordorigin="6385,5" coordsize="2,6750">
              <v:shape style="position:absolute;left:6385;top:5;width:2;height:6750" coordorigin="6385,5" coordsize="0,6750" path="m6385,5l6385,6755e" filled="false" stroked="true" strokeweight=".48001pt" strokecolor="#000000">
                <v:path arrowok="t"/>
              </v:shape>
            </v:group>
            <v:group style="position:absolute;left:6390;top:6750;width:1054;height:2" coordorigin="6390,6750" coordsize="1054,2">
              <v:shape style="position:absolute;left:6390;top:6750;width:1054;height:2" coordorigin="6390,6750" coordsize="1054,0" path="m6390,6750l7444,6750e" filled="false" stroked="true" strokeweight=".48001pt" strokecolor="#000000">
                <v:path arrowok="t"/>
              </v:shape>
            </v:group>
            <v:group style="position:absolute;left:7449;top:5;width:2;height:6750" coordorigin="7449,5" coordsize="2,6750">
              <v:shape style="position:absolute;left:7449;top:5;width:2;height:6750" coordorigin="7449,5" coordsize="0,6750" path="m7449,5l7449,6755e" filled="false" stroked="true" strokeweight=".47998pt" strokecolor="#000000">
                <v:path arrowok="t"/>
              </v:shape>
            </v:group>
            <v:group style="position:absolute;left:7453;top:6750;width:1055;height:2" coordorigin="7453,6750" coordsize="1055,2">
              <v:shape style="position:absolute;left:7453;top:6750;width:1055;height:2" coordorigin="7453,6750" coordsize="1055,0" path="m7453,6750l8507,6750e" filled="false" stroked="true" strokeweight=".48001pt" strokecolor="#000000">
                <v:path arrowok="t"/>
              </v:shape>
            </v:group>
            <v:group style="position:absolute;left:8512;top:5;width:2;height:6750" coordorigin="8512,5" coordsize="2,6750">
              <v:shape style="position:absolute;left:8512;top:5;width:2;height:6750" coordorigin="8512,5" coordsize="0,6750" path="m8512,5l8512,6755e" filled="false" stroked="true" strokeweight=".48001pt" strokecolor="#000000">
                <v:path arrowok="t"/>
              </v:shape>
            </v:group>
            <v:group style="position:absolute;left:8517;top:6750;width:1054;height:2" coordorigin="8517,6750" coordsize="1054,2">
              <v:shape style="position:absolute;left:8517;top:6750;width:1054;height:2" coordorigin="8517,6750" coordsize="1054,0" path="m8517,6750l9571,6750e" filled="false" stroked="true" strokeweight=".48001pt" strokecolor="#000000">
                <v:path arrowok="t"/>
              </v:shape>
            </v:group>
            <v:group style="position:absolute;left:9576;top:5;width:2;height:6750" coordorigin="9576,5" coordsize="2,6750">
              <v:shape style="position:absolute;left:9576;top:5;width:2;height:6750" coordorigin="9576,5" coordsize="0,6750" path="m9576,5l9576,6755e" filled="false" stroked="true" strokeweight=".47998pt" strokecolor="#000000">
                <v:path arrowok="t"/>
              </v:shape>
              <v:shape style="position:absolute;left:3227;top:78;width:90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110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贷款利息补</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贴</w:t>
                      </w:r>
                    </w:p>
                  </w:txbxContent>
                </v:textbox>
                <w10:wrap type="none"/>
              </v:shape>
              <v:shape style="position:absolute;left:1100;top:1106;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龙华新区发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展和财政局</w:t>
                      </w:r>
                    </w:p>
                  </w:txbxContent>
                </v:textbox>
                <w10:wrap type="none"/>
              </v:shape>
              <v:shape style="position:absolute;left:3227;top:794;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12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0;top:126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126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7674;top:1262;width:1767;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225,000.00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与收益相关</w:t>
                      </w:r>
                    </w:p>
                  </w:txbxContent>
                </v:textbox>
                <w10:wrap type="none"/>
              </v:shape>
              <v:shape style="position:absolute;left:3227;top:1418;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2443;width:949;height:492"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年度深</w:t>
                      </w:r>
                    </w:p>
                    <w:p>
                      <w:pPr>
                        <w:spacing w:before="63"/>
                        <w:ind w:left="0" w:right="0" w:firstLine="0"/>
                        <w:jc w:val="left"/>
                        <w:rPr>
                          <w:rFonts w:ascii="宋体" w:hAnsi="宋体" w:cs="宋体" w:eastAsia="宋体" w:hint="default"/>
                          <w:sz w:val="18"/>
                          <w:szCs w:val="18"/>
                        </w:rPr>
                      </w:pPr>
                      <w:r>
                        <w:rPr>
                          <w:rFonts w:ascii="宋体" w:hAnsi="宋体" w:cs="宋体" w:eastAsia="宋体" w:hint="default"/>
                          <w:sz w:val="18"/>
                          <w:szCs w:val="18"/>
                        </w:rPr>
                        <w:t>圳市专利奖</w:t>
                      </w:r>
                    </w:p>
                  </w:txbxContent>
                </v:textbox>
                <w10:wrap type="none"/>
              </v:shape>
              <v:shape style="position:absolute;left:1100;top:2287;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深圳市市场</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z w:val="18"/>
                          <w:szCs w:val="18"/>
                        </w:rPr>
                        <w:t>和质量监督 管理委员会</w:t>
                      </w:r>
                    </w:p>
                  </w:txbxContent>
                </v:textbox>
                <w10:wrap type="none"/>
              </v:shape>
              <v:shape style="position:absolute;left:3227;top:2131;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259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0;top:259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259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611;top:2608;width:81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300,000.00</w:t>
                      </w:r>
                    </w:p>
                  </w:txbxContent>
                </v:textbox>
                <w10:wrap type="none"/>
              </v:shape>
              <v:shape style="position:absolute;left:8541;top:2599;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2755;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3782;width:90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东莞市科学</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技术奖励</w:t>
                      </w:r>
                    </w:p>
                  </w:txbxContent>
                </v:textbox>
                <w10:wrap type="none"/>
              </v:shape>
              <v:shape style="position:absolute;left:1100;top:3782;width:900;height:493"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东莞市科学</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技术局</w:t>
                      </w:r>
                    </w:p>
                  </w:txbxContent>
                </v:textbox>
                <w10:wrap type="none"/>
              </v:shape>
              <v:shape style="position:absolute;left:3227;top:3470;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39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0;top:39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39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77;top:3948;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1,039,500.00</w:t>
                      </w:r>
                    </w:p>
                  </w:txbxContent>
                </v:textbox>
                <w10:wrap type="none"/>
              </v:shape>
              <v:shape style="position:absolute;left:8541;top:3938;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4094;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511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经济商务科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技局奖励款</w:t>
                      </w:r>
                    </w:p>
                  </w:txbxContent>
                </v:textbox>
                <w10:wrap type="none"/>
              </v:shape>
              <v:shape style="position:absolute;left:1100;top:5119;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纳溪区经济</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商务科技局</w:t>
                      </w:r>
                    </w:p>
                  </w:txbxContent>
                </v:textbox>
                <w10:wrap type="none"/>
              </v:shape>
              <v:shape style="position:absolute;left:3227;top:4807;width:108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2163;top:527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奖励</w:t>
                      </w:r>
                    </w:p>
                  </w:txbxContent>
                </v:textbox>
                <w10:wrap type="none"/>
              </v:shape>
              <v:shape style="position:absolute;left:4290;top:52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3;top:527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702;top:5285;width:721;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50,000.00</w:t>
                      </w:r>
                    </w:p>
                  </w:txbxContent>
                </v:textbox>
                <w10:wrap type="none"/>
              </v:shape>
              <v:shape style="position:absolute;left:8541;top:527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7;top:5431;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4;top:630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544;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607;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71;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734;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797;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477;top:6312;width:94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1,668,926.67</w:t>
                      </w:r>
                    </w:p>
                  </w:txbxContent>
                </v:textbox>
                <w10:wrap type="none"/>
              </v:shape>
              <v:shape style="position:absolute;left:7547;top:6156;width:939;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11,927,823.8</w:t>
                      </w:r>
                    </w:p>
                    <w:p>
                      <w:pPr>
                        <w:spacing w:line="203" w:lineRule="exact" w:before="105"/>
                        <w:ind w:left="0" w:right="0" w:firstLine="0"/>
                        <w:jc w:val="right"/>
                        <w:rPr>
                          <w:rFonts w:ascii="Times New Roman" w:hAnsi="Times New Roman" w:cs="Times New Roman" w:eastAsia="Times New Roman" w:hint="default"/>
                          <w:sz w:val="18"/>
                          <w:szCs w:val="18"/>
                        </w:rPr>
                      </w:pPr>
                      <w:r>
                        <w:rPr>
                          <w:rFonts w:ascii="Times New Roman"/>
                          <w:sz w:val="18"/>
                        </w:rPr>
                        <w:t>9</w:t>
                      </w:r>
                    </w:p>
                  </w:txbxContent>
                </v:textbox>
                <w10:wrap type="none"/>
              </v:shape>
              <v:shape style="position:absolute;left:8985;top:6312;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134"/>
          <w:sz w:val="20"/>
          <w:szCs w:val="20"/>
        </w:rPr>
      </w: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2,183,788.99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2,267,756.71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2,183,788.99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190,393.90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190,393.90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3,047,182.89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2,391,757.23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3,047,182.89</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65,351,725.18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45,241,654.88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-2,228,744.53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8,937,787.61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63,122,980.65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54,179,442.49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407,943,123.91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61,191,468.59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388,926.38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221,896.41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-29,706.20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4,049,850.95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-1,250,530.25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4,768,497.55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-6,217,422.78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63,122,980.65</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spacing w:line="547" w:lineRule="auto" w:before="0"/>
        <w:ind w:left="152" w:right="60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详见附注附注七、合并财务报表项目注释</w:t>
      </w:r>
      <w:r>
        <w:rPr>
          <w:rFonts w:ascii="宋体" w:hAnsi="宋体" w:cs="宋体" w:eastAsia="宋体" w:hint="default"/>
          <w:spacing w:val="3"/>
          <w:sz w:val="18"/>
          <w:szCs w:val="18"/>
        </w:rPr>
        <w:t> </w:t>
      </w:r>
      <w:r>
        <w:rPr>
          <w:rFonts w:ascii="Times New Roman" w:hAnsi="Times New Roman" w:cs="Times New Roman" w:eastAsia="Times New Roman" w:hint="default"/>
          <w:spacing w:val="-46"/>
          <w:sz w:val="18"/>
          <w:szCs w:val="18"/>
        </w:rPr>
        <w:t>35</w:t>
      </w:r>
      <w:r>
        <w:rPr>
          <w:rFonts w:ascii="宋体" w:hAnsi="宋体" w:cs="宋体" w:eastAsia="宋体" w:hint="default"/>
          <w:spacing w:val="-46"/>
          <w:sz w:val="18"/>
          <w:szCs w:val="18"/>
        </w:rPr>
        <w:t>。。</w:t>
      </w:r>
      <w:r>
        <w:rPr>
          <w:rFonts w:ascii="宋体" w:hAnsi="宋体" w:cs="宋体" w:eastAsia="宋体" w:hint="default"/>
          <w:spacing w:val="-92"/>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52,983,555.43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6,185,779.19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26,768,855.30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24,033,531.00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8,474,540.40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5,803,973.11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押金、定金及保证金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24,207,578.56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10,133,937.60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9,942,017.59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5,617,195.00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122,376,547.28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51,774,415.90</w:t>
            </w:r>
          </w:p>
        </w:tc>
      </w:tr>
    </w:tbl>
    <w:p>
      <w:pPr>
        <w:pStyle w:val="BodyText"/>
        <w:spacing w:line="357" w:lineRule="auto" w:before="49"/>
        <w:ind w:right="6534"/>
        <w:jc w:val="left"/>
      </w:pPr>
      <w:r>
        <w:rPr/>
        <w:t>收到的其他与经营活动有关的现金说明：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招待费差旅费办公费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42,956,190.83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30,223,667.26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6,789,970.69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6,036,001.87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3,106,314.91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1,057,261.03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2,044,919.57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1,425,992.33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8,490,336.45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11,991,158.88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1,492,172.93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1,401,203.63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经营租赁及仓储管理等支出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18,852,453.85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13,160,144.52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咨询及会务等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9,308,386.33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3,551,559.01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18,331,282.92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36,657,859.88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1,466,438.43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796,767.08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公司内部员工借支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10,888,565.08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8,457,019.54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5,910,368.84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25,715,768.49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129,637,400.83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140,474,403.52</w:t>
            </w:r>
          </w:p>
        </w:tc>
      </w:tr>
    </w:tbl>
    <w:p>
      <w:pPr>
        <w:pStyle w:val="BodyText"/>
        <w:spacing w:line="360" w:lineRule="auto" w:before="49"/>
        <w:ind w:right="6534"/>
        <w:jc w:val="left"/>
      </w:pPr>
      <w:r>
        <w:rPr/>
        <w:t>支付的其他与经营活动有关的现金说明：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53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支付的其他与投资活动有关的现金说明：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534"/>
        <w:jc w:val="left"/>
      </w:pPr>
      <w:r>
        <w:rPr/>
        <w:t>收到的其他与筹资活动有关的现金说明：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分红派息手续费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48,440.05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42,820.08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股票登记费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111,923.69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发行股票费用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653,247.82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2,061,079.99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2,101,687.87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4,095,823.76</w:t>
            </w:r>
          </w:p>
        </w:tc>
      </w:tr>
    </w:tbl>
    <w:p>
      <w:pPr>
        <w:pStyle w:val="BodyText"/>
        <w:spacing w:line="357" w:lineRule="auto" w:before="49"/>
        <w:ind w:right="6534"/>
        <w:jc w:val="left"/>
      </w:pPr>
      <w:r>
        <w:rPr/>
        <w:t>支付的其他与筹资活动有关的现金说明：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344,820,143.26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218,382,471.18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25,121,905.40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90,306,432.61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65,402,059.24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63,670,580.07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8,664,202.46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6,264,843.74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9,467,136.99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6,684,434.96</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1,030,508.43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193,465.65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190,393.90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132.319977pt;width:151.25pt;height:40.7pt;mso-position-horizontal-relative:page;mso-position-vertical-relative:page;z-index:-1117168" coordorigin="4467,2646" coordsize="3025,814">
            <v:group style="position:absolute;left:4478;top:2657;width:2;height:392" coordorigin="4478,2657" coordsize="2,392">
              <v:shape style="position:absolute;left:4478;top:2657;width:2;height:392" coordorigin="4478,2657" coordsize="0,392" path="m4478,2657l4478,3048e" filled="false" stroked="true" strokeweight="1.08pt" strokecolor="#ffffff">
                <v:path arrowok="t"/>
              </v:shape>
            </v:group>
            <v:group style="position:absolute;left:4489;top:2657;width:3003;height:392" coordorigin="4489,2657" coordsize="3003,392">
              <v:shape style="position:absolute;left:4489;top:2657;width:3003;height:392" coordorigin="4489,2657" coordsize="3003,392" path="m4489,3048l7492,3048,7492,2657,4489,2657,4489,3048xe" filled="true" fillcolor="#ffffff" stroked="false">
                <v:path arrowok="t"/>
                <v:fill type="solid"/>
              </v:shape>
            </v:group>
            <v:group style="position:absolute;left:4478;top:3058;width:2;height:392" coordorigin="4478,3058" coordsize="2,392">
              <v:shape style="position:absolute;left:4478;top:3058;width:2;height:392" coordorigin="4478,3058" coordsize="0,392" path="m4478,3058l4478,3449e" filled="false" stroked="true" strokeweight="1.08pt" strokecolor="#ffffff">
                <v:path arrowok="t"/>
              </v:shape>
            </v:group>
            <v:group style="position:absolute;left:4489;top:3058;width:3003;height:392" coordorigin="4489,3058" coordsize="3003,392">
              <v:shape style="position:absolute;left:4489;top:3058;width:3003;height:392" coordorigin="4489,3058" coordsize="3003,392" path="m4489,3449l7492,3449,7492,3058,4489,3058,4489,344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3"/>
        <w:gridCol w:w="2016"/>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-5,094,445.69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-74,946,266.99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993" w:right="0"/>
              <w:jc w:val="left"/>
              <w:rPr>
                <w:rFonts w:ascii="Times New Roman" w:hAnsi="Times New Roman" w:cs="Times New Roman" w:eastAsia="Times New Roman" w:hint="default"/>
                <w:sz w:val="18"/>
                <w:szCs w:val="18"/>
              </w:rPr>
            </w:pPr>
            <w:r>
              <w:rPr>
                <w:rFonts w:ascii="Times New Roman"/>
                <w:sz w:val="18"/>
              </w:rPr>
              <w:t>25,808,781.37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-21,306,632.19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-7,798,221.01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4,410,365.51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-1,856,659.77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-2,765,238.89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436,252.40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11,616,750.36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842" w:right="0"/>
              <w:jc w:val="left"/>
              <w:rPr>
                <w:rFonts w:ascii="Times New Roman" w:hAnsi="Times New Roman" w:cs="Times New Roman" w:eastAsia="Times New Roman" w:hint="default"/>
                <w:sz w:val="18"/>
                <w:szCs w:val="18"/>
              </w:rPr>
            </w:pPr>
            <w:r>
              <w:rPr>
                <w:rFonts w:ascii="Times New Roman"/>
                <w:sz w:val="18"/>
              </w:rPr>
              <w:t>-268,240,596.66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-20,591,521.04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-265,672,022.47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-272,908,186.72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331,875,879.70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90,639,950.74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264,155,317.55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99,651,448.99</w:t>
            </w:r>
          </w:p>
        </w:tc>
      </w:tr>
      <w:tr>
        <w:trPr>
          <w:trHeight w:val="162"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767" w:right="0"/>
              <w:jc w:val="left"/>
              <w:rPr>
                <w:rFonts w:ascii="Times New Roman" w:hAnsi="Times New Roman" w:cs="Times New Roman" w:eastAsia="Times New Roman" w:hint="default"/>
                <w:sz w:val="18"/>
                <w:szCs w:val="18"/>
              </w:rPr>
            </w:pPr>
            <w:r>
              <w:rPr>
                <w:rFonts w:ascii="Times New Roman"/>
                <w:sz w:val="18"/>
              </w:rPr>
              <w:t>2,153,297,209.95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2,076,527,592.23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2,076,527,592.23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823,790,669.41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93" w:right="0"/>
              <w:jc w:val="left"/>
              <w:rPr>
                <w:rFonts w:ascii="Times New Roman" w:hAnsi="Times New Roman" w:cs="Times New Roman" w:eastAsia="Times New Roman" w:hint="default"/>
                <w:sz w:val="18"/>
                <w:szCs w:val="18"/>
              </w:rPr>
            </w:pPr>
            <w:r>
              <w:rPr>
                <w:rFonts w:ascii="Times New Roman"/>
                <w:sz w:val="18"/>
              </w:rPr>
              <w:t>76,769,617.72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1,252,736,922.82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88"/>
        <w:gridCol w:w="4571"/>
      </w:tblGrid>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15,942,563.82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2"/>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汇天云网集团有限公司</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15,942,563.82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15,942,563.82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2,153,297,209.95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2,076,527,592.23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1,003,533.68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773,474.75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2,044,074,965.67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2,069,002,367.79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108,218,710.60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6,751,749.69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2,153,297,209.95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2,076,527,592.23</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54</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394"/>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231,551,713.63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34,300,225.55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224,124,533.77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7,085,893.96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5,923,169.63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4,186,420.00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931,454.02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1,989,964,467.00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572,553.02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335,712,472.85</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49,544,087.86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323,730,978.90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12,378.99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96,584.59</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6,281,800.44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5,251,019.82</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7,247,101.79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0.22249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1,612,437.86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17,452,550,400.00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5,021,451.68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39,115,361.07</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3,979,745.46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26,004,452.76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329,139.56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6,013,662.00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0.22249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1,338,004.70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39,773,930,281.00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0.000288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11,443,764.05</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59"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326"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本公司下属有四家境外实体，两家为全资子公司，其中：一家为香港美盈森，注册地香港，记账本位币为港币；一家为美国</w:t>
      </w:r>
      <w:r>
        <w:rPr>
          <w:spacing w:val="-68"/>
        </w:rPr>
        <w:t> </w:t>
      </w:r>
      <w:r>
        <w:rPr>
          <w:spacing w:val="-68"/>
        </w:rPr>
      </w:r>
      <w:r>
        <w:rPr>
          <w:spacing w:val="-2"/>
        </w:rPr>
        <w:t>美盈森，注册地美国加州，记账本位币为美元。两家为香港美盈森子公司，其中：一家为全资子公司台湾美盈森，注册地台</w:t>
      </w:r>
      <w:r>
        <w:rPr>
          <w:spacing w:val="-67"/>
        </w:rPr>
        <w:t> </w:t>
      </w:r>
      <w:r>
        <w:rPr>
          <w:spacing w:val="-67"/>
        </w:rPr>
      </w:r>
      <w:r>
        <w:rPr/>
        <w:t>湾，记账本位币为新台币；一家为全资子公司越南美盈森，注册地越南，记账本位币越南盾。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2"/>
        <w:ind w:right="0"/>
        <w:jc w:val="left"/>
        <w:rPr>
          <w:b w:val="0"/>
          <w:bCs w:val="0"/>
        </w:rPr>
      </w:pPr>
      <w:r>
        <w:rPr>
          <w:rFonts w:ascii="Times New Roman" w:hAnsi="Times New Roman" w:cs="Times New Roman" w:eastAsia="Times New Roman" w:hint="default"/>
        </w:rPr>
        <w:t>56</w:t>
      </w:r>
      <w:r>
        <w:rPr/>
        <w:t>、套期</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3654"/>
        <w:jc w:val="left"/>
      </w:pPr>
      <w:r>
        <w:rPr/>
        <w:t>按照套期类别披露套期项目及相关套期工具、被套期风险的定性和定量信息：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57</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3"/>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5094"/>
        <w:jc w:val="left"/>
      </w:pPr>
      <w:r>
        <w:rPr/>
        <w:t>合并成本公允价值的确定方法、或有对价及其变动的说明： 无</w:t>
      </w:r>
    </w:p>
    <w:p>
      <w:pPr>
        <w:pStyle w:val="BodyText"/>
        <w:spacing w:line="360" w:lineRule="auto" w:before="29"/>
        <w:ind w:right="7614"/>
        <w:jc w:val="left"/>
      </w:pPr>
      <w:r>
        <w:rPr/>
        <w:t>大额商誉形成的主要原因：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34"/>
        <w:jc w:val="left"/>
      </w:pPr>
      <w:r>
        <w:rPr/>
        <w:t>可辨认资产、负债公允价值的确定方法： 无 企业合并中承担的被购买方的或有负债： 无</w:t>
      </w:r>
    </w:p>
    <w:p>
      <w:pPr>
        <w:pStyle w:val="BodyText"/>
        <w:spacing w:line="357" w:lineRule="auto" w:before="2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3"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95;height:401" type="#_x0000_t202" filled="false" stroked="false">
                <v:textbox inset="0,0,0,0">
                  <w:txbxContent>
                    <w:p>
                      <w:pPr>
                        <w:spacing w:before="53"/>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4"/>
        <w:jc w:val="left"/>
      </w:pPr>
      <w:r>
        <w:rPr/>
        <w:t>或有对价及其变动的说明：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e0ffff">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e0ffff">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3;width:3202;height:401"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3;width:3180;height:401"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4"/>
        <w:ind w:right="6534"/>
        <w:jc w:val="left"/>
      </w:pPr>
      <w:r>
        <w:rPr/>
        <w:t>企业合并中承担的被合并方的或有负债：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BodyText"/>
        <w:spacing w:line="240" w:lineRule="auto" w:before="57"/>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9"/>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8"/>
        <w:gridCol w:w="737"/>
        <w:gridCol w:w="736"/>
        <w:gridCol w:w="736"/>
        <w:gridCol w:w="725"/>
      </w:tblGrid>
      <w:tr>
        <w:trPr>
          <w:trHeight w:val="1015"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3" w:right="92"/>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2" w:right="92"/>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2" w:right="91"/>
              <w:jc w:val="both"/>
              <w:rPr>
                <w:rFonts w:ascii="宋体" w:hAnsi="宋体" w:cs="宋体" w:eastAsia="宋体" w:hint="default"/>
                <w:sz w:val="18"/>
                <w:szCs w:val="18"/>
              </w:rPr>
            </w:pPr>
            <w:r>
              <w:rPr>
                <w:rFonts w:ascii="宋体" w:hAnsi="宋体" w:cs="宋体" w:eastAsia="宋体" w:hint="default"/>
                <w:sz w:val="18"/>
                <w:szCs w:val="18"/>
              </w:rPr>
              <w:t>按照公 允价值 重新计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3" w:right="90"/>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2" w:right="80"/>
              <w:jc w:val="both"/>
              <w:rPr>
                <w:rFonts w:ascii="宋体" w:hAnsi="宋体" w:cs="宋体" w:eastAsia="宋体" w:hint="default"/>
                <w:sz w:val="18"/>
                <w:szCs w:val="18"/>
              </w:rPr>
            </w:pPr>
            <w:r>
              <w:rPr>
                <w:rFonts w:ascii="宋体" w:hAnsi="宋体" w:cs="宋体" w:eastAsia="宋体" w:hint="default"/>
                <w:sz w:val="18"/>
                <w:szCs w:val="18"/>
              </w:rPr>
              <w:t>与原子 公司股 权投资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4"/>
        <w:gridCol w:w="735"/>
        <w:gridCol w:w="737"/>
        <w:gridCol w:w="737"/>
        <w:gridCol w:w="737"/>
        <w:gridCol w:w="735"/>
        <w:gridCol w:w="737"/>
      </w:tblGrid>
      <w:tr>
        <w:trPr>
          <w:trHeight w:val="2859"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相关的 其他综 合收益 转入投 资损益 的金额</w:t>
            </w:r>
          </w:p>
        </w:tc>
      </w:tr>
      <w:tr>
        <w:trPr>
          <w:trHeight w:val="633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汇天云 网集团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53,587,2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日已收</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62.72%</w:t>
            </w:r>
          </w:p>
          <w:p>
            <w:pPr>
              <w:pStyle w:val="TableParagraph"/>
              <w:spacing w:line="316"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的股权 </w:t>
            </w:r>
            <w:r>
              <w:rPr>
                <w:rFonts w:ascii="宋体" w:hAnsi="宋体" w:cs="宋体" w:eastAsia="宋体" w:hint="default"/>
                <w:spacing w:val="-11"/>
                <w:sz w:val="18"/>
                <w:szCs w:val="18"/>
              </w:rPr>
              <w:t>款（包括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实物代 价及现 金代 </w:t>
            </w:r>
            <w:r>
              <w:rPr>
                <w:rFonts w:ascii="宋体" w:hAnsi="宋体" w:cs="宋体" w:eastAsia="宋体" w:hint="default"/>
                <w:spacing w:val="-23"/>
                <w:sz w:val="18"/>
                <w:szCs w:val="18"/>
              </w:rPr>
              <w:t>价），且</w:t>
            </w:r>
            <w:r>
              <w:rPr>
                <w:rFonts w:ascii="宋体" w:hAnsi="宋体" w:cs="宋体" w:eastAsia="宋体" w:hint="default"/>
                <w:sz w:val="18"/>
                <w:szCs w:val="18"/>
              </w:rPr>
              <w:t> 贵公司 委派的 董事在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316" w:lineRule="auto" w:before="63"/>
              <w:ind w:left="24" w:right="158"/>
              <w:jc w:val="both"/>
              <w:rPr>
                <w:rFonts w:ascii="宋体" w:hAnsi="宋体" w:cs="宋体" w:eastAsia="宋体" w:hint="default"/>
                <w:sz w:val="18"/>
                <w:szCs w:val="18"/>
              </w:rPr>
            </w:pPr>
            <w:r>
              <w:rPr>
                <w:rFonts w:ascii="宋体" w:hAnsi="宋体" w:cs="宋体" w:eastAsia="宋体" w:hint="default"/>
                <w:sz w:val="18"/>
                <w:szCs w:val="18"/>
              </w:rPr>
              <w:t>日前已 不再担 任董事 职务。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8,146,68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-265,367</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.86</w:t>
            </w:r>
          </w:p>
        </w:tc>
      </w:tr>
    </w:tbl>
    <w:p>
      <w:pPr>
        <w:pStyle w:val="BodyText"/>
        <w:spacing w:line="360" w:lineRule="auto" w:before="49"/>
        <w:ind w:right="8874"/>
        <w:jc w:val="left"/>
      </w:pPr>
      <w:r>
        <w:rPr/>
        <w:t>其他说明： 无</w:t>
      </w:r>
    </w:p>
    <w:p>
      <w:pPr>
        <w:pStyle w:val="BodyText"/>
        <w:spacing w:line="240" w:lineRule="auto" w:before="27"/>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5"/>
        <w:ind w:right="149" w:firstLine="360"/>
        <w:jc w:val="both"/>
      </w:pPr>
      <w:r>
        <w:rPr>
          <w:spacing w:val="-2"/>
        </w:rPr>
        <w:t>（</w:t>
      </w:r>
      <w:r>
        <w:rPr>
          <w:rFonts w:ascii="Times New Roman" w:hAnsi="Times New Roman" w:cs="Times New Roman" w:eastAsia="Times New Roman" w:hint="default"/>
          <w:spacing w:val="-2"/>
        </w:rPr>
        <w:t>1</w:t>
      </w:r>
      <w:r>
        <w:rPr>
          <w:spacing w:val="-2"/>
        </w:rPr>
        <w:t>）本期公司设立佛山市美盈森绿谷科技有限公司，于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日完成办理工商设立登记手续，并取得统一社会信</w:t>
      </w:r>
      <w:r>
        <w:rPr/>
        <w:t> 用代码为</w:t>
      </w:r>
      <w:r>
        <w:rPr>
          <w:rFonts w:ascii="Times New Roman" w:hAnsi="Times New Roman" w:cs="Times New Roman" w:eastAsia="Times New Roman" w:hint="default"/>
        </w:rPr>
        <w:t>91440608MA4W8MXW9Q</w:t>
      </w:r>
      <w:r>
        <w:rPr/>
        <w:t>的企业法人营业执照；按照相应的会计报表编制规则，公司本期将佛山美盈森纳入合并 报表范围。</w:t>
      </w:r>
    </w:p>
    <w:p>
      <w:pPr>
        <w:pStyle w:val="BodyText"/>
        <w:spacing w:line="300" w:lineRule="auto" w:before="31"/>
        <w:ind w:right="151" w:firstLine="360"/>
        <w:jc w:val="both"/>
      </w:pPr>
      <w:r>
        <w:rPr>
          <w:spacing w:val="-2"/>
        </w:rPr>
        <w:t>（</w:t>
      </w:r>
      <w:r>
        <w:rPr>
          <w:rFonts w:ascii="Times New Roman" w:hAnsi="Times New Roman" w:cs="Times New Roman" w:eastAsia="Times New Roman" w:hint="default"/>
          <w:spacing w:val="-2"/>
        </w:rPr>
        <w:t>2</w:t>
      </w:r>
      <w:r>
        <w:rPr>
          <w:spacing w:val="-2"/>
        </w:rPr>
        <w:t>）本期由公司合资设立中大绿谷实业股份有限公司，于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日完成办理工商设立登记手续，并取得统一社会</w:t>
      </w:r>
      <w:r>
        <w:rPr/>
        <w:t> </w:t>
      </w:r>
      <w:r>
        <w:rPr>
          <w:spacing w:val="-1"/>
        </w:rPr>
        <w:t>信用代码为</w:t>
      </w:r>
      <w:r>
        <w:rPr>
          <w:rFonts w:ascii="Times New Roman" w:hAnsi="Times New Roman" w:cs="Times New Roman" w:eastAsia="Times New Roman" w:hint="default"/>
          <w:spacing w:val="-1"/>
        </w:rPr>
        <w:t>91440300MA5DT3RH50</w:t>
      </w:r>
      <w:r>
        <w:rPr>
          <w:spacing w:val="-1"/>
        </w:rPr>
        <w:t>的企业法人营业执照，该公司注册资本</w:t>
      </w:r>
      <w:r>
        <w:rPr>
          <w:rFonts w:ascii="Times New Roman" w:hAnsi="Times New Roman" w:cs="Times New Roman" w:eastAsia="Times New Roman" w:hint="default"/>
          <w:spacing w:val="-1"/>
        </w:rPr>
        <w:t>50000</w:t>
      </w:r>
      <w:r>
        <w:rPr>
          <w:spacing w:val="-1"/>
        </w:rPr>
        <w:t>万元，公司持股</w:t>
      </w:r>
      <w:r>
        <w:rPr>
          <w:rFonts w:ascii="Times New Roman" w:hAnsi="Times New Roman" w:cs="Times New Roman" w:eastAsia="Times New Roman" w:hint="default"/>
          <w:spacing w:val="-1"/>
        </w:rPr>
        <w:t>51%</w:t>
      </w:r>
      <w:r>
        <w:rPr>
          <w:spacing w:val="-1"/>
        </w:rPr>
        <w:t>；按照相应的会计报表</w:t>
      </w:r>
      <w:r>
        <w:rPr>
          <w:spacing w:val="-60"/>
        </w:rPr>
        <w:t> </w:t>
      </w:r>
      <w:r>
        <w:rPr>
          <w:spacing w:val="-60"/>
        </w:rPr>
      </w:r>
      <w:r>
        <w:rPr/>
        <w:t>编制规则，公司本期将中大绿谷纳入合并报表范围。</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51" w:firstLine="360"/>
        <w:jc w:val="both"/>
      </w:pPr>
      <w:r>
        <w:rPr/>
        <w:t>（</w:t>
      </w:r>
      <w:r>
        <w:rPr>
          <w:rFonts w:ascii="Times New Roman" w:hAnsi="Times New Roman" w:cs="Times New Roman" w:eastAsia="Times New Roman" w:hint="default"/>
        </w:rPr>
        <w:t>3</w:t>
      </w:r>
      <w:r>
        <w:rPr/>
        <w:t>）本期由公司合资设立湖南美盈森实业有限公司，于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日完成办理工商设立登记手续，并取得统一社会信 </w:t>
      </w:r>
      <w:r>
        <w:rPr>
          <w:spacing w:val="-2"/>
        </w:rPr>
        <w:t>用代码为</w:t>
      </w:r>
      <w:r>
        <w:rPr>
          <w:rFonts w:ascii="Times New Roman" w:hAnsi="Times New Roman" w:cs="Times New Roman" w:eastAsia="Times New Roman" w:hint="default"/>
          <w:spacing w:val="-2"/>
        </w:rPr>
        <w:t>91430600MA4LLUMJ5G</w:t>
      </w:r>
      <w:r>
        <w:rPr>
          <w:spacing w:val="-2"/>
        </w:rPr>
        <w:t>的企业法人营业执照，该公司注册资本</w:t>
      </w:r>
      <w:r>
        <w:rPr>
          <w:rFonts w:ascii="Times New Roman" w:hAnsi="Times New Roman" w:cs="Times New Roman" w:eastAsia="Times New Roman" w:hint="default"/>
          <w:spacing w:val="-2"/>
        </w:rPr>
        <w:t>10000</w:t>
      </w:r>
      <w:r>
        <w:rPr>
          <w:spacing w:val="-2"/>
        </w:rPr>
        <w:t>万元，公司持股</w:t>
      </w:r>
      <w:r>
        <w:rPr>
          <w:rFonts w:ascii="Times New Roman" w:hAnsi="Times New Roman" w:cs="Times New Roman" w:eastAsia="Times New Roman" w:hint="default"/>
          <w:spacing w:val="-2"/>
        </w:rPr>
        <w:t>80%</w:t>
      </w:r>
      <w:r>
        <w:rPr>
          <w:spacing w:val="-2"/>
        </w:rPr>
        <w:t>；按照相应的会计报表编</w:t>
      </w:r>
      <w:r>
        <w:rPr>
          <w:spacing w:val="-32"/>
        </w:rPr>
        <w:t> </w:t>
      </w:r>
      <w:r>
        <w:rPr>
          <w:spacing w:val="-32"/>
        </w:rPr>
      </w:r>
      <w:r>
        <w:rPr/>
        <w:t>制规则，公司本期将湖南美盈森纳入合并报表范围。</w:t>
      </w:r>
    </w:p>
    <w:p>
      <w:pPr>
        <w:pStyle w:val="BodyText"/>
        <w:spacing w:line="300" w:lineRule="auto" w:before="31"/>
        <w:ind w:right="144" w:firstLine="360"/>
        <w:jc w:val="left"/>
      </w:pPr>
      <w:r>
        <w:rPr/>
        <w:t>（</w:t>
      </w:r>
      <w:r>
        <w:rPr>
          <w:rFonts w:ascii="Times New Roman" w:hAnsi="Times New Roman" w:cs="Times New Roman" w:eastAsia="Times New Roman" w:hint="default"/>
        </w:rPr>
        <w:t>4</w:t>
      </w:r>
      <w:r>
        <w:rPr/>
        <w:t>）本期由公司全资子公司苏州美盈森与自然人孙娟芬分别以</w:t>
      </w:r>
      <w:r>
        <w:rPr>
          <w:rFonts w:ascii="Times New Roman" w:hAnsi="Times New Roman" w:cs="Times New Roman" w:eastAsia="Times New Roman" w:hint="default"/>
        </w:rPr>
        <w:t>68%</w:t>
      </w:r>
      <w:r>
        <w:rPr/>
        <w:t>、</w:t>
      </w:r>
      <w:r>
        <w:rPr>
          <w:rFonts w:ascii="Times New Roman" w:hAnsi="Times New Roman" w:cs="Times New Roman" w:eastAsia="Times New Roman" w:hint="default"/>
        </w:rPr>
        <w:t>32%</w:t>
      </w:r>
      <w:r>
        <w:rPr/>
        <w:t>的比例共同投资设立了美盈森智谷（苏州） </w:t>
      </w:r>
      <w:r>
        <w:rPr>
          <w:spacing w:val="-2"/>
        </w:rPr>
        <w:t>包装技术有限公司，于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日完成办理工商设立登记手续，并取得统一社会信用代码为</w:t>
      </w:r>
      <w:r>
        <w:rPr>
          <w:rFonts w:ascii="Times New Roman" w:hAnsi="Times New Roman" w:cs="Times New Roman" w:eastAsia="Times New Roman" w:hint="default"/>
          <w:spacing w:val="-2"/>
        </w:rPr>
        <w:t>91320509MAINRGLD02</w:t>
      </w:r>
      <w:r>
        <w:rPr>
          <w:spacing w:val="-2"/>
        </w:rPr>
        <w:t>的企</w:t>
      </w:r>
      <w:r>
        <w:rPr>
          <w:spacing w:val="-32"/>
        </w:rPr>
        <w:t> </w:t>
      </w:r>
      <w:r>
        <w:rPr>
          <w:spacing w:val="-2"/>
        </w:rPr>
        <w:t>业法人营业执照，该公司注册资本</w:t>
      </w:r>
      <w:r>
        <w:rPr>
          <w:rFonts w:ascii="Times New Roman" w:hAnsi="Times New Roman" w:cs="Times New Roman" w:eastAsia="Times New Roman" w:hint="default"/>
          <w:spacing w:val="-2"/>
        </w:rPr>
        <w:t>20000</w:t>
      </w:r>
      <w:r>
        <w:rPr>
          <w:spacing w:val="-2"/>
        </w:rPr>
        <w:t>万元人民币；全资子公司苏州美盈森与自然人何敏帆、仉露分别以</w:t>
      </w:r>
      <w:r>
        <w:rPr>
          <w:rFonts w:ascii="Times New Roman" w:hAnsi="Times New Roman" w:cs="Times New Roman" w:eastAsia="Times New Roman" w:hint="default"/>
          <w:spacing w:val="-2"/>
        </w:rPr>
        <w:t>70%</w:t>
      </w:r>
      <w:r>
        <w:rPr>
          <w:spacing w:val="-2"/>
        </w:rPr>
        <w:t>、</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的比例共同投资设立了江苏美彩供应链管理有限公司，于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日完成办理工商设立登记手续，并取得统一社会信用 代码为</w:t>
      </w:r>
      <w:r>
        <w:rPr>
          <w:rFonts w:ascii="Times New Roman" w:hAnsi="Times New Roman" w:cs="Times New Roman" w:eastAsia="Times New Roman" w:hint="default"/>
        </w:rPr>
        <w:t>91321300MA1P9NX38M</w:t>
      </w:r>
      <w:r>
        <w:rPr/>
        <w:t>的企业法人营业执照，该公司注册资本</w:t>
      </w:r>
      <w:r>
        <w:rPr>
          <w:rFonts w:ascii="Times New Roman" w:hAnsi="Times New Roman" w:cs="Times New Roman" w:eastAsia="Times New Roman" w:hint="default"/>
        </w:rPr>
        <w:t>1000</w:t>
      </w:r>
      <w:r>
        <w:rPr/>
        <w:t>万元人民币；按照相应的会计报表编制规则，公 司本期将苏州智谷、江苏美彩纳入合并报表范围。</w:t>
      </w:r>
    </w:p>
    <w:p>
      <w:pPr>
        <w:pStyle w:val="BodyText"/>
        <w:spacing w:line="300" w:lineRule="auto" w:before="31"/>
        <w:ind w:right="151" w:firstLine="360"/>
        <w:jc w:val="both"/>
      </w:pPr>
      <w:r>
        <w:rPr/>
        <w:t>（</w:t>
      </w:r>
      <w:r>
        <w:rPr>
          <w:rFonts w:ascii="Times New Roman" w:hAnsi="Times New Roman" w:cs="Times New Roman" w:eastAsia="Times New Roman" w:hint="default"/>
        </w:rPr>
        <w:t>5</w:t>
      </w:r>
      <w:r>
        <w:rPr/>
        <w:t>）本期由公司全资子公司香港美盈森设立</w:t>
      </w:r>
      <w:r>
        <w:rPr>
          <w:rFonts w:ascii="Times New Roman" w:hAnsi="Times New Roman" w:cs="Times New Roman" w:eastAsia="Times New Roman" w:hint="default"/>
        </w:rPr>
        <w:t>MYS GROUP (VIETNAM) COMPANY</w:t>
      </w:r>
      <w:r>
        <w:rPr>
          <w:rFonts w:ascii="Times New Roman" w:hAnsi="Times New Roman" w:cs="Times New Roman" w:eastAsia="Times New Roman" w:hint="default"/>
          <w:spacing w:val="-7"/>
        </w:rPr>
        <w:t> </w:t>
      </w:r>
      <w:r>
        <w:rPr>
          <w:rFonts w:ascii="Times New Roman" w:hAnsi="Times New Roman" w:cs="Times New Roman" w:eastAsia="Times New Roman" w:hint="default"/>
        </w:rPr>
        <w:t>LIMITED</w:t>
      </w:r>
      <w:r>
        <w:rPr/>
        <w:t>，取得越南北宁省工业区</w:t>
      </w:r>
      <w:r>
        <w:rPr>
          <w:w w:val="99"/>
        </w:rPr>
        <w:t> </w:t>
      </w:r>
      <w:r>
        <w:rPr/>
        <w:t>管理委员会颁发的《投资证书》，于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日完成办理设立登记手续，并取得编号为</w:t>
      </w:r>
      <w:r>
        <w:rPr>
          <w:rFonts w:ascii="Times New Roman" w:hAnsi="Times New Roman" w:cs="Times New Roman" w:eastAsia="Times New Roman" w:hint="default"/>
        </w:rPr>
        <w:t>2300980762</w:t>
      </w:r>
      <w:r>
        <w:rPr/>
        <w:t>的企业注册证书，该</w:t>
      </w:r>
      <w:r>
        <w:rPr>
          <w:w w:val="99"/>
        </w:rPr>
        <w:t> </w:t>
      </w:r>
      <w:r>
        <w:rPr>
          <w:spacing w:val="-1"/>
        </w:rPr>
        <w:t>公司注册资本</w:t>
      </w:r>
      <w:r>
        <w:rPr>
          <w:rFonts w:ascii="Times New Roman" w:hAnsi="Times New Roman" w:cs="Times New Roman" w:eastAsia="Times New Roman" w:hint="default"/>
          <w:spacing w:val="-1"/>
        </w:rPr>
        <w:t>456.4</w:t>
      </w:r>
      <w:r>
        <w:rPr>
          <w:spacing w:val="-1"/>
        </w:rPr>
        <w:t>亿越南盾，香港美盈森持股</w:t>
      </w:r>
      <w:r>
        <w:rPr>
          <w:rFonts w:ascii="Times New Roman" w:hAnsi="Times New Roman" w:cs="Times New Roman" w:eastAsia="Times New Roman" w:hint="default"/>
          <w:spacing w:val="-1"/>
        </w:rPr>
        <w:t>100%</w:t>
      </w:r>
      <w:r>
        <w:rPr>
          <w:spacing w:val="-1"/>
        </w:rPr>
        <w:t>；按照相应的会计报表编制规则，公司本期将越南美盈森纳入合并报表</w:t>
      </w:r>
      <w:r>
        <w:rPr>
          <w:spacing w:val="-45"/>
        </w:rPr>
        <w:t> </w:t>
      </w:r>
      <w:r>
        <w:rPr>
          <w:spacing w:val="-45"/>
        </w:rPr>
      </w:r>
      <w:r>
        <w:rPr/>
        <w:t>范围。</w:t>
      </w:r>
    </w:p>
    <w:p>
      <w:pPr>
        <w:pStyle w:val="BodyText"/>
        <w:spacing w:line="300" w:lineRule="auto" w:before="32"/>
        <w:ind w:right="170" w:firstLine="360"/>
        <w:jc w:val="both"/>
      </w:pPr>
      <w:r>
        <w:rPr/>
        <w:t>（</w:t>
      </w:r>
      <w:r>
        <w:rPr>
          <w:rFonts w:ascii="Times New Roman" w:hAnsi="Times New Roman" w:cs="Times New Roman" w:eastAsia="Times New Roman" w:hint="default"/>
        </w:rPr>
        <w:t>6</w:t>
      </w:r>
      <w:r>
        <w:rPr/>
        <w:t>）公司设立的</w:t>
      </w:r>
      <w:r>
        <w:rPr>
          <w:rFonts w:ascii="Times New Roman" w:hAnsi="Times New Roman" w:cs="Times New Roman" w:eastAsia="Times New Roman" w:hint="default"/>
        </w:rPr>
        <w:t>MYS Global</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日取得深圳市发展和改革委员会出具的深发改函（</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1125</w:t>
      </w:r>
      <w:r>
        <w:rPr/>
        <w:t>号项目 备案通知书；按照相应的会计报表编制规则，公司本期将美国美盈森纳入合并报表范围。</w:t>
      </w:r>
    </w:p>
    <w:p>
      <w:pPr>
        <w:pStyle w:val="BodyText"/>
        <w:spacing w:line="300" w:lineRule="auto" w:before="31"/>
        <w:ind w:right="156"/>
        <w:jc w:val="both"/>
      </w:pPr>
      <w:r>
        <w:rPr/>
        <w:t>（</w:t>
      </w:r>
      <w:r>
        <w:rPr>
          <w:rFonts w:ascii="Times New Roman" w:hAnsi="Times New Roman" w:cs="Times New Roman" w:eastAsia="Times New Roman" w:hint="default"/>
        </w:rPr>
        <w:t>7</w:t>
      </w:r>
      <w:r>
        <w:rPr/>
        <w:t>）本期由公司合资设立安徽美盈森智谷科技有限公司，于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日完成办理工商设立登记手续，并取得统一社会信 用代码为</w:t>
      </w:r>
      <w:r>
        <w:rPr>
          <w:rFonts w:ascii="Times New Roman" w:hAnsi="Times New Roman" w:cs="Times New Roman" w:eastAsia="Times New Roman" w:hint="default"/>
        </w:rPr>
        <w:t>91341500MA2P0B7B8L(1-1)</w:t>
      </w:r>
      <w:r>
        <w:rPr/>
        <w:t>的企业法人营业执照，该公司注册资本</w:t>
      </w:r>
      <w:r>
        <w:rPr>
          <w:rFonts w:ascii="Times New Roman" w:hAnsi="Times New Roman" w:cs="Times New Roman" w:eastAsia="Times New Roman" w:hint="default"/>
        </w:rPr>
        <w:t>28000</w:t>
      </w:r>
      <w:r>
        <w:rPr/>
        <w:t>万元，公司持股</w:t>
      </w:r>
      <w:r>
        <w:rPr>
          <w:rFonts w:ascii="Times New Roman" w:hAnsi="Times New Roman" w:cs="Times New Roman" w:eastAsia="Times New Roman" w:hint="default"/>
        </w:rPr>
        <w:t>90%</w:t>
      </w:r>
      <w:r>
        <w:rPr/>
        <w:t>；按照相应的会计报 表编制规则，公司本期将安徽美盈森纳入合并报表范围。</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中国重庆市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东莞市美芯龙物 联网科技有限公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36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美盈森（香港） 国际控股有限公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四川崇州市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湖北鄂州市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台湾美盈森有限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中国台湾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四川泸美供应链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四川泸州市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60.87%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互联网包装印刷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美莲检测有限公 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left"/>
              <w:rPr>
                <w:rFonts w:ascii="宋体" w:hAnsi="宋体" w:cs="宋体" w:eastAsia="宋体" w:hint="default"/>
                <w:sz w:val="18"/>
                <w:szCs w:val="18"/>
              </w:rPr>
            </w:pPr>
            <w:r>
              <w:rPr>
                <w:rFonts w:ascii="宋体" w:hAnsi="宋体" w:cs="宋体" w:eastAsia="宋体" w:hint="default"/>
                <w:sz w:val="18"/>
                <w:szCs w:val="18"/>
              </w:rPr>
              <w:t>包装印刷行业检 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郑州市美盈森环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河南新郑市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长沙美盈森智谷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四川宜美供应链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四川宜宾市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四川宜宾市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东莞市美之兰环 保科技有限公司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佛山市美盈森绿 谷科技有限公司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中大绿谷实业股 份有限公司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农业、旅游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湖南美盈森实业 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湖南岳阳市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安徽美盈森智谷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3"/>
                <w:sz w:val="18"/>
              </w:rPr>
              <w:t> </w:t>
            </w:r>
            <w:r>
              <w:rPr>
                <w:rFonts w:ascii="Times New Roman"/>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美国加州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92"/>
              <w:jc w:val="left"/>
              <w:rPr>
                <w:rFonts w:ascii="Times New Roman" w:hAnsi="Times New Roman" w:cs="Times New Roman" w:eastAsia="Times New Roman" w:hint="default"/>
                <w:sz w:val="18"/>
                <w:szCs w:val="18"/>
              </w:rPr>
            </w:pPr>
            <w:r>
              <w:rPr>
                <w:rFonts w:ascii="Times New Roman"/>
                <w:sz w:val="18"/>
              </w:rPr>
              <w:t>MYS</w:t>
            </w:r>
            <w:r>
              <w:rPr>
                <w:rFonts w:ascii="Times New Roman"/>
                <w:spacing w:val="-4"/>
                <w:sz w:val="18"/>
              </w:rPr>
              <w:t> </w:t>
            </w:r>
            <w:r>
              <w:rPr>
                <w:rFonts w:ascii="Times New Roman"/>
                <w:sz w:val="18"/>
              </w:rPr>
              <w:t>GROUP</w:t>
            </w:r>
            <w:r>
              <w:rPr>
                <w:rFonts w:ascii="Times New Roman"/>
                <w:w w:val="99"/>
                <w:sz w:val="18"/>
              </w:rPr>
              <w:t> </w:t>
            </w:r>
            <w:r>
              <w:rPr>
                <w:rFonts w:ascii="Times New Roman"/>
                <w:sz w:val="18"/>
              </w:rPr>
              <w:t>(VIETNAM)</w:t>
            </w:r>
            <w:r>
              <w:rPr>
                <w:rFonts w:ascii="Times New Roman"/>
                <w:w w:val="99"/>
                <w:sz w:val="18"/>
              </w:rPr>
              <w:t> </w:t>
            </w:r>
            <w:r>
              <w:rPr>
                <w:rFonts w:ascii="Times New Roman"/>
                <w:spacing w:val="-3"/>
                <w:sz w:val="18"/>
              </w:rPr>
              <w:t>COMPANY</w:t>
            </w:r>
            <w:r>
              <w:rPr>
                <w:rFonts w:ascii="Times New Roman"/>
                <w:spacing w:val="-42"/>
                <w:sz w:val="18"/>
              </w:rPr>
              <w:t> </w:t>
            </w:r>
            <w:r>
              <w:rPr>
                <w:rFonts w:ascii="Times New Roman"/>
                <w:spacing w:val="-42"/>
                <w:sz w:val="18"/>
              </w:rPr>
            </w:r>
            <w:r>
              <w:rPr>
                <w:rFonts w:ascii="Times New Roman"/>
                <w:sz w:val="18"/>
              </w:rPr>
              <w:t>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2"/>
              <w:jc w:val="left"/>
              <w:rPr>
                <w:rFonts w:ascii="宋体" w:hAnsi="宋体" w:cs="宋体" w:eastAsia="宋体" w:hint="default"/>
                <w:sz w:val="18"/>
                <w:szCs w:val="18"/>
              </w:rPr>
            </w:pPr>
            <w:r>
              <w:rPr>
                <w:rFonts w:ascii="宋体" w:hAnsi="宋体" w:cs="宋体" w:eastAsia="宋体" w:hint="default"/>
                <w:sz w:val="18"/>
                <w:szCs w:val="18"/>
              </w:rPr>
              <w:t>越南北宁省北宁 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0"/>
              <w:jc w:val="left"/>
              <w:rPr>
                <w:rFonts w:ascii="宋体" w:hAnsi="宋体" w:cs="宋体" w:eastAsia="宋体" w:hint="default"/>
                <w:sz w:val="18"/>
                <w:szCs w:val="18"/>
              </w:rPr>
            </w:pPr>
            <w:r>
              <w:rPr>
                <w:rFonts w:ascii="宋体" w:hAnsi="宋体" w:cs="宋体" w:eastAsia="宋体" w:hint="default"/>
                <w:sz w:val="18"/>
                <w:szCs w:val="18"/>
              </w:rPr>
              <w:t>越南北宁省北宁 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8"/>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深圳市汇天云网 科技有限公司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包装设计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美盈森智谷（苏 州）包装技术有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江苏吴江市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江苏美彩供应链 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江苏宿迁市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江苏宿迁市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pStyle w:val="BodyText"/>
        <w:spacing w:line="357" w:lineRule="auto" w:before="49"/>
        <w:ind w:right="5994"/>
        <w:jc w:val="left"/>
      </w:pPr>
      <w:r>
        <w:rPr/>
        <w:t>在子公司的持股比例不同于表决权比例的说明： 无</w:t>
      </w:r>
    </w:p>
    <w:p>
      <w:pPr>
        <w:pStyle w:val="BodyText"/>
        <w:spacing w:line="360" w:lineRule="auto" w:before="29"/>
        <w:ind w:right="1854"/>
        <w:jc w:val="left"/>
      </w:pPr>
      <w:r>
        <w:rPr/>
        <w:t>持有半数或以下表决权但仍控制被投资单位、以及持有半数以上表决权但不控制被投资单位的依据： 无</w:t>
      </w:r>
    </w:p>
    <w:p>
      <w:pPr>
        <w:pStyle w:val="BodyText"/>
        <w:spacing w:line="357" w:lineRule="auto" w:before="27"/>
        <w:ind w:right="5454"/>
        <w:jc w:val="left"/>
      </w:pPr>
      <w:r>
        <w:rPr/>
        <w:t>对于纳入合并范围的重要的结构化主体，控制的依据： 无</w:t>
      </w:r>
    </w:p>
    <w:p>
      <w:pPr>
        <w:pStyle w:val="BodyText"/>
        <w:spacing w:line="357" w:lineRule="auto" w:before="29"/>
        <w:ind w:right="6714"/>
        <w:jc w:val="left"/>
      </w:pPr>
      <w:r>
        <w:rPr/>
        <w:t>确定公司是代理人还是委托人的依据：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深圳市金之彩文化创意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598,177.64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48,019,496.80</w:t>
            </w:r>
          </w:p>
        </w:tc>
      </w:tr>
    </w:tbl>
    <w:p>
      <w:pPr>
        <w:pStyle w:val="BodyText"/>
        <w:spacing w:line="357" w:lineRule="auto" w:before="49"/>
        <w:ind w:right="5454"/>
        <w:jc w:val="left"/>
      </w:pPr>
      <w:r>
        <w:rPr/>
        <w:t>子公司少数股东的持股比例不同于表决权比例的说明： 无</w:t>
      </w:r>
    </w:p>
    <w:p>
      <w:pPr>
        <w:pStyle w:val="BodyText"/>
        <w:spacing w:line="360" w:lineRule="auto" w:before="29"/>
        <w:ind w:right="887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2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6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深圳市 金之彩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143,879,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78,428,2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222,307,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55,975,6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3,220,00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59,195,6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128,590,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82,509,3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211,099,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46,561,6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3,420,00</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49,981,6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5"/>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文化创 意有限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657.71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46.10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903.81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74.11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74.11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648.88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35.73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984.61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9" w:right="0"/>
              <w:jc w:val="left"/>
              <w:rPr>
                <w:rFonts w:ascii="Times New Roman" w:hAnsi="Times New Roman" w:cs="Times New Roman" w:eastAsia="Times New Roman" w:hint="default"/>
                <w:sz w:val="18"/>
                <w:szCs w:val="18"/>
              </w:rPr>
            </w:pPr>
            <w:r>
              <w:rPr>
                <w:rFonts w:ascii="Times New Roman"/>
                <w:sz w:val="18"/>
              </w:rPr>
              <w:t>80.36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9"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80.36</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4"/>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深圳市金之 彩文化创意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177,402,677.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1,993,925.45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1,993,925.45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5,664,512.74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150,584,900.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-16,066,117.9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-16,066,117.9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-7,299,416.66</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4"/>
        <w:jc w:val="left"/>
      </w:pPr>
      <w:r>
        <w:rPr/>
        <w:t>无 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4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4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357" w:lineRule="auto" w:before="44"/>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9"/>
        <w:gridCol w:w="2734"/>
        <w:gridCol w:w="1365"/>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9"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67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8"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4914"/>
        <w:jc w:val="left"/>
      </w:pPr>
      <w:r>
        <w:rPr/>
        <w:t>在合营企业或联营企业的持股比例不同于表决权比例的说明： 无</w:t>
      </w:r>
    </w:p>
    <w:p>
      <w:pPr>
        <w:pStyle w:val="BodyText"/>
        <w:spacing w:line="338" w:lineRule="auto" w:before="27"/>
        <w:ind w:right="236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1"/>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1"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357" w:lineRule="auto" w:before="50"/>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360" w:lineRule="auto" w:before="49"/>
        <w:ind w:right="90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83"/>
        <w:gridCol w:w="3173"/>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83" w:type="dxa"/>
            <w:tcBorders>
              <w:top w:val="single" w:sz="4" w:space="0" w:color="000000"/>
              <w:left w:val="single" w:sz="9" w:space="0" w:color="D2D2D2"/>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83" w:type="dxa"/>
            <w:tcBorders>
              <w:top w:val="single" w:sz="4" w:space="0" w:color="000000"/>
              <w:left w:val="single" w:sz="9" w:space="0" w:color="D2D2D2"/>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-4,410,365.51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83" w:type="dxa"/>
            <w:tcBorders>
              <w:top w:val="single" w:sz="4" w:space="0" w:color="000000"/>
              <w:left w:val="single" w:sz="9" w:space="0" w:color="D2D2D2"/>
              <w:bottom w:val="single" w:sz="4" w:space="0" w:color="000000"/>
              <w:right w:val="single" w:sz="4" w:space="0" w:color="000000"/>
            </w:tcBorders>
          </w:tcPr>
          <w:p>
            <w:pP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-4,410,365.51</w:t>
            </w:r>
          </w:p>
        </w:tc>
      </w:tr>
    </w:tbl>
    <w:p>
      <w:pPr>
        <w:pStyle w:val="BodyText"/>
        <w:spacing w:line="357" w:lineRule="auto" w:before="49"/>
        <w:ind w:right="9054"/>
        <w:jc w:val="left"/>
      </w:pPr>
      <w:r>
        <w:rPr/>
        <w:t>其他说明 无</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83"/>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4554"/>
        <w:jc w:val="left"/>
      </w:pPr>
      <w:r>
        <w:rPr/>
        <w:t>在共同经营中的持股比例或享有的份额不同于表决权比例的说明： 无</w:t>
      </w:r>
    </w:p>
    <w:p>
      <w:pPr>
        <w:pStyle w:val="BodyText"/>
        <w:spacing w:line="357" w:lineRule="auto" w:before="29"/>
        <w:ind w:right="5814"/>
        <w:jc w:val="left"/>
      </w:pPr>
      <w:r>
        <w:rPr/>
        <w:t>共同经营为单独主体的，分类为共同经营的依据： 无</w:t>
      </w:r>
    </w:p>
    <w:p>
      <w:pPr>
        <w:pStyle w:val="BodyText"/>
        <w:spacing w:line="360" w:lineRule="auto" w:before="29"/>
        <w:ind w:right="90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634"/>
        <w:jc w:val="left"/>
      </w:pPr>
      <w:r>
        <w:rPr/>
        <w:t>未纳入合并财务报表范围的结构化主体的相关说明：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224"/>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31"/>
        <w:jc w:val="both"/>
      </w:pPr>
      <w:r>
        <w:rPr>
          <w:spacing w:val="-2"/>
        </w:rPr>
        <w:t>本公司的主要金融工具包括股权投资、应收账款、应付账款等，各项金融工具的详细情况已于相关附注内披露。与这些金融</w:t>
      </w:r>
      <w:r>
        <w:rPr>
          <w:spacing w:val="-64"/>
        </w:rPr>
        <w:t> </w:t>
      </w:r>
      <w:r>
        <w:rPr>
          <w:spacing w:val="-64"/>
        </w:rPr>
      </w:r>
      <w:r>
        <w:rPr>
          <w:spacing w:val="-2"/>
        </w:rPr>
        <w:t>工具有关的风险，以及本公司为降低这些风险所采取的风险管理政策如下所述。本公司管理层对这些风险敞口进行管理和监</w:t>
      </w:r>
      <w:r>
        <w:rPr>
          <w:spacing w:val="-64"/>
        </w:rPr>
        <w:t> </w:t>
      </w:r>
      <w:r>
        <w:rPr>
          <w:spacing w:val="-64"/>
        </w:rPr>
      </w:r>
      <w:r>
        <w:rPr/>
        <w:t>控以确保将上述风险控制在限定的范围之内。</w:t>
      </w:r>
    </w:p>
    <w:p>
      <w:pPr>
        <w:pStyle w:val="BodyText"/>
        <w:spacing w:line="316" w:lineRule="auto" w:before="57"/>
        <w:ind w:right="332" w:firstLine="288"/>
        <w:jc w:val="both"/>
      </w:pPr>
      <w:r>
        <w:rPr>
          <w:spacing w:val="-1"/>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pStyle w:val="BodyText"/>
        <w:spacing w:line="360" w:lineRule="auto" w:before="59"/>
        <w:ind w:left="513" w:right="22" w:hanging="72"/>
        <w:jc w:val="left"/>
      </w:pPr>
      <w:r>
        <w:rPr/>
        <w:t>（一）风险管理目标和政策 本公司从事风险管理的目标是在风险和收益之间取得适当的平衡，将风险对本公司经营业绩的负面影响降低到最低水</w:t>
      </w:r>
    </w:p>
    <w:p>
      <w:pPr>
        <w:pStyle w:val="BodyText"/>
        <w:spacing w:line="222" w:lineRule="exact"/>
        <w:ind w:right="22"/>
        <w:jc w:val="left"/>
      </w:pPr>
      <w:r>
        <w:rPr/>
        <w:t>平，使股东及其其他权益投资者的利益最大化。基于该风险管理目标，本公司风险管理的基本策略是确定和分析本公司所面</w:t>
      </w:r>
    </w:p>
    <w:p>
      <w:pPr>
        <w:pStyle w:val="BodyText"/>
        <w:spacing w:line="316" w:lineRule="auto" w:before="76"/>
        <w:ind w:right="22"/>
        <w:jc w:val="left"/>
      </w:pPr>
      <w:r>
        <w:rPr>
          <w:spacing w:val="-2"/>
        </w:rPr>
        <w:t>临的各种风险，建立适当的风险承受底线和进行风险管理，并及时可靠地对各种风险进行监督，将风险控制在限定的范围之</w:t>
      </w:r>
      <w:r>
        <w:rPr>
          <w:spacing w:val="-63"/>
        </w:rPr>
        <w:t> </w:t>
      </w:r>
      <w:r>
        <w:rPr>
          <w:spacing w:val="-63"/>
        </w:rPr>
      </w:r>
      <w:r>
        <w:rPr/>
        <w:t>内。</w:t>
      </w:r>
    </w:p>
    <w:p>
      <w:pPr>
        <w:pStyle w:val="BodyText"/>
        <w:spacing w:line="240" w:lineRule="auto" w:before="58"/>
        <w:ind w:left="441" w:right="1224"/>
        <w:jc w:val="left"/>
      </w:pPr>
      <w:r>
        <w:rPr>
          <w:rFonts w:ascii="Times New Roman" w:hAnsi="Times New Roman" w:cs="Times New Roman" w:eastAsia="Times New Roman" w:hint="default"/>
        </w:rPr>
        <w:t>1.</w:t>
      </w:r>
      <w:r>
        <w:rPr/>
        <w:t>市场风险</w:t>
      </w:r>
    </w:p>
    <w:p>
      <w:pPr>
        <w:pStyle w:val="BodyText"/>
        <w:spacing w:line="340" w:lineRule="auto" w:before="103"/>
        <w:ind w:left="441" w:right="22"/>
        <w:jc w:val="left"/>
      </w:pPr>
      <w:r>
        <w:rPr/>
        <w:t>（</w:t>
      </w:r>
      <w:r>
        <w:rPr>
          <w:rFonts w:ascii="Times New Roman" w:hAnsi="Times New Roman" w:cs="Times New Roman" w:eastAsia="Times New Roman" w:hint="default"/>
        </w:rPr>
        <w:t>1</w:t>
      </w:r>
      <w:r>
        <w:rPr/>
        <w:t>）外汇风险 </w:t>
      </w:r>
      <w:r>
        <w:rPr>
          <w:spacing w:val="-1"/>
        </w:rPr>
        <w:t>外汇风险指因汇率变动产生损失的风险。本公司承受外汇风险主要与港币、美元、台币、越南盾及欧元有关，除本公司</w:t>
      </w:r>
    </w:p>
    <w:p>
      <w:pPr>
        <w:pStyle w:val="BodyText"/>
        <w:spacing w:line="300" w:lineRule="auto" w:before="1"/>
        <w:ind w:right="234"/>
        <w:jc w:val="left"/>
      </w:pPr>
      <w:r>
        <w:rPr>
          <w:spacing w:val="-2"/>
        </w:rPr>
        <w:t>及几个下属子公司以港币、台币、美元、越南盾进行采购与销售外，本公司的其他主要业务活动以人民币计价结算。于</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日，除下表所述资产或负债为美元、港币、新台币、越南盾及欧元余额外，本公司的资产及负债均为人民币余额。 该等外币余额的资产和负债产生的外汇风险可能对本公司的经营业绩产生影响。</w:t>
      </w:r>
    </w:p>
    <w:p>
      <w:pPr>
        <w:spacing w:line="240" w:lineRule="auto" w:before="9"/>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995"/>
        <w:gridCol w:w="3125"/>
        <w:gridCol w:w="2737"/>
      </w:tblGrid>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期初数</w:t>
            </w:r>
          </w:p>
        </w:tc>
      </w:tr>
      <w:tr>
        <w:trPr>
          <w:trHeight w:val="346"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231,551,713.63</w:t>
            </w:r>
            <w:r>
              <w:rPr>
                <w:rFonts w:ascii="Times New Roman"/>
                <w:sz w:val="20"/>
              </w:rPr>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247,645,402.47</w:t>
            </w:r>
            <w:r>
              <w:rPr>
                <w:rFonts w:ascii="Times New Roman"/>
                <w:sz w:val="20"/>
              </w:rPr>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335,712,472.85</w:t>
            </w:r>
            <w:r>
              <w:rPr>
                <w:rFonts w:ascii="Times New Roman"/>
                <w:sz w:val="20"/>
              </w:rPr>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312,873,926.63</w:t>
            </w:r>
            <w:r>
              <w:rPr>
                <w:rFonts w:ascii="Times New Roman"/>
                <w:sz w:val="20"/>
              </w:rPr>
            </w:r>
          </w:p>
        </w:tc>
      </w:tr>
      <w:tr>
        <w:trPr>
          <w:trHeight w:val="348" w:hRule="exact"/>
        </w:trPr>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39,115,361.07</w:t>
            </w:r>
            <w:r>
              <w:rPr>
                <w:rFonts w:ascii="Times New Roman"/>
                <w:sz w:val="20"/>
              </w:rPr>
            </w:r>
          </w:p>
        </w:tc>
        <w:tc>
          <w:tcPr>
            <w:tcW w:w="2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11,772,497.87</w:t>
            </w:r>
            <w:r>
              <w:rPr>
                <w:rFonts w:ascii="Times New Roman"/>
                <w:sz w:val="20"/>
              </w:rPr>
            </w:r>
          </w:p>
        </w:tc>
      </w:tr>
    </w:tbl>
    <w:p>
      <w:pPr>
        <w:pStyle w:val="BodyText"/>
        <w:spacing w:line="357" w:lineRule="auto" w:before="49"/>
        <w:ind w:left="441" w:right="5525"/>
        <w:jc w:val="left"/>
      </w:pPr>
      <w:r>
        <w:rPr/>
        <w:t>本公司密切关注汇率变动对本公司外汇风险的影响。 外汇风险敏感性分析：</w:t>
      </w:r>
    </w:p>
    <w:p>
      <w:pPr>
        <w:pStyle w:val="BodyText"/>
        <w:spacing w:line="316" w:lineRule="auto" w:before="29"/>
        <w:ind w:right="22" w:firstLine="288"/>
        <w:jc w:val="left"/>
      </w:pPr>
      <w:r>
        <w:rPr>
          <w:spacing w:val="-1"/>
        </w:rPr>
        <w:t>外汇风险敏感性分析假设：所有境外经营净投资套期及现金流量套期均高度有效。在上述假设的基础上，在其他变量不</w:t>
      </w:r>
      <w:r>
        <w:rPr/>
        <w:t> 变的情况下，汇率可能发生的合理变动对当期损益和股东权益的税前影响如下：</w:t>
      </w:r>
    </w:p>
    <w:p>
      <w:pPr>
        <w:pStyle w:val="BodyText"/>
        <w:spacing w:line="240" w:lineRule="auto" w:before="57"/>
        <w:ind w:left="0" w:right="331"/>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241"/>
        <w:gridCol w:w="1820"/>
        <w:gridCol w:w="1543"/>
        <w:gridCol w:w="1827"/>
        <w:gridCol w:w="1546"/>
        <w:gridCol w:w="1683"/>
      </w:tblGrid>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4"/>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820" w:type="dxa"/>
            <w:vMerge w:val="restart"/>
            <w:tcBorders>
              <w:top w:val="single" w:sz="6" w:space="0" w:color="000000"/>
              <w:left w:val="single" w:sz="6" w:space="0" w:color="000000"/>
              <w:right w:val="single" w:sz="6" w:space="0" w:color="000000"/>
            </w:tcBorders>
          </w:tcPr>
          <w:p>
            <w:pPr>
              <w:pStyle w:val="TableParagraph"/>
              <w:spacing w:line="240" w:lineRule="auto" w:before="4"/>
              <w:ind w:left="503" w:right="0"/>
              <w:jc w:val="left"/>
              <w:rPr>
                <w:rFonts w:ascii="宋体" w:hAnsi="宋体" w:cs="宋体" w:eastAsia="宋体" w:hint="default"/>
                <w:sz w:val="20"/>
                <w:szCs w:val="20"/>
              </w:rPr>
            </w:pPr>
            <w:r>
              <w:rPr>
                <w:rFonts w:ascii="宋体" w:hAnsi="宋体" w:cs="宋体" w:eastAsia="宋体" w:hint="default"/>
                <w:sz w:val="20"/>
                <w:szCs w:val="20"/>
              </w:rPr>
              <w:t>汇率变动</w:t>
            </w:r>
          </w:p>
        </w:tc>
        <w:tc>
          <w:tcPr>
            <w:tcW w:w="33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32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上年度</w:t>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20" w:type="dxa"/>
            <w:vMerge/>
            <w:tcBorders>
              <w:left w:val="single" w:sz="6" w:space="0" w:color="000000"/>
              <w:bottom w:val="single" w:sz="6" w:space="0" w:color="000000"/>
              <w:right w:val="single" w:sz="6" w:space="0" w:color="000000"/>
            </w:tcBorders>
          </w:tcPr>
          <w:p>
            <w:pP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5" w:right="0"/>
              <w:jc w:val="left"/>
              <w:rPr>
                <w:rFonts w:ascii="宋体" w:hAnsi="宋体" w:cs="宋体" w:eastAsia="宋体" w:hint="default"/>
                <w:sz w:val="20"/>
                <w:szCs w:val="20"/>
              </w:rPr>
            </w:pPr>
            <w:r>
              <w:rPr>
                <w:rFonts w:ascii="宋体" w:hAnsi="宋体" w:cs="宋体" w:eastAsia="宋体" w:hint="default"/>
                <w:sz w:val="20"/>
                <w:szCs w:val="20"/>
              </w:rPr>
              <w:t>对股东权益的影响</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65" w:right="0"/>
              <w:jc w:val="left"/>
              <w:rPr>
                <w:rFonts w:ascii="宋体" w:hAnsi="宋体" w:cs="宋体" w:eastAsia="宋体" w:hint="default"/>
                <w:sz w:val="20"/>
                <w:szCs w:val="20"/>
              </w:rPr>
            </w:pPr>
            <w:r>
              <w:rPr>
                <w:rFonts w:ascii="宋体" w:hAnsi="宋体" w:cs="宋体" w:eastAsia="宋体" w:hint="default"/>
                <w:sz w:val="20"/>
                <w:szCs w:val="20"/>
              </w:rPr>
              <w:t>对利润的影响</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2"/>
              <w:jc w:val="right"/>
              <w:rPr>
                <w:rFonts w:ascii="宋体" w:hAnsi="宋体" w:cs="宋体" w:eastAsia="宋体" w:hint="default"/>
                <w:sz w:val="20"/>
                <w:szCs w:val="20"/>
              </w:rPr>
            </w:pPr>
            <w:r>
              <w:rPr>
                <w:rFonts w:ascii="宋体" w:hAnsi="宋体" w:cs="宋体" w:eastAsia="宋体" w:hint="default"/>
                <w:w w:val="95"/>
                <w:sz w:val="20"/>
                <w:szCs w:val="20"/>
              </w:rPr>
              <w:t>对股东权益的影响</w:t>
            </w:r>
            <w:r>
              <w:rPr>
                <w:rFonts w:ascii="宋体" w:hAnsi="宋体" w:cs="宋体" w:eastAsia="宋体" w:hint="default"/>
                <w:sz w:val="20"/>
                <w:szCs w:val="20"/>
              </w:rPr>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85" w:lineRule="auto" w:before="4"/>
              <w:ind w:left="415" w:right="13" w:hanging="402"/>
              <w:jc w:val="left"/>
              <w:rPr>
                <w:rFonts w:ascii="宋体" w:hAnsi="宋体" w:cs="宋体" w:eastAsia="宋体" w:hint="default"/>
                <w:sz w:val="20"/>
                <w:szCs w:val="20"/>
              </w:rPr>
            </w:pPr>
            <w:r>
              <w:rPr>
                <w:rFonts w:ascii="宋体" w:hAnsi="宋体" w:cs="宋体" w:eastAsia="宋体" w:hint="default"/>
                <w:sz w:val="20"/>
                <w:szCs w:val="20"/>
              </w:rPr>
              <w:t>现金及现金等</w:t>
            </w:r>
            <w:r>
              <w:rPr>
                <w:rFonts w:ascii="宋体" w:hAnsi="宋体" w:cs="宋体" w:eastAsia="宋体" w:hint="default"/>
                <w:w w:val="99"/>
                <w:sz w:val="20"/>
                <w:szCs w:val="20"/>
              </w:rPr>
              <w:t> </w:t>
            </w:r>
            <w:r>
              <w:rPr>
                <w:rFonts w:ascii="宋体" w:hAnsi="宋体" w:cs="宋体" w:eastAsia="宋体" w:hint="default"/>
                <w:sz w:val="20"/>
                <w:szCs w:val="20"/>
              </w:rPr>
              <w:t>价物</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-2,315,517.14</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-2,315,517.14</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-2,476,454.02</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-2,476,454.02</w:t>
            </w:r>
            <w:r>
              <w:rPr>
                <w:rFonts w:ascii="Times New Roman"/>
                <w:sz w:val="20"/>
              </w:rPr>
            </w:r>
          </w:p>
        </w:tc>
      </w:tr>
      <w:tr>
        <w:trPr>
          <w:trHeight w:val="346" w:hRule="exact"/>
        </w:trPr>
        <w:tc>
          <w:tcPr>
            <w:tcW w:w="1241" w:type="dxa"/>
            <w:vMerge/>
            <w:tcBorders>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2,315,517.14</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2,315,517.14</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2,476,454.02</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2,476,454.02</w:t>
            </w:r>
            <w:r>
              <w:rPr>
                <w:rFonts w:ascii="Times New Roman"/>
                <w:sz w:val="20"/>
              </w:rPr>
            </w:r>
          </w:p>
        </w:tc>
      </w:tr>
      <w:tr>
        <w:trPr>
          <w:trHeight w:val="348"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-3,357,124.73</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-3,357,124.73</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-3,128,739.27</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-3,128,739.27</w:t>
            </w:r>
            <w:r>
              <w:rPr>
                <w:rFonts w:ascii="Times New Roman"/>
                <w:sz w:val="20"/>
              </w:rPr>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3,357,124.73</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3,357,124.73</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3,128,739.27</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3,128,739.27</w:t>
            </w:r>
            <w:r>
              <w:rPr>
                <w:rFonts w:ascii="Times New Roman"/>
                <w:sz w:val="20"/>
              </w:rPr>
            </w:r>
          </w:p>
        </w:tc>
      </w:tr>
      <w:tr>
        <w:trPr>
          <w:trHeight w:val="346" w:hRule="exact"/>
        </w:trPr>
        <w:tc>
          <w:tcPr>
            <w:tcW w:w="1241" w:type="dxa"/>
            <w:vMerge w:val="restart"/>
            <w:tcBorders>
              <w:top w:val="single" w:sz="6" w:space="0" w:color="000000"/>
              <w:left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对人民币升值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391,153.61</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391,153.61</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117,724.98</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117,724.98</w:t>
            </w:r>
            <w:r>
              <w:rPr>
                <w:rFonts w:ascii="Times New Roman"/>
                <w:sz w:val="20"/>
              </w:rPr>
            </w:r>
          </w:p>
        </w:tc>
      </w:tr>
      <w:tr>
        <w:trPr>
          <w:trHeight w:val="348" w:hRule="exact"/>
        </w:trPr>
        <w:tc>
          <w:tcPr>
            <w:tcW w:w="1241" w:type="dxa"/>
            <w:vMerge/>
            <w:tcBorders>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对人民币贬值</w:t>
            </w:r>
            <w:r>
              <w:rPr>
                <w:rFonts w:ascii="Times New Roman" w:hAnsi="Times New Roman" w:cs="Times New Roman" w:eastAsia="Times New Roman" w:hint="default"/>
                <w:sz w:val="20"/>
                <w:szCs w:val="20"/>
              </w:rPr>
              <w:t>1%</w:t>
            </w:r>
          </w:p>
        </w:tc>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-391,153.61</w:t>
            </w:r>
            <w:r>
              <w:rPr>
                <w:rFonts w:ascii="Times New Roman"/>
                <w:sz w:val="20"/>
              </w:rPr>
            </w:r>
          </w:p>
        </w:tc>
        <w:tc>
          <w:tcPr>
            <w:tcW w:w="1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-391,153.61</w:t>
            </w:r>
            <w:r>
              <w:rPr>
                <w:rFonts w:ascii="Times New Roman"/>
                <w:sz w:val="20"/>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-117,724.98</w:t>
            </w:r>
            <w:r>
              <w:rPr>
                <w:rFonts w:ascii="Times New Roman"/>
                <w:sz w:val="20"/>
              </w:rPr>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-117,724.98</w:t>
            </w:r>
            <w:r>
              <w:rPr>
                <w:rFonts w:ascii="Times New Roman"/>
                <w:sz w:val="20"/>
              </w:rPr>
            </w:r>
          </w:p>
        </w:tc>
      </w:tr>
    </w:tbl>
    <w:p>
      <w:pPr>
        <w:pStyle w:val="BodyText"/>
        <w:spacing w:line="338" w:lineRule="auto" w:before="49"/>
        <w:ind w:left="441" w:right="2645"/>
        <w:jc w:val="left"/>
      </w:pPr>
      <w:r>
        <w:rPr/>
        <w:t>（</w:t>
      </w:r>
      <w:r>
        <w:rPr>
          <w:rFonts w:ascii="Times New Roman" w:hAnsi="Times New Roman" w:cs="Times New Roman" w:eastAsia="Times New Roman" w:hint="default"/>
        </w:rPr>
        <w:t>2</w:t>
      </w:r>
      <w:r>
        <w:rPr/>
        <w:t>）利率风险 利率风险，是指金融工具的公允价值或未来现金流量因市场利率变动而发生波动的风险。</w:t>
      </w:r>
    </w:p>
    <w:p>
      <w:pPr>
        <w:pStyle w:val="BodyText"/>
        <w:spacing w:line="316" w:lineRule="auto" w:before="43"/>
        <w:ind w:right="329" w:firstLine="288"/>
        <w:jc w:val="both"/>
      </w:pPr>
      <w:r>
        <w:rPr>
          <w:spacing w:val="-1"/>
        </w:rPr>
        <w:t>本公司面临的利率风险主要来源于银行短期借款。公司通过建立良好的银企关系，对授信额度、授信品种以及授信期限</w:t>
      </w:r>
      <w:r>
        <w:rPr/>
        <w:t> </w:t>
      </w:r>
      <w:r>
        <w:rPr>
          <w:spacing w:val="-2"/>
        </w:rPr>
        <w:t>进行合理的设计，保障银行授信额度充足，满足公司各类融资需求。尽管该政策不能使本公司完全避免支付的利率超出现行</w:t>
      </w:r>
      <w:r>
        <w:rPr>
          <w:spacing w:val="-63"/>
        </w:rPr>
        <w:t> </w:t>
      </w:r>
      <w:r>
        <w:rPr>
          <w:spacing w:val="-63"/>
        </w:rPr>
      </w:r>
      <w:r>
        <w:rPr/>
        <w:t>市场利率的风险，</w:t>
      </w:r>
      <w:r>
        <w:rPr>
          <w:spacing w:val="9"/>
        </w:rPr>
        <w:t> </w:t>
      </w:r>
      <w:r>
        <w:rPr/>
        <w:t>也不能完全消除与利息支付波动相关的现金流量风险，但是管理层认为该政策实现了这些风险之间的合</w:t>
      </w:r>
    </w:p>
    <w:p>
      <w:pPr>
        <w:spacing w:after="0" w:line="316" w:lineRule="auto"/>
        <w:jc w:val="both"/>
        <w:sectPr>
          <w:pgSz w:w="11910" w:h="16840"/>
          <w:pgMar w:header="745" w:footer="980" w:top="1060" w:bottom="1160" w:left="980" w:right="800"/>
        </w:sectPr>
      </w:pPr>
    </w:p>
    <w:p>
      <w:pPr>
        <w:spacing w:line="240" w:lineRule="auto" w:before="9"/>
        <w:rPr>
          <w:rFonts w:ascii="宋体" w:hAnsi="宋体" w:cs="宋体" w:eastAsia="宋体" w:hint="default"/>
          <w:sz w:val="25"/>
          <w:szCs w:val="25"/>
        </w:rPr>
      </w:pPr>
    </w:p>
    <w:p>
      <w:pPr>
        <w:pStyle w:val="BodyText"/>
        <w:spacing w:line="240" w:lineRule="auto" w:before="44"/>
        <w:ind w:right="1224"/>
        <w:jc w:val="left"/>
      </w:pPr>
      <w:r>
        <w:rPr/>
        <w:t>理平衡。</w:t>
      </w:r>
    </w:p>
    <w:p>
      <w:pPr>
        <w:pStyle w:val="BodyText"/>
        <w:spacing w:line="348" w:lineRule="auto" w:before="117"/>
        <w:ind w:left="441" w:right="7685"/>
        <w:jc w:val="left"/>
      </w:pPr>
      <w:r>
        <w:rPr/>
        <w:t>（</w:t>
      </w:r>
      <w:r>
        <w:rPr>
          <w:rFonts w:ascii="Times New Roman" w:hAnsi="Times New Roman" w:cs="Times New Roman" w:eastAsia="Times New Roman" w:hint="default"/>
        </w:rPr>
        <w:t>3</w:t>
      </w:r>
      <w:r>
        <w:rPr/>
        <w:t>）其他价格风险 本公司无其他价格风险。 </w:t>
      </w:r>
      <w:r>
        <w:rPr>
          <w:rFonts w:ascii="Times New Roman" w:hAnsi="Times New Roman" w:cs="Times New Roman" w:eastAsia="Times New Roman" w:hint="default"/>
        </w:rPr>
        <w:t>2.</w:t>
      </w:r>
      <w:r>
        <w:rPr/>
        <w:t>信用风险</w:t>
      </w:r>
    </w:p>
    <w:p>
      <w:pPr>
        <w:pStyle w:val="BodyText"/>
        <w:spacing w:line="300" w:lineRule="auto" w:before="14"/>
        <w:ind w:right="332" w:firstLine="36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日，可能引起本公司财务损失的最大信用风险敞口主要来自于合同另一方未能履行付款义务而导致本</w:t>
      </w:r>
      <w:r>
        <w:rPr/>
        <w:t> 公司金融资产产生的损失，具体包括：</w:t>
      </w:r>
    </w:p>
    <w:p>
      <w:pPr>
        <w:pStyle w:val="BodyText"/>
        <w:spacing w:line="316" w:lineRule="auto" w:before="70"/>
        <w:ind w:right="251" w:firstLine="360"/>
        <w:jc w:val="both"/>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59"/>
        <w:ind w:right="331" w:firstLine="288"/>
        <w:jc w:val="both"/>
      </w:pPr>
      <w:r>
        <w:rPr>
          <w:spacing w:val="-1"/>
        </w:rPr>
        <w:t>为降低信用风险，本公司设立专门岗位负责确定信用额度、进行信用审批，并执行其他监控程序以确保采取必要的措施</w:t>
      </w:r>
      <w:r>
        <w:rPr/>
        <w:t> </w:t>
      </w:r>
      <w:r>
        <w:rPr>
          <w:spacing w:val="-2"/>
        </w:rPr>
        <w:t>回收过期债权；此外，本公司于每个资产负债表日审核每一单项应收款的回收情况，以确保就无法回收的款项计提充分的坏</w:t>
      </w:r>
      <w:r>
        <w:rPr>
          <w:spacing w:val="-66"/>
        </w:rPr>
        <w:t> </w:t>
      </w:r>
      <w:r>
        <w:rPr>
          <w:spacing w:val="-66"/>
        </w:rPr>
      </w:r>
      <w:r>
        <w:rPr/>
        <w:t>账准备。因此，本公司管理层认为本公司所承担的信用风险已经大为降低。</w:t>
      </w:r>
    </w:p>
    <w:p>
      <w:pPr>
        <w:pStyle w:val="BodyText"/>
        <w:spacing w:line="240" w:lineRule="auto" w:before="59"/>
        <w:ind w:left="441" w:right="1224"/>
        <w:jc w:val="left"/>
      </w:pPr>
      <w:r>
        <w:rPr/>
        <w:t>本公司的流动资金存放在信用评级较高的银行，故流动资金的信用风险较低。</w:t>
      </w:r>
    </w:p>
    <w:p>
      <w:pPr>
        <w:pStyle w:val="BodyText"/>
        <w:spacing w:line="340" w:lineRule="auto" w:before="115"/>
        <w:ind w:left="513" w:right="22" w:hanging="72"/>
        <w:jc w:val="left"/>
      </w:pPr>
      <w:r>
        <w:rPr>
          <w:rFonts w:ascii="Times New Roman" w:hAnsi="Times New Roman" w:cs="Times New Roman" w:eastAsia="Times New Roman" w:hint="default"/>
        </w:rPr>
        <w:t>3.</w:t>
      </w:r>
      <w:r>
        <w:rPr/>
        <w:t>流动风险 </w:t>
      </w:r>
      <w:r>
        <w:rPr>
          <w:spacing w:val="-2"/>
        </w:rPr>
        <w:t>管理流动风险时，本公司管理层认为需要保持充分的现金及现金等价物并对其进行监控，以满足本公司经营需要，并降</w:t>
      </w:r>
    </w:p>
    <w:p>
      <w:pPr>
        <w:pStyle w:val="BodyText"/>
        <w:spacing w:line="360" w:lineRule="auto" w:before="1"/>
        <w:ind w:left="513" w:right="2033" w:hanging="361"/>
        <w:jc w:val="left"/>
      </w:pPr>
      <w:r>
        <w:rPr/>
        <w:t>低现金流量波动的影响。 于资产负债表日，本公司各项金融资产及金融负债以未折现的合同现金流量按到期日列示如下：</w:t>
      </w:r>
    </w:p>
    <w:p>
      <w:pPr>
        <w:pStyle w:val="BodyText"/>
        <w:spacing w:line="240" w:lineRule="auto" w:before="25"/>
        <w:ind w:left="0" w:right="331"/>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026"/>
        <w:gridCol w:w="1616"/>
        <w:gridCol w:w="1522"/>
        <w:gridCol w:w="1464"/>
        <w:gridCol w:w="1464"/>
        <w:gridCol w:w="1765"/>
      </w:tblGrid>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1"/>
                <w:sz w:val="20"/>
                <w:szCs w:val="20"/>
              </w:rPr>
              <w:t> </w:t>
            </w:r>
            <w:r>
              <w:rPr>
                <w:rFonts w:ascii="宋体" w:hAnsi="宋体" w:cs="宋体" w:eastAsia="宋体" w:hint="default"/>
                <w:sz w:val="20"/>
                <w:szCs w:val="20"/>
              </w:rPr>
              <w:t>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5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7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非衍金融资产</w:t>
            </w:r>
          </w:p>
        </w:tc>
        <w:tc>
          <w:tcPr>
            <w:tcW w:w="161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货币资金</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2,153,297,209.95</w:t>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2,153,297,209.95</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应收票据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49,895,560.78</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49,895,560.78</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应收账款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891,188,377.94</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7,532,175.86</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5,656,325.09</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16,418,560.26</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920,795,439.15</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预付账款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6,627,914.54</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1,048,426.34</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503,185.09</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230,095.30</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8,409,621.27</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其他应收款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44,066,923.43</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13,949,236.48</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3,108,282.05</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3,972,029.36</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65,096,471.32</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pacing w:val="-1"/>
                <w:sz w:val="20"/>
              </w:rPr>
              <w:t>3,145,075,986.64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22,529,838.68</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9,267,792.23</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20,620,684.92</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3,197,494,302.47</w:t>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非衍金融负债：</w:t>
            </w:r>
          </w:p>
        </w:tc>
        <w:tc>
          <w:tcPr>
            <w:tcW w:w="1616"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应付票据</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440,195,708.94</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440,195,708.94</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短期借款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353,833,483.99</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353,833,483.99</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应付账款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450,212,929.23</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18,759,138.19</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2,370,435.12</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13,497,632.35</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484,840,134.89</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预收账款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11,540,122.64</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1,795,969.82</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521,653.24</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560,524.85</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14,418,270.55</w:t>
            </w:r>
            <w:r>
              <w:rPr>
                <w:rFonts w:ascii="Times New Roman"/>
                <w:sz w:val="20"/>
              </w:rPr>
            </w:r>
          </w:p>
        </w:tc>
      </w:tr>
      <w:tr>
        <w:trPr>
          <w:trHeight w:val="346"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其他应付款</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25,112,442.10</w:t>
            </w:r>
            <w:r>
              <w:rPr>
                <w:rFonts w:ascii="Times New Roman"/>
                <w:sz w:val="20"/>
              </w:rPr>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7,986,072.20</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2,359,931.17</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73,615.94</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35,532,061.41</w:t>
            </w:r>
            <w:r>
              <w:rPr>
                <w:rFonts w:ascii="Times New Roman"/>
                <w:sz w:val="20"/>
              </w:rPr>
            </w:r>
          </w:p>
        </w:tc>
      </w:tr>
      <w:tr>
        <w:trPr>
          <w:trHeight w:val="348"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1,280,894,686.90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28,541,180.21</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5,252,019.53</w:t>
            </w:r>
            <w:r>
              <w:rPr>
                <w:rFonts w:ascii="Times New Roman"/>
                <w:sz w:val="20"/>
              </w:rPr>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14,131,773.14</w:t>
            </w:r>
            <w:r>
              <w:rPr>
                <w:rFonts w:ascii="Times New Roman"/>
                <w:sz w:val="20"/>
              </w:rPr>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1,328,819,659.78</w:t>
            </w:r>
          </w:p>
        </w:tc>
      </w:tr>
    </w:tbl>
    <w:p>
      <w:pPr>
        <w:spacing w:line="240" w:lineRule="auto" w:before="2"/>
        <w:rPr>
          <w:rFonts w:ascii="宋体" w:hAnsi="宋体" w:cs="宋体" w:eastAsia="宋体" w:hint="default"/>
          <w:sz w:val="27"/>
          <w:szCs w:val="27"/>
        </w:rPr>
      </w:pPr>
    </w:p>
    <w:p>
      <w:pPr>
        <w:pStyle w:val="BodyText"/>
        <w:spacing w:line="360" w:lineRule="auto" w:before="44"/>
        <w:ind w:right="5814" w:firstLine="216"/>
        <w:jc w:val="left"/>
      </w:pPr>
      <w:r>
        <w:rPr/>
        <w:t>（二）金融资产转移 本公司本报告期未发生与金融资产转移有关的事项。</w:t>
      </w:r>
    </w:p>
    <w:p>
      <w:pPr>
        <w:spacing w:after="0" w:line="360" w:lineRule="auto"/>
        <w:jc w:val="left"/>
        <w:sectPr>
          <w:pgSz w:w="11910" w:h="16840"/>
          <w:pgMar w:header="745" w:footer="980" w:top="1060" w:bottom="116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443,625,472.96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443,625,472.96</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443,625,472.96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443,625,472.96</w:t>
            </w:r>
          </w:p>
        </w:tc>
      </w:tr>
      <w:tr>
        <w:trPr>
          <w:trHeight w:val="716"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443,625,472.96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443,625,472.96</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00"/>
        <w:jc w:val="both"/>
      </w:pPr>
      <w:r>
        <w:rPr>
          <w:spacing w:val="-1"/>
        </w:rPr>
        <w:t>公司已经出租的建筑物均位于经济活跃的城市，根据出租建筑物的实际情况，因所在区域附近交易市场活跃，且易找到</w:t>
      </w:r>
      <w:r>
        <w:rPr/>
        <w:t> </w:t>
      </w:r>
      <w:r>
        <w:rPr>
          <w:spacing w:val="-2"/>
        </w:rPr>
        <w:t>类似的案例，故采用市场法进行估值，以公司聘请的评估师出具的评估结果定性和定量。对不易找到交易案例的厂房等，因</w:t>
      </w:r>
      <w:r>
        <w:rPr>
          <w:spacing w:val="-64"/>
        </w:rPr>
        <w:t> </w:t>
      </w:r>
      <w:r>
        <w:rPr>
          <w:spacing w:val="-64"/>
        </w:rPr>
      </w:r>
      <w:r>
        <w:rPr/>
        <w:t>所在区域附近类似租赁市场较为活跃，故采用收益法进行估值，具体以公司聘请的评估师出具的评估结果定性和定量。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4"/>
        <w:gridCol w:w="1585"/>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0"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0" w:right="0"/>
              <w:jc w:val="left"/>
              <w:rPr>
                <w:rFonts w:ascii="宋体" w:hAnsi="宋体" w:cs="宋体" w:eastAsia="宋体" w:hint="default"/>
                <w:sz w:val="18"/>
                <w:szCs w:val="18"/>
              </w:rPr>
            </w:pPr>
            <w:r>
              <w:rPr>
                <w:rFonts w:ascii="宋体" w:hAnsi="宋体" w:cs="宋体" w:eastAsia="宋体" w:hint="default"/>
                <w:sz w:val="18"/>
                <w:szCs w:val="18"/>
              </w:rPr>
              <w:t>母公司对本企业的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7"/>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43.09%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43.09%</w:t>
            </w:r>
          </w:p>
        </w:tc>
      </w:tr>
    </w:tbl>
    <w:p>
      <w:pPr>
        <w:pStyle w:val="BodyText"/>
        <w:spacing w:line="360" w:lineRule="auto" w:before="49"/>
        <w:ind w:left="513" w:right="94" w:hanging="361"/>
        <w:jc w:val="left"/>
      </w:pPr>
      <w:r>
        <w:rPr/>
        <w:t>本企业的母公司情况的说明 </w:t>
      </w:r>
      <w:r>
        <w:rPr>
          <w:spacing w:val="-2"/>
        </w:rPr>
        <w:t>王海鹏先生担任中国包装联合会副会长、东莞市环保包装行业协会会长，并兼任东莞美盈森执行董事兼总经理、香港美</w:t>
      </w:r>
    </w:p>
    <w:p>
      <w:pPr>
        <w:pStyle w:val="BodyText"/>
        <w:spacing w:line="222" w:lineRule="exact"/>
        <w:ind w:right="0"/>
        <w:jc w:val="left"/>
      </w:pPr>
      <w:r>
        <w:rPr/>
        <w:t>盈森董事、苏州美盈森执行董事、武汉美盈森执行董事、成都美盈森执行董事兼总经理、泸美供应链执行董事兼总经理、小</w:t>
      </w:r>
    </w:p>
    <w:p>
      <w:pPr>
        <w:pStyle w:val="BodyText"/>
        <w:spacing w:line="316" w:lineRule="auto" w:before="76"/>
        <w:ind w:right="94"/>
        <w:jc w:val="left"/>
      </w:pPr>
      <w:r>
        <w:rPr/>
        <w:t>美集执行董事兼总经理、美莲检测执行董事兼总经理、汇天云网董事、深圳汇天云网执行董事兼总经理、深圳金之彩董事、 佳宝隆董事、中大绿谷董事长兼总经理等职务。</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60" w:lineRule="auto"/>
        <w:ind w:right="7474"/>
        <w:jc w:val="left"/>
      </w:pPr>
      <w:r>
        <w:rPr/>
        <w:t>本企业最终控制方是王海鹏。 其他说明：</w:t>
      </w:r>
    </w:p>
    <w:p>
      <w:pPr>
        <w:pStyle w:val="BodyText"/>
        <w:spacing w:line="240" w:lineRule="auto" w:before="25"/>
        <w:ind w:right="94"/>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94"/>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本企业子公司的情况详见附注九、在子公司中的权益之说明。</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1354"/>
        <w:jc w:val="left"/>
      </w:pPr>
      <w:r>
        <w:rPr/>
        <w:t>本企业重要的合营或联营企业详见附注九、在合营安排或联营企业中的权益之说明。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70"/>
        <w:ind w:right="909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94"/>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公司关联自然人王海鹏先生控制的企业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广州信联智通实业股份有限公司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公司关联自然人（董事、副总经理兼董事会秘书）担任董事 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丽京投资服务有限公司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控股股东及其关系密切的家庭成员合计持股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常富润科技（深圳）有限公司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关联自然人（副总经理）直接控制的法人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常富润企业（香港）公司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关联自然人（副总经理）直接控制的法人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深圳市天威视讯股份有限公司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深圳市机场股份有限公司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中国南玻集团股份有限公司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深圳市捷顺科技实业股份有限公司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深圳市飞荣达科技股份有限公司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广东海派律师事务所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关联自然人（独立董事）担任执行合伙人的法人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华泰期货有限公司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福建海西金融租赁有限责任公司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关联自然人（独立董事）担任独立董事的法人</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深圳星杉广告有限公司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关联自然人（已离任独立董事）担任执行董事兼总经理的法 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深圳中金投资管理有限公司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关联自然人（已离任独立董事）担任执行董事的法人</w:t>
            </w:r>
          </w:p>
        </w:tc>
      </w:tr>
      <w:tr>
        <w:trPr>
          <w:trHeight w:val="716"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陕西省航空高技术创业投资基金（有限合伙）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关联自然人（已离任独立董事）担任执行事务合伙人的合伙 企业</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西安瑞鹏创业投资管理有限合伙企业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关联自然人（已离任独立董事）担任执行事务合伙人的合伙 企业</w:t>
            </w:r>
          </w:p>
        </w:tc>
      </w:tr>
    </w:tbl>
    <w:p>
      <w:pPr>
        <w:pStyle w:val="BodyText"/>
        <w:spacing w:line="357" w:lineRule="auto" w:before="49"/>
        <w:ind w:right="2154"/>
        <w:jc w:val="left"/>
      </w:pPr>
      <w:r>
        <w:rPr/>
        <w:t>其他说明 其他关联方还包括公司董事、监事、高级管理人员、持股</w:t>
      </w:r>
      <w:r>
        <w:rPr>
          <w:rFonts w:ascii="Times New Roman" w:hAnsi="Times New Roman" w:cs="Times New Roman" w:eastAsia="Times New Roman" w:hint="default"/>
        </w:rPr>
        <w:t>5%</w:t>
      </w:r>
      <w:r>
        <w:rPr/>
        <w:t>以上股东及其关系密切的家庭成员。</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94,018.88</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广东佳宝隆科技有限公司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6,695,117.07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5,345,471.53</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东莞市海升科技有限公司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560,988.38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774,646.48</w:t>
            </w:r>
          </w:p>
        </w:tc>
      </w:tr>
    </w:tbl>
    <w:p>
      <w:pPr>
        <w:pStyle w:val="BodyText"/>
        <w:spacing w:line="360" w:lineRule="auto" w:before="49"/>
        <w:ind w:right="6354"/>
        <w:jc w:val="left"/>
      </w:pPr>
      <w:r>
        <w:rPr/>
        <w:t>购销商品、提供和接受劳务的关联交易说明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1"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3"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338" w:lineRule="auto" w:before="49"/>
        <w:ind w:right="521"/>
        <w:jc w:val="left"/>
      </w:pPr>
      <w:r>
        <w:rPr/>
        <w:t>关联托管</w:t>
      </w:r>
      <w:r>
        <w:rPr>
          <w:rFonts w:ascii="Times New Roman" w:hAnsi="Times New Roman" w:cs="Times New Roman" w:eastAsia="Times New Roman" w:hint="default"/>
        </w:rPr>
        <w:t>/</w:t>
      </w:r>
      <w:r>
        <w:rPr/>
        <w:t>承包情况说明 无</w:t>
      </w:r>
    </w:p>
    <w:p>
      <w:pPr>
        <w:pStyle w:val="BodyText"/>
        <w:spacing w:line="240" w:lineRule="auto" w:before="43"/>
        <w:ind w:right="-19"/>
        <w:jc w:val="left"/>
      </w:pPr>
      <w:r>
        <w:rPr/>
        <w:t>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7" w:right="23"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3"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7924"/>
        <w:jc w:val="left"/>
      </w:pPr>
      <w:r>
        <w:rPr/>
        <w:t>关联管理</w:t>
      </w:r>
      <w:r>
        <w:rPr>
          <w:rFonts w:ascii="Times New Roman" w:hAnsi="Times New Roman" w:cs="Times New Roman" w:eastAsia="Times New Roman" w:hint="default"/>
        </w:rPr>
        <w:t>/</w:t>
      </w:r>
      <w:r>
        <w:rPr/>
        <w:t>出包情况说明 无</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334"/>
        <w:jc w:val="left"/>
      </w:pPr>
      <w:r>
        <w:rPr/>
        <w:t>关联租赁情况说明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334"/>
        <w:jc w:val="left"/>
      </w:pPr>
      <w:r>
        <w:rPr/>
        <w:t>关联担保情况说明 无</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3,164,489.00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2,902,608.00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广东佳宝隆科技有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1,956,582.67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97,829.13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2,143,682.27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107,184.11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东莞市海升科技有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319,304.23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316,329.48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15,816.47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2"/>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4"/>
        <w:spacing w:line="240" w:lineRule="auto" w:before="125"/>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454"/>
        <w:jc w:val="left"/>
      </w:pPr>
      <w:r>
        <w:rPr/>
        <w:t>资产负债表日存在的重要承诺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日，公司无需要披露的重要承诺事项</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日，公司无需要披露的重要或有事项。</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汇天云网集团有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139,725,133.57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140,962,917.89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-4,426,853.85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15,578.71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-4,442,432.56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9" w:right="0"/>
              <w:jc w:val="left"/>
              <w:rPr>
                <w:rFonts w:ascii="Times New Roman" w:hAnsi="Times New Roman" w:cs="Times New Roman" w:eastAsia="Times New Roman" w:hint="default"/>
                <w:sz w:val="18"/>
                <w:szCs w:val="18"/>
              </w:rPr>
            </w:pPr>
            <w:r>
              <w:rPr>
                <w:rFonts w:ascii="Times New Roman"/>
                <w:sz w:val="18"/>
              </w:rPr>
              <w:t>-2,265,640.61</w:t>
            </w:r>
          </w:p>
        </w:tc>
      </w:tr>
    </w:tbl>
    <w:p>
      <w:pPr>
        <w:pStyle w:val="BodyText"/>
        <w:spacing w:line="357" w:lineRule="auto" w:before="49"/>
        <w:ind w:right="90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根据公司的销售特点，公司分为自制产品销售、第三方采购销售两部分，并执行统一会计政策。</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自制品销售</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第三采购销售</w:t>
            </w:r>
          </w:p>
        </w:tc>
        <w:tc>
          <w:tcPr>
            <w:tcW w:w="191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2,238,027,576.02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530,600,371.72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2,768,627,947.74</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1,458,543,658.85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404,120,849.90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1,862,664,508.75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15,917,926.31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3,773,884.52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19,691,810.83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74,069,829.83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74,069,829.83</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五、利润总额</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350,991,100.22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56,952,023.69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407,943,123.91</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54,310,523.03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8,812,457.62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63,122,980.65</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七、净利润</w:t>
            </w:r>
          </w:p>
        </w:tc>
        <w:tc>
          <w:tcPr>
            <w:tcW w:w="192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296,680,577.18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48,139,566.08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344,820,143.26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47"/>
        <w:gridCol w:w="751"/>
        <w:gridCol w:w="761"/>
        <w:gridCol w:w="763"/>
        <w:gridCol w:w="752"/>
        <w:gridCol w:w="800"/>
        <w:gridCol w:w="653"/>
        <w:gridCol w:w="761"/>
        <w:gridCol w:w="814"/>
        <w:gridCol w:w="934"/>
        <w:gridCol w:w="931"/>
      </w:tblGrid>
      <w:tr>
        <w:trPr>
          <w:trHeight w:val="397" w:hRule="exact"/>
        </w:trPr>
        <w:tc>
          <w:tcPr>
            <w:tcW w:w="1647" w:type="dxa"/>
            <w:vMerge w:val="restart"/>
            <w:tcBorders>
              <w:top w:val="single" w:sz="4" w:space="0" w:color="000000"/>
              <w:left w:val="single" w:sz="4" w:space="0" w:color="000000"/>
              <w:right w:val="single" w:sz="4" w:space="0" w:color="000000"/>
            </w:tcBorders>
            <w:shd w:val="clear" w:color="auto" w:fill="D2D2D2"/>
          </w:tcPr>
          <w:p>
            <w:pP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7" w:type="dxa"/>
            <w:vMerge/>
            <w:tcBorders>
              <w:left w:val="single" w:sz="4" w:space="0" w:color="000000"/>
              <w:bottom w:val="nil" w:sz="6" w:space="0" w:color="auto"/>
              <w:right w:val="single" w:sz="4" w:space="0" w:color="000000"/>
            </w:tcBorders>
            <w:shd w:val="clear" w:color="auto" w:fill="D2D2D2"/>
          </w:tcPr>
          <w:p>
            <w:pP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1516"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4"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7" w:type="dxa"/>
            <w:vMerge/>
            <w:tcBorders>
              <w:left w:val="single" w:sz="4" w:space="0" w:color="000000"/>
              <w:bottom w:val="single" w:sz="4" w:space="0" w:color="FFFFFF"/>
              <w:right w:val="single" w:sz="4" w:space="0" w:color="000000"/>
            </w:tcBorders>
            <w:shd w:val="clear" w:color="auto" w:fill="D2D2D2"/>
          </w:tcPr>
          <w:p>
            <w:pPr/>
          </w:p>
        </w:tc>
        <w:tc>
          <w:tcPr>
            <w:tcW w:w="75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92"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7" w:type="dxa"/>
            <w:vMerge w:val="restart"/>
            <w:tcBorders>
              <w:top w:val="single" w:sz="4" w:space="0" w:color="FFFFFF"/>
              <w:left w:val="single" w:sz="4" w:space="0" w:color="000000"/>
              <w:right w:val="single" w:sz="4" w:space="0" w:color="000000"/>
            </w:tcBorders>
            <w:shd w:val="clear" w:color="auto" w:fill="D2D2D2"/>
          </w:tcPr>
          <w:p>
            <w:pPr/>
          </w:p>
        </w:tc>
        <w:tc>
          <w:tcPr>
            <w:tcW w:w="7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2"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47" w:type="dxa"/>
            <w:vMerge/>
            <w:tcBorders>
              <w:left w:val="single" w:sz="4" w:space="0" w:color="000000"/>
              <w:right w:val="single" w:sz="4" w:space="0" w:color="000000"/>
            </w:tcBorders>
            <w:shd w:val="clear" w:color="auto" w:fill="D2D2D2"/>
          </w:tcPr>
          <w:p>
            <w:pPr/>
          </w:p>
        </w:tc>
        <w:tc>
          <w:tcPr>
            <w:tcW w:w="751"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52"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5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52"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24"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310,831,</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943.13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16,862,2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92.99</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5.42%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293,969,6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50.14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252,956</w:t>
            </w:r>
          </w:p>
          <w:p>
            <w:pPr>
              <w:pStyle w:val="TableParagraph"/>
              <w:spacing w:line="240" w:lineRule="auto" w:before="105"/>
              <w:ind w:left="82" w:right="0"/>
              <w:jc w:val="left"/>
              <w:rPr>
                <w:rFonts w:ascii="Times New Roman" w:hAnsi="Times New Roman" w:cs="Times New Roman" w:eastAsia="Times New Roman" w:hint="default"/>
                <w:sz w:val="18"/>
                <w:szCs w:val="18"/>
              </w:rPr>
            </w:pPr>
            <w:r>
              <w:rPr>
                <w:rFonts w:ascii="Times New Roman"/>
                <w:sz w:val="18"/>
              </w:rPr>
              <w:t>,926.62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12,380,10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240,576,81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7"/>
        <w:gridCol w:w="656"/>
        <w:gridCol w:w="761"/>
        <w:gridCol w:w="814"/>
        <w:gridCol w:w="934"/>
        <w:gridCol w:w="931"/>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310,831,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943.13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16,862,2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92.99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5.42%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293,969,6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50.14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252,956</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,926.62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12,380,10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240,576,81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8.46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800"/>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4293" w:space="4536"/>
            <w:col w:w="13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254,752,900.37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12,737,645.02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254,752,900.37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12,737,645.02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3,412,869.37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341,286.94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113,715.41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53,498.35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7,457,626.18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3,729,862.68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265,737,111.33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16,862,292.99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5.42%</w:t>
            </w:r>
          </w:p>
        </w:tc>
      </w:tr>
    </w:tbl>
    <w:p>
      <w:pPr>
        <w:pStyle w:val="BodyText"/>
        <w:spacing w:line="357" w:lineRule="auto" w:before="49"/>
        <w:ind w:right="7974"/>
        <w:jc w:val="left"/>
      </w:pPr>
      <w:r>
        <w:rPr/>
        <w:t>确定该组合依据的说明： 无</w:t>
      </w:r>
    </w:p>
    <w:p>
      <w:pPr>
        <w:pStyle w:val="BodyText"/>
        <w:spacing w:line="240" w:lineRule="auto" w:before="29"/>
        <w:ind w:right="1224"/>
        <w:jc w:val="left"/>
      </w:pPr>
      <w:r>
        <w:rPr/>
        <w:t>组合中，采用余额百分比法计提坏账准备的应收账款：</w:t>
      </w:r>
    </w:p>
    <w:p>
      <w:pPr>
        <w:pStyle w:val="BodyText"/>
        <w:spacing w:line="338" w:lineRule="auto" w:before="117"/>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94"/>
        <w:gridCol w:w="2614"/>
        <w:gridCol w:w="2223"/>
        <w:gridCol w:w="2225"/>
      </w:tblGrid>
      <w:tr>
        <w:trPr>
          <w:trHeight w:val="386" w:hRule="exact"/>
        </w:trPr>
        <w:tc>
          <w:tcPr>
            <w:tcW w:w="2794" w:type="dxa"/>
            <w:vMerge w:val="restart"/>
            <w:tcBorders>
              <w:top w:val="single" w:sz="6" w:space="0" w:color="000000"/>
              <w:left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2794" w:type="dxa"/>
            <w:vMerge/>
            <w:tcBorders>
              <w:left w:val="single" w:sz="6" w:space="0" w:color="000000"/>
              <w:bottom w:val="single" w:sz="6" w:space="0" w:color="000000"/>
              <w:right w:val="single" w:sz="6" w:space="0" w:color="000000"/>
            </w:tcBorders>
          </w:tcPr>
          <w:p>
            <w:pP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8"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45,094,831.80</w:t>
            </w:r>
          </w:p>
        </w:tc>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94" w:type="dxa"/>
            <w:tcBorders>
              <w:top w:val="single" w:sz="6" w:space="0" w:color="000000"/>
              <w:left w:val="single" w:sz="6" w:space="0" w:color="000000"/>
              <w:bottom w:val="single" w:sz="6" w:space="0" w:color="000000"/>
              <w:right w:val="single" w:sz="6" w:space="0" w:color="000000"/>
            </w:tcBorders>
          </w:tcPr>
          <w:p>
            <w:pPr>
              <w:pStyle w:val="TableParagraph"/>
              <w:tabs>
                <w:tab w:pos="396"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45,094,831.80</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800"/>
        </w:sectPr>
      </w:pPr>
    </w:p>
    <w:p>
      <w:pPr>
        <w:pStyle w:val="BodyText"/>
        <w:spacing w:line="340" w:lineRule="auto" w:before="44"/>
        <w:ind w:right="-12"/>
        <w:jc w:val="left"/>
      </w:pPr>
      <w:r>
        <w:rPr/>
        <w:t>本期计提坏账准备金额</w:t>
      </w:r>
      <w:r>
        <w:rPr>
          <w:spacing w:val="-46"/>
        </w:rPr>
        <w:t> </w:t>
      </w:r>
      <w:r>
        <w:rPr>
          <w:rFonts w:ascii="Times New Roman" w:hAnsi="Times New Roman" w:cs="Times New Roman" w:eastAsia="Times New Roman" w:hint="default"/>
        </w:rPr>
        <w:t>4,482,184.83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800"/>
          <w:cols w:num="2" w:equalWidth="0">
            <w:col w:w="6460" w:space="2370"/>
            <w:col w:w="130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1224"/>
        <w:jc w:val="left"/>
      </w:pPr>
      <w:r>
        <w:rPr/>
        <w:t>无</w:t>
      </w:r>
    </w:p>
    <w:p>
      <w:pPr>
        <w:spacing w:after="0" w:line="240" w:lineRule="auto"/>
        <w:jc w:val="left"/>
        <w:sectPr>
          <w:type w:val="continuous"/>
          <w:pgSz w:w="11910" w:h="16840"/>
          <w:pgMar w:top="1060" w:bottom="1160" w:left="980" w:right="800"/>
        </w:sectPr>
      </w:pPr>
    </w:p>
    <w:p>
      <w:pPr>
        <w:spacing w:line="240" w:lineRule="auto" w:before="10"/>
        <w:rPr>
          <w:rFonts w:ascii="宋体" w:hAnsi="宋体" w:cs="宋体" w:eastAsia="宋体" w:hint="default"/>
          <w:sz w:val="24"/>
          <w:szCs w:val="24"/>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224"/>
        <w:jc w:val="left"/>
      </w:pPr>
      <w:r>
        <w:rPr/>
        <w:t>其中重要的应收账款核销情况：</w:t>
      </w:r>
    </w:p>
    <w:p>
      <w:pPr>
        <w:pStyle w:val="BodyText"/>
        <w:spacing w:line="240" w:lineRule="auto" w:before="117"/>
        <w:ind w:left="0" w:right="3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3" w:right="68"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334"/>
        <w:jc w:val="left"/>
      </w:pPr>
      <w:r>
        <w:rPr/>
        <w:t>应收账款核销说明： 无</w:t>
      </w:r>
    </w:p>
    <w:p>
      <w:pPr>
        <w:spacing w:line="240" w:lineRule="auto" w:before="6"/>
        <w:rPr>
          <w:rFonts w:ascii="宋体" w:hAnsi="宋体" w:cs="宋体" w:eastAsia="宋体" w:hint="default"/>
          <w:sz w:val="20"/>
          <w:szCs w:val="20"/>
        </w:rPr>
      </w:pPr>
    </w:p>
    <w:p>
      <w:pPr>
        <w:pStyle w:val="Heading4"/>
        <w:spacing w:line="240" w:lineRule="auto"/>
        <w:ind w:right="1224"/>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668"/>
        <w:gridCol w:w="2552"/>
        <w:gridCol w:w="2693"/>
        <w:gridCol w:w="2943"/>
      </w:tblGrid>
      <w:tr>
        <w:trPr>
          <w:trHeight w:val="348" w:hRule="exact"/>
        </w:trPr>
        <w:tc>
          <w:tcPr>
            <w:tcW w:w="1668" w:type="dxa"/>
            <w:vMerge w:val="restart"/>
            <w:tcBorders>
              <w:top w:val="single" w:sz="6" w:space="0" w:color="000000"/>
              <w:left w:val="single" w:sz="6" w:space="0" w:color="000000"/>
              <w:right w:val="single" w:sz="6" w:space="0" w:color="000000"/>
            </w:tcBorders>
          </w:tcPr>
          <w:p>
            <w:pPr>
              <w:pStyle w:val="TableParagraph"/>
              <w:spacing w:line="240" w:lineRule="auto" w:before="4"/>
              <w:ind w:left="430"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81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48" w:hRule="exact"/>
        </w:trPr>
        <w:tc>
          <w:tcPr>
            <w:tcW w:w="1668" w:type="dxa"/>
            <w:vMerge/>
            <w:tcBorders>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38" w:right="0"/>
              <w:jc w:val="left"/>
              <w:rPr>
                <w:rFonts w:ascii="宋体" w:hAnsi="宋体" w:cs="宋体" w:eastAsia="宋体" w:hint="default"/>
                <w:sz w:val="20"/>
                <w:szCs w:val="20"/>
              </w:rPr>
            </w:pPr>
            <w:r>
              <w:rPr>
                <w:rFonts w:ascii="宋体" w:hAnsi="宋体" w:cs="宋体" w:eastAsia="宋体" w:hint="default"/>
                <w:sz w:val="20"/>
                <w:szCs w:val="20"/>
              </w:rPr>
              <w:t>占应收账款总额的比例</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客户一</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42,525,048.35</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13.68%</w:t>
            </w:r>
          </w:p>
        </w:tc>
        <w:tc>
          <w:tcPr>
            <w:tcW w:w="294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客户二</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42,327,241.68</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13.62%</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2,116,362.08</w:t>
            </w:r>
            <w:r>
              <w:rPr>
                <w:rFonts w:ascii="Times New Roman"/>
                <w:sz w:val="20"/>
              </w:rPr>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客户三</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27,522,525.31</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8.85%</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1,376,126.27</w:t>
            </w:r>
            <w:r>
              <w:rPr>
                <w:rFonts w:ascii="Times New Roman"/>
                <w:sz w:val="20"/>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客户四</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23,893,528.41</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7.69%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1,194,676.42</w:t>
            </w:r>
            <w:r>
              <w:rPr>
                <w:rFonts w:ascii="Times New Roman"/>
                <w:sz w:val="20"/>
              </w:rPr>
            </w:r>
          </w:p>
        </w:tc>
      </w:tr>
      <w:tr>
        <w:trPr>
          <w:trHeight w:val="346"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客户五</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17,865,391.28</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5.75%</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w w:val="95"/>
                <w:sz w:val="20"/>
              </w:rPr>
              <w:t>893,269.56</w:t>
            </w:r>
            <w:r>
              <w:rPr>
                <w:rFonts w:ascii="Times New Roman"/>
                <w:sz w:val="20"/>
              </w:rPr>
            </w:r>
          </w:p>
        </w:tc>
      </w:tr>
      <w:tr>
        <w:trPr>
          <w:trHeight w:val="348" w:hRule="exact"/>
        </w:trPr>
        <w:tc>
          <w:tcPr>
            <w:tcW w:w="1668" w:type="dxa"/>
            <w:tcBorders>
              <w:top w:val="single" w:sz="6" w:space="0" w:color="000000"/>
              <w:left w:val="single" w:sz="6" w:space="0" w:color="000000"/>
              <w:bottom w:val="single" w:sz="6" w:space="0" w:color="000000"/>
              <w:right w:val="single" w:sz="6" w:space="0" w:color="000000"/>
            </w:tcBorders>
          </w:tcPr>
          <w:p>
            <w:pPr>
              <w:pStyle w:val="TableParagraph"/>
              <w:tabs>
                <w:tab w:pos="953" w:val="left" w:leader="none"/>
              </w:tabs>
              <w:spacing w:line="240" w:lineRule="auto" w:before="4"/>
              <w:ind w:left="509"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154,133,735.03</w:t>
            </w:r>
            <w:r>
              <w:rPr>
                <w:rFonts w:ascii="Times New Roman"/>
                <w:sz w:val="20"/>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49.59%</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5,580,434.33</w:t>
            </w:r>
            <w:r>
              <w:rPr>
                <w:rFonts w:ascii="Times New Roman"/>
                <w:sz w:val="20"/>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224"/>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224"/>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224"/>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9054"/>
        <w:jc w:val="left"/>
      </w:pPr>
      <w:r>
        <w:rPr/>
        <w:t>无 其他说明： 无</w:t>
      </w:r>
    </w:p>
    <w:p>
      <w:pPr>
        <w:spacing w:line="240" w:lineRule="auto" w:before="5"/>
        <w:rPr>
          <w:rFonts w:ascii="宋体" w:hAnsi="宋体" w:cs="宋体" w:eastAsia="宋体" w:hint="default"/>
          <w:sz w:val="20"/>
          <w:szCs w:val="20"/>
        </w:rPr>
      </w:pPr>
    </w:p>
    <w:p>
      <w:pPr>
        <w:pStyle w:val="Heading4"/>
        <w:spacing w:line="240" w:lineRule="auto"/>
        <w:ind w:right="122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224"/>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8"/>
        <w:gridCol w:w="4095"/>
      </w:tblGrid>
      <w:tr>
        <w:trPr>
          <w:trHeight w:val="40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6"/>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1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2" w:hRule="exact"/>
        </w:trPr>
        <w:tc>
          <w:tcPr>
            <w:tcW w:w="1624" w:type="dxa"/>
            <w:vMerge/>
            <w:tcBorders>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0" w:hRule="exact"/>
        </w:trPr>
        <w:tc>
          <w:tcPr>
            <w:tcW w:w="1624" w:type="dxa"/>
            <w:vMerge/>
            <w:tcBorders>
              <w:left w:val="single" w:sz="4" w:space="0" w:color="000000"/>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289,441,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912.12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289,441,9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12.12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195,254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,213.81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195,254,21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3.81</w:t>
            </w:r>
          </w:p>
        </w:tc>
      </w:tr>
      <w:tr>
        <w:trPr>
          <w:trHeight w:val="163"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289,441,</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912.12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289,441,9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12.12</w:t>
            </w:r>
          </w:p>
        </w:tc>
        <w:tc>
          <w:tcPr>
            <w:tcW w:w="656" w:type="dxa"/>
            <w:vMerge w:val="restart"/>
            <w:tcBorders>
              <w:top w:val="single" w:sz="4" w:space="0" w:color="000000"/>
              <w:left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195,254</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,213.81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195,254,21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3.81</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6"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6"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338" w:lineRule="auto" w:before="41"/>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43"/>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40" w:lineRule="auto" w:before="44"/>
        <w:ind w:right="-13"/>
        <w:jc w:val="left"/>
      </w:pPr>
      <w:r>
        <w:rPr/>
        <w:t>本期计提坏账准备金额</w:t>
      </w:r>
      <w:r>
        <w:rPr>
          <w:spacing w:val="-46"/>
        </w:rPr>
        <w:t> </w:t>
      </w:r>
      <w:r>
        <w:rPr>
          <w:rFonts w:ascii="Times New Roman" w:hAnsi="Times New Roman" w:cs="Times New Roman" w:eastAsia="Times New Roman" w:hint="default"/>
        </w:rPr>
        <w:t>0.00 </w:t>
      </w:r>
      <w:r>
        <w:rPr/>
        <w:t>元；本期收回或转回坏账准备金额</w:t>
      </w:r>
      <w:r>
        <w:rPr>
          <w:spacing w:val="-46"/>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5828" w:space="3001"/>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5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0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3"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6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974"/>
        <w:jc w:val="left"/>
      </w:pPr>
      <w:r>
        <w:rPr/>
        <w:t>其他应收款核销说明： 无</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3,749,842.35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4,765,001.09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11,051,095.54</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23,770,902.54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407,162.23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1,101,613.99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274,233,812.00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165,616,696.19</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289,441,912.12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195,254,213.81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5"/>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美盈森智谷（苏州） 包装技术有限公司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62.19%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美盈森（香港）国际 控股有限公司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68,365,617.48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23.62%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成都市美盈森环保科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19,101,055.76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东莞市美盈森环保科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5,208,609.27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宁乡经济技术开发区 建设投资有限公司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277,365,282.51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95.83%</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3" w:hRule="exact"/>
        </w:trPr>
        <w:tc>
          <w:tcPr>
            <w:tcW w:w="2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865"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
        </w:tc>
        <w:tc>
          <w:tcPr>
            <w:tcW w:w="1867"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9"/>
        <w:gridCol w:w="1366"/>
        <w:gridCol w:w="1368"/>
        <w:gridCol w:w="1366"/>
        <w:gridCol w:w="136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2,828,179,770.00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2,326,874,470.00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2,326,874,470.00</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2,828,179,770.00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2,828,179,770.00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2,326,874,470.00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2,326,874,470.00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重庆市美盈森环 保包装工程有限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东莞市美芯龙物 联网科技有限公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东莞市美盈森环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苏州美盈森环保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298,311,400.00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298,311,400.00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美盈森（香港）国</w:t>
            </w:r>
            <w:r>
              <w:rPr>
                <w:rFonts w:ascii="宋体" w:hAnsi="宋体" w:cs="宋体" w:eastAsia="宋体" w:hint="default"/>
                <w:sz w:val="18"/>
                <w:szCs w:val="18"/>
              </w:rPr>
              <w:t> 际控股有限公司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81,563,070.00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81,563,070.00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中山市美盈森环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成都市美盈森环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武汉市美盈森环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深圳市金之彩文 化创意有限公司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四川泸美供应链</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5"/>
        <w:gridCol w:w="1334"/>
        <w:gridCol w:w="1335"/>
        <w:gridCol w:w="1390"/>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小美集科技有限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郑州市美盈森环 保科技有限公司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长沙美盈森智谷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湖南美盈森实业 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MYS Global</w:t>
            </w:r>
            <w:r>
              <w:rPr>
                <w:rFonts w:ascii="Times New Roman"/>
                <w:spacing w:val="-3"/>
                <w:sz w:val="18"/>
              </w:rPr>
              <w:t> </w:t>
            </w:r>
            <w:r>
              <w:rPr>
                <w:rFonts w:ascii="Times New Roman"/>
                <w:sz w:val="18"/>
              </w:rPr>
              <w:t>Inc.</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6,805,300.00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中大绿谷实业股 份有限公司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安徽美盈森智谷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佛山市美盈森绿 谷科技有限公司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天津美盈森智谷 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2,326,874,470.00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501,305,300.00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2,828,179,770.00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2"/>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786,770,376.08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563,224,590.54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513,437,641.03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367,298,671.01</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16,668,940.93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346,973.75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11,494,469.28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562,234.89</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803,439,317.01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563,571,564.29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524,932,110.31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367,860,905.90</w:t>
            </w:r>
          </w:p>
        </w:tc>
      </w:tr>
    </w:tbl>
    <w:p>
      <w:pPr>
        <w:pStyle w:val="BodyText"/>
        <w:spacing w:line="357" w:lineRule="auto" w:before="49"/>
        <w:ind w:right="887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6,519,318.68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8,122,045.65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5,094,445.69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-2,722,539.07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2,616,551.84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-284,397.83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14,681,116.94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3814"/>
      </w:tblGrid>
      <w:tr>
        <w:trPr>
          <w:trHeight w:val="402"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footerReference w:type="default" r:id="rId26"/>
          <w:pgSz w:w="11910" w:h="16840"/>
          <w:pgMar w:footer="980" w:header="745"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39"/>
        <w:gridCol w:w="3093"/>
        <w:gridCol w:w="1913"/>
        <w:gridCol w:w="1913"/>
      </w:tblGrid>
      <w:tr>
        <w:trPr>
          <w:trHeight w:val="401"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04"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0.2258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0.2258</w:t>
            </w:r>
          </w:p>
        </w:tc>
      </w:tr>
      <w:tr>
        <w:trPr>
          <w:trHeight w:val="715" w:hRule="exact"/>
        </w:trPr>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0.2162</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27"/>
          <w:pgSz w:w="11910" w:h="16840"/>
          <w:pgMar w:footer="980" w:header="745" w:top="1060" w:bottom="1160" w:left="980" w:right="980"/>
          <w:pgNumType w:start="2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TOC_250000" w:id="12"/>
      <w:r>
        <w:rPr/>
        <w:t>第十二节</w:t>
      </w:r>
      <w:r>
        <w:rPr>
          <w:spacing w:val="-6"/>
        </w:rPr>
        <w:t> </w:t>
      </w:r>
      <w:r>
        <w:rPr/>
        <w:t>备查文件目录</w:t>
      </w:r>
      <w:bookmarkEnd w:id="12"/>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2034"/>
        <w:jc w:val="left"/>
      </w:pPr>
      <w:r>
        <w:rPr/>
        <w:t>一、载有公司法定代表人签名的</w:t>
      </w:r>
      <w:r>
        <w:rPr>
          <w:rFonts w:ascii="Times New Roman" w:hAnsi="Times New Roman" w:cs="Times New Roman" w:eastAsia="Times New Roman" w:hint="default"/>
        </w:rPr>
        <w:t>2017</w:t>
      </w:r>
      <w:r>
        <w:rPr/>
        <w:t>年年度报告文本。 二、载有公司负责人、主管会计工作负责人、会计机构负责人签名并盖章的财务报表。 三、载有会计师事务所盖章、注册会计师签名并盖章的审计报告原件。 四、报告期内在中国证监会指定信息披露载体上公开披露过的所有公司文件的正本及公告的原稿。 五、以上备查文件的备置地点：公司证券部。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2"/>
          <w:szCs w:val="22"/>
        </w:rPr>
      </w:pPr>
    </w:p>
    <w:p>
      <w:pPr>
        <w:pStyle w:val="BodyText"/>
        <w:spacing w:line="240" w:lineRule="auto"/>
        <w:ind w:left="0" w:right="151"/>
        <w:jc w:val="right"/>
      </w:pPr>
      <w:r>
        <w:rPr/>
        <w:t>美盈森集团股份有限公司</w:t>
      </w:r>
    </w:p>
    <w:p>
      <w:pPr>
        <w:pStyle w:val="BodyText"/>
        <w:spacing w:line="240" w:lineRule="auto" w:before="118"/>
        <w:ind w:left="0" w:right="151"/>
        <w:jc w:val="right"/>
      </w:pPr>
      <w:r>
        <w:rPr/>
        <w:t>张珍义</w:t>
      </w:r>
    </w:p>
    <w:p>
      <w:pPr>
        <w:pStyle w:val="BodyText"/>
        <w:spacing w:line="240" w:lineRule="auto" w:before="117"/>
        <w:ind w:left="0" w:right="148"/>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11189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8.041626pt;width:11pt;height:11pt;mso-position-horizontal-relative:page;mso-position-vertical-relative:page;z-index:-1118704" type="#_x0000_t202" filled="false" stroked="false">
          <v:textbox inset="0,0,0,0">
            <w:txbxContent>
              <w:p>
                <w:pPr>
                  <w:pStyle w:val="BodyText"/>
                  <w:spacing w:line="200" w:lineRule="exact"/>
                  <w:ind w:left="20" w:right="0"/>
                  <w:jc w:val="left"/>
                </w:pPr>
                <w:r>
                  <w:rPr/>
                  <w:t>无</w:t>
                </w:r>
              </w:p>
            </w:txbxContent>
          </v:textbox>
          <w10:wrap type="none"/>
        </v:shape>
      </w:pict>
    </w:r>
    <w:r>
      <w:rPr/>
      <w:pict>
        <v:shape style="position:absolute;margin-left:523.099976pt;margin-top:781.933899pt;width:17.7pt;height:11pt;mso-position-horizontal-relative:page;mso-position-vertical-relative:page;z-index:-1118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18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128</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18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1186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185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18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18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1188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18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18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18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18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18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6pt;height:11.5pt;mso-position-horizontal-relative:page;mso-position-vertical-relative:page;z-index:-1118944" type="#_x0000_t202" filled="false" stroked="false">
          <v:textbox inset="0,0,0,0">
            <w:txbxContent>
              <w:p>
                <w:pPr>
                  <w:pStyle w:val="BodyText"/>
                  <w:spacing w:line="214" w:lineRule="exact"/>
                  <w:ind w:left="20" w:right="0"/>
                  <w:jc w:val="left"/>
                </w:pPr>
                <w:r>
                  <w:rPr/>
                  <w:t>美盈森集团股份有限公司</w:t>
                </w:r>
                <w:r>
                  <w:rPr>
                    <w:spacing w:val="-45"/>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963"/>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573"/>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7"/>
      <w:ind w:left="152"/>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szmys.com/" TargetMode="External"/><Relationship Id="rId9" Type="http://schemas.openxmlformats.org/officeDocument/2006/relationships/hyperlink" Target="mailto:mys.stock@szmys.com" TargetMode="External"/><Relationship Id="rId10" Type="http://schemas.openxmlformats.org/officeDocument/2006/relationships/hyperlink" Target="http://www.cninfo.com.cn/" TargetMode="External"/><Relationship Id="rId11" Type="http://schemas.openxmlformats.org/officeDocument/2006/relationships/footer" Target="footer3.xml"/><Relationship Id="rId12" Type="http://schemas.openxmlformats.org/officeDocument/2006/relationships/hyperlink" Target="http://www/" TargetMode="External"/><Relationship Id="rId13" Type="http://schemas.openxmlformats.org/officeDocument/2006/relationships/image" Target="media/image1.png"/><Relationship Id="rId14" Type="http://schemas.openxmlformats.org/officeDocument/2006/relationships/hyperlink" Target="http://www.cninfo.com.cn/finalpage/201" TargetMode="External"/><Relationship Id="rId15" Type="http://schemas.openxmlformats.org/officeDocument/2006/relationships/image" Target="media/image2.jpeg"/><Relationship Id="rId16" Type="http://schemas.openxmlformats.org/officeDocument/2006/relationships/hyperlink" Target="http://www.cninfo.com/"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美盈森集团股份有限公司</dc:creator>
  <dc:title>美盈森集团股份有限公司2017年年度报告全文</dc:title>
  <dcterms:created xsi:type="dcterms:W3CDTF">2020-05-02T22:00:04Z</dcterms:created>
  <dcterms:modified xsi:type="dcterms:W3CDTF">2020-05-02T22:00:04Z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2018-03-29T00:00:00Z</vt:filetime>
  </property>
  <property fmtid="{D5CDD505-2E9C-101B-9397-08002B2CF9AE}" pid="3" name="Creator">
    <vt:lpwstr>Microsoft® Office Word 2007</vt:lpwstr>
  </property>
  <property fmtid="{D5CDD505-2E9C-101B-9397-08002B2CF9AE}" pid="4" name="LastSaved">
    <vt:filetime>2020-05-02T00:00:00Z</vt:filetime>
  </property>
</Properties>
</file>